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72"/>
          <w:szCs w:val="72"/>
        </w:rPr>
        <w:t xml:space="preserve">SETAL PRO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Location-entretien de linge et de vêtements professionnels à Dakar</w:t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Business plan — version préliminaire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Octobre 2026 — avant validation terrain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Porteur de projet : Ahmadou Bamba Diop, ingénieur génie industriel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Avertissement : ce document repose sur des hypothèses qui seront confrontées au terrain en 2027-2028. Les chiffres marqués « hypothèse » ou « estimation » ne sont pas encore validés. Il sera mis à jour avant toute demande de financement.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Résumé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Setal Pro</w:t>
      </w:r>
      <w:r>
        <w:rPr>
          <w:rFonts w:ascii="Arial" w:cs="Arial" w:eastAsia="Arial" w:hAnsi="Arial"/>
          <w:sz w:val="21"/>
          <w:szCs w:val="21"/>
        </w:rPr>
        <w:t xml:space="preserve"> (« setal » signifie « rendre propre » en wolof) proposera aux hôtels, résidences, cliniques et restaurants de la région de Dakar un service récurrent d'entretien et de location de linge professionnel : collecte, lavage, contrôle, livraison à heure fixe, avec un niveau de service garanti par contrat. Le modèle s'inspire du leader européen Elis (4,8 Md€ de chiffre d'affaires en 2025), adapté à l'échelle d'un démarrage à 3 laveuses.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72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Synthèse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Besoin client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Disposer de linge propre, compté et livré à l'heure, sans machines, sans personnel dédié ni achat de linge</w:t>
            </w:r>
          </w:p>
        </w:tc>
      </w:tr>
      <w:tr>
        <w:trPr>
          <w:tblHeader w:val="false"/>
        </w:trPr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Offre</w:t>
            </w:r>
          </w:p>
        </w:tc>
        <w:tc>
          <w:tcPr>
            <w:tcW w:type="dxa" w:w="72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Setal Entretien (linge du client, au kg ou à la pièce) → Setal Location (linge Setal Pro, via une clause de remplacement) → Setal Tenues (vêtements de travail, à partir de l'année 2 ou 3)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Engagements contractuels (livraison le lendemain, ≥ 98 % à l'heure), protocole d'hygiène inspiré de la norme EN 14065 (RABC), comptage contradictoire, rapport mensuel, continuité malgré les coupures</w:t>
            </w:r>
          </w:p>
        </w:tc>
      </w:tr>
      <w:tr>
        <w:trPr>
          <w:tblHeader w:val="false"/>
        </w:trPr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Marché</w:t>
            </w:r>
          </w:p>
        </w:tc>
        <w:tc>
          <w:tcPr>
            <w:tcW w:type="dxa" w:w="72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Linge hôtelier de la région de Dakar estimé à 7-13 t/jour ; capacité de Setal Pro ≈ 300 kg/jour en 1 équipe : 3 à 5 % de ce seul segment suffisent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Démarrage visé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Octobre 2030, après une validation terrain en 2027-2028 (décision de lancement en mars 2028)</w:t>
            </w:r>
          </w:p>
        </w:tc>
      </w:tr>
      <w:tr>
        <w:trPr>
          <w:tblHeader w:val="false"/>
        </w:trPr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Investissement</w:t>
            </w:r>
          </w:p>
        </w:tc>
        <w:tc>
          <w:tcPr>
            <w:tcW w:type="dxa" w:w="72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46 M FCFA (version frugale) à 85 M FCFA (version standard), hors linge et BFR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Scénario central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 de 31 M FCFA en année 1 et de 135 M FCFA en année 5 ; EBE positif au 9e mois ; point mort ≈ 170-210 kg/jour</w:t>
            </w:r>
          </w:p>
        </w:tc>
      </w:tr>
      <w:tr>
        <w:trPr>
          <w:tblHeader w:val="false"/>
        </w:trPr>
        <w:tc>
          <w:tcPr>
            <w:tcW w:type="dxa" w:w="24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Besoin de financement</w:t>
            </w:r>
          </w:p>
        </w:tc>
        <w:tc>
          <w:tcPr>
            <w:tcW w:type="dxa" w:w="72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67,7 M FCFA (coussin inclus) ; apport du porteur ≈ 24,4 M FCFA ; complément recherché ≈ 43,3 M FCFA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 que nous demandons aujourd'hui :</w:t>
      </w:r>
      <w:r>
        <w:rPr>
          <w:rFonts w:ascii="Arial" w:cs="Arial" w:eastAsia="Arial" w:hAnsi="Arial"/>
          <w:sz w:val="21"/>
          <w:szCs w:val="21"/>
        </w:rPr>
        <w:t xml:space="preserve"> aucun financement immédiat. Ce document sert à ouvrir le dialogue avec des banques et des partenaires dès 2027, pour préparer un financement complémentaire (crédit-bail, prêt garanti, apports familiaux) à mobiliser en 2029-2030 si la validation terrain est concluante.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Le porteur de projet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Ahmadou Bamba Diop</w:t>
      </w:r>
      <w:r>
        <w:rPr>
          <w:rFonts w:ascii="Arial" w:cs="Arial" w:eastAsia="Arial" w:hAnsi="Arial"/>
          <w:sz w:val="21"/>
          <w:szCs w:val="21"/>
        </w:rPr>
        <w:t xml:space="preserve">, ingénieur en génie industriel, basé à Lyon. Expérience en méthodes, amélioration continue et supervision de production, avec le management d'une équipe de 15 personnes. Projet d'installation au Sénégal et ambition de bâtir une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entreprise familiale</w:t>
      </w:r>
      <w:r>
        <w:rPr>
          <w:rFonts w:ascii="Arial" w:cs="Arial" w:eastAsia="Arial" w:hAnsi="Arial"/>
          <w:sz w:val="21"/>
          <w:szCs w:val="21"/>
        </w:rPr>
        <w:t xml:space="preserve"> durable.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Atouts pour ce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blanchisserie industrielle est un métier de flux, de capacité, de standards et de maîtrise des pertes : exactement le champ des méthodes et du 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Rigueur de pilotage par indicateurs (ponctualité, défauts, pertes, kWh et litres par kg) et culture du PDCA.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Expérience de l'encadrement d'opérateurs de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Apport personnel constitué et épargne régulière ; profil de risque équilibré.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Points de vigilance et réponses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66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 prévue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d'expérience de dirigeant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Formation à la gestion en 2027-2029 ; expert-comptable dès la création ; conseil informel de 2 ou 3 personnes expérimentées</w:t>
            </w:r>
          </w:p>
        </w:tc>
      </w:tr>
      <w:tr>
        <w:trPr>
          <w:tblHeader w:val="false"/>
        </w:trPr>
        <w:tc>
          <w:tcPr>
            <w:tcW w:type="dxa" w:w="3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de réseau au Sénégal</w:t>
            </w:r>
          </w:p>
        </w:tc>
        <w:tc>
          <w:tcPr>
            <w:tcW w:type="dxa" w:w="6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 entretiens de prospection en 2027-2028 qui constituent le réseau commercial ; recensement de 200 à 300 prospects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encore de relation bancaire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Ouverture d'un compte et premier rendez-vous bancaire dès 2028, avec ce business plan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Le concept : la location-entretien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Dans le modèle Elis, le client ne possède pas son linge : il paie un service récurrent qui inclut la mise à disposition du linge, sa collecte, son lavage, son contrôle, sa réparation et son remplacement. En 2025, Elis réalisait 4 796,8 M€ de chiffre d'affaires, avec une marge d'EBITDA ajusté de 35,4 % (sources : communiqué de résultats 2025, presse financière), dans 31 pays, au service d'environ 400 000 clients. Son activité en Amérique latine, marché émergent le plus comparable à Dakar, a progressé de 8,2 % en organique.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Les six enseignements retenus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Vendre une disponibilité de linge, pas un prix au kilo.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 métier demande beaucoup de capital : le linge est le premier poste d'investissement à terme.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rentabilité vient de la densité (tournées courtes, machines chargées).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contrats récurrents rendent le revenu prévisible.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maîtrise du linge (pertes, durée de vie, traçabilité) fait la marge.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À Dakar, la croissance sera organique : pas de croissance par rachats.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Adaptation à Dakar : une entrée progressive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Aucun acteur de location-entretien de type Elis n'a été identifié à Dakar ; le marché existant est celui du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lavage du linge appartenant au client</w:t>
      </w:r>
      <w:r>
        <w:rPr>
          <w:rFonts w:ascii="Arial" w:cs="Arial" w:eastAsia="Arial" w:hAnsi="Arial"/>
          <w:sz w:val="21"/>
          <w:szCs w:val="21"/>
        </w:rPr>
        <w:t xml:space="preserve">. Setal Pro démarre donc par ce service (Setal Entretien), qui remplit rapidement les machines sans immobiliser de capital dans du linge. Une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clause de remplacement</w:t>
      </w:r>
      <w:r>
        <w:rPr>
          <w:rFonts w:ascii="Arial" w:cs="Arial" w:eastAsia="Arial" w:hAnsi="Arial"/>
          <w:sz w:val="21"/>
          <w:szCs w:val="21"/>
        </w:rPr>
        <w:t xml:space="preserve"> fait ensuite basculer le client vers la location : chaque pièce usée est remplacée par une pièce Setal Pro louée. Le stock de linge en location se constitue ainsi au rythme des recettes.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Le marché dakarois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Les statistiques publiques sont rares et anciennes : la dernière capacité hôtelière publiée par l'ANSD date de 2018, et le ministre du Tourisme a lui-même déploré l'absence de données fiables en décembre 2025. Les ordres de grandeur ci-dessous seront remplacés par des données de terrain.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38"/>
        <w:gridCol w:w="2800"/>
      </w:tblGrid>
      <w:tr>
        <w:trPr>
          <w:tblHeader/>
        </w:trPr>
        <w:tc>
          <w:tcPr>
            <w:tcW w:type="dxa" w:w="19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49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 disponibles</w:t>
            </w:r>
          </w:p>
        </w:tc>
        <w:tc>
          <w:tcPr>
            <w:tcW w:type="dxa" w:w="28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estimé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Hôtels et résidences</w:t>
            </w:r>
          </w:p>
        </w:tc>
        <w:tc>
          <w:tcPr>
            <w:tcW w:type="dxa" w:w="4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18 350 chambres au Sénégal en 2018 (ANSD) ; 74 hôtels mobilisés pour les JOJ 2026 ; nouveaux hôtels aux Almadies et à Diamniadio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7 à 13 t/jour dans la région de Dakar (estimation)</w:t>
            </w:r>
          </w:p>
        </w:tc>
      </w:tr>
      <w:tr>
        <w:trPr>
          <w:tblHeader w:val="false"/>
        </w:trP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Cliniques privées</w:t>
            </w:r>
          </w:p>
        </w:tc>
        <w:tc>
          <w:tcPr>
            <w:tcW w:type="dxa" w:w="49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 à 200 au Sénégal, dont une centaine légalement constituées ; 10 des 12 hôpitaux de niveau 3 sont à Dakar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0,7 à 1,4 t/jour (estimation)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Restaurants</w:t>
            </w:r>
          </w:p>
        </w:tc>
        <w:tc>
          <w:tcPr>
            <w:tcW w:type="dxa" w:w="4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de décompte officiel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mesurer sur le terrain</w:t>
            </w:r>
          </w:p>
        </w:tc>
      </w:tr>
      <w:tr>
        <w:trPr>
          <w:tblHeader w:val="false"/>
        </w:trPr>
        <w:tc>
          <w:tcPr>
            <w:tcW w:type="dxa" w:w="1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Industrie, sécurité, BTP</w:t>
            </w:r>
          </w:p>
        </w:tc>
        <w:tc>
          <w:tcPr>
            <w:tcW w:type="dxa" w:w="49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Dakar = 51,7 % des emplois du pays (recensement des entreprises 2016)</w:t>
            </w:r>
          </w:p>
        </w:tc>
        <w:tc>
          <w:tcPr>
            <w:tcW w:type="dxa" w:w="2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Cible de la location de tenues à partir de l'année 2 ou 3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Concurrence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Blanchisseries qui lavent le linge des clients (IWASH, zone SODIDA ; Laverie Express), pressings, lavandières informelles et, surtout,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lavage interne</w:t>
      </w:r>
      <w:r>
        <w:rPr>
          <w:rFonts w:ascii="Arial" w:cs="Arial" w:eastAsia="Arial" w:hAnsi="Arial"/>
          <w:sz w:val="21"/>
          <w:szCs w:val="21"/>
        </w:rPr>
        <w:t xml:space="preserve"> chez les clients. Setal Pro se différencie par un niveau de service contractuel et mesuré, une hygiène documentée, la continuité malgré les coupures et, à terme, la location.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Cible prioritaire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Hôtels et résidences de 20 à 80 chambres, cliniques privées et restaurants haut de gamme, regroupés dans une même zone. Un portefeuille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15 à 25 clients</w:t>
      </w:r>
      <w:r>
        <w:rPr>
          <w:rFonts w:ascii="Arial" w:cs="Arial" w:eastAsia="Arial" w:hAnsi="Arial"/>
          <w:sz w:val="21"/>
          <w:szCs w:val="21"/>
        </w:rPr>
        <w:t xml:space="preserve">, aucun au-dessus de 20 % du volume, remplit l'atelier. La validation terrain couvrira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toute la région de Dakar</w:t>
      </w:r>
      <w:r>
        <w:rPr>
          <w:rFonts w:ascii="Arial" w:cs="Arial" w:eastAsia="Arial" w:hAnsi="Arial"/>
          <w:sz w:val="21"/>
          <w:szCs w:val="21"/>
        </w:rPr>
        <w:t xml:space="preserve"> (départements de Dakar, Pikine, Guédiawaye, Rufisque et Keur Massar) avant de choisir la zone d'implantation.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Offre, prix et contrats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900"/>
        <w:gridCol w:w="2338"/>
      </w:tblGrid>
      <w:tr>
        <w:trPr>
          <w:tblHeader/>
        </w:trPr>
        <w:tc>
          <w:tcPr>
            <w:tcW w:type="dxa" w:w="18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Formule</w:t>
            </w:r>
          </w:p>
        </w:tc>
        <w:tc>
          <w:tcPr>
            <w:tcW w:type="dxa" w:w="26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Principe</w:t>
            </w:r>
          </w:p>
        </w:tc>
        <w:tc>
          <w:tcPr>
            <w:tcW w:type="dxa" w:w="29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Facturation</w:t>
            </w:r>
          </w:p>
        </w:tc>
        <w:tc>
          <w:tcPr>
            <w:tcW w:type="dxa" w:w="23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Lancement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Setal Entretien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linge du client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 kg ou à la pièce, minimum mensuel</w:t>
            </w:r>
          </w:p>
        </w:tc>
        <w:tc>
          <w:tcPr>
            <w:tcW w:type="dxa" w:w="2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Année 1</w:t>
            </w:r>
          </w:p>
        </w:tc>
      </w:tr>
      <w:tr>
        <w:trPr>
          <w:tblHeader w:val="false"/>
        </w:trPr>
        <w:tc>
          <w:tcPr>
            <w:tcW w:type="dxa" w:w="18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Setal Location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linge appartient à Setal Pro</w:t>
            </w:r>
          </w:p>
        </w:tc>
        <w:tc>
          <w:tcPr>
            <w:tcW w:type="dxa" w:w="29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la pièce livrée ou à la nuitée</w:t>
            </w:r>
          </w:p>
        </w:tc>
        <w:tc>
          <w:tcPr>
            <w:tcW w:type="dxa" w:w="23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Année 1, par la clause de remplacement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Setal Tenues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Vêtements de travail nominatifs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Forfait par porteur et par semaine</w:t>
            </w:r>
          </w:p>
        </w:tc>
        <w:tc>
          <w:tcPr>
            <w:tcW w:type="dxa" w:w="2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Année 2 ou 3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Engagements de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Passages à jours et créneaux fixes ; linge rendu le lendemain de la collecte (J+1).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≥ 98 % des pièces livrées à l'heure ; ≤ 2 % de défauts ; réponse aux réclamations sous 24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Rapport mensuel au client ; avoir automatique si un engagement n'est pas tenu.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Prix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Le prix se situera entre un plancher (le coût complet de Setal Pro) et un plafond (ce que le client paie aujourd'hui ou ce que lui coûte réellement son lavage interne).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Aucun prix professionnel n'est publié à Dakar</w:t>
      </w:r>
      <w:r>
        <w:rPr>
          <w:rFonts w:ascii="Arial" w:cs="Arial" w:eastAsia="Arial" w:hAnsi="Arial"/>
          <w:sz w:val="21"/>
          <w:szCs w:val="21"/>
        </w:rPr>
        <w:t xml:space="preserve"> : le scénario central retient 700 FCFA/kg pour l'entretien et 1 100 FCFA/kg équivalent pour la location (hypothèses). Le relevé des prix réels est la priorité n°1 de la validation terrain.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Contrat type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Durée de 12 mois renouvelable, avec 1 mois d'essai ; paiement à 30 jours ; révision annuelle des prix indexée sur l'énergie, l'eau et le salaire minimum ; le linge loué reste la propriété de Setal Pro ; taux de perte toléré, au-delà duquel les pièces manquantes sont facturées.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Organisation opérationnelle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76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Dispositif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  <w:tc>
          <w:tcPr>
            <w:tcW w:type="dxa" w:w="7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 → réception et pesée → tri → lavage → séchage → repassage ou pliage → contrôle → conditionnement → livraison ; marche en avant entre une zone « sale » et une zone « propre »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Équipements</w:t>
            </w:r>
          </w:p>
        </w:tc>
        <w:tc>
          <w:tcPr>
            <w:tcW w:type="dxa" w:w="7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laveuses-essoreuses (25, 20 et 12 kg ; la plus petite dédiée au linge contaminé), séchoirs au gaz, calandre-sécheuse de 2,5 m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Capacité</w:t>
            </w:r>
          </w:p>
        </w:tc>
        <w:tc>
          <w:tcPr>
            <w:tcW w:type="dxa" w:w="7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300 kg/jour en 1 équipe, ≈ 600 kg/jour en 2 équipes ; le lavage est le goulot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Continuité</w:t>
            </w:r>
          </w:p>
        </w:tc>
        <w:tc>
          <w:tcPr>
            <w:tcW w:type="dxa" w:w="7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Groupe électrogène ≈ 60 kVA, cuve d'eau de 10 m³ (≈ 3 jours), stock tampon chez les clients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7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Prétraitement des eaux (dégrillage, décantation, neutralisation) ; lessives sans phosphates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7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 à 250 m² en zone d'activités, en triphasé, raccordé à l'eau et à l'assainissement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Logistique</w:t>
            </w:r>
          </w:p>
        </w:tc>
        <w:tc>
          <w:tcPr>
            <w:tcW w:type="dxa" w:w="7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fourgon, 2 tournées par jour ; 2e véhicule au-delà d'environ 400 kg/jour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Traçabilité</w:t>
            </w:r>
          </w:p>
        </w:tc>
        <w:tc>
          <w:tcPr>
            <w:tcW w:type="dxa" w:w="7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Marquage et comptage contradictoire au départ ; puces RFID quand le parc loué dépasse ≈ 5 000 pièces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Personnel</w:t>
            </w:r>
          </w:p>
        </w:tc>
        <w:tc>
          <w:tcPr>
            <w:tcW w:type="dxa" w:w="7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salariés au démarrage, 6 en croisière (chef d'atelier, opérateurs, chauffeur-livreur), + 4 en 2e équipe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7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Lean : 5S, standards visuels, détrompeurs, maintenance productive (TPM), lissage des collectes, tableau d'indicateurs quotidien, PDCA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Indicateurs pilotés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Taux de charge (70 à 85 %), ponctualité (≥ 98 %), reprises (≤ 2 %), pertes (≤ 0,5 %), consommations par kg (≤ 0,6 kWh, ≤ 10 L), productivité (≥ 50 kg par salarié et par jour), délai de paiement des clients (≤ 45 jours).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 Cadre juridique et administratif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tblHeader/>
        </w:trPr>
        <w:tc>
          <w:tcPr>
            <w:tcW w:type="dxa" w:w="22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48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Choix ou règle</w:t>
            </w:r>
          </w:p>
        </w:tc>
        <w:tc>
          <w:tcPr>
            <w:tcW w:type="dxa" w:w="26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Forme juridique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SARL à associé unique (SUARL), capital ≈ 1 M FCFA, complété par un compte courant d'associé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Recommandation, à valider avec un notaire</w:t>
            </w:r>
          </w:p>
        </w:tc>
      </w:tr>
      <w:tr>
        <w:trPr>
          <w:tblHeader w:val="false"/>
        </w:trP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Création</w:t>
            </w:r>
          </w:p>
        </w:tc>
        <w:tc>
          <w:tcPr>
            <w:tcW w:type="dxa" w:w="48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Guichet unique de l'APIX (RCCM, NINEA) au début de 2030, et non plus tôt (impôt minimum dû même sans activité)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vérifier : frais et délais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Fiscalité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 30 % ; impôt minimum forfaitaire de 0,5 % du CA (plancher 500 000 FCFA) ; TVA 18 % ; CFCE 3 % des salaires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CGI 2012 ; à vérifier dans le CGI réformé en 2025</w:t>
            </w:r>
          </w:p>
        </w:tc>
      </w:tr>
      <w:tr>
        <w:trPr>
          <w:tblHeader w:val="false"/>
        </w:trP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des investissements 2025</w:t>
            </w:r>
          </w:p>
        </w:tc>
        <w:tc>
          <w:tcPr>
            <w:tcW w:type="dxa" w:w="48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Suspension de la TVA et exonération des droits de douane sur les matériels pendant la phase d'investissement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vérifier : seuil et éligibilité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de l'environnement 2023 (installations classées) ; norme NS 05-061 (rejets d'eaux usées)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Classement à confirmer auprès de la DEEC</w:t>
            </w:r>
          </w:p>
        </w:tc>
      </w:tr>
      <w:tr>
        <w:trPr>
          <w:tblHeader w:val="false"/>
        </w:trPr>
        <w:tc>
          <w:tcPr>
            <w:tcW w:type="dxa" w:w="22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Social</w:t>
            </w:r>
          </w:p>
        </w:tc>
        <w:tc>
          <w:tcPr>
            <w:tcW w:type="dxa" w:w="48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du travail (loi 97-17) ; charges patronales ≈ 22 % du brut (taux CLEISS 2026 + CFCE)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Convention collective à vérifier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Assurances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RC automobile obligatoire ; RC professionnelle et multirisque recommandées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Devis en 2028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 Prévisions financières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Source : modèle financier Excel (60 mois, 3 scénarios, toutes valeurs calculées par formules). Les montants sont en FCFA hors taxes. Le tableau présente 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scénario central</w:t>
      </w:r>
      <w:r>
        <w:rPr>
          <w:rFonts w:ascii="Arial" w:cs="Arial" w:eastAsia="Arial" w:hAnsi="Arial"/>
          <w:sz w:val="21"/>
          <w:szCs w:val="21"/>
        </w:rPr>
        <w:t xml:space="preserve"> avec la version d'investissement frugale.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30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 FCFA</w:t>
            </w:r>
          </w:p>
        </w:tc>
        <w:tc>
          <w:tcPr>
            <w:tcW w:type="dxa" w:w="132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 1</w:t>
            </w:r>
          </w:p>
        </w:tc>
        <w:tc>
          <w:tcPr>
            <w:tcW w:type="dxa" w:w="132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 2</w:t>
            </w:r>
          </w:p>
        </w:tc>
        <w:tc>
          <w:tcPr>
            <w:tcW w:type="dxa" w:w="132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 3</w:t>
            </w:r>
          </w:p>
        </w:tc>
        <w:tc>
          <w:tcPr>
            <w:tcW w:type="dxa" w:w="132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 4</w:t>
            </w:r>
          </w:p>
        </w:tc>
        <w:tc>
          <w:tcPr>
            <w:tcW w:type="dxa" w:w="132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 5</w:t>
            </w:r>
          </w:p>
        </w:tc>
      </w:tr>
      <w:tr>
        <w:trPr>
          <w:tblHeader w:val="false"/>
        </w:trPr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moyen (kg/jour)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290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352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423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483</w:t>
            </w:r>
          </w:p>
        </w:tc>
      </w:tr>
      <w:tr>
        <w:trPr>
          <w:tblHeader w:val="false"/>
        </w:trPr>
        <w:tc>
          <w:tcPr>
            <w:tcW w:type="dxa" w:w="30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Chiffre d'affaires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31,3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70,2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90,8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115,6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135,5</w:t>
            </w:r>
          </w:p>
        </w:tc>
      </w:tr>
      <w:tr>
        <w:trPr>
          <w:tblHeader w:val="false"/>
        </w:trPr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EBE (EBITDA)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-7,9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19,4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30,5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40,1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54,0</w:t>
            </w:r>
          </w:p>
        </w:tc>
      </w:tr>
      <w:tr>
        <w:trPr>
          <w:tblHeader w:val="false"/>
        </w:trPr>
        <w:tc>
          <w:tcPr>
            <w:tcW w:type="dxa" w:w="30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 d'EBE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-25 %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28 %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34 %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35 %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40 %</w:t>
            </w:r>
          </w:p>
        </w:tc>
      </w:tr>
      <w:tr>
        <w:trPr>
          <w:tblHeader w:val="false"/>
        </w:trPr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Résultat net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-15,5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11,8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17,2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22,9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32,5</w:t>
            </w:r>
          </w:p>
        </w:tc>
      </w:tr>
      <w:tr>
        <w:trPr>
          <w:tblHeader w:val="false"/>
        </w:trPr>
        <w:tc>
          <w:tcPr>
            <w:tcW w:type="dxa" w:w="30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Trésorerie de fin d'année (après apport)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-35,7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-21,6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3,8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26,6</w:t>
            </w:r>
          </w:p>
        </w:tc>
        <w:tc>
          <w:tcPr>
            <w:tcW w:type="dxa" w:w="13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68,1</w:t>
            </w:r>
          </w:p>
        </w:tc>
      </w:tr>
      <w:tr>
        <w:trPr>
          <w:tblHeader w:val="false"/>
        </w:trPr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mort (kg/jour)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214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Comparaison des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rPr>
          <w:tblHeader/>
        </w:trPr>
        <w:tc>
          <w:tcPr>
            <w:tcW w:type="dxa" w:w="36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Pessimiste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Optimiste</w:t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Prix d'entretien (FCFA/kg)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850</w:t>
            </w:r>
          </w:p>
        </w:tc>
      </w:tr>
      <w:tr>
        <w:trPr>
          <w:tblHeader w:val="false"/>
        </w:trPr>
        <w:tc>
          <w:tcPr>
            <w:tcW w:type="dxa" w:w="3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en fin de montée en charge (kg/jour)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320</w:t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 de l'année 3 (M FCFA)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42,1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90,8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157,9</w:t>
            </w:r>
          </w:p>
        </w:tc>
      </w:tr>
      <w:tr>
        <w:trPr>
          <w:tblHeader w:val="false"/>
        </w:trPr>
        <w:tc>
          <w:tcPr>
            <w:tcW w:type="dxa" w:w="3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EBE de l'année 3 (M FCFA)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-12,6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30,5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93,2</w:t>
            </w:r>
          </w:p>
        </w:tc>
      </w:tr>
      <w:tr>
        <w:trPr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Premier mois d'EBE positif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jamais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06/2031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11/2030</w:t>
            </w:r>
          </w:p>
        </w:tc>
      </w:tr>
      <w:tr>
        <w:trPr>
          <w:tblHeader w:val="false"/>
        </w:trPr>
        <w:tc>
          <w:tcPr>
            <w:tcW w:type="dxa" w:w="3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Besoin de financement (M FCFA)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145,2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60,4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48,6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Lecture :</w:t>
      </w:r>
      <w:r>
        <w:rPr>
          <w:rFonts w:ascii="Arial" w:cs="Arial" w:eastAsia="Arial" w:hAnsi="Arial"/>
          <w:sz w:val="21"/>
          <w:szCs w:val="21"/>
        </w:rPr>
        <w:t xml:space="preserve"> le prix au kg est la variable déterminante. À 550 FCFA/kg, le point mort monte à environ 235-250 kg/jour dans le scénario central, et le scénario pessimiste, qui cumule prix bas, volumes faibles et coûts élevés, n'est pas viable. C'est pourquoi le lancement est conditionné à un prix observé supérieur d'au moins 15 % au prix minimum (critère G3 du go / no-go). Le scénario optimiste (marge d'EBE supérieure à 60 %) est une borne haute, pas un objectif.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 Plan de financement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9"/>
        <w:gridCol w:w="1300"/>
        <w:gridCol w:w="3519"/>
        <w:gridCol w:w="1300"/>
      </w:tblGrid>
      <w:tr>
        <w:trPr>
          <w:tblHeader/>
        </w:trPr>
        <w:tc>
          <w:tcPr>
            <w:tcW w:type="dxa" w:w="3519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Besoins (scénario central, M FCFA)</w:t>
            </w:r>
          </w:p>
        </w:tc>
        <w:tc>
          <w:tcPr>
            <w:tcW w:type="dxa" w:w="13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3519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Ressources (M FCFA)</w:t>
            </w:r>
          </w:p>
        </w:tc>
        <w:tc>
          <w:tcPr>
            <w:tcW w:type="dxa" w:w="13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</w:tr>
      <w:tr>
        <w:trPr>
          <w:tblHeader w:val="false"/>
        </w:trPr>
        <w:tc>
          <w:tcPr>
            <w:tcW w:type="dxa" w:w="35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Investissements (version frugale)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46,5</w:t>
            </w:r>
          </w:p>
        </w:tc>
        <w:tc>
          <w:tcPr>
            <w:tcW w:type="dxa" w:w="35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Apport personnel du porteur (épargne mobilisable)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24,4</w:t>
            </w:r>
          </w:p>
        </w:tc>
      </w:tr>
      <w:tr>
        <w:trPr>
          <w:tblHeader w:val="false"/>
        </w:trPr>
        <w:tc>
          <w:tcPr>
            <w:tcW w:type="dxa" w:w="351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Frais avant ouverture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</w:t>
            </w:r>
          </w:p>
        </w:tc>
        <w:tc>
          <w:tcPr>
            <w:tcW w:type="dxa" w:w="351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Financement complémentaire à mobiliser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43,3</w:t>
            </w:r>
          </w:p>
        </w:tc>
      </w:tr>
      <w:tr>
        <w:trPr>
          <w:tblHeader w:val="false"/>
        </w:trPr>
        <w:tc>
          <w:tcPr>
            <w:tcW w:type="dxa" w:w="35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Pertes de démarrage, BFR et linge (jusqu'au creux de trésorerie)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11,0</w:t>
            </w:r>
          </w:p>
        </w:tc>
        <w:tc>
          <w:tcPr>
            <w:tcW w:type="dxa" w:w="35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51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Coussin de sécurité (3 mois de charges fixes)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</w:t>
            </w:r>
          </w:p>
        </w:tc>
        <w:tc>
          <w:tcPr>
            <w:tcW w:type="dxa" w:w="351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35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67,7</w:t>
            </w:r>
          </w:p>
        </w:tc>
        <w:tc>
          <w:tcPr>
            <w:tcW w:type="dxa" w:w="35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67,7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Épargne du porteur :</w:t>
      </w:r>
      <w:r>
        <w:rPr>
          <w:rFonts w:ascii="Arial" w:cs="Arial" w:eastAsia="Arial" w:hAnsi="Arial"/>
          <w:sz w:val="21"/>
          <w:szCs w:val="21"/>
        </w:rPr>
        <w:t xml:space="preserve"> 10 M FCFA aujourd'hui, plus 500 € puis 1 000 € par mois jusqu'en 2030, moins les voyages de validation et le déménagement, et moins une réserve personnelle de 12 mois. Il reste environ 24,4 M FCFA mobilisables à l'ouverture.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Pistes pour le financement complémentaire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Crédit-bail sur les machines et le véhicule (10 à 20 M FCFA).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Prêt bancaire adossé à un fonds de garantie (FONGIP, dispositifs pour la diaspora : à vérifier) une fois les lettres d'intention obtenues.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Apports familiaux en compte courant d'associé, cohérents avec l'ambition d'entreprise familiale.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Réduction du BFR (dépôt de garantie sur le linge loué, paiement à 30 jours) et investissement encore plus frugal.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Dans le scénario central, la société génère de la trésorerie dès l'année 2 et peut commencer à rembourser un prêt ou le compte courant d'associé à partir de l'année 3.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 Risques et parades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638"/>
      </w:tblGrid>
      <w:tr>
        <w:trPr>
          <w:tblHeader/>
        </w:trPr>
        <w:tc>
          <w:tcPr>
            <w:tcW w:type="dxa" w:w="27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3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Criticité</w:t>
            </w:r>
          </w:p>
        </w:tc>
        <w:tc>
          <w:tcPr>
            <w:tcW w:type="dxa" w:w="56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Parade principale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Financement insuffisant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Investissement frugal, crédit-bail, prêt garanti, apports familiaux ; pas de démarrage sous-financé</w:t>
            </w:r>
          </w:p>
        </w:tc>
      </w:tr>
      <w:tr>
        <w:trPr>
          <w:tblHeader w:val="false"/>
        </w:trPr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Prix du marché trop bas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5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Relevé des prix avant d'investir ; positionnement sur la valeur ; NO-GO sous le prix minimum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Montée en charge lente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Lettres d'intention avant l'investissement ; mois d'essai ; 3 segments</w:t>
            </w:r>
          </w:p>
        </w:tc>
      </w:tr>
      <w:tr>
        <w:trPr>
          <w:tblHeader w:val="false"/>
        </w:trPr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Manque d'expérience et de réseau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5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Formation, expert-comptable, conseil informel ; réseau construit par 60 entretiens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Coupures d'eau et d'électricité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Groupe électrogène, cuve, stock tampon chez les clients</w:t>
            </w:r>
          </w:p>
        </w:tc>
      </w:tr>
      <w:tr>
        <w:trPr>
          <w:tblHeader w:val="false"/>
        </w:trPr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Obstacle environnemental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DEEC et ONAS consultées dès 2027 ; prétraitement des eaux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Pannes et pièces détachées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tailles de machines, stock de pièces, maintenance productive</w:t>
            </w:r>
          </w:p>
        </w:tc>
      </w:tr>
      <w:tr>
        <w:trPr>
          <w:tblHeader w:val="false"/>
        </w:trPr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Dépendance au dirigeant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Chef d'atelier formé ; procédures écrites ; assurance de personne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 Calendrier 2026-2030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938"/>
      </w:tblGrid>
      <w:tr>
        <w:trPr>
          <w:tblHeader/>
        </w:trPr>
        <w:tc>
          <w:tcPr>
            <w:tcW w:type="dxa" w:w="20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27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493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T4 2026 – T1 2027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Préparation depuis Lyon</w:t>
            </w:r>
          </w:p>
        </w:tc>
        <w:tc>
          <w:tcPr>
            <w:tcW w:type="dxa" w:w="4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à 300 prospects recensés ; 10 à 15 entretiens à distance ; premiers prix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 2027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Voyage 1 : exploration</w:t>
            </w:r>
          </w:p>
        </w:tc>
        <w:tc>
          <w:tcPr>
            <w:tcW w:type="dxa" w:w="49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 à 40 entretiens ; APIX, DEEC, ONAS ; locaux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Fév. 2028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Voyage 2 : confirmation</w:t>
            </w:r>
          </w:p>
        </w:tc>
        <w:tc>
          <w:tcPr>
            <w:tcW w:type="dxa" w:w="4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6 lettres d'intention (≥ 300 kg/jour) ; banque ; devis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Mars 2028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Décision GO / NO-GO</w:t>
            </w:r>
          </w:p>
        </w:tc>
        <w:tc>
          <w:tcPr>
            <w:tcW w:type="dxa" w:w="49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Grille de 8 critères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 2028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Financement bouclé</w:t>
            </w:r>
          </w:p>
        </w:tc>
        <w:tc>
          <w:tcPr>
            <w:tcW w:type="dxa" w:w="4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Écart de financement ramené à zéro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Mars 2030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Voyage 3 : création</w:t>
            </w:r>
          </w:p>
        </w:tc>
        <w:tc>
          <w:tcPr>
            <w:tcW w:type="dxa" w:w="49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SUARL, agrément, bail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Juin – sept. 2030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4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Travaux, machines, recrutement, essais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2030</w:t>
            </w:r>
          </w:p>
        </w:tc>
        <w:tc>
          <w:tcPr>
            <w:tcW w:type="dxa" w:w="270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Ouverture</w:t>
            </w:r>
          </w:p>
        </w:tc>
        <w:tc>
          <w:tcPr>
            <w:tcW w:type="dxa" w:w="49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Premiers contrats ; EBE positif visé vers juin 2031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Annexe — Méthode, hypothèses et sources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Le dossier de travail complet (10 documents, plus le modèle Excel et les outils de terrain) distingue systématiquement les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faits sourcés</w:t>
      </w:r>
      <w:r>
        <w:rPr>
          <w:rFonts w:ascii="Arial" w:cs="Arial" w:eastAsia="Arial" w:hAnsi="Arial"/>
          <w:sz w:val="21"/>
          <w:szCs w:val="21"/>
        </w:rPr>
        <w:t xml:space="preserve">, les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hypothèses</w:t>
      </w:r>
      <w:r>
        <w:rPr>
          <w:rFonts w:ascii="Arial" w:cs="Arial" w:eastAsia="Arial" w:hAnsi="Arial"/>
          <w:sz w:val="21"/>
          <w:szCs w:val="21"/>
        </w:rPr>
        <w:t xml:space="preserve"> et les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estimations</w:t>
      </w:r>
      <w:r>
        <w:rPr>
          <w:rFonts w:ascii="Arial" w:cs="Arial" w:eastAsia="Arial" w:hAnsi="Arial"/>
          <w:sz w:val="21"/>
          <w:szCs w:val="21"/>
        </w:rPr>
        <w:t xml:space="preserve">, et signale par « À VÉRIFIER » toute règle sénégalaise non confirmée par une source officielle.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Principales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Elis : résultats annuels 2025 (repris par la presse financière), factsheets 2026, document d'enregistrement universel 2022.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ANSD : Situation économique et sociale (tourisme 2017-2018), enquête sur l'offre touristique 2015-2016, recensement général des entreprises 2016.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CRSE : grilles tarifaires de la Senelec au 1er janvier 2026 (professionnel basse tension, 3e tranche : 208,63 FCFA/kWh hors taxes).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CLEISS : taux des cotisations sociales au Sénégal au 1er janvier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Code général des impôts (loi 2012-31) ; loi 2025-16 portant Code des investissements ; loi 2023-15 portant Code de l'environnement ; norme NS 05-061 ; loi 97-17 portant Code du travail.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Association des cliniques privées du Sénégal (2026) ; presse sénégalaise (JOJ 2026, coupures d'électricité 2026).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Hypothèses à confirmer en priorité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Prix professionnels au kg et à la pièce à Dakar.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Volumes réels de linge par chambre et par 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Loyers des locaux d'activité ; tarif de l'eau non domestique ; prix du gaz professionnel.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Classement environnemental d'une blanchisserie ; éligibilité au Code des investissements.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Salaires du marché et convention collective applicable.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Setal Pro — Business plan préliminaire —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Setal Pro — Business plan</dc:title>
  <dc:creator>Ahmadou Bamba Diop</dc:creator>
  <cp:lastModifiedBy>Un-named</cp:lastModifiedBy>
  <cp:revision>1</cp:revision>
  <dcterms:created xsi:type="dcterms:W3CDTF">2026-10-10T11:15:09.057Z</dcterms:created>
  <dcterms:modified xsi:type="dcterms:W3CDTF">2026-10-10T11:15:09.057Z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