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2A71" w:rsidRDefault="00000000">
      <w:pPr>
        <w:pStyle w:val="Heading1"/>
      </w:pPr>
      <w:r>
        <w:rPr>
          <w:color w:val="1A1A1A"/>
        </w:rPr>
        <w:t>Travel Industry Trends 2026: Top Destinations &amp; What Agents Should Know</w:t>
      </w:r>
    </w:p>
    <w:p w:rsidR="00D02A71" w:rsidRDefault="00000000">
      <w:pPr>
        <w:shd w:val="clear" w:color="auto" w:fill="FEF0EE"/>
        <w:spacing w:after="240"/>
      </w:pPr>
      <w:r>
        <w:rPr>
          <w:b/>
          <w:bCs/>
          <w:color w:val="E8604C"/>
          <w:sz w:val="20"/>
          <w:szCs w:val="20"/>
        </w:rPr>
        <w:t xml:space="preserve">Category: </w:t>
      </w:r>
      <w:r>
        <w:rPr>
          <w:color w:val="666666"/>
          <w:sz w:val="20"/>
          <w:szCs w:val="20"/>
        </w:rPr>
        <w:t xml:space="preserve">Industry Trends  |  </w:t>
      </w:r>
      <w:r>
        <w:rPr>
          <w:b/>
          <w:bCs/>
          <w:color w:val="E8604C"/>
          <w:sz w:val="20"/>
          <w:szCs w:val="20"/>
        </w:rPr>
        <w:t xml:space="preserve">Reading time: </w:t>
      </w:r>
      <w:r>
        <w:rPr>
          <w:color w:val="666666"/>
          <w:sz w:val="20"/>
          <w:szCs w:val="20"/>
        </w:rPr>
        <w:t xml:space="preserve">7 min  |  </w:t>
      </w:r>
      <w:r>
        <w:rPr>
          <w:b/>
          <w:bCs/>
          <w:color w:val="E8604C"/>
          <w:sz w:val="20"/>
          <w:szCs w:val="20"/>
        </w:rPr>
        <w:t xml:space="preserve">SEO Keywords: </w:t>
      </w:r>
      <w:r>
        <w:rPr>
          <w:color w:val="666666"/>
          <w:sz w:val="20"/>
          <w:szCs w:val="20"/>
        </w:rPr>
        <w:t>travel trends 2026, popular destinations 2026, travel industry forecast</w:t>
      </w:r>
    </w:p>
    <w:p w:rsidR="00D02A71" w:rsidRDefault="00000000">
      <w:pPr>
        <w:shd w:val="clear" w:color="auto" w:fill="F5F5F0"/>
        <w:spacing w:before="200" w:after="100"/>
      </w:pPr>
      <w:r>
        <w:rPr>
          <w:i/>
          <w:iCs/>
          <w:color w:val="999999"/>
          <w:sz w:val="18"/>
          <w:szCs w:val="18"/>
        </w:rPr>
        <w:t>[IMAGE: https://images.unsplash.com/photo-1476514525535-07fb3b4ae5f1?w=1200]</w:t>
      </w:r>
    </w:p>
    <w:p w:rsidR="00D02A71" w:rsidRDefault="00000000">
      <w:pPr>
        <w:spacing w:after="160"/>
      </w:pPr>
      <w:r>
        <w:rPr>
          <w:color w:val="333333"/>
        </w:rPr>
        <w:t>2026 is shaping up to be a record year for global tourism. Post-pandemic revenge travel has matured into sustained demand, but client preferences have shifted. Here are the trends smart agencies are capitalizing on.</w:t>
      </w:r>
    </w:p>
    <w:p w:rsidR="00D02A71" w:rsidRDefault="00000000">
      <w:pPr>
        <w:pStyle w:val="Heading2"/>
      </w:pPr>
      <w:r>
        <w:rPr>
          <w:color w:val="1A1A1A"/>
        </w:rPr>
        <w:t>The Big Picture</w:t>
      </w:r>
    </w:p>
    <w:p w:rsidR="00D02A71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1.5B </w:t>
      </w:r>
      <w:r>
        <w:rPr>
          <w:color w:val="666666"/>
        </w:rPr>
        <w:t>international tourist arrivals expected in 2026 (UNWTO)</w:t>
      </w:r>
    </w:p>
    <w:p w:rsidR="00D02A71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+12% </w:t>
      </w:r>
      <w:r>
        <w:rPr>
          <w:color w:val="666666"/>
        </w:rPr>
        <w:t>growth in B2B travel bookings year-over-year</w:t>
      </w:r>
    </w:p>
    <w:p w:rsidR="00D02A71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$9.9T </w:t>
      </w:r>
      <w:r>
        <w:rPr>
          <w:color w:val="666666"/>
        </w:rPr>
        <w:t>global travel &amp; tourism GDP contribution</w:t>
      </w:r>
    </w:p>
    <w:p w:rsidR="00D02A71" w:rsidRDefault="00000000">
      <w:pPr>
        <w:pStyle w:val="Heading2"/>
      </w:pPr>
      <w:r>
        <w:rPr>
          <w:color w:val="1A1A1A"/>
        </w:rPr>
        <w:t>Trend 1: Experience Over Accommodation</w:t>
      </w:r>
    </w:p>
    <w:p w:rsidR="00D02A71" w:rsidRDefault="00000000">
      <w:pPr>
        <w:spacing w:after="160"/>
      </w:pPr>
      <w:r>
        <w:rPr>
          <w:color w:val="333333"/>
        </w:rPr>
        <w:t>Clients are spending less percentage on hotels and more on experiences. Cooking classes, cultural immersions, adventure activities, and local encounters now make up 35-40% of trip budgets (up from 20% in 2019). This is great news for agents working with DMCs — excursions carry higher margins than hotel bookings.</w:t>
      </w:r>
    </w:p>
    <w:p w:rsidR="00D02A71" w:rsidRDefault="00000000">
      <w:pPr>
        <w:pStyle w:val="Heading2"/>
      </w:pPr>
      <w:r>
        <w:rPr>
          <w:color w:val="1A1A1A"/>
        </w:rPr>
        <w:t>Trend 2: Multi-Destination Trips</w:t>
      </w:r>
    </w:p>
    <w:p w:rsidR="00D02A71" w:rsidRDefault="00000000">
      <w:pPr>
        <w:shd w:val="clear" w:color="auto" w:fill="F5F5F0"/>
        <w:spacing w:before="200" w:after="100"/>
      </w:pPr>
      <w:r>
        <w:rPr>
          <w:i/>
          <w:iCs/>
          <w:color w:val="999999"/>
          <w:sz w:val="18"/>
          <w:szCs w:val="18"/>
        </w:rPr>
        <w:t>[IMAGE: https://images.unsplash.com/photo-1530789253388-582c481c54b0?w=1200]</w:t>
      </w:r>
    </w:p>
    <w:p w:rsidR="00D02A71" w:rsidRDefault="00000000">
      <w:pPr>
        <w:spacing w:after="160"/>
      </w:pPr>
      <w:r>
        <w:rPr>
          <w:color w:val="333333"/>
        </w:rPr>
        <w:t>Single-destination trips are declining. Clients want 'country combos': Dubai + Maldives, Thailand + Vietnam, Istanbul + Cappadocia + Greece. This plays perfectly into DMC partnerships — a global DMC can package multiple countries through one contract.</w:t>
      </w:r>
    </w:p>
    <w:p w:rsidR="00D02A71" w:rsidRDefault="00000000">
      <w:pPr>
        <w:spacing w:after="80"/>
      </w:pPr>
      <w:r>
        <w:rPr>
          <w:b/>
          <w:bCs/>
          <w:color w:val="E8604C"/>
          <w:sz w:val="28"/>
          <w:szCs w:val="28"/>
        </w:rPr>
        <w:t xml:space="preserve">47% </w:t>
      </w:r>
      <w:r>
        <w:rPr>
          <w:color w:val="666666"/>
        </w:rPr>
        <w:t>of luxury travelers book multi-destination trips (Virtuoso 2025)</w:t>
      </w:r>
    </w:p>
    <w:p w:rsidR="00D02A71" w:rsidRDefault="00000000">
      <w:pPr>
        <w:pStyle w:val="Heading2"/>
      </w:pPr>
      <w:r>
        <w:rPr>
          <w:color w:val="1A1A1A"/>
        </w:rPr>
        <w:t>Trend 3: Wellness &amp; Regenerative Travel</w:t>
      </w:r>
    </w:p>
    <w:p w:rsidR="00D02A71" w:rsidRDefault="00000000">
      <w:pPr>
        <w:spacing w:after="160"/>
      </w:pPr>
      <w:r>
        <w:rPr>
          <w:color w:val="333333"/>
        </w:rPr>
        <w:t>Beyond spa days — clients want yoga retreats in Bali, meditation in Japan, thermal baths in Turkey, and digital detox in the Maldives. Wellness tourism grows at 2x the rate of general tourism. High-margin, low-complaint segment.</w:t>
      </w:r>
    </w:p>
    <w:p w:rsidR="00D02A71" w:rsidRDefault="00000000">
      <w:pPr>
        <w:pStyle w:val="Heading2"/>
      </w:pPr>
      <w:r>
        <w:rPr>
          <w:color w:val="1A1A1A"/>
        </w:rPr>
        <w:t>Trend 4: Sustainable &amp; Responsible Tourism</w:t>
      </w:r>
    </w:p>
    <w:p w:rsidR="00D02A71" w:rsidRDefault="00000000">
      <w:pPr>
        <w:spacing w:after="160"/>
      </w:pPr>
      <w:r>
        <w:rPr>
          <w:color w:val="333333"/>
        </w:rPr>
        <w:t>60% of travelers say sustainability influences their choices. Agents who can offer eco-certified hotels, carbon-offset excursions, and community-based tourism will win client loyalty. Ask your DMC about their sustainability credentials.</w:t>
      </w:r>
    </w:p>
    <w:p w:rsidR="00D02A71" w:rsidRDefault="00000000">
      <w:pPr>
        <w:pStyle w:val="Heading2"/>
      </w:pPr>
      <w:r>
        <w:rPr>
          <w:color w:val="1A1A1A"/>
        </w:rPr>
        <w:lastRenderedPageBreak/>
        <w:t>Trend 5: AI-Assisted Planning, Human-Delivered Service</w:t>
      </w:r>
    </w:p>
    <w:p w:rsidR="00D02A71" w:rsidRDefault="00000000">
      <w:pPr>
        <w:spacing w:after="160"/>
      </w:pPr>
      <w:r>
        <w:rPr>
          <w:color w:val="333333"/>
        </w:rPr>
        <w:t>Clients use ChatGPT to research destinations but still book through agents for complex trips. The opportunity: use AI to speed up your research, let your DMC handle operations, and focus your human touch on relationship and trust.</w:t>
      </w:r>
    </w:p>
    <w:p w:rsidR="00D02A71" w:rsidRDefault="00000000">
      <w:pPr>
        <w:pStyle w:val="Heading2"/>
      </w:pPr>
      <w:r>
        <w:rPr>
          <w:color w:val="1A1A1A"/>
        </w:rPr>
        <w:t>Top Destinations to Watch</w:t>
      </w:r>
    </w:p>
    <w:p w:rsidR="00D02A71" w:rsidRDefault="00000000">
      <w:pPr>
        <w:spacing w:after="160"/>
      </w:pPr>
      <w:r>
        <w:rPr>
          <w:color w:val="333333"/>
        </w:rPr>
        <w:t>Rising fast: Vietnam (+28% YoY), Japan (+35% post-covid recovery), Saudi Arabia (new tourism push). Steady performers: UAE, Turkey, Maldives, Thailand. Emerging: Oman, Georgia, Uzbekistan.</w:t>
      </w:r>
    </w:p>
    <w:p w:rsidR="00D02A71" w:rsidRDefault="00000000">
      <w:pPr>
        <w:pStyle w:val="Heading2"/>
      </w:pPr>
      <w:r>
        <w:rPr>
          <w:color w:val="1A1A1A"/>
        </w:rPr>
        <w:t>What This Means for Your Agency</w:t>
      </w:r>
    </w:p>
    <w:p w:rsidR="00D02A71" w:rsidRDefault="00000000">
      <w:pPr>
        <w:spacing w:after="160"/>
      </w:pPr>
      <w:r>
        <w:rPr>
          <w:color w:val="333333"/>
        </w:rPr>
        <w:t>Focus on experiences and packaging — not just hotels. Build DMC partnerships that cover multi-destination requests. Add wellness and sustainable options to your portfolio. Use technology for efficiency but sell with human expertise.</w:t>
      </w:r>
    </w:p>
    <w:p w:rsidR="00D02A71" w:rsidRDefault="00D02A71">
      <w:pPr>
        <w:spacing w:before="400"/>
      </w:pPr>
    </w:p>
    <w:p w:rsidR="00D02A71" w:rsidRDefault="00000000">
      <w:pPr>
        <w:shd w:val="clear" w:color="auto" w:fill="1A1A1A"/>
        <w:spacing w:before="100"/>
      </w:pPr>
      <w:r>
        <w:rPr>
          <w:sz w:val="12"/>
          <w:szCs w:val="12"/>
        </w:rPr>
        <w:t xml:space="preserve"> </w:t>
      </w:r>
    </w:p>
    <w:p w:rsidR="00D02A71" w:rsidRDefault="00000000">
      <w:pPr>
        <w:spacing w:before="300" w:after="100"/>
        <w:jc w:val="center"/>
      </w:pPr>
      <w:r>
        <w:rPr>
          <w:b/>
          <w:bCs/>
          <w:color w:val="E8604C"/>
          <w:sz w:val="28"/>
          <w:szCs w:val="28"/>
        </w:rPr>
        <w:t>READY TO PARTNER WITH DESERA TRAVEL?</w:t>
      </w:r>
    </w:p>
    <w:p w:rsidR="00D02A71" w:rsidRDefault="00000000">
      <w:pPr>
        <w:spacing w:after="100"/>
        <w:jc w:val="center"/>
      </w:pPr>
      <w:r>
        <w:rPr>
          <w:color w:val="666666"/>
        </w:rPr>
        <w:t>11+ destinations. Direct supplier contracts. 2-hour response guarantee. 24/7 on-ground support.</w:t>
      </w:r>
    </w:p>
    <w:p w:rsidR="00D02A71" w:rsidRDefault="00000000">
      <w:pPr>
        <w:spacing w:after="100"/>
        <w:jc w:val="center"/>
      </w:pPr>
      <w:r>
        <w:rPr>
          <w:b/>
          <w:bCs/>
          <w:color w:val="E8604C"/>
        </w:rPr>
        <w:t>Visit deseratravel.com/partner or email info@deseratravel.com</w:t>
      </w:r>
    </w:p>
    <w:p w:rsidR="00D02A71" w:rsidRDefault="00000000">
      <w:pPr>
        <w:shd w:val="clear" w:color="auto" w:fill="1A1A1A"/>
        <w:spacing w:after="300"/>
      </w:pPr>
      <w:r>
        <w:rPr>
          <w:sz w:val="12"/>
          <w:szCs w:val="12"/>
        </w:rPr>
        <w:t xml:space="preserve"> </w:t>
      </w:r>
    </w:p>
    <w:p w:rsidR="00D02A71" w:rsidRDefault="00000000">
      <w:pPr>
        <w:spacing w:before="400"/>
      </w:pPr>
      <w:r>
        <w:rPr>
          <w:b/>
          <w:bCs/>
          <w:color w:val="E8604C"/>
          <w:sz w:val="24"/>
          <w:szCs w:val="24"/>
        </w:rPr>
        <w:t>SEO IMPLEMENTATION NOTES FOR CLAUDE CODE</w:t>
      </w:r>
    </w:p>
    <w:p w:rsidR="00D02A71" w:rsidRDefault="00000000">
      <w:pPr>
        <w:spacing w:after="160"/>
      </w:pPr>
      <w:r>
        <w:rPr>
          <w:color w:val="333333"/>
        </w:rPr>
        <w:t>Primary keyword: travel trends 2026</w:t>
      </w:r>
    </w:p>
    <w:p w:rsidR="00D02A71" w:rsidRDefault="00000000">
      <w:pPr>
        <w:spacing w:after="160"/>
      </w:pPr>
      <w:r>
        <w:rPr>
          <w:color w:val="333333"/>
        </w:rPr>
        <w:t>Secondary keywords: popular destinations 2026, travel industry forecast, tourism trends</w:t>
      </w:r>
    </w:p>
    <w:p w:rsidR="00D02A71" w:rsidRDefault="00000000">
      <w:pPr>
        <w:spacing w:after="160"/>
      </w:pPr>
      <w:r>
        <w:rPr>
          <w:color w:val="333333"/>
        </w:rPr>
        <w:t>Long-tail keywords: what are the travel trends for 2026, most popular destinations 2026</w:t>
      </w:r>
    </w:p>
    <w:p w:rsidR="00D02A71" w:rsidRDefault="00000000">
      <w:pPr>
        <w:spacing w:after="160"/>
      </w:pPr>
      <w:r>
        <w:rPr>
          <w:color w:val="333333"/>
        </w:rPr>
        <w:t>URL: /blog/travel-industry-trends-2026</w:t>
      </w:r>
    </w:p>
    <w:p w:rsidR="00D02A71" w:rsidRDefault="00000000">
      <w:pPr>
        <w:spacing w:after="160"/>
      </w:pPr>
      <w:r>
        <w:rPr>
          <w:color w:val="333333"/>
        </w:rPr>
        <w:t>Meta description: Key travel industry trends for 2026: experience-first travel, multi-destination trips, wellness tourism, and what they mean for travel agencies.</w:t>
      </w:r>
    </w:p>
    <w:p w:rsidR="00D02A71" w:rsidRDefault="00000000">
      <w:pPr>
        <w:spacing w:after="160"/>
      </w:pPr>
      <w:r>
        <w:rPr>
          <w:color w:val="333333"/>
        </w:rPr>
        <w:t>Image alt tags: Use descriptive keywords matching the content</w:t>
      </w:r>
    </w:p>
    <w:p w:rsidR="00D02A71" w:rsidRDefault="00000000">
      <w:pPr>
        <w:spacing w:after="160"/>
      </w:pPr>
      <w:r>
        <w:rPr>
          <w:color w:val="333333"/>
        </w:rPr>
        <w:t>Internal links: Link to partner form, relevant destination pages, other blog articles</w:t>
      </w:r>
    </w:p>
    <w:sectPr w:rsidR="00D02A7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44379"/>
    <w:multiLevelType w:val="hybridMultilevel"/>
    <w:tmpl w:val="7BEEE38C"/>
    <w:lvl w:ilvl="0" w:tplc="1F78B5E2">
      <w:start w:val="1"/>
      <w:numFmt w:val="bullet"/>
      <w:lvlText w:val="●"/>
      <w:lvlJc w:val="left"/>
      <w:pPr>
        <w:ind w:left="720" w:hanging="360"/>
      </w:pPr>
    </w:lvl>
    <w:lvl w:ilvl="1" w:tplc="294E1962">
      <w:start w:val="1"/>
      <w:numFmt w:val="bullet"/>
      <w:lvlText w:val="○"/>
      <w:lvlJc w:val="left"/>
      <w:pPr>
        <w:ind w:left="1440" w:hanging="360"/>
      </w:pPr>
    </w:lvl>
    <w:lvl w:ilvl="2" w:tplc="05D07474">
      <w:start w:val="1"/>
      <w:numFmt w:val="bullet"/>
      <w:lvlText w:val="■"/>
      <w:lvlJc w:val="left"/>
      <w:pPr>
        <w:ind w:left="2160" w:hanging="360"/>
      </w:pPr>
    </w:lvl>
    <w:lvl w:ilvl="3" w:tplc="13E470F0">
      <w:start w:val="1"/>
      <w:numFmt w:val="bullet"/>
      <w:lvlText w:val="●"/>
      <w:lvlJc w:val="left"/>
      <w:pPr>
        <w:ind w:left="2880" w:hanging="360"/>
      </w:pPr>
    </w:lvl>
    <w:lvl w:ilvl="4" w:tplc="273817F0">
      <w:start w:val="1"/>
      <w:numFmt w:val="bullet"/>
      <w:lvlText w:val="○"/>
      <w:lvlJc w:val="left"/>
      <w:pPr>
        <w:ind w:left="3600" w:hanging="360"/>
      </w:pPr>
    </w:lvl>
    <w:lvl w:ilvl="5" w:tplc="BB2E6E30">
      <w:start w:val="1"/>
      <w:numFmt w:val="bullet"/>
      <w:lvlText w:val="■"/>
      <w:lvlJc w:val="left"/>
      <w:pPr>
        <w:ind w:left="4320" w:hanging="360"/>
      </w:pPr>
    </w:lvl>
    <w:lvl w:ilvl="6" w:tplc="A80E8EB4">
      <w:start w:val="1"/>
      <w:numFmt w:val="bullet"/>
      <w:lvlText w:val="●"/>
      <w:lvlJc w:val="left"/>
      <w:pPr>
        <w:ind w:left="5040" w:hanging="360"/>
      </w:pPr>
    </w:lvl>
    <w:lvl w:ilvl="7" w:tplc="2ACE800E">
      <w:start w:val="1"/>
      <w:numFmt w:val="bullet"/>
      <w:lvlText w:val="●"/>
      <w:lvlJc w:val="left"/>
      <w:pPr>
        <w:ind w:left="5760" w:hanging="360"/>
      </w:pPr>
    </w:lvl>
    <w:lvl w:ilvl="8" w:tplc="2D9878E6">
      <w:start w:val="1"/>
      <w:numFmt w:val="bullet"/>
      <w:lvlText w:val="●"/>
      <w:lvlJc w:val="left"/>
      <w:pPr>
        <w:ind w:left="6480" w:hanging="360"/>
      </w:pPr>
    </w:lvl>
  </w:abstractNum>
  <w:num w:numId="1" w16cid:durableId="13699138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A71"/>
    <w:rsid w:val="00C21D17"/>
    <w:rsid w:val="00D02A71"/>
    <w:rsid w:val="00F53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J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7E476A64-351F-D744-B450-67BB77921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TJ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E8604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Farkhod Akhmadov</cp:lastModifiedBy>
  <cp:revision>2</cp:revision>
  <dcterms:created xsi:type="dcterms:W3CDTF">2026-04-05T15:10:00Z</dcterms:created>
  <dcterms:modified xsi:type="dcterms:W3CDTF">2026-04-05T15:10:00Z</dcterms:modified>
</cp:coreProperties>
</file>