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HPTLC TLC, 2D and 3D Fingerprint Analysis of the Ethyl Acetate Fraction of the Methanol Extract of Sphagneticola trilobata (Wedelia trilobata): Comparison with the Standard Quercetin</w:t>
      </w:r>
    </w:p>
    <w:p>
      <w:pPr>
        <w:spacing w:after="40"/>
        <w:jc w:val="center"/>
      </w:pPr>
      <w:r>
        <w:rPr>
          <w:rFonts w:ascii="Times New Roman" w:hAnsi="Times New Roman"/>
          <w:b/>
          <w:i/>
          <w:sz w:val="24"/>
        </w:rPr>
        <w:t>Results and Discussion</w:t>
      </w:r>
    </w:p>
    <w:p>
      <w:pPr>
        <w:spacing w:after="200"/>
        <w:jc w:val="center"/>
      </w:pPr>
      <w:r>
        <w:rPr>
          <w:rFonts w:ascii="Times New Roman" w:hAnsi="Times New Roman"/>
          <w:b w:val="0"/>
          <w:i/>
          <w:sz w:val="20"/>
        </w:rPr>
        <w:t>Master of Pharmacy (M. Pharm.) – Pharmacognosy and Phytochemistry</w:t>
      </w:r>
    </w:p>
    <w:p>
      <w:pPr>
        <w:keepNext/>
        <w:spacing w:before="200" w:after="80"/>
      </w:pPr>
      <w:r>
        <w:rPr>
          <w:rFonts w:ascii="Times New Roman" w:hAnsi="Times New Roman"/>
          <w:b/>
          <w:i w:val="0"/>
          <w:sz w:val="26"/>
        </w:rPr>
        <w:t>1. Introduction</w:t>
      </w:r>
    </w:p>
    <w:p>
      <w:pPr>
        <w:spacing w:after="120" w:line="276" w:lineRule="auto"/>
        <w:jc w:val="both"/>
      </w:pPr>
      <w:r>
        <w:rPr>
          <w:rFonts w:ascii="Times New Roman" w:hAnsi="Times New Roman"/>
          <w:b w:val="0"/>
          <w:i w:val="0"/>
          <w:sz w:val="22"/>
        </w:rPr>
        <w:t>Sphagneticola trilobata (L.) Pruski (synonym: Wedelia trilobata; family Asteraceae) is a creeping perennial herb traditionally used for its anti-inflammatory, hepatoprotective, antimicrobial and wound-healing properties, activities that are largely attributed to its flavonoid content. In the present study, the ethyl acetate (EA) fraction obtained from the crude methanol extract of the aerial parts was subjected to high-performance thin-layer chromatography (HPTLC) and compared with the pharmacologically important flavonoid marker quercetin.</w:t>
      </w:r>
    </w:p>
    <w:p>
      <w:pPr>
        <w:spacing w:after="120" w:line="276" w:lineRule="auto"/>
        <w:jc w:val="both"/>
      </w:pPr>
      <w:r>
        <w:rPr>
          <w:rFonts w:ascii="Times New Roman" w:hAnsi="Times New Roman"/>
          <w:b w:val="0"/>
          <w:i w:val="0"/>
          <w:sz w:val="22"/>
        </w:rPr>
        <w:t>Liquid–liquid fractionation of the methanol extract with solvents of increasing polarity (n-hexane → chloroform → ethyl acetate → n-butanol → aqueous) was used to enrich the moderately polar flavonoid aglycones in the ethyl acetate fraction. HPTLC, with its capacity for parallel sample development, densitometric scanning, and the generation of two-dimensional (2D) and three-dimensional (3D) chromatographic profiles, was selected for qualitative identification and comparative fingerprinting.</w:t>
      </w:r>
    </w:p>
    <w:p>
      <w:pPr>
        <w:spacing w:after="120" w:line="276" w:lineRule="auto"/>
        <w:jc w:val="both"/>
      </w:pPr>
      <w:r>
        <w:rPr>
          <w:rFonts w:ascii="Times New Roman" w:hAnsi="Times New Roman"/>
          <w:b w:val="0"/>
          <w:i w:val="0"/>
          <w:sz w:val="22"/>
        </w:rPr>
        <w:t>The specific objectives of this part of the study were:</w:t>
      </w:r>
    </w:p>
    <w:p>
      <w:pPr>
        <w:pStyle w:val="ListBullet"/>
        <w:spacing w:after="40" w:line="276" w:lineRule="auto"/>
      </w:pPr>
      <w:r>
        <w:rPr>
          <w:rFonts w:ascii="Times New Roman" w:hAnsi="Times New Roman"/>
          <w:b w:val="0"/>
          <w:i w:val="0"/>
          <w:sz w:val="22"/>
        </w:rPr>
        <w:t>to develop a suitable HPTLC method for the EA fraction of S. trilobata;</w:t>
      </w:r>
    </w:p>
    <w:p>
      <w:pPr>
        <w:pStyle w:val="ListBullet"/>
        <w:spacing w:after="40" w:line="276" w:lineRule="auto"/>
      </w:pPr>
      <w:r>
        <w:rPr>
          <w:rFonts w:ascii="Times New Roman" w:hAnsi="Times New Roman"/>
          <w:b w:val="0"/>
          <w:i w:val="0"/>
          <w:sz w:val="22"/>
        </w:rPr>
        <w:t>to obtain the HPTLC plate showing the band of the standard and the sample;</w:t>
      </w:r>
    </w:p>
    <w:p>
      <w:pPr>
        <w:pStyle w:val="ListBullet"/>
        <w:spacing w:after="40" w:line="276" w:lineRule="auto"/>
      </w:pPr>
      <w:r>
        <w:rPr>
          <w:rFonts w:ascii="Times New Roman" w:hAnsi="Times New Roman"/>
          <w:b w:val="0"/>
          <w:i w:val="0"/>
          <w:sz w:val="22"/>
        </w:rPr>
        <w:t>to record 2D densitograms of the sample and of the quercetin standard;</w:t>
      </w:r>
    </w:p>
    <w:p>
      <w:pPr>
        <w:pStyle w:val="ListBullet"/>
        <w:spacing w:after="40" w:line="276" w:lineRule="auto"/>
      </w:pPr>
      <w:r>
        <w:rPr>
          <w:rFonts w:ascii="Times New Roman" w:hAnsi="Times New Roman"/>
          <w:b w:val="0"/>
          <w:i w:val="0"/>
          <w:sz w:val="22"/>
        </w:rPr>
        <w:t>to generate a 3D densitogram (overlay of all tracks) for visual comparison; and</w:t>
      </w:r>
    </w:p>
    <w:p>
      <w:pPr>
        <w:pStyle w:val="ListBullet"/>
        <w:spacing w:after="40" w:line="276" w:lineRule="auto"/>
      </w:pPr>
      <w:r>
        <w:rPr>
          <w:rFonts w:ascii="Times New Roman" w:hAnsi="Times New Roman"/>
          <w:b w:val="0"/>
          <w:i w:val="0"/>
          <w:sz w:val="22"/>
        </w:rPr>
        <w:t>to confirm the presence of quercetin in the EA fraction by Rf matching, co-chromatography, and overlaid spectral comparison.</w:t>
      </w:r>
    </w:p>
    <w:p>
      <w:pPr>
        <w:keepNext/>
        <w:spacing w:before="200" w:after="80"/>
      </w:pPr>
      <w:r>
        <w:rPr>
          <w:rFonts w:ascii="Times New Roman" w:hAnsi="Times New Roman"/>
          <w:b/>
          <w:i w:val="0"/>
          <w:sz w:val="26"/>
        </w:rPr>
        <w:t>2. Materials and Chromatographic Conditions</w:t>
      </w:r>
    </w:p>
    <w:p>
      <w:pPr>
        <w:keepNext/>
        <w:spacing w:before="160" w:after="80"/>
      </w:pPr>
      <w:r>
        <w:rPr>
          <w:rFonts w:ascii="Times New Roman" w:hAnsi="Times New Roman"/>
          <w:b/>
          <w:i w:val="0"/>
          <w:sz w:val="23"/>
        </w:rPr>
        <w:t>2.1. Instrumentation and sample application</w:t>
      </w:r>
    </w:p>
    <w:p>
      <w:pPr>
        <w:pStyle w:val="ListBullet"/>
        <w:spacing w:after="40" w:line="276" w:lineRule="auto"/>
      </w:pPr>
      <w:r>
        <w:rPr>
          <w:rFonts w:ascii="Times New Roman" w:hAnsi="Times New Roman"/>
          <w:b w:val="0"/>
          <w:i w:val="0"/>
          <w:sz w:val="22"/>
        </w:rPr>
        <w:t>HPTLC system: CAMAG (Switzerland), comprising a Linomat 5 sample applicator, an ADC2 automatic developing chamber, a TLC Scanner 4, and visionCATS / WinCATS software.</w:t>
      </w:r>
    </w:p>
    <w:p>
      <w:pPr>
        <w:pStyle w:val="ListBullet"/>
        <w:spacing w:after="40" w:line="276" w:lineRule="auto"/>
      </w:pPr>
      <w:r>
        <w:rPr>
          <w:rFonts w:ascii="Times New Roman" w:hAnsi="Times New Roman"/>
          <w:b w:val="0"/>
          <w:i w:val="0"/>
          <w:sz w:val="22"/>
        </w:rPr>
        <w:t>Stationary phase: pre-coated silica gel 60 F254 aluminium-backed HPTLC plates (20 × 10 cm, 0.2 mm layer thickness; E. Merck).</w:t>
      </w:r>
    </w:p>
    <w:p>
      <w:pPr>
        <w:pStyle w:val="ListBullet"/>
        <w:spacing w:after="40" w:line="276" w:lineRule="auto"/>
      </w:pPr>
      <w:r>
        <w:rPr>
          <w:rFonts w:ascii="Times New Roman" w:hAnsi="Times New Roman"/>
          <w:b w:val="0"/>
          <w:i w:val="0"/>
          <w:sz w:val="22"/>
        </w:rPr>
        <w:t>Visualisation: CAMAG TLC visualizer under UV 254 nm, UV 366 nm, and white light.</w:t>
      </w:r>
    </w:p>
    <w:p>
      <w:pPr>
        <w:pStyle w:val="ListBullet"/>
        <w:spacing w:after="40" w:line="276" w:lineRule="auto"/>
      </w:pPr>
      <w:r>
        <w:rPr>
          <w:rFonts w:ascii="Times New Roman" w:hAnsi="Times New Roman"/>
          <w:b w:val="0"/>
          <w:i w:val="0"/>
          <w:sz w:val="22"/>
        </w:rPr>
        <w:t>Derivatising reagent: Natural Products–polyethylene glycol (NP–PEG) reagent for flavonoid detection, giving fluorescence enhancement at 366 nm.</w:t>
      </w:r>
    </w:p>
    <w:p>
      <w:pPr>
        <w:keepNext/>
        <w:spacing w:before="160" w:after="80"/>
      </w:pPr>
      <w:r>
        <w:rPr>
          <w:rFonts w:ascii="Times New Roman" w:hAnsi="Times New Roman"/>
          <w:b/>
          <w:i w:val="0"/>
          <w:sz w:val="23"/>
        </w:rPr>
        <w:t>2.2. Optimised chromatographic conditions</w:t>
      </w:r>
    </w:p>
    <w:tbl>
      <w:tblPr>
        <w:tblStyle w:val="TableGrid"/>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4" w:color="000000"/>
          <w:insideV w:val="single" w:sz="4" w:color="000000"/>
        </w:tblBorders>
        <w:tblCellMar>
          <w:top w:w="40" w:type="dxa"/>
          <w:left w:w="80" w:type="dxa"/>
          <w:bottom w:w="40" w:type="dxa"/>
          <w:right w:w="80" w:type="dxa"/>
        </w:tblCellMar>
      </w:tblPr>
      <w:tblGrid>
        <w:gridCol w:w="4513"/>
        <w:gridCol w:w="4513"/>
      </w:tblGrid>
      <w:tr>
        <w:tc>
          <w:tcPr>
            <w:tcW w:type="dxa" w:w="4513"/>
            <w:shd w:fill="D9D9D9"/>
          </w:tcPr>
          <w:p>
            <w:pPr>
              <w:spacing w:before="20" w:after="20" w:line="240" w:lineRule="auto"/>
              <w:jc w:val="center"/>
            </w:pPr>
            <w:r/>
            <w:r>
              <w:rPr>
                <w:rFonts w:ascii="Times New Roman" w:hAnsi="Times New Roman"/>
                <w:b/>
                <w:i w:val="0"/>
                <w:sz w:val="20"/>
              </w:rPr>
              <w:t>Parameter</w:t>
            </w:r>
          </w:p>
        </w:tc>
        <w:tc>
          <w:tcPr>
            <w:tcW w:type="dxa" w:w="4513"/>
            <w:shd w:fill="D9D9D9"/>
          </w:tcPr>
          <w:p>
            <w:pPr>
              <w:spacing w:before="20" w:after="20" w:line="240" w:lineRule="auto"/>
              <w:jc w:val="center"/>
            </w:pPr>
            <w:r/>
            <w:r>
              <w:rPr>
                <w:rFonts w:ascii="Times New Roman" w:hAnsi="Times New Roman"/>
                <w:b/>
                <w:i w:val="0"/>
                <w:sz w:val="20"/>
              </w:rPr>
              <w:t>Optimised condition</w:t>
            </w:r>
          </w:p>
        </w:tc>
      </w:tr>
      <w:tr>
        <w:tc>
          <w:tcPr>
            <w:tcW w:type="dxa" w:w="4513"/>
          </w:tcPr>
          <w:p>
            <w:pPr>
              <w:spacing w:before="20" w:after="20" w:line="240" w:lineRule="auto"/>
            </w:pPr>
            <w:r/>
            <w:r>
              <w:rPr>
                <w:rFonts w:ascii="Times New Roman" w:hAnsi="Times New Roman"/>
                <w:b/>
                <w:i w:val="0"/>
                <w:sz w:val="20"/>
              </w:rPr>
              <w:t>Stationary phase</w:t>
            </w:r>
          </w:p>
        </w:tc>
        <w:tc>
          <w:tcPr>
            <w:tcW w:type="dxa" w:w="4513"/>
          </w:tcPr>
          <w:p>
            <w:pPr>
              <w:spacing w:before="20" w:after="20" w:line="240" w:lineRule="auto"/>
            </w:pPr>
            <w:r/>
            <w:r>
              <w:rPr>
                <w:rFonts w:ascii="Times New Roman" w:hAnsi="Times New Roman"/>
                <w:b w:val="0"/>
                <w:i w:val="0"/>
                <w:sz w:val="20"/>
              </w:rPr>
              <w:t>Silica gel 60 F254 HPTLC plate (Merck), 0.2 mm</w:t>
            </w:r>
          </w:p>
        </w:tc>
      </w:tr>
      <w:tr>
        <w:tc>
          <w:tcPr>
            <w:tcW w:type="dxa" w:w="4513"/>
          </w:tcPr>
          <w:p>
            <w:pPr>
              <w:spacing w:before="20" w:after="20" w:line="240" w:lineRule="auto"/>
            </w:pPr>
            <w:r/>
            <w:r>
              <w:rPr>
                <w:rFonts w:ascii="Times New Roman" w:hAnsi="Times New Roman"/>
                <w:b/>
                <w:i w:val="0"/>
                <w:sz w:val="20"/>
              </w:rPr>
              <w:t>Mobile phase</w:t>
            </w:r>
          </w:p>
        </w:tc>
        <w:tc>
          <w:tcPr>
            <w:tcW w:type="dxa" w:w="4513"/>
          </w:tcPr>
          <w:p>
            <w:pPr>
              <w:spacing w:before="20" w:after="20" w:line="240" w:lineRule="auto"/>
            </w:pPr>
            <w:r/>
            <w:r>
              <w:rPr>
                <w:rFonts w:ascii="Times New Roman" w:hAnsi="Times New Roman"/>
                <w:b w:val="0"/>
                <w:i w:val="0"/>
                <w:sz w:val="20"/>
              </w:rPr>
              <w:t>Toluene : ethyl acetate : formic acid (5 : 4 : 1, v/v/v)</w:t>
            </w:r>
          </w:p>
        </w:tc>
      </w:tr>
      <w:tr>
        <w:tc>
          <w:tcPr>
            <w:tcW w:type="dxa" w:w="4513"/>
          </w:tcPr>
          <w:p>
            <w:pPr>
              <w:spacing w:before="20" w:after="20" w:line="240" w:lineRule="auto"/>
            </w:pPr>
            <w:r/>
            <w:r>
              <w:rPr>
                <w:rFonts w:ascii="Times New Roman" w:hAnsi="Times New Roman"/>
                <w:b/>
                <w:i w:val="0"/>
                <w:sz w:val="20"/>
              </w:rPr>
              <w:t>Chamber saturation</w:t>
            </w:r>
          </w:p>
        </w:tc>
        <w:tc>
          <w:tcPr>
            <w:tcW w:type="dxa" w:w="4513"/>
          </w:tcPr>
          <w:p>
            <w:pPr>
              <w:spacing w:before="20" w:after="20" w:line="240" w:lineRule="auto"/>
            </w:pPr>
            <w:r/>
            <w:r>
              <w:rPr>
                <w:rFonts w:ascii="Times New Roman" w:hAnsi="Times New Roman"/>
                <w:b w:val="0"/>
                <w:i w:val="0"/>
                <w:sz w:val="20"/>
              </w:rPr>
              <w:t>Twin-trough chamber, saturated 20 min with filter paper</w:t>
            </w:r>
          </w:p>
        </w:tc>
      </w:tr>
      <w:tr>
        <w:tc>
          <w:tcPr>
            <w:tcW w:type="dxa" w:w="4513"/>
          </w:tcPr>
          <w:p>
            <w:pPr>
              <w:spacing w:before="20" w:after="20" w:line="240" w:lineRule="auto"/>
            </w:pPr>
            <w:r/>
            <w:r>
              <w:rPr>
                <w:rFonts w:ascii="Times New Roman" w:hAnsi="Times New Roman"/>
                <w:b/>
                <w:i w:val="0"/>
                <w:sz w:val="20"/>
              </w:rPr>
              <w:t>Migration distance</w:t>
            </w:r>
          </w:p>
        </w:tc>
        <w:tc>
          <w:tcPr>
            <w:tcW w:type="dxa" w:w="4513"/>
          </w:tcPr>
          <w:p>
            <w:pPr>
              <w:spacing w:before="20" w:after="20" w:line="240" w:lineRule="auto"/>
            </w:pPr>
            <w:r/>
            <w:r>
              <w:rPr>
                <w:rFonts w:ascii="Times New Roman" w:hAnsi="Times New Roman"/>
                <w:b w:val="0"/>
                <w:i w:val="0"/>
                <w:sz w:val="20"/>
              </w:rPr>
              <w:t>80 mm from the application position</w:t>
            </w:r>
          </w:p>
        </w:tc>
      </w:tr>
      <w:tr>
        <w:tc>
          <w:tcPr>
            <w:tcW w:type="dxa" w:w="4513"/>
          </w:tcPr>
          <w:p>
            <w:pPr>
              <w:spacing w:before="20" w:after="20" w:line="240" w:lineRule="auto"/>
            </w:pPr>
            <w:r/>
            <w:r>
              <w:rPr>
                <w:rFonts w:ascii="Times New Roman" w:hAnsi="Times New Roman"/>
                <w:b/>
                <w:i w:val="0"/>
                <w:sz w:val="20"/>
              </w:rPr>
              <w:t>Band length / spacing</w:t>
            </w:r>
          </w:p>
        </w:tc>
        <w:tc>
          <w:tcPr>
            <w:tcW w:type="dxa" w:w="4513"/>
          </w:tcPr>
          <w:p>
            <w:pPr>
              <w:spacing w:before="20" w:after="20" w:line="240" w:lineRule="auto"/>
            </w:pPr>
            <w:r/>
            <w:r>
              <w:rPr>
                <w:rFonts w:ascii="Times New Roman" w:hAnsi="Times New Roman"/>
                <w:b w:val="0"/>
                <w:i w:val="0"/>
                <w:sz w:val="20"/>
              </w:rPr>
              <w:t>8 mm band; 6 bands per plate; 15 mm from lower edge</w:t>
            </w:r>
          </w:p>
        </w:tc>
      </w:tr>
      <w:tr>
        <w:tc>
          <w:tcPr>
            <w:tcW w:type="dxa" w:w="4513"/>
          </w:tcPr>
          <w:p>
            <w:pPr>
              <w:spacing w:before="20" w:after="20" w:line="240" w:lineRule="auto"/>
            </w:pPr>
            <w:r/>
            <w:r>
              <w:rPr>
                <w:rFonts w:ascii="Times New Roman" w:hAnsi="Times New Roman"/>
                <w:b/>
                <w:i w:val="0"/>
                <w:sz w:val="20"/>
              </w:rPr>
              <w:t>Application volume</w:t>
            </w:r>
          </w:p>
        </w:tc>
        <w:tc>
          <w:tcPr>
            <w:tcW w:type="dxa" w:w="4513"/>
          </w:tcPr>
          <w:p>
            <w:pPr>
              <w:spacing w:before="20" w:after="20" w:line="240" w:lineRule="auto"/>
            </w:pPr>
            <w:r/>
            <w:r>
              <w:rPr>
                <w:rFonts w:ascii="Times New Roman" w:hAnsi="Times New Roman"/>
                <w:b w:val="0"/>
                <w:i w:val="0"/>
                <w:sz w:val="20"/>
              </w:rPr>
              <w:t>Standard 4 µL; EA fraction 8 µL (10 mg/mL)</w:t>
            </w:r>
          </w:p>
        </w:tc>
      </w:tr>
      <w:tr>
        <w:tc>
          <w:tcPr>
            <w:tcW w:type="dxa" w:w="4513"/>
          </w:tcPr>
          <w:p>
            <w:pPr>
              <w:spacing w:before="20" w:after="20" w:line="240" w:lineRule="auto"/>
            </w:pPr>
            <w:r/>
            <w:r>
              <w:rPr>
                <w:rFonts w:ascii="Times New Roman" w:hAnsi="Times New Roman"/>
                <w:b/>
                <w:i w:val="0"/>
                <w:sz w:val="20"/>
              </w:rPr>
              <w:t>Development conditions</w:t>
            </w:r>
          </w:p>
        </w:tc>
        <w:tc>
          <w:tcPr>
            <w:tcW w:type="dxa" w:w="4513"/>
          </w:tcPr>
          <w:p>
            <w:pPr>
              <w:spacing w:before="20" w:after="20" w:line="240" w:lineRule="auto"/>
            </w:pPr>
            <w:r/>
            <w:r>
              <w:rPr>
                <w:rFonts w:ascii="Times New Roman" w:hAnsi="Times New Roman"/>
                <w:b w:val="0"/>
                <w:i w:val="0"/>
                <w:sz w:val="20"/>
              </w:rPr>
              <w:t>25 ± 2 °C; relative humidity 50 ± 5%</w:t>
            </w:r>
          </w:p>
        </w:tc>
      </w:tr>
      <w:tr>
        <w:tc>
          <w:tcPr>
            <w:tcW w:type="dxa" w:w="4513"/>
          </w:tcPr>
          <w:p>
            <w:pPr>
              <w:spacing w:before="20" w:after="20" w:line="240" w:lineRule="auto"/>
            </w:pPr>
            <w:r/>
            <w:r>
              <w:rPr>
                <w:rFonts w:ascii="Times New Roman" w:hAnsi="Times New Roman"/>
                <w:b/>
                <w:i w:val="0"/>
                <w:sz w:val="20"/>
              </w:rPr>
              <w:t>Detection wavelengths</w:t>
            </w:r>
          </w:p>
        </w:tc>
        <w:tc>
          <w:tcPr>
            <w:tcW w:type="dxa" w:w="4513"/>
          </w:tcPr>
          <w:p>
            <w:pPr>
              <w:spacing w:before="20" w:after="20" w:line="240" w:lineRule="auto"/>
            </w:pPr>
            <w:r/>
            <w:r>
              <w:rPr>
                <w:rFonts w:ascii="Times New Roman" w:hAnsi="Times New Roman"/>
                <w:b w:val="0"/>
                <w:i w:val="0"/>
                <w:sz w:val="20"/>
              </w:rPr>
              <w:t>254 nm (quenching); 366 nm (fluorescence after NP–PEG)</w:t>
            </w:r>
          </w:p>
        </w:tc>
      </w:tr>
      <w:tr>
        <w:tc>
          <w:tcPr>
            <w:tcW w:type="dxa" w:w="4513"/>
          </w:tcPr>
          <w:p>
            <w:pPr>
              <w:spacing w:before="20" w:after="20" w:line="240" w:lineRule="auto"/>
            </w:pPr>
            <w:r/>
            <w:r>
              <w:rPr>
                <w:rFonts w:ascii="Times New Roman" w:hAnsi="Times New Roman"/>
                <w:b/>
                <w:i w:val="0"/>
                <w:sz w:val="20"/>
              </w:rPr>
              <w:t>Scanning mode</w:t>
            </w:r>
          </w:p>
        </w:tc>
        <w:tc>
          <w:tcPr>
            <w:tcW w:type="dxa" w:w="4513"/>
          </w:tcPr>
          <w:p>
            <w:pPr>
              <w:spacing w:before="20" w:after="20" w:line="240" w:lineRule="auto"/>
            </w:pPr>
            <w:r/>
            <w:r>
              <w:rPr>
                <w:rFonts w:ascii="Times New Roman" w:hAnsi="Times New Roman"/>
                <w:b w:val="0"/>
                <w:i w:val="0"/>
                <w:sz w:val="20"/>
              </w:rPr>
              <w:t>Absorption/reflectance; slit 5.00 × 0.45 mm; 20 mm/s</w:t>
            </w:r>
          </w:p>
        </w:tc>
      </w:tr>
      <w:tr>
        <w:tc>
          <w:tcPr>
            <w:tcW w:type="dxa" w:w="4513"/>
          </w:tcPr>
          <w:p>
            <w:pPr>
              <w:spacing w:before="20" w:after="20" w:line="240" w:lineRule="auto"/>
            </w:pPr>
            <w:r/>
            <w:r>
              <w:rPr>
                <w:rFonts w:ascii="Times New Roman" w:hAnsi="Times New Roman"/>
                <w:b/>
                <w:i w:val="0"/>
                <w:sz w:val="20"/>
              </w:rPr>
              <w:t>Lamp</w:t>
            </w:r>
          </w:p>
        </w:tc>
        <w:tc>
          <w:tcPr>
            <w:tcW w:type="dxa" w:w="4513"/>
          </w:tcPr>
          <w:p>
            <w:pPr>
              <w:spacing w:before="20" w:after="20" w:line="240" w:lineRule="auto"/>
            </w:pPr>
            <w:r/>
            <w:r>
              <w:rPr>
                <w:rFonts w:ascii="Times New Roman" w:hAnsi="Times New Roman"/>
                <w:b w:val="0"/>
                <w:i w:val="0"/>
                <w:sz w:val="20"/>
              </w:rPr>
              <w:t>Deuterium and tungsten (D2 / W)</w:t>
            </w:r>
          </w:p>
        </w:tc>
      </w:tr>
    </w:tbl>
    <w:p>
      <w:pPr>
        <w:spacing w:after="120" w:line="276" w:lineRule="auto"/>
        <w:jc w:val="both"/>
      </w:pPr>
      <w:r>
        <w:rPr>
          <w:rFonts w:ascii="Times New Roman" w:hAnsi="Times New Roman"/>
          <w:b w:val="0"/>
          <w:i w:val="0"/>
          <w:sz w:val="22"/>
        </w:rPr>
        <w:t>Under the optimised normal-phase system, quercetin migrated as a single, compact, well-resolved band with a retention factor of Rf = 0.55 ± 0.02. Formic acid in the mobile phase suppressed tailing of the phenolic hydroxyl groups, giving sharp bands suitable for densitometric scanning.</w:t>
      </w:r>
    </w:p>
    <w:p>
      <w:pPr>
        <w:keepNext/>
        <w:spacing w:before="200" w:after="80"/>
      </w:pPr>
      <w:r>
        <w:rPr>
          <w:rFonts w:ascii="Times New Roman" w:hAnsi="Times New Roman"/>
          <w:b/>
          <w:i w:val="0"/>
          <w:sz w:val="26"/>
        </w:rPr>
        <w:t>3. HPTLC Plate (Qualitative Detection)</w:t>
      </w:r>
    </w:p>
    <w:p>
      <w:pPr>
        <w:spacing w:after="120" w:line="276" w:lineRule="auto"/>
        <w:jc w:val="both"/>
      </w:pPr>
      <w:r>
        <w:rPr>
          <w:rFonts w:ascii="Times New Roman" w:hAnsi="Times New Roman"/>
          <w:b w:val="0"/>
          <w:i w:val="0"/>
          <w:sz w:val="22"/>
        </w:rPr>
        <w:t>After development under the optimised conditions, the plate was derivatised with NP–PEG reagent and examined at 366 nm. The developed plate (Figure 1) shows the bands of the quercetin standard and of the ethyl acetate fraction. The band of the EA fraction that lies at the same height (Rf 0.55) as the quercetin standard confirms, on visual inspection, the presence of quercetin in the sample.</w:t>
      </w:r>
    </w:p>
    <w:p>
      <w:pPr>
        <w:spacing w:before="120" w:after="40"/>
        <w:jc w:val="center"/>
      </w:pPr>
      <w:r>
        <w:drawing>
          <wp:inline xmlns:a="http://schemas.openxmlformats.org/drawingml/2006/main" xmlns:pic="http://schemas.openxmlformats.org/drawingml/2006/picture">
            <wp:extent cx="3108960" cy="3832455"/>
            <wp:docPr id="1" name="Picture 1"/>
            <wp:cNvGraphicFramePr>
              <a:graphicFrameLocks noChangeAspect="1"/>
            </wp:cNvGraphicFramePr>
            <a:graphic>
              <a:graphicData uri="http://schemas.openxmlformats.org/drawingml/2006/picture">
                <pic:pic>
                  <pic:nvPicPr>
                    <pic:cNvPr id="0" name="fig_tlc_plate.png"/>
                    <pic:cNvPicPr/>
                  </pic:nvPicPr>
                  <pic:blipFill>
                    <a:blip r:embed="rId9"/>
                    <a:stretch>
                      <a:fillRect/>
                    </a:stretch>
                  </pic:blipFill>
                  <pic:spPr>
                    <a:xfrm>
                      <a:off x="0" y="0"/>
                      <a:ext cx="3108960" cy="3832455"/>
                    </a:xfrm>
                    <a:prstGeom prst="rect"/>
                  </pic:spPr>
                </pic:pic>
              </a:graphicData>
            </a:graphic>
          </wp:inline>
        </w:drawing>
      </w:r>
    </w:p>
    <w:p>
      <w:pPr>
        <w:spacing w:after="200" w:line="240" w:lineRule="auto"/>
        <w:jc w:val="center"/>
      </w:pPr>
      <w:r>
        <w:rPr>
          <w:rFonts w:ascii="Times New Roman" w:hAnsi="Times New Roman"/>
          <w:b/>
          <w:i w:val="0"/>
          <w:sz w:val="19"/>
        </w:rPr>
        <w:t>Figure 1.</w:t>
      </w:r>
      <w:r>
        <w:rPr>
          <w:rFonts w:ascii="Times New Roman" w:hAnsi="Times New Roman"/>
          <w:b w:val="0"/>
          <w:i/>
          <w:sz w:val="19"/>
        </w:rPr>
        <w:t xml:space="preserve"> HPTLC plate (silica gel 60 F254, 366 nm after NP–PEG) showing the presence of the standard compound in the ethyl acetate fraction of S. trilobata: (A) EA fraction; (B) quercetin standard; (C) EA fraction (replicate). The dashed line marks the quercetin band at Rf 0.55.</w:t>
      </w:r>
    </w:p>
    <w:p>
      <w:pPr>
        <w:keepNext/>
        <w:spacing w:before="200" w:after="80"/>
      </w:pPr>
      <w:r>
        <w:rPr>
          <w:rFonts w:ascii="Times New Roman" w:hAnsi="Times New Roman"/>
          <w:b/>
          <w:i w:val="0"/>
          <w:sz w:val="26"/>
        </w:rPr>
        <w:t>4. 2D Densitogram Comparison of Sample and Standard</w:t>
      </w:r>
    </w:p>
    <w:p>
      <w:pPr>
        <w:spacing w:after="120" w:line="276" w:lineRule="auto"/>
        <w:jc w:val="both"/>
      </w:pPr>
      <w:r>
        <w:rPr>
          <w:rFonts w:ascii="Times New Roman" w:hAnsi="Times New Roman"/>
          <w:b w:val="0"/>
          <w:i w:val="0"/>
          <w:sz w:val="22"/>
        </w:rPr>
        <w:t>The tracks were scanned at 366 nm to obtain 2D densitograms, which plot the densitometric response (absorbance, AU) against the retention factor (Rf). Figure 2 compares the EA fraction (panel A) with the quercetin standard (panel B). The EA fraction shows a multi-component flavonoid fingerprint with several resolved peaks, whereas the standard shows a single peak. The arrow in panel A indicates the sample peak at Rf 0.55 that co-migrates with quercetin.</w:t>
      </w:r>
    </w:p>
    <w:p>
      <w:pPr>
        <w:spacing w:before="120" w:after="40"/>
        <w:jc w:val="center"/>
      </w:pPr>
      <w:r>
        <w:drawing>
          <wp:inline xmlns:a="http://schemas.openxmlformats.org/drawingml/2006/main" xmlns:pic="http://schemas.openxmlformats.org/drawingml/2006/picture">
            <wp:extent cx="5486400" cy="2398643"/>
            <wp:docPr id="2" name="Picture 2"/>
            <wp:cNvGraphicFramePr>
              <a:graphicFrameLocks noChangeAspect="1"/>
            </wp:cNvGraphicFramePr>
            <a:graphic>
              <a:graphicData uri="http://schemas.openxmlformats.org/drawingml/2006/picture">
                <pic:pic>
                  <pic:nvPicPr>
                    <pic:cNvPr id="0" name="fig_2d_comparison.png"/>
                    <pic:cNvPicPr/>
                  </pic:nvPicPr>
                  <pic:blipFill>
                    <a:blip r:embed="rId10"/>
                    <a:stretch>
                      <a:fillRect/>
                    </a:stretch>
                  </pic:blipFill>
                  <pic:spPr>
                    <a:xfrm>
                      <a:off x="0" y="0"/>
                      <a:ext cx="5486400" cy="2398643"/>
                    </a:xfrm>
                    <a:prstGeom prst="rect"/>
                  </pic:spPr>
                </pic:pic>
              </a:graphicData>
            </a:graphic>
          </wp:inline>
        </w:drawing>
      </w:r>
    </w:p>
    <w:p>
      <w:pPr>
        <w:spacing w:after="200" w:line="240" w:lineRule="auto"/>
        <w:jc w:val="center"/>
      </w:pPr>
      <w:r>
        <w:rPr>
          <w:rFonts w:ascii="Times New Roman" w:hAnsi="Times New Roman"/>
          <w:b/>
          <w:i w:val="0"/>
          <w:sz w:val="19"/>
        </w:rPr>
        <w:t>Figure 2.</w:t>
      </w:r>
      <w:r>
        <w:rPr>
          <w:rFonts w:ascii="Times New Roman" w:hAnsi="Times New Roman"/>
          <w:b w:val="0"/>
          <w:i/>
          <w:sz w:val="19"/>
        </w:rPr>
        <w:t xml:space="preserve"> Comparison of sample and standard 2D densitograms at 366 nm. A. EA fraction of S. trilobata (the labelled peak corresponds to quercetin); B. quercetin standard (Rf = 0.55).</w:t>
      </w:r>
    </w:p>
    <w:p>
      <w:pPr>
        <w:keepNext/>
        <w:spacing w:before="160" w:after="80"/>
      </w:pPr>
      <w:r>
        <w:rPr>
          <w:rFonts w:ascii="Times New Roman" w:hAnsi="Times New Roman"/>
          <w:b/>
          <w:i w:val="0"/>
          <w:sz w:val="23"/>
        </w:rPr>
        <w:t>4.1. Peak table of the ethyl acetate fraction (366 nm)</w:t>
      </w:r>
    </w:p>
    <w:tbl>
      <w:tblPr>
        <w:tblStyle w:val="TableGrid"/>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4" w:color="000000"/>
          <w:insideV w:val="single" w:sz="4" w:color="000000"/>
        </w:tblBorders>
        <w:tblCellMar>
          <w:top w:w="40" w:type="dxa"/>
          <w:left w:w="80" w:type="dxa"/>
          <w:bottom w:w="40" w:type="dxa"/>
          <w:right w:w="80" w:type="dxa"/>
        </w:tblCellMar>
      </w:tblPr>
      <w:tblGrid>
        <w:gridCol w:w="1805"/>
        <w:gridCol w:w="1805"/>
        <w:gridCol w:w="1805"/>
        <w:gridCol w:w="1805"/>
        <w:gridCol w:w="1805"/>
      </w:tblGrid>
      <w:tr>
        <w:tc>
          <w:tcPr>
            <w:tcW w:type="dxa" w:w="1805"/>
            <w:shd w:fill="D9D9D9"/>
          </w:tcPr>
          <w:p>
            <w:pPr>
              <w:spacing w:before="20" w:after="20" w:line="240" w:lineRule="auto"/>
              <w:jc w:val="center"/>
            </w:pPr>
            <w:r/>
            <w:r>
              <w:rPr>
                <w:rFonts w:ascii="Times New Roman" w:hAnsi="Times New Roman"/>
                <w:b/>
                <w:i w:val="0"/>
                <w:sz w:val="20"/>
              </w:rPr>
              <w:t>Peak</w:t>
            </w:r>
          </w:p>
        </w:tc>
        <w:tc>
          <w:tcPr>
            <w:tcW w:type="dxa" w:w="1805"/>
            <w:shd w:fill="D9D9D9"/>
          </w:tcPr>
          <w:p>
            <w:pPr>
              <w:spacing w:before="20" w:after="20" w:line="240" w:lineRule="auto"/>
              <w:jc w:val="center"/>
            </w:pPr>
            <w:r/>
            <w:r>
              <w:rPr>
                <w:rFonts w:ascii="Times New Roman" w:hAnsi="Times New Roman"/>
                <w:b/>
                <w:i w:val="0"/>
                <w:sz w:val="20"/>
              </w:rPr>
              <w:t>Rf</w:t>
            </w:r>
          </w:p>
        </w:tc>
        <w:tc>
          <w:tcPr>
            <w:tcW w:type="dxa" w:w="1805"/>
            <w:shd w:fill="D9D9D9"/>
          </w:tcPr>
          <w:p>
            <w:pPr>
              <w:spacing w:before="20" w:after="20" w:line="240" w:lineRule="auto"/>
              <w:jc w:val="center"/>
            </w:pPr>
            <w:r/>
            <w:r>
              <w:rPr>
                <w:rFonts w:ascii="Times New Roman" w:hAnsi="Times New Roman"/>
                <w:b/>
                <w:i w:val="0"/>
                <w:sz w:val="20"/>
              </w:rPr>
              <w:t>Peak area (AU)</w:t>
            </w:r>
          </w:p>
        </w:tc>
        <w:tc>
          <w:tcPr>
            <w:tcW w:type="dxa" w:w="1805"/>
            <w:shd w:fill="D9D9D9"/>
          </w:tcPr>
          <w:p>
            <w:pPr>
              <w:spacing w:before="20" w:after="20" w:line="240" w:lineRule="auto"/>
              <w:jc w:val="center"/>
            </w:pPr>
            <w:r/>
            <w:r>
              <w:rPr>
                <w:rFonts w:ascii="Times New Roman" w:hAnsi="Times New Roman"/>
                <w:b/>
                <w:i w:val="0"/>
                <w:sz w:val="20"/>
              </w:rPr>
              <w:t>% Area</w:t>
            </w:r>
          </w:p>
        </w:tc>
        <w:tc>
          <w:tcPr>
            <w:tcW w:type="dxa" w:w="1805"/>
            <w:shd w:fill="D9D9D9"/>
          </w:tcPr>
          <w:p>
            <w:pPr>
              <w:spacing w:before="20" w:after="20" w:line="240" w:lineRule="auto"/>
              <w:jc w:val="center"/>
            </w:pPr>
            <w:r/>
            <w:r>
              <w:rPr>
                <w:rFonts w:ascii="Times New Roman" w:hAnsi="Times New Roman"/>
                <w:b/>
                <w:i w:val="0"/>
                <w:sz w:val="20"/>
              </w:rPr>
              <w:t>Assignment / remark</w:t>
            </w:r>
          </w:p>
        </w:tc>
      </w:tr>
      <w:tr>
        <w:tc>
          <w:tcPr>
            <w:tcW w:type="dxa" w:w="1805"/>
          </w:tcPr>
          <w:p>
            <w:pPr>
              <w:spacing w:before="20" w:after="20" w:line="240" w:lineRule="auto"/>
            </w:pPr>
            <w:r/>
            <w:r>
              <w:rPr>
                <w:rFonts w:ascii="Times New Roman" w:hAnsi="Times New Roman"/>
                <w:b/>
                <w:i w:val="0"/>
                <w:sz w:val="20"/>
              </w:rPr>
              <w:t>P1</w:t>
            </w:r>
          </w:p>
        </w:tc>
        <w:tc>
          <w:tcPr>
            <w:tcW w:type="dxa" w:w="1805"/>
          </w:tcPr>
          <w:p>
            <w:pPr>
              <w:spacing w:before="20" w:after="20" w:line="240" w:lineRule="auto"/>
            </w:pPr>
            <w:r/>
            <w:r>
              <w:rPr>
                <w:rFonts w:ascii="Times New Roman" w:hAnsi="Times New Roman"/>
                <w:b w:val="0"/>
                <w:i w:val="0"/>
                <w:sz w:val="20"/>
              </w:rPr>
              <w:t>0.12</w:t>
            </w:r>
          </w:p>
        </w:tc>
        <w:tc>
          <w:tcPr>
            <w:tcW w:type="dxa" w:w="1805"/>
          </w:tcPr>
          <w:p>
            <w:pPr>
              <w:spacing w:before="20" w:after="20" w:line="240" w:lineRule="auto"/>
            </w:pPr>
            <w:r/>
            <w:r>
              <w:rPr>
                <w:rFonts w:ascii="Times New Roman" w:hAnsi="Times New Roman"/>
                <w:b w:val="0"/>
                <w:i w:val="0"/>
                <w:sz w:val="20"/>
              </w:rPr>
              <w:t>1650</w:t>
            </w:r>
          </w:p>
        </w:tc>
        <w:tc>
          <w:tcPr>
            <w:tcW w:type="dxa" w:w="1805"/>
          </w:tcPr>
          <w:p>
            <w:pPr>
              <w:spacing w:before="20" w:after="20" w:line="240" w:lineRule="auto"/>
            </w:pPr>
            <w:r/>
            <w:r>
              <w:rPr>
                <w:rFonts w:ascii="Times New Roman" w:hAnsi="Times New Roman"/>
                <w:b w:val="0"/>
                <w:i w:val="0"/>
                <w:sz w:val="20"/>
              </w:rPr>
              <w:t>7.0</w:t>
            </w:r>
          </w:p>
        </w:tc>
        <w:tc>
          <w:tcPr>
            <w:tcW w:type="dxa" w:w="1805"/>
          </w:tcPr>
          <w:p>
            <w:pPr>
              <w:spacing w:before="20" w:after="20" w:line="240" w:lineRule="auto"/>
            </w:pPr>
            <w:r/>
            <w:r>
              <w:rPr>
                <w:rFonts w:ascii="Times New Roman" w:hAnsi="Times New Roman"/>
                <w:b w:val="0"/>
                <w:i w:val="0"/>
                <w:sz w:val="20"/>
              </w:rPr>
              <w:t>Polar pigment / phenolic acid (unidentified)</w:t>
            </w:r>
          </w:p>
        </w:tc>
      </w:tr>
      <w:tr>
        <w:tc>
          <w:tcPr>
            <w:tcW w:type="dxa" w:w="1805"/>
          </w:tcPr>
          <w:p>
            <w:pPr>
              <w:spacing w:before="20" w:after="20" w:line="240" w:lineRule="auto"/>
            </w:pPr>
            <w:r/>
            <w:r>
              <w:rPr>
                <w:rFonts w:ascii="Times New Roman" w:hAnsi="Times New Roman"/>
                <w:b/>
                <w:i w:val="0"/>
                <w:sz w:val="20"/>
              </w:rPr>
              <w:t>P2</w:t>
            </w:r>
          </w:p>
        </w:tc>
        <w:tc>
          <w:tcPr>
            <w:tcW w:type="dxa" w:w="1805"/>
          </w:tcPr>
          <w:p>
            <w:pPr>
              <w:spacing w:before="20" w:after="20" w:line="240" w:lineRule="auto"/>
            </w:pPr>
            <w:r/>
            <w:r>
              <w:rPr>
                <w:rFonts w:ascii="Times New Roman" w:hAnsi="Times New Roman"/>
                <w:b w:val="0"/>
                <w:i w:val="0"/>
                <w:sz w:val="20"/>
              </w:rPr>
              <w:t>0.24</w:t>
            </w:r>
          </w:p>
        </w:tc>
        <w:tc>
          <w:tcPr>
            <w:tcW w:type="dxa" w:w="1805"/>
          </w:tcPr>
          <w:p>
            <w:pPr>
              <w:spacing w:before="20" w:after="20" w:line="240" w:lineRule="auto"/>
            </w:pPr>
            <w:r/>
            <w:r>
              <w:rPr>
                <w:rFonts w:ascii="Times New Roman" w:hAnsi="Times New Roman"/>
                <w:b w:val="0"/>
                <w:i w:val="0"/>
                <w:sz w:val="20"/>
              </w:rPr>
              <w:t>2100</w:t>
            </w:r>
          </w:p>
        </w:tc>
        <w:tc>
          <w:tcPr>
            <w:tcW w:type="dxa" w:w="1805"/>
          </w:tcPr>
          <w:p>
            <w:pPr>
              <w:spacing w:before="20" w:after="20" w:line="240" w:lineRule="auto"/>
            </w:pPr>
            <w:r/>
            <w:r>
              <w:rPr>
                <w:rFonts w:ascii="Times New Roman" w:hAnsi="Times New Roman"/>
                <w:b w:val="0"/>
                <w:i w:val="0"/>
                <w:sz w:val="20"/>
              </w:rPr>
              <w:t>8.9</w:t>
            </w:r>
          </w:p>
        </w:tc>
        <w:tc>
          <w:tcPr>
            <w:tcW w:type="dxa" w:w="1805"/>
          </w:tcPr>
          <w:p>
            <w:pPr>
              <w:spacing w:before="20" w:after="20" w:line="240" w:lineRule="auto"/>
            </w:pPr>
            <w:r/>
            <w:r>
              <w:rPr>
                <w:rFonts w:ascii="Times New Roman" w:hAnsi="Times New Roman"/>
                <w:b w:val="0"/>
                <w:i w:val="0"/>
                <w:sz w:val="20"/>
              </w:rPr>
              <w:t>Minor flavonoid glycoside (unidentified)</w:t>
            </w:r>
          </w:p>
        </w:tc>
      </w:tr>
      <w:tr>
        <w:tc>
          <w:tcPr>
            <w:tcW w:type="dxa" w:w="1805"/>
          </w:tcPr>
          <w:p>
            <w:pPr>
              <w:spacing w:before="20" w:after="20" w:line="240" w:lineRule="auto"/>
            </w:pPr>
            <w:r/>
            <w:r>
              <w:rPr>
                <w:rFonts w:ascii="Times New Roman" w:hAnsi="Times New Roman"/>
                <w:b/>
                <w:i w:val="0"/>
                <w:sz w:val="20"/>
              </w:rPr>
              <w:t>P3</w:t>
            </w:r>
          </w:p>
        </w:tc>
        <w:tc>
          <w:tcPr>
            <w:tcW w:type="dxa" w:w="1805"/>
          </w:tcPr>
          <w:p>
            <w:pPr>
              <w:spacing w:before="20" w:after="20" w:line="240" w:lineRule="auto"/>
            </w:pPr>
            <w:r/>
            <w:r>
              <w:rPr>
                <w:rFonts w:ascii="Times New Roman" w:hAnsi="Times New Roman"/>
                <w:b w:val="0"/>
                <w:i w:val="0"/>
                <w:sz w:val="20"/>
              </w:rPr>
              <w:t>0.36</w:t>
            </w:r>
          </w:p>
        </w:tc>
        <w:tc>
          <w:tcPr>
            <w:tcW w:type="dxa" w:w="1805"/>
          </w:tcPr>
          <w:p>
            <w:pPr>
              <w:spacing w:before="20" w:after="20" w:line="240" w:lineRule="auto"/>
            </w:pPr>
            <w:r/>
            <w:r>
              <w:rPr>
                <w:rFonts w:ascii="Times New Roman" w:hAnsi="Times New Roman"/>
                <w:b w:val="0"/>
                <w:i w:val="0"/>
                <w:sz w:val="20"/>
              </w:rPr>
              <w:t>2480</w:t>
            </w:r>
          </w:p>
        </w:tc>
        <w:tc>
          <w:tcPr>
            <w:tcW w:type="dxa" w:w="1805"/>
          </w:tcPr>
          <w:p>
            <w:pPr>
              <w:spacing w:before="20" w:after="20" w:line="240" w:lineRule="auto"/>
            </w:pPr>
            <w:r/>
            <w:r>
              <w:rPr>
                <w:rFonts w:ascii="Times New Roman" w:hAnsi="Times New Roman"/>
                <w:b w:val="0"/>
                <w:i w:val="0"/>
                <w:sz w:val="20"/>
              </w:rPr>
              <w:t>10.5</w:t>
            </w:r>
          </w:p>
        </w:tc>
        <w:tc>
          <w:tcPr>
            <w:tcW w:type="dxa" w:w="1805"/>
          </w:tcPr>
          <w:p>
            <w:pPr>
              <w:spacing w:before="20" w:after="20" w:line="240" w:lineRule="auto"/>
            </w:pPr>
            <w:r/>
            <w:r>
              <w:rPr>
                <w:rFonts w:ascii="Times New Roman" w:hAnsi="Times New Roman"/>
                <w:b w:val="0"/>
                <w:i w:val="0"/>
                <w:sz w:val="20"/>
              </w:rPr>
              <w:t>Flavonoid (unidentified)</w:t>
            </w:r>
          </w:p>
        </w:tc>
      </w:tr>
      <w:tr>
        <w:tc>
          <w:tcPr>
            <w:tcW w:type="dxa" w:w="1805"/>
          </w:tcPr>
          <w:p>
            <w:pPr>
              <w:spacing w:before="20" w:after="20" w:line="240" w:lineRule="auto"/>
            </w:pPr>
            <w:r/>
            <w:r>
              <w:rPr>
                <w:rFonts w:ascii="Times New Roman" w:hAnsi="Times New Roman"/>
                <w:b/>
                <w:i w:val="0"/>
                <w:sz w:val="20"/>
              </w:rPr>
              <w:t>P4</w:t>
            </w:r>
          </w:p>
        </w:tc>
        <w:tc>
          <w:tcPr>
            <w:tcW w:type="dxa" w:w="1805"/>
          </w:tcPr>
          <w:p>
            <w:pPr>
              <w:spacing w:before="20" w:after="20" w:line="240" w:lineRule="auto"/>
            </w:pPr>
            <w:r/>
            <w:r>
              <w:rPr>
                <w:rFonts w:ascii="Times New Roman" w:hAnsi="Times New Roman"/>
                <w:b w:val="0"/>
                <w:i w:val="0"/>
                <w:sz w:val="20"/>
              </w:rPr>
              <w:t>0.45</w:t>
            </w:r>
          </w:p>
        </w:tc>
        <w:tc>
          <w:tcPr>
            <w:tcW w:type="dxa" w:w="1805"/>
          </w:tcPr>
          <w:p>
            <w:pPr>
              <w:spacing w:before="20" w:after="20" w:line="240" w:lineRule="auto"/>
            </w:pPr>
            <w:r/>
            <w:r>
              <w:rPr>
                <w:rFonts w:ascii="Times New Roman" w:hAnsi="Times New Roman"/>
                <w:b w:val="0"/>
                <w:i w:val="0"/>
                <w:sz w:val="20"/>
              </w:rPr>
              <w:t>1890</w:t>
            </w:r>
          </w:p>
        </w:tc>
        <w:tc>
          <w:tcPr>
            <w:tcW w:type="dxa" w:w="1805"/>
          </w:tcPr>
          <w:p>
            <w:pPr>
              <w:spacing w:before="20" w:after="20" w:line="240" w:lineRule="auto"/>
            </w:pPr>
            <w:r/>
            <w:r>
              <w:rPr>
                <w:rFonts w:ascii="Times New Roman" w:hAnsi="Times New Roman"/>
                <w:b w:val="0"/>
                <w:i w:val="0"/>
                <w:sz w:val="20"/>
              </w:rPr>
              <w:t>8.0</w:t>
            </w:r>
          </w:p>
        </w:tc>
        <w:tc>
          <w:tcPr>
            <w:tcW w:type="dxa" w:w="1805"/>
          </w:tcPr>
          <w:p>
            <w:pPr>
              <w:spacing w:before="20" w:after="20" w:line="240" w:lineRule="auto"/>
            </w:pPr>
            <w:r/>
            <w:r>
              <w:rPr>
                <w:rFonts w:ascii="Times New Roman" w:hAnsi="Times New Roman"/>
                <w:b w:val="0"/>
                <w:i w:val="0"/>
                <w:sz w:val="20"/>
              </w:rPr>
              <w:t>Minor constituent (unidentified)</w:t>
            </w:r>
          </w:p>
        </w:tc>
      </w:tr>
      <w:tr>
        <w:tc>
          <w:tcPr>
            <w:tcW w:type="dxa" w:w="1805"/>
          </w:tcPr>
          <w:p>
            <w:pPr>
              <w:spacing w:before="20" w:after="20" w:line="240" w:lineRule="auto"/>
            </w:pPr>
            <w:r/>
            <w:r>
              <w:rPr>
                <w:rFonts w:ascii="Times New Roman" w:hAnsi="Times New Roman"/>
                <w:b/>
                <w:i w:val="0"/>
                <w:sz w:val="20"/>
              </w:rPr>
              <w:t>P5</w:t>
            </w:r>
          </w:p>
        </w:tc>
        <w:tc>
          <w:tcPr>
            <w:tcW w:type="dxa" w:w="1805"/>
          </w:tcPr>
          <w:p>
            <w:pPr>
              <w:spacing w:before="20" w:after="20" w:line="240" w:lineRule="auto"/>
            </w:pPr>
            <w:r/>
            <w:r>
              <w:rPr>
                <w:rFonts w:ascii="Times New Roman" w:hAnsi="Times New Roman"/>
                <w:b w:val="0"/>
                <w:i w:val="0"/>
                <w:sz w:val="20"/>
              </w:rPr>
              <w:t>0.55</w:t>
            </w:r>
          </w:p>
        </w:tc>
        <w:tc>
          <w:tcPr>
            <w:tcW w:type="dxa" w:w="1805"/>
          </w:tcPr>
          <w:p>
            <w:pPr>
              <w:spacing w:before="20" w:after="20" w:line="240" w:lineRule="auto"/>
            </w:pPr>
            <w:r/>
            <w:r>
              <w:rPr>
                <w:rFonts w:ascii="Times New Roman" w:hAnsi="Times New Roman"/>
                <w:b w:val="0"/>
                <w:i w:val="0"/>
                <w:sz w:val="20"/>
              </w:rPr>
              <w:t>8650</w:t>
            </w:r>
          </w:p>
        </w:tc>
        <w:tc>
          <w:tcPr>
            <w:tcW w:type="dxa" w:w="1805"/>
          </w:tcPr>
          <w:p>
            <w:pPr>
              <w:spacing w:before="20" w:after="20" w:line="240" w:lineRule="auto"/>
            </w:pPr>
            <w:r/>
            <w:r>
              <w:rPr>
                <w:rFonts w:ascii="Times New Roman" w:hAnsi="Times New Roman"/>
                <w:b w:val="0"/>
                <w:i w:val="0"/>
                <w:sz w:val="20"/>
              </w:rPr>
              <w:t>36.6</w:t>
            </w:r>
          </w:p>
        </w:tc>
        <w:tc>
          <w:tcPr>
            <w:tcW w:type="dxa" w:w="1805"/>
          </w:tcPr>
          <w:p>
            <w:pPr>
              <w:spacing w:before="20" w:after="20" w:line="240" w:lineRule="auto"/>
            </w:pPr>
            <w:r/>
            <w:r>
              <w:rPr>
                <w:rFonts w:ascii="Times New Roman" w:hAnsi="Times New Roman"/>
                <w:b w:val="0"/>
                <w:i w:val="0"/>
                <w:sz w:val="20"/>
              </w:rPr>
              <w:t>Quercetin (matches standard, Figure 2B)</w:t>
            </w:r>
          </w:p>
        </w:tc>
      </w:tr>
      <w:tr>
        <w:tc>
          <w:tcPr>
            <w:tcW w:type="dxa" w:w="1805"/>
          </w:tcPr>
          <w:p>
            <w:pPr>
              <w:spacing w:before="20" w:after="20" w:line="240" w:lineRule="auto"/>
            </w:pPr>
            <w:r/>
            <w:r>
              <w:rPr>
                <w:rFonts w:ascii="Times New Roman" w:hAnsi="Times New Roman"/>
                <w:b/>
                <w:i w:val="0"/>
                <w:sz w:val="20"/>
              </w:rPr>
              <w:t>P6</w:t>
            </w:r>
          </w:p>
        </w:tc>
        <w:tc>
          <w:tcPr>
            <w:tcW w:type="dxa" w:w="1805"/>
          </w:tcPr>
          <w:p>
            <w:pPr>
              <w:spacing w:before="20" w:after="20" w:line="240" w:lineRule="auto"/>
            </w:pPr>
            <w:r/>
            <w:r>
              <w:rPr>
                <w:rFonts w:ascii="Times New Roman" w:hAnsi="Times New Roman"/>
                <w:b w:val="0"/>
                <w:i w:val="0"/>
                <w:sz w:val="20"/>
              </w:rPr>
              <w:t>0.67</w:t>
            </w:r>
          </w:p>
        </w:tc>
        <w:tc>
          <w:tcPr>
            <w:tcW w:type="dxa" w:w="1805"/>
          </w:tcPr>
          <w:p>
            <w:pPr>
              <w:spacing w:before="20" w:after="20" w:line="240" w:lineRule="auto"/>
            </w:pPr>
            <w:r/>
            <w:r>
              <w:rPr>
                <w:rFonts w:ascii="Times New Roman" w:hAnsi="Times New Roman"/>
                <w:b w:val="0"/>
                <w:i w:val="0"/>
                <w:sz w:val="20"/>
              </w:rPr>
              <w:t>2360</w:t>
            </w:r>
          </w:p>
        </w:tc>
        <w:tc>
          <w:tcPr>
            <w:tcW w:type="dxa" w:w="1805"/>
          </w:tcPr>
          <w:p>
            <w:pPr>
              <w:spacing w:before="20" w:after="20" w:line="240" w:lineRule="auto"/>
            </w:pPr>
            <w:r/>
            <w:r>
              <w:rPr>
                <w:rFonts w:ascii="Times New Roman" w:hAnsi="Times New Roman"/>
                <w:b w:val="0"/>
                <w:i w:val="0"/>
                <w:sz w:val="20"/>
              </w:rPr>
              <w:t>10.0</w:t>
            </w:r>
          </w:p>
        </w:tc>
        <w:tc>
          <w:tcPr>
            <w:tcW w:type="dxa" w:w="1805"/>
          </w:tcPr>
          <w:p>
            <w:pPr>
              <w:spacing w:before="20" w:after="20" w:line="240" w:lineRule="auto"/>
            </w:pPr>
            <w:r/>
            <w:r>
              <w:rPr>
                <w:rFonts w:ascii="Times New Roman" w:hAnsi="Times New Roman"/>
                <w:b w:val="0"/>
                <w:i w:val="0"/>
                <w:sz w:val="20"/>
              </w:rPr>
              <w:t>Flavonoid (unidentified)</w:t>
            </w:r>
          </w:p>
        </w:tc>
      </w:tr>
      <w:tr>
        <w:tc>
          <w:tcPr>
            <w:tcW w:type="dxa" w:w="1805"/>
          </w:tcPr>
          <w:p>
            <w:pPr>
              <w:spacing w:before="20" w:after="20" w:line="240" w:lineRule="auto"/>
            </w:pPr>
            <w:r/>
            <w:r>
              <w:rPr>
                <w:rFonts w:ascii="Times New Roman" w:hAnsi="Times New Roman"/>
                <w:b/>
                <w:i w:val="0"/>
                <w:sz w:val="20"/>
              </w:rPr>
              <w:t>P7</w:t>
            </w:r>
          </w:p>
        </w:tc>
        <w:tc>
          <w:tcPr>
            <w:tcW w:type="dxa" w:w="1805"/>
          </w:tcPr>
          <w:p>
            <w:pPr>
              <w:spacing w:before="20" w:after="20" w:line="240" w:lineRule="auto"/>
            </w:pPr>
            <w:r/>
            <w:r>
              <w:rPr>
                <w:rFonts w:ascii="Times New Roman" w:hAnsi="Times New Roman"/>
                <w:b w:val="0"/>
                <w:i w:val="0"/>
                <w:sz w:val="20"/>
              </w:rPr>
              <w:t>0.78</w:t>
            </w:r>
          </w:p>
        </w:tc>
        <w:tc>
          <w:tcPr>
            <w:tcW w:type="dxa" w:w="1805"/>
          </w:tcPr>
          <w:p>
            <w:pPr>
              <w:spacing w:before="20" w:after="20" w:line="240" w:lineRule="auto"/>
            </w:pPr>
            <w:r/>
            <w:r>
              <w:rPr>
                <w:rFonts w:ascii="Times New Roman" w:hAnsi="Times New Roman"/>
                <w:b w:val="0"/>
                <w:i w:val="0"/>
                <w:sz w:val="20"/>
              </w:rPr>
              <w:t>1820</w:t>
            </w:r>
          </w:p>
        </w:tc>
        <w:tc>
          <w:tcPr>
            <w:tcW w:type="dxa" w:w="1805"/>
          </w:tcPr>
          <w:p>
            <w:pPr>
              <w:spacing w:before="20" w:after="20" w:line="240" w:lineRule="auto"/>
            </w:pPr>
            <w:r/>
            <w:r>
              <w:rPr>
                <w:rFonts w:ascii="Times New Roman" w:hAnsi="Times New Roman"/>
                <w:b w:val="0"/>
                <w:i w:val="0"/>
                <w:sz w:val="20"/>
              </w:rPr>
              <w:t>7.7</w:t>
            </w:r>
          </w:p>
        </w:tc>
        <w:tc>
          <w:tcPr>
            <w:tcW w:type="dxa" w:w="1805"/>
          </w:tcPr>
          <w:p>
            <w:pPr>
              <w:spacing w:before="20" w:after="20" w:line="240" w:lineRule="auto"/>
            </w:pPr>
            <w:r/>
            <w:r>
              <w:rPr>
                <w:rFonts w:ascii="Times New Roman" w:hAnsi="Times New Roman"/>
                <w:b w:val="0"/>
                <w:i w:val="0"/>
                <w:sz w:val="20"/>
              </w:rPr>
              <w:t>Minor constituent (unidentified)</w:t>
            </w:r>
          </w:p>
        </w:tc>
      </w:tr>
      <w:tr>
        <w:tc>
          <w:tcPr>
            <w:tcW w:type="dxa" w:w="1805"/>
          </w:tcPr>
          <w:p>
            <w:pPr>
              <w:spacing w:before="20" w:after="20" w:line="240" w:lineRule="auto"/>
            </w:pPr>
            <w:r/>
            <w:r>
              <w:rPr>
                <w:rFonts w:ascii="Times New Roman" w:hAnsi="Times New Roman"/>
                <w:b/>
                <w:i w:val="0"/>
                <w:sz w:val="20"/>
              </w:rPr>
              <w:t>P8</w:t>
            </w:r>
          </w:p>
        </w:tc>
        <w:tc>
          <w:tcPr>
            <w:tcW w:type="dxa" w:w="1805"/>
          </w:tcPr>
          <w:p>
            <w:pPr>
              <w:spacing w:before="20" w:after="20" w:line="240" w:lineRule="auto"/>
            </w:pPr>
            <w:r/>
            <w:r>
              <w:rPr>
                <w:rFonts w:ascii="Times New Roman" w:hAnsi="Times New Roman"/>
                <w:b w:val="0"/>
                <w:i w:val="0"/>
                <w:sz w:val="20"/>
              </w:rPr>
              <w:t>0.88</w:t>
            </w:r>
          </w:p>
        </w:tc>
        <w:tc>
          <w:tcPr>
            <w:tcW w:type="dxa" w:w="1805"/>
          </w:tcPr>
          <w:p>
            <w:pPr>
              <w:spacing w:before="20" w:after="20" w:line="240" w:lineRule="auto"/>
            </w:pPr>
            <w:r/>
            <w:r>
              <w:rPr>
                <w:rFonts w:ascii="Times New Roman" w:hAnsi="Times New Roman"/>
                <w:b w:val="0"/>
                <w:i w:val="0"/>
                <w:sz w:val="20"/>
              </w:rPr>
              <w:t>2670</w:t>
            </w:r>
          </w:p>
        </w:tc>
        <w:tc>
          <w:tcPr>
            <w:tcW w:type="dxa" w:w="1805"/>
          </w:tcPr>
          <w:p>
            <w:pPr>
              <w:spacing w:before="20" w:after="20" w:line="240" w:lineRule="auto"/>
            </w:pPr>
            <w:r/>
            <w:r>
              <w:rPr>
                <w:rFonts w:ascii="Times New Roman" w:hAnsi="Times New Roman"/>
                <w:b w:val="0"/>
                <w:i w:val="0"/>
                <w:sz w:val="20"/>
              </w:rPr>
              <w:t>11.3</w:t>
            </w:r>
          </w:p>
        </w:tc>
        <w:tc>
          <w:tcPr>
            <w:tcW w:type="dxa" w:w="1805"/>
          </w:tcPr>
          <w:p>
            <w:pPr>
              <w:spacing w:before="20" w:after="20" w:line="240" w:lineRule="auto"/>
            </w:pPr>
            <w:r/>
            <w:r>
              <w:rPr>
                <w:rFonts w:ascii="Times New Roman" w:hAnsi="Times New Roman"/>
                <w:b w:val="0"/>
                <w:i w:val="0"/>
                <w:sz w:val="20"/>
              </w:rPr>
              <w:t>Minor constituent (unidentified)</w:t>
            </w:r>
          </w:p>
        </w:tc>
      </w:tr>
    </w:tbl>
    <w:p>
      <w:pPr>
        <w:spacing w:after="120" w:line="276" w:lineRule="auto"/>
        <w:jc w:val="both"/>
      </w:pPr>
      <w:r>
        <w:rPr>
          <w:rFonts w:ascii="Times New Roman" w:hAnsi="Times New Roman"/>
          <w:b/>
          <w:i w:val="0"/>
          <w:sz w:val="22"/>
        </w:rPr>
        <w:t xml:space="preserve">Key observation. </w:t>
      </w:r>
      <w:r>
        <w:rPr>
          <w:rFonts w:ascii="Times New Roman" w:hAnsi="Times New Roman"/>
          <w:b w:val="0"/>
          <w:i w:val="0"/>
          <w:sz w:val="22"/>
        </w:rPr>
        <w:t>The Rf value of peak P5 in the EA fraction (Rf 0.55) is identical (within ±0.02) to the Rf of the quercetin standard, and P5 is the dominant band of the fraction (~36.6% of the total integrated peak area). This provides the first line of evidence for the presence of quercetin in the sample.</w:t>
      </w:r>
    </w:p>
    <w:p>
      <w:pPr>
        <w:keepNext/>
        <w:spacing w:before="200" w:after="80"/>
      </w:pPr>
      <w:r>
        <w:rPr>
          <w:rFonts w:ascii="Times New Roman" w:hAnsi="Times New Roman"/>
          <w:b/>
          <w:i w:val="0"/>
          <w:sz w:val="26"/>
        </w:rPr>
        <w:t>5. 3D Densitogram (All-Track Comparison)</w:t>
      </w:r>
    </w:p>
    <w:p>
      <w:pPr>
        <w:spacing w:after="120" w:line="276" w:lineRule="auto"/>
        <w:jc w:val="both"/>
      </w:pPr>
      <w:r>
        <w:rPr>
          <w:rFonts w:ascii="Times New Roman" w:hAnsi="Times New Roman"/>
          <w:b w:val="0"/>
          <w:i w:val="0"/>
          <w:sz w:val="22"/>
        </w:rPr>
        <w:t>The 3D densitogram (Figure 3) shows all tracks in a single waterfall-style plot, with the retention factor (Rf) on the x-axis, the track on the y-axis, and the densitometric response (AU) on the z-axis. Track A (Standard) corresponds to quercetin and shows a single dominant ridge at Rf 0.55, while Track B (Sample) shows the multi-peak fingerprint of the EA fraction. The alignment of the quercetin ridge of the standard with the corresponding ridge of the sample confirms the presence of the standard compound in the extract.</w:t>
      </w:r>
    </w:p>
    <w:p>
      <w:pPr>
        <w:spacing w:before="120" w:after="40"/>
        <w:jc w:val="center"/>
      </w:pPr>
      <w:r>
        <w:drawing>
          <wp:inline xmlns:a="http://schemas.openxmlformats.org/drawingml/2006/main" xmlns:pic="http://schemas.openxmlformats.org/drawingml/2006/picture">
            <wp:extent cx="5486400" cy="5279254"/>
            <wp:docPr id="3" name="Picture 3"/>
            <wp:cNvGraphicFramePr>
              <a:graphicFrameLocks noChangeAspect="1"/>
            </wp:cNvGraphicFramePr>
            <a:graphic>
              <a:graphicData uri="http://schemas.openxmlformats.org/drawingml/2006/picture">
                <pic:pic>
                  <pic:nvPicPr>
                    <pic:cNvPr id="0" name="fig_3d_densitogram.png"/>
                    <pic:cNvPicPr/>
                  </pic:nvPicPr>
                  <pic:blipFill>
                    <a:blip r:embed="rId11"/>
                    <a:stretch>
                      <a:fillRect/>
                    </a:stretch>
                  </pic:blipFill>
                  <pic:spPr>
                    <a:xfrm>
                      <a:off x="0" y="0"/>
                      <a:ext cx="5486400" cy="5279254"/>
                    </a:xfrm>
                    <a:prstGeom prst="rect"/>
                  </pic:spPr>
                </pic:pic>
              </a:graphicData>
            </a:graphic>
          </wp:inline>
        </w:drawing>
      </w:r>
    </w:p>
    <w:p>
      <w:pPr>
        <w:spacing w:after="200" w:line="240" w:lineRule="auto"/>
        <w:jc w:val="center"/>
      </w:pPr>
      <w:r>
        <w:rPr>
          <w:rFonts w:ascii="Times New Roman" w:hAnsi="Times New Roman"/>
          <w:b/>
          <w:i w:val="0"/>
          <w:sz w:val="19"/>
        </w:rPr>
        <w:t>Figure 3.</w:t>
      </w:r>
      <w:r>
        <w:rPr>
          <w:rFonts w:ascii="Times New Roman" w:hAnsi="Times New Roman"/>
          <w:b w:val="0"/>
          <w:i/>
          <w:sz w:val="19"/>
        </w:rPr>
        <w:t xml:space="preserve"> 3D HPTLC densitogram showing all tracks in 3D form and showing the presence of the standard in the sample. A. Standard (quercetin); B. Sample (EA fraction of S. trilobata).</w:t>
      </w:r>
    </w:p>
    <w:p>
      <w:pPr>
        <w:keepNext/>
        <w:spacing w:before="200" w:after="80"/>
      </w:pPr>
      <w:r>
        <w:rPr>
          <w:rFonts w:ascii="Times New Roman" w:hAnsi="Times New Roman"/>
          <w:b/>
          <w:i w:val="0"/>
          <w:sz w:val="26"/>
        </w:rPr>
        <w:t>6. Identification Summary</w:t>
      </w:r>
    </w:p>
    <w:p>
      <w:pPr>
        <w:keepNext/>
        <w:spacing w:before="160" w:after="80"/>
      </w:pPr>
      <w:r>
        <w:rPr>
          <w:rFonts w:ascii="Times New Roman" w:hAnsi="Times New Roman"/>
          <w:b/>
          <w:i w:val="0"/>
          <w:sz w:val="23"/>
        </w:rPr>
        <w:t>6.1. Rf comparison</w:t>
      </w:r>
    </w:p>
    <w:tbl>
      <w:tblPr>
        <w:tblStyle w:val="TableGrid"/>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4" w:color="000000"/>
          <w:insideV w:val="single" w:sz="4" w:color="000000"/>
        </w:tblBorders>
        <w:tblCellMar>
          <w:top w:w="40" w:type="dxa"/>
          <w:left w:w="80" w:type="dxa"/>
          <w:bottom w:w="40" w:type="dxa"/>
          <w:right w:w="80" w:type="dxa"/>
        </w:tblCellMar>
      </w:tblPr>
      <w:tblGrid>
        <w:gridCol w:w="1805"/>
        <w:gridCol w:w="1805"/>
        <w:gridCol w:w="1805"/>
        <w:gridCol w:w="1805"/>
        <w:gridCol w:w="1805"/>
      </w:tblGrid>
      <w:tr>
        <w:tc>
          <w:tcPr>
            <w:tcW w:type="dxa" w:w="1805"/>
            <w:shd w:fill="D9D9D9"/>
          </w:tcPr>
          <w:p>
            <w:pPr>
              <w:spacing w:before="20" w:after="20" w:line="240" w:lineRule="auto"/>
              <w:jc w:val="center"/>
            </w:pPr>
            <w:r/>
            <w:r>
              <w:rPr>
                <w:rFonts w:ascii="Times New Roman" w:hAnsi="Times New Roman"/>
                <w:b/>
                <w:i w:val="0"/>
                <w:sz w:val="20"/>
              </w:rPr>
              <w:t>Compound / track</w:t>
            </w:r>
          </w:p>
        </w:tc>
        <w:tc>
          <w:tcPr>
            <w:tcW w:type="dxa" w:w="1805"/>
            <w:shd w:fill="D9D9D9"/>
          </w:tcPr>
          <w:p>
            <w:pPr>
              <w:spacing w:before="20" w:after="20" w:line="240" w:lineRule="auto"/>
              <w:jc w:val="center"/>
            </w:pPr>
            <w:r/>
            <w:r>
              <w:rPr>
                <w:rFonts w:ascii="Times New Roman" w:hAnsi="Times New Roman"/>
                <w:b/>
                <w:i w:val="0"/>
                <w:sz w:val="20"/>
              </w:rPr>
              <w:t>Rf (standard)</w:t>
            </w:r>
          </w:p>
        </w:tc>
        <w:tc>
          <w:tcPr>
            <w:tcW w:type="dxa" w:w="1805"/>
            <w:shd w:fill="D9D9D9"/>
          </w:tcPr>
          <w:p>
            <w:pPr>
              <w:spacing w:before="20" w:after="20" w:line="240" w:lineRule="auto"/>
              <w:jc w:val="center"/>
            </w:pPr>
            <w:r/>
            <w:r>
              <w:rPr>
                <w:rFonts w:ascii="Times New Roman" w:hAnsi="Times New Roman"/>
                <w:b/>
                <w:i w:val="0"/>
                <w:sz w:val="20"/>
              </w:rPr>
              <w:t>Rf (EA fraction)</w:t>
            </w:r>
          </w:p>
        </w:tc>
        <w:tc>
          <w:tcPr>
            <w:tcW w:type="dxa" w:w="1805"/>
            <w:shd w:fill="D9D9D9"/>
          </w:tcPr>
          <w:p>
            <w:pPr>
              <w:spacing w:before="20" w:after="20" w:line="240" w:lineRule="auto"/>
              <w:jc w:val="center"/>
            </w:pPr>
            <w:r/>
            <w:r>
              <w:rPr>
                <w:rFonts w:ascii="Times New Roman" w:hAnsi="Times New Roman"/>
                <w:b/>
                <w:i w:val="0"/>
                <w:sz w:val="20"/>
              </w:rPr>
              <w:t>ΔRf</w:t>
            </w:r>
          </w:p>
        </w:tc>
        <w:tc>
          <w:tcPr>
            <w:tcW w:type="dxa" w:w="1805"/>
            <w:shd w:fill="D9D9D9"/>
          </w:tcPr>
          <w:p>
            <w:pPr>
              <w:spacing w:before="20" w:after="20" w:line="240" w:lineRule="auto"/>
              <w:jc w:val="center"/>
            </w:pPr>
            <w:r/>
            <w:r>
              <w:rPr>
                <w:rFonts w:ascii="Times New Roman" w:hAnsi="Times New Roman"/>
                <w:b/>
                <w:i w:val="0"/>
                <w:sz w:val="20"/>
              </w:rPr>
              <w:t>Match</w:t>
            </w:r>
          </w:p>
        </w:tc>
      </w:tr>
      <w:tr>
        <w:tc>
          <w:tcPr>
            <w:tcW w:type="dxa" w:w="1805"/>
          </w:tcPr>
          <w:p>
            <w:pPr>
              <w:spacing w:before="20" w:after="20" w:line="240" w:lineRule="auto"/>
            </w:pPr>
            <w:r/>
            <w:r>
              <w:rPr>
                <w:rFonts w:ascii="Times New Roman" w:hAnsi="Times New Roman"/>
                <w:b/>
                <w:i w:val="0"/>
                <w:sz w:val="20"/>
              </w:rPr>
              <w:t>Quercetin</w:t>
            </w:r>
          </w:p>
        </w:tc>
        <w:tc>
          <w:tcPr>
            <w:tcW w:type="dxa" w:w="1805"/>
          </w:tcPr>
          <w:p>
            <w:pPr>
              <w:spacing w:before="20" w:after="20" w:line="240" w:lineRule="auto"/>
            </w:pPr>
            <w:r/>
            <w:r>
              <w:rPr>
                <w:rFonts w:ascii="Times New Roman" w:hAnsi="Times New Roman"/>
                <w:b w:val="0"/>
                <w:i w:val="0"/>
                <w:sz w:val="20"/>
              </w:rPr>
              <w:t>0.55</w:t>
            </w:r>
          </w:p>
        </w:tc>
        <w:tc>
          <w:tcPr>
            <w:tcW w:type="dxa" w:w="1805"/>
          </w:tcPr>
          <w:p>
            <w:pPr>
              <w:spacing w:before="20" w:after="20" w:line="240" w:lineRule="auto"/>
            </w:pPr>
            <w:r/>
            <w:r>
              <w:rPr>
                <w:rFonts w:ascii="Times New Roman" w:hAnsi="Times New Roman"/>
                <w:b w:val="0"/>
                <w:i w:val="0"/>
                <w:sz w:val="20"/>
              </w:rPr>
              <w:t>0.55 (P5)</w:t>
            </w:r>
          </w:p>
        </w:tc>
        <w:tc>
          <w:tcPr>
            <w:tcW w:type="dxa" w:w="1805"/>
          </w:tcPr>
          <w:p>
            <w:pPr>
              <w:spacing w:before="20" w:after="20" w:line="240" w:lineRule="auto"/>
            </w:pPr>
            <w:r/>
            <w:r>
              <w:rPr>
                <w:rFonts w:ascii="Times New Roman" w:hAnsi="Times New Roman"/>
                <w:b w:val="0"/>
                <w:i w:val="0"/>
                <w:sz w:val="20"/>
              </w:rPr>
              <w:t>0.00</w:t>
            </w:r>
          </w:p>
        </w:tc>
        <w:tc>
          <w:tcPr>
            <w:tcW w:type="dxa" w:w="1805"/>
          </w:tcPr>
          <w:p>
            <w:pPr>
              <w:spacing w:before="20" w:after="20" w:line="240" w:lineRule="auto"/>
            </w:pPr>
            <w:r/>
            <w:r>
              <w:rPr>
                <w:rFonts w:ascii="Times New Roman" w:hAnsi="Times New Roman"/>
                <w:b w:val="0"/>
                <w:i w:val="0"/>
                <w:sz w:val="20"/>
              </w:rPr>
              <w:t>Confirmed</w:t>
            </w:r>
          </w:p>
        </w:tc>
      </w:tr>
    </w:tbl>
    <w:p>
      <w:pPr>
        <w:keepNext/>
        <w:spacing w:before="160" w:after="80"/>
      </w:pPr>
      <w:r>
        <w:rPr>
          <w:rFonts w:ascii="Times New Roman" w:hAnsi="Times New Roman"/>
          <w:b/>
          <w:i w:val="0"/>
          <w:sz w:val="23"/>
        </w:rPr>
        <w:t>6.2. Multi-criteria identification</w:t>
      </w:r>
    </w:p>
    <w:tbl>
      <w:tblPr>
        <w:tblStyle w:val="TableGrid"/>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4" w:color="000000"/>
          <w:insideV w:val="single" w:sz="4" w:color="000000"/>
        </w:tblBorders>
        <w:tblCellMar>
          <w:top w:w="40" w:type="dxa"/>
          <w:left w:w="80" w:type="dxa"/>
          <w:bottom w:w="40" w:type="dxa"/>
          <w:right w:w="80" w:type="dxa"/>
        </w:tblCellMar>
      </w:tblPr>
      <w:tblGrid>
        <w:gridCol w:w="4513"/>
        <w:gridCol w:w="4513"/>
      </w:tblGrid>
      <w:tr>
        <w:tc>
          <w:tcPr>
            <w:tcW w:type="dxa" w:w="4513"/>
            <w:shd w:fill="D9D9D9"/>
          </w:tcPr>
          <w:p>
            <w:pPr>
              <w:spacing w:before="20" w:after="20" w:line="240" w:lineRule="auto"/>
              <w:jc w:val="center"/>
            </w:pPr>
            <w:r/>
            <w:r>
              <w:rPr>
                <w:rFonts w:ascii="Times New Roman" w:hAnsi="Times New Roman"/>
                <w:b/>
                <w:i w:val="0"/>
                <w:sz w:val="20"/>
              </w:rPr>
              <w:t>Identification criterion</w:t>
            </w:r>
          </w:p>
        </w:tc>
        <w:tc>
          <w:tcPr>
            <w:tcW w:type="dxa" w:w="4513"/>
            <w:shd w:fill="D9D9D9"/>
          </w:tcPr>
          <w:p>
            <w:pPr>
              <w:spacing w:before="20" w:after="20" w:line="240" w:lineRule="auto"/>
              <w:jc w:val="center"/>
            </w:pPr>
            <w:r/>
            <w:r>
              <w:rPr>
                <w:rFonts w:ascii="Times New Roman" w:hAnsi="Times New Roman"/>
                <w:b/>
                <w:i w:val="0"/>
                <w:sz w:val="20"/>
              </w:rPr>
              <w:t>Quercetin (P5)</w:t>
            </w:r>
          </w:p>
        </w:tc>
      </w:tr>
      <w:tr>
        <w:tc>
          <w:tcPr>
            <w:tcW w:type="dxa" w:w="4513"/>
          </w:tcPr>
          <w:p>
            <w:pPr>
              <w:spacing w:before="20" w:after="20" w:line="240" w:lineRule="auto"/>
            </w:pPr>
            <w:r/>
            <w:r>
              <w:rPr>
                <w:rFonts w:ascii="Times New Roman" w:hAnsi="Times New Roman"/>
                <w:b w:val="0"/>
                <w:i w:val="0"/>
                <w:sz w:val="20"/>
              </w:rPr>
              <w:t>Rf matching with standard</w:t>
            </w:r>
          </w:p>
        </w:tc>
        <w:tc>
          <w:tcPr>
            <w:tcW w:type="dxa" w:w="4513"/>
          </w:tcPr>
          <w:p>
            <w:pPr>
              <w:spacing w:before="20" w:after="20" w:line="240" w:lineRule="auto"/>
            </w:pPr>
            <w:r/>
            <w:r>
              <w:rPr>
                <w:rFonts w:ascii="Times New Roman" w:hAnsi="Times New Roman"/>
                <w:b w:val="0"/>
                <w:i w:val="0"/>
                <w:sz w:val="20"/>
              </w:rPr>
              <w:t>Yes (Rf 0.55)</w:t>
            </w:r>
          </w:p>
        </w:tc>
      </w:tr>
      <w:tr>
        <w:tc>
          <w:tcPr>
            <w:tcW w:type="dxa" w:w="4513"/>
          </w:tcPr>
          <w:p>
            <w:pPr>
              <w:spacing w:before="20" w:after="20" w:line="240" w:lineRule="auto"/>
            </w:pPr>
            <w:r/>
            <w:r>
              <w:rPr>
                <w:rFonts w:ascii="Times New Roman" w:hAnsi="Times New Roman"/>
                <w:b w:val="0"/>
                <w:i w:val="0"/>
                <w:sz w:val="20"/>
              </w:rPr>
              <w:t>Co-chromatography (spiking)</w:t>
            </w:r>
          </w:p>
        </w:tc>
        <w:tc>
          <w:tcPr>
            <w:tcW w:type="dxa" w:w="4513"/>
          </w:tcPr>
          <w:p>
            <w:pPr>
              <w:spacing w:before="20" w:after="20" w:line="240" w:lineRule="auto"/>
            </w:pPr>
            <w:r/>
            <w:r>
              <w:rPr>
                <w:rFonts w:ascii="Times New Roman" w:hAnsi="Times New Roman"/>
                <w:b w:val="0"/>
                <w:i w:val="0"/>
                <w:sz w:val="20"/>
              </w:rPr>
              <w:t>Single intensified band; no splitting</w:t>
            </w:r>
          </w:p>
        </w:tc>
      </w:tr>
      <w:tr>
        <w:tc>
          <w:tcPr>
            <w:tcW w:type="dxa" w:w="4513"/>
          </w:tcPr>
          <w:p>
            <w:pPr>
              <w:spacing w:before="20" w:after="20" w:line="240" w:lineRule="auto"/>
            </w:pPr>
            <w:r/>
            <w:r>
              <w:rPr>
                <w:rFonts w:ascii="Times New Roman" w:hAnsi="Times New Roman"/>
                <w:b w:val="0"/>
                <w:i w:val="0"/>
                <w:sz w:val="20"/>
              </w:rPr>
              <w:t>Colour at 366 nm (post NP–PEG)</w:t>
            </w:r>
          </w:p>
        </w:tc>
        <w:tc>
          <w:tcPr>
            <w:tcW w:type="dxa" w:w="4513"/>
          </w:tcPr>
          <w:p>
            <w:pPr>
              <w:spacing w:before="20" w:after="20" w:line="240" w:lineRule="auto"/>
            </w:pPr>
            <w:r/>
            <w:r>
              <w:rPr>
                <w:rFonts w:ascii="Times New Roman" w:hAnsi="Times New Roman"/>
                <w:b w:val="0"/>
                <w:i w:val="0"/>
                <w:sz w:val="20"/>
              </w:rPr>
              <w:t>Bright yellow fluorescence</w:t>
            </w:r>
          </w:p>
        </w:tc>
      </w:tr>
      <w:tr>
        <w:tc>
          <w:tcPr>
            <w:tcW w:type="dxa" w:w="4513"/>
          </w:tcPr>
          <w:p>
            <w:pPr>
              <w:spacing w:before="20" w:after="20" w:line="240" w:lineRule="auto"/>
            </w:pPr>
            <w:r/>
            <w:r>
              <w:rPr>
                <w:rFonts w:ascii="Times New Roman" w:hAnsi="Times New Roman"/>
                <w:b w:val="0"/>
                <w:i w:val="0"/>
                <w:sz w:val="20"/>
              </w:rPr>
              <w:t>UV λmax overlay</w:t>
            </w:r>
          </w:p>
        </w:tc>
        <w:tc>
          <w:tcPr>
            <w:tcW w:type="dxa" w:w="4513"/>
          </w:tcPr>
          <w:p>
            <w:pPr>
              <w:spacing w:before="20" w:after="20" w:line="240" w:lineRule="auto"/>
            </w:pPr>
            <w:r/>
            <w:r>
              <w:rPr>
                <w:rFonts w:ascii="Times New Roman" w:hAnsi="Times New Roman"/>
                <w:b w:val="0"/>
                <w:i w:val="0"/>
                <w:sz w:val="20"/>
              </w:rPr>
              <w:t>Superimposable with standard</w:t>
            </w:r>
          </w:p>
        </w:tc>
      </w:tr>
      <w:tr>
        <w:tc>
          <w:tcPr>
            <w:tcW w:type="dxa" w:w="4513"/>
          </w:tcPr>
          <w:p>
            <w:pPr>
              <w:spacing w:before="20" w:after="20" w:line="240" w:lineRule="auto"/>
            </w:pPr>
            <w:r/>
            <w:r>
              <w:rPr>
                <w:rFonts w:ascii="Times New Roman" w:hAnsi="Times New Roman"/>
                <w:b w:val="0"/>
                <w:i w:val="0"/>
                <w:sz w:val="20"/>
              </w:rPr>
              <w:t>Correlation (r) of spectra</w:t>
            </w:r>
          </w:p>
        </w:tc>
        <w:tc>
          <w:tcPr>
            <w:tcW w:type="dxa" w:w="4513"/>
          </w:tcPr>
          <w:p>
            <w:pPr>
              <w:spacing w:before="20" w:after="20" w:line="240" w:lineRule="auto"/>
            </w:pPr>
            <w:r/>
            <w:r>
              <w:rPr>
                <w:rFonts w:ascii="Times New Roman" w:hAnsi="Times New Roman"/>
                <w:b w:val="0"/>
                <w:i w:val="0"/>
                <w:sz w:val="20"/>
              </w:rPr>
              <w:t>r &gt; 0.999</w:t>
            </w:r>
          </w:p>
        </w:tc>
      </w:tr>
    </w:tbl>
    <w:p>
      <w:pPr>
        <w:spacing w:after="120" w:line="276" w:lineRule="auto"/>
        <w:jc w:val="both"/>
      </w:pPr>
      <w:r>
        <w:rPr>
          <w:rFonts w:ascii="Times New Roman" w:hAnsi="Times New Roman"/>
          <w:b w:val="0"/>
          <w:i w:val="0"/>
          <w:sz w:val="22"/>
        </w:rPr>
        <w:t>When the EA fraction was co-applied (spiked) with the quercetin standard on the same band, the corresponding peak (P5) showed a single intensified band with no peak splitting or shoulder formation and no change in Rf. This provides conclusive secondary confirmation that P5 corresponds to quercetin.</w:t>
      </w:r>
    </w:p>
    <w:p>
      <w:pPr>
        <w:keepNext/>
        <w:spacing w:before="200" w:after="80"/>
      </w:pPr>
      <w:r>
        <w:rPr>
          <w:rFonts w:ascii="Times New Roman" w:hAnsi="Times New Roman"/>
          <w:b/>
          <w:i w:val="0"/>
          <w:sz w:val="26"/>
        </w:rPr>
        <w:t>7. System Suitability and Method Performance</w:t>
      </w:r>
    </w:p>
    <w:tbl>
      <w:tblPr>
        <w:tblStyle w:val="TableGrid"/>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4" w:color="000000"/>
          <w:insideV w:val="single" w:sz="4" w:color="000000"/>
        </w:tblBorders>
        <w:tblCellMar>
          <w:top w:w="40" w:type="dxa"/>
          <w:left w:w="80" w:type="dxa"/>
          <w:bottom w:w="40" w:type="dxa"/>
          <w:right w:w="80" w:type="dxa"/>
        </w:tblCellMar>
      </w:tblPr>
      <w:tblGrid>
        <w:gridCol w:w="3009"/>
        <w:gridCol w:w="3009"/>
        <w:gridCol w:w="3009"/>
      </w:tblGrid>
      <w:tr>
        <w:tc>
          <w:tcPr>
            <w:tcW w:type="dxa" w:w="3009"/>
            <w:shd w:fill="D9D9D9"/>
          </w:tcPr>
          <w:p>
            <w:pPr>
              <w:spacing w:before="20" w:after="20" w:line="240" w:lineRule="auto"/>
              <w:jc w:val="center"/>
            </w:pPr>
            <w:r/>
            <w:r>
              <w:rPr>
                <w:rFonts w:ascii="Times New Roman" w:hAnsi="Times New Roman"/>
                <w:b/>
                <w:i w:val="0"/>
                <w:sz w:val="20"/>
              </w:rPr>
              <w:t>Parameter</w:t>
            </w:r>
          </w:p>
        </w:tc>
        <w:tc>
          <w:tcPr>
            <w:tcW w:type="dxa" w:w="3009"/>
            <w:shd w:fill="D9D9D9"/>
          </w:tcPr>
          <w:p>
            <w:pPr>
              <w:spacing w:before="20" w:after="20" w:line="240" w:lineRule="auto"/>
              <w:jc w:val="center"/>
            </w:pPr>
            <w:r/>
            <w:r>
              <w:rPr>
                <w:rFonts w:ascii="Times New Roman" w:hAnsi="Times New Roman"/>
                <w:b/>
                <w:i w:val="0"/>
                <w:sz w:val="20"/>
              </w:rPr>
              <w:t>Quercetin</w:t>
            </w:r>
          </w:p>
        </w:tc>
        <w:tc>
          <w:tcPr>
            <w:tcW w:type="dxa" w:w="3009"/>
            <w:shd w:fill="D9D9D9"/>
          </w:tcPr>
          <w:p>
            <w:pPr>
              <w:spacing w:before="20" w:after="20" w:line="240" w:lineRule="auto"/>
              <w:jc w:val="center"/>
            </w:pPr>
            <w:r/>
            <w:r>
              <w:rPr>
                <w:rFonts w:ascii="Times New Roman" w:hAnsi="Times New Roman"/>
                <w:b/>
                <w:i w:val="0"/>
                <w:sz w:val="20"/>
              </w:rPr>
              <w:t>Acceptance</w:t>
            </w:r>
          </w:p>
        </w:tc>
      </w:tr>
      <w:tr>
        <w:tc>
          <w:tcPr>
            <w:tcW w:type="dxa" w:w="3009"/>
          </w:tcPr>
          <w:p>
            <w:pPr>
              <w:spacing w:before="20" w:after="20" w:line="240" w:lineRule="auto"/>
            </w:pPr>
            <w:r/>
            <w:r>
              <w:rPr>
                <w:rFonts w:ascii="Times New Roman" w:hAnsi="Times New Roman"/>
                <w:b/>
                <w:i w:val="0"/>
                <w:sz w:val="20"/>
              </w:rPr>
              <w:t>Rf (mean, n = 3)</w:t>
            </w:r>
          </w:p>
        </w:tc>
        <w:tc>
          <w:tcPr>
            <w:tcW w:type="dxa" w:w="3009"/>
          </w:tcPr>
          <w:p>
            <w:pPr>
              <w:spacing w:before="20" w:after="20" w:line="240" w:lineRule="auto"/>
            </w:pPr>
            <w:r/>
            <w:r>
              <w:rPr>
                <w:rFonts w:ascii="Times New Roman" w:hAnsi="Times New Roman"/>
                <w:b w:val="0"/>
                <w:i w:val="0"/>
                <w:sz w:val="20"/>
              </w:rPr>
              <w:t>0.55</w:t>
            </w:r>
          </w:p>
        </w:tc>
        <w:tc>
          <w:tcPr>
            <w:tcW w:type="dxa" w:w="3009"/>
          </w:tcPr>
          <w:p>
            <w:pPr>
              <w:spacing w:before="20" w:after="20" w:line="240" w:lineRule="auto"/>
            </w:pPr>
            <w:r/>
            <w:r>
              <w:rPr>
                <w:rFonts w:ascii="Times New Roman" w:hAnsi="Times New Roman"/>
                <w:b w:val="0"/>
                <w:i w:val="0"/>
                <w:sz w:val="20"/>
              </w:rPr>
              <w:t>RSD &lt; 2%</w:t>
            </w:r>
          </w:p>
        </w:tc>
      </w:tr>
      <w:tr>
        <w:tc>
          <w:tcPr>
            <w:tcW w:type="dxa" w:w="3009"/>
          </w:tcPr>
          <w:p>
            <w:pPr>
              <w:spacing w:before="20" w:after="20" w:line="240" w:lineRule="auto"/>
            </w:pPr>
            <w:r/>
            <w:r>
              <w:rPr>
                <w:rFonts w:ascii="Times New Roman" w:hAnsi="Times New Roman"/>
                <w:b/>
                <w:i w:val="0"/>
                <w:sz w:val="20"/>
              </w:rPr>
              <w:t>Resolution (Rs) from nearest band</w:t>
            </w:r>
          </w:p>
        </w:tc>
        <w:tc>
          <w:tcPr>
            <w:tcW w:type="dxa" w:w="3009"/>
          </w:tcPr>
          <w:p>
            <w:pPr>
              <w:spacing w:before="20" w:after="20" w:line="240" w:lineRule="auto"/>
            </w:pPr>
            <w:r/>
            <w:r>
              <w:rPr>
                <w:rFonts w:ascii="Times New Roman" w:hAnsi="Times New Roman"/>
                <w:b w:val="0"/>
                <w:i w:val="0"/>
                <w:sz w:val="20"/>
              </w:rPr>
              <w:t>2.4</w:t>
            </w:r>
          </w:p>
        </w:tc>
        <w:tc>
          <w:tcPr>
            <w:tcW w:type="dxa" w:w="3009"/>
          </w:tcPr>
          <w:p>
            <w:pPr>
              <w:spacing w:before="20" w:after="20" w:line="240" w:lineRule="auto"/>
            </w:pPr>
            <w:r/>
            <w:r>
              <w:rPr>
                <w:rFonts w:ascii="Times New Roman" w:hAnsi="Times New Roman"/>
                <w:b w:val="0"/>
                <w:i w:val="0"/>
                <w:sz w:val="20"/>
              </w:rPr>
              <w:t>Rs &gt; 1.5</w:t>
            </w:r>
          </w:p>
        </w:tc>
      </w:tr>
      <w:tr>
        <w:tc>
          <w:tcPr>
            <w:tcW w:type="dxa" w:w="3009"/>
          </w:tcPr>
          <w:p>
            <w:pPr>
              <w:spacing w:before="20" w:after="20" w:line="240" w:lineRule="auto"/>
            </w:pPr>
            <w:r/>
            <w:r>
              <w:rPr>
                <w:rFonts w:ascii="Times New Roman" w:hAnsi="Times New Roman"/>
                <w:b/>
                <w:i w:val="0"/>
                <w:sz w:val="20"/>
              </w:rPr>
              <w:t>Tailing factor (T)</w:t>
            </w:r>
          </w:p>
        </w:tc>
        <w:tc>
          <w:tcPr>
            <w:tcW w:type="dxa" w:w="3009"/>
          </w:tcPr>
          <w:p>
            <w:pPr>
              <w:spacing w:before="20" w:after="20" w:line="240" w:lineRule="auto"/>
            </w:pPr>
            <w:r/>
            <w:r>
              <w:rPr>
                <w:rFonts w:ascii="Times New Roman" w:hAnsi="Times New Roman"/>
                <w:b w:val="0"/>
                <w:i w:val="0"/>
                <w:sz w:val="20"/>
              </w:rPr>
              <w:t>1.05</w:t>
            </w:r>
          </w:p>
        </w:tc>
        <w:tc>
          <w:tcPr>
            <w:tcW w:type="dxa" w:w="3009"/>
          </w:tcPr>
          <w:p>
            <w:pPr>
              <w:spacing w:before="20" w:after="20" w:line="240" w:lineRule="auto"/>
            </w:pPr>
            <w:r/>
            <w:r>
              <w:rPr>
                <w:rFonts w:ascii="Times New Roman" w:hAnsi="Times New Roman"/>
                <w:b w:val="0"/>
                <w:i w:val="0"/>
                <w:sz w:val="20"/>
              </w:rPr>
              <w:t>T ≤ 1.5</w:t>
            </w:r>
          </w:p>
        </w:tc>
      </w:tr>
      <w:tr>
        <w:tc>
          <w:tcPr>
            <w:tcW w:type="dxa" w:w="3009"/>
          </w:tcPr>
          <w:p>
            <w:pPr>
              <w:spacing w:before="20" w:after="20" w:line="240" w:lineRule="auto"/>
            </w:pPr>
            <w:r/>
            <w:r>
              <w:rPr>
                <w:rFonts w:ascii="Times New Roman" w:hAnsi="Times New Roman"/>
                <w:b/>
                <w:i w:val="0"/>
                <w:sz w:val="20"/>
              </w:rPr>
              <w:t>Theoretical plates (N)</w:t>
            </w:r>
          </w:p>
        </w:tc>
        <w:tc>
          <w:tcPr>
            <w:tcW w:type="dxa" w:w="3009"/>
          </w:tcPr>
          <w:p>
            <w:pPr>
              <w:spacing w:before="20" w:after="20" w:line="240" w:lineRule="auto"/>
            </w:pPr>
            <w:r/>
            <w:r>
              <w:rPr>
                <w:rFonts w:ascii="Times New Roman" w:hAnsi="Times New Roman"/>
                <w:b w:val="0"/>
                <w:i w:val="0"/>
                <w:sz w:val="20"/>
              </w:rPr>
              <w:t>3960</w:t>
            </w:r>
          </w:p>
        </w:tc>
        <w:tc>
          <w:tcPr>
            <w:tcW w:type="dxa" w:w="3009"/>
          </w:tcPr>
          <w:p>
            <w:pPr>
              <w:spacing w:before="20" w:after="20" w:line="240" w:lineRule="auto"/>
            </w:pPr>
            <w:r/>
            <w:r>
              <w:rPr>
                <w:rFonts w:ascii="Times New Roman" w:hAnsi="Times New Roman"/>
                <w:b w:val="0"/>
                <w:i w:val="0"/>
                <w:sz w:val="20"/>
              </w:rPr>
              <w:t>—</w:t>
            </w:r>
          </w:p>
        </w:tc>
      </w:tr>
      <w:tr>
        <w:tc>
          <w:tcPr>
            <w:tcW w:type="dxa" w:w="3009"/>
          </w:tcPr>
          <w:p>
            <w:pPr>
              <w:spacing w:before="20" w:after="20" w:line="240" w:lineRule="auto"/>
            </w:pPr>
            <w:r/>
            <w:r>
              <w:rPr>
                <w:rFonts w:ascii="Times New Roman" w:hAnsi="Times New Roman"/>
                <w:b/>
                <w:i w:val="0"/>
                <w:sz w:val="20"/>
              </w:rPr>
              <w:t>Correlation coefficient (calibration)</w:t>
            </w:r>
          </w:p>
        </w:tc>
        <w:tc>
          <w:tcPr>
            <w:tcW w:type="dxa" w:w="3009"/>
          </w:tcPr>
          <w:p>
            <w:pPr>
              <w:spacing w:before="20" w:after="20" w:line="240" w:lineRule="auto"/>
            </w:pPr>
            <w:r/>
            <w:r>
              <w:rPr>
                <w:rFonts w:ascii="Times New Roman" w:hAnsi="Times New Roman"/>
                <w:b w:val="0"/>
                <w:i w:val="0"/>
                <w:sz w:val="20"/>
              </w:rPr>
              <w:t>0.9989</w:t>
            </w:r>
          </w:p>
        </w:tc>
        <w:tc>
          <w:tcPr>
            <w:tcW w:type="dxa" w:w="3009"/>
          </w:tcPr>
          <w:p>
            <w:pPr>
              <w:spacing w:before="20" w:after="20" w:line="240" w:lineRule="auto"/>
            </w:pPr>
            <w:r/>
            <w:r>
              <w:rPr>
                <w:rFonts w:ascii="Times New Roman" w:hAnsi="Times New Roman"/>
                <w:b w:val="0"/>
                <w:i w:val="0"/>
                <w:sz w:val="20"/>
              </w:rPr>
              <w:t>r ≥ 0.99</w:t>
            </w:r>
          </w:p>
        </w:tc>
      </w:tr>
      <w:tr>
        <w:tc>
          <w:tcPr>
            <w:tcW w:type="dxa" w:w="3009"/>
          </w:tcPr>
          <w:p>
            <w:pPr>
              <w:spacing w:before="20" w:after="20" w:line="240" w:lineRule="auto"/>
            </w:pPr>
            <w:r/>
            <w:r>
              <w:rPr>
                <w:rFonts w:ascii="Times New Roman" w:hAnsi="Times New Roman"/>
                <w:b/>
                <w:i w:val="0"/>
                <w:sz w:val="20"/>
              </w:rPr>
              <w:t>LOD (ng/band)</w:t>
            </w:r>
          </w:p>
        </w:tc>
        <w:tc>
          <w:tcPr>
            <w:tcW w:type="dxa" w:w="3009"/>
          </w:tcPr>
          <w:p>
            <w:pPr>
              <w:spacing w:before="20" w:after="20" w:line="240" w:lineRule="auto"/>
            </w:pPr>
            <w:r/>
            <w:r>
              <w:rPr>
                <w:rFonts w:ascii="Times New Roman" w:hAnsi="Times New Roman"/>
                <w:b w:val="0"/>
                <w:i w:val="0"/>
                <w:sz w:val="20"/>
              </w:rPr>
              <w:t>23</w:t>
            </w:r>
          </w:p>
        </w:tc>
        <w:tc>
          <w:tcPr>
            <w:tcW w:type="dxa" w:w="3009"/>
          </w:tcPr>
          <w:p>
            <w:pPr>
              <w:spacing w:before="20" w:after="20" w:line="240" w:lineRule="auto"/>
            </w:pPr>
            <w:r/>
            <w:r>
              <w:rPr>
                <w:rFonts w:ascii="Times New Roman" w:hAnsi="Times New Roman"/>
                <w:b w:val="0"/>
                <w:i w:val="0"/>
                <w:sz w:val="20"/>
              </w:rPr>
              <w:t>—</w:t>
            </w:r>
          </w:p>
        </w:tc>
      </w:tr>
      <w:tr>
        <w:tc>
          <w:tcPr>
            <w:tcW w:type="dxa" w:w="3009"/>
          </w:tcPr>
          <w:p>
            <w:pPr>
              <w:spacing w:before="20" w:after="20" w:line="240" w:lineRule="auto"/>
            </w:pPr>
            <w:r/>
            <w:r>
              <w:rPr>
                <w:rFonts w:ascii="Times New Roman" w:hAnsi="Times New Roman"/>
                <w:b/>
                <w:i w:val="0"/>
                <w:sz w:val="20"/>
              </w:rPr>
              <w:t>LOQ (ng/band)</w:t>
            </w:r>
          </w:p>
        </w:tc>
        <w:tc>
          <w:tcPr>
            <w:tcW w:type="dxa" w:w="3009"/>
          </w:tcPr>
          <w:p>
            <w:pPr>
              <w:spacing w:before="20" w:after="20" w:line="240" w:lineRule="auto"/>
            </w:pPr>
            <w:r/>
            <w:r>
              <w:rPr>
                <w:rFonts w:ascii="Times New Roman" w:hAnsi="Times New Roman"/>
                <w:b w:val="0"/>
                <w:i w:val="0"/>
                <w:sz w:val="20"/>
              </w:rPr>
              <w:t>70</w:t>
            </w:r>
          </w:p>
        </w:tc>
        <w:tc>
          <w:tcPr>
            <w:tcW w:type="dxa" w:w="3009"/>
          </w:tcPr>
          <w:p>
            <w:pPr>
              <w:spacing w:before="20" w:after="20" w:line="240" w:lineRule="auto"/>
            </w:pPr>
            <w:r/>
            <w:r>
              <w:rPr>
                <w:rFonts w:ascii="Times New Roman" w:hAnsi="Times New Roman"/>
                <w:b w:val="0"/>
                <w:i w:val="0"/>
                <w:sz w:val="20"/>
              </w:rPr>
              <w:t>—</w:t>
            </w:r>
          </w:p>
        </w:tc>
      </w:tr>
    </w:tbl>
    <w:p>
      <w:pPr>
        <w:spacing w:after="120" w:line="276" w:lineRule="auto"/>
        <w:jc w:val="both"/>
      </w:pPr>
      <w:r>
        <w:rPr>
          <w:rFonts w:ascii="Times New Roman" w:hAnsi="Times New Roman"/>
          <w:b w:val="0"/>
          <w:i w:val="0"/>
          <w:sz w:val="22"/>
        </w:rPr>
        <w:t>All system-suitability parameters were within acceptable limits, demonstrating that the developed HPTLC method is specific, precise, and suitable for the qualitative fingerprinting and identification of quercetin in the EA fraction of S. trilobata.</w:t>
      </w:r>
    </w:p>
    <w:p>
      <w:pPr>
        <w:keepNext/>
        <w:spacing w:before="200" w:after="80"/>
      </w:pPr>
      <w:r>
        <w:rPr>
          <w:rFonts w:ascii="Times New Roman" w:hAnsi="Times New Roman"/>
          <w:b/>
          <w:i w:val="0"/>
          <w:sz w:val="26"/>
        </w:rPr>
        <w:t>8. Discussion</w:t>
      </w:r>
    </w:p>
    <w:p>
      <w:pPr>
        <w:spacing w:after="120" w:line="276" w:lineRule="auto"/>
        <w:jc w:val="both"/>
      </w:pPr>
      <w:r>
        <w:rPr>
          <w:rFonts w:ascii="Times New Roman" w:hAnsi="Times New Roman"/>
          <w:b w:val="0"/>
          <w:i w:val="0"/>
          <w:sz w:val="22"/>
        </w:rPr>
        <w:t>The HPTLC fingerprint of the ethyl acetate fraction of the S. trilobata methanol extract is consistent with a flavonoid-rich profile. The comparison—across the developed plate, the 2D densitometric profiles, and the 3D overlay—established an unambiguous correspondence between one of the native bands of the fraction and the quercetin reference standard. The aglycone quercetin migrated as a single, well-resolved band at Rf 0.55 under the normal-phase silica gel system, and the corresponding band in the sample matched it in Rf, fluorescence colour, and UV spectrum.</w:t>
      </w:r>
    </w:p>
    <w:p>
      <w:pPr>
        <w:spacing w:after="120" w:line="276" w:lineRule="auto"/>
        <w:jc w:val="both"/>
      </w:pPr>
      <w:r>
        <w:rPr>
          <w:rFonts w:ascii="Times New Roman" w:hAnsi="Times New Roman"/>
          <w:b w:val="0"/>
          <w:i w:val="0"/>
          <w:sz w:val="22"/>
        </w:rPr>
        <w:t>The observation that quercetin (peak P5, ~36.6% area) was the dominant band of the EA fraction suggests that the ethyl acetate fractionation step is highly effective for enriching this therapeutically relevant flavonoid. The presence of quercetin may rationalise the reported antioxidant, anti-inflammatory, and hepatoprotective activities of the plant, since quercetin is an established free-radical scavenger.</w:t>
      </w:r>
    </w:p>
    <w:p>
      <w:pPr>
        <w:keepNext/>
        <w:spacing w:before="200" w:after="80"/>
      </w:pPr>
      <w:r>
        <w:rPr>
          <w:rFonts w:ascii="Times New Roman" w:hAnsi="Times New Roman"/>
          <w:b/>
          <w:i w:val="0"/>
          <w:sz w:val="26"/>
        </w:rPr>
        <w:t>9. Conclusion</w:t>
      </w:r>
    </w:p>
    <w:p>
      <w:pPr>
        <w:spacing w:after="120" w:line="276" w:lineRule="auto"/>
        <w:jc w:val="both"/>
      </w:pPr>
      <w:r>
        <w:rPr>
          <w:rFonts w:ascii="Times New Roman" w:hAnsi="Times New Roman"/>
          <w:b w:val="0"/>
          <w:i w:val="0"/>
          <w:sz w:val="22"/>
        </w:rPr>
        <w:t>A simple, precise, and specific HPTLC method was developed and applied to fingerprint the ethyl acetate fraction of the methanol extract of Sphagneticola trilobata (Wedelia trilobata). The HPTLC plate, the 2D densitograms, and the 3D densitogram, supported by Rf matching, co-chromatography, and spectral overlay, conclusively confirmed the presence of the flavonoid quercetin (Rf 0.55) as a major constituent of the fraction. The method is reproducible and may be adopted as a quality-control fingerprint and for the marker-based standardisation of S. trilobata preparations.</w:t>
      </w:r>
    </w:p>
    <w:p>
      <w:pPr>
        <w:keepNext/>
        <w:spacing w:before="200" w:after="80"/>
      </w:pPr>
      <w:r>
        <w:rPr>
          <w:rFonts w:ascii="Times New Roman" w:hAnsi="Times New Roman"/>
          <w:b/>
          <w:i w:val="0"/>
          <w:sz w:val="26"/>
        </w:rPr>
        <w:t>References</w:t>
      </w:r>
    </w:p>
    <w:p>
      <w:pPr>
        <w:spacing w:after="60" w:line="240" w:lineRule="auto"/>
        <w:jc w:val="both"/>
      </w:pPr>
      <w:r>
        <w:rPr>
          <w:rFonts w:ascii="Times New Roman" w:hAnsi="Times New Roman"/>
          <w:b w:val="0"/>
          <w:i w:val="0"/>
          <w:sz w:val="20"/>
        </w:rPr>
        <w:t>[1] Wagner H, Bladt S. Plant Drug Analysis – A Thin Layer Chromatography Atlas. 2nd ed. Berlin: Springer.</w:t>
      </w:r>
    </w:p>
    <w:p>
      <w:pPr>
        <w:spacing w:after="60" w:line="240" w:lineRule="auto"/>
        <w:jc w:val="both"/>
      </w:pPr>
      <w:r>
        <w:rPr>
          <w:rFonts w:ascii="Times New Roman" w:hAnsi="Times New Roman"/>
          <w:b w:val="0"/>
          <w:i w:val="0"/>
          <w:sz w:val="20"/>
        </w:rPr>
        <w:t>[2] Sherma J, Fried B. Handbook of Thin-Layer Chromatography. 3rd ed. New York: Marcel Dekker.</w:t>
      </w:r>
    </w:p>
    <w:p>
      <w:pPr>
        <w:spacing w:after="60" w:line="240" w:lineRule="auto"/>
        <w:jc w:val="both"/>
      </w:pPr>
      <w:r>
        <w:rPr>
          <w:rFonts w:ascii="Times New Roman" w:hAnsi="Times New Roman"/>
          <w:b w:val="0"/>
          <w:i w:val="0"/>
          <w:sz w:val="20"/>
        </w:rPr>
        <w:t>[3] Srivastava MM. High-Performance Thin-Layer Chromatography (HPTLC). Berlin: Springer.</w:t>
      </w:r>
    </w:p>
    <w:p>
      <w:pPr>
        <w:spacing w:after="60" w:line="240" w:lineRule="auto"/>
        <w:jc w:val="both"/>
      </w:pPr>
      <w:r>
        <w:rPr>
          <w:rFonts w:ascii="Times New Roman" w:hAnsi="Times New Roman"/>
          <w:b w:val="0"/>
          <w:i w:val="0"/>
          <w:sz w:val="20"/>
        </w:rPr>
        <w:t>[4] International Conference on Harmonisation. ICH Q2(R1): Validation of Analytical Procedures.</w:t>
      </w:r>
    </w:p>
    <w:p>
      <w:pPr>
        <w:spacing w:after="60" w:line="240" w:lineRule="auto"/>
        <w:jc w:val="both"/>
      </w:pPr>
      <w:r>
        <w:rPr>
          <w:rFonts w:ascii="Times New Roman" w:hAnsi="Times New Roman"/>
          <w:b w:val="0"/>
          <w:i w:val="0"/>
          <w:sz w:val="20"/>
        </w:rPr>
        <w:t>[5] Harborne JB. Phytochemical Methods – A Guide to Modern Techniques of Plant Analysis. London: Chapman &amp; Hall.</w:t>
      </w:r>
    </w:p>
    <w:p>
      <w:pPr>
        <w:spacing w:after="60" w:line="240" w:lineRule="auto"/>
        <w:jc w:val="both"/>
      </w:pPr>
      <w:r>
        <w:rPr>
          <w:rFonts w:ascii="Times New Roman" w:hAnsi="Times New Roman"/>
          <w:b w:val="0"/>
          <w:i w:val="0"/>
          <w:sz w:val="20"/>
        </w:rPr>
        <w:t>[6] Reported HPTLC densitometric methods employing toluene : ethyl acetate : formic acid mobile phases for the determination of quercetin in plant extracts.</w:t>
      </w:r>
    </w:p>
    <w:p>
      <w:pPr>
        <w:spacing w:before="160"/>
        <w:jc w:val="both"/>
      </w:pPr>
      <w:r>
        <w:rPr>
          <w:rFonts w:ascii="Times New Roman" w:hAnsi="Times New Roman"/>
          <w:b w:val="0"/>
          <w:i/>
          <w:sz w:val="19"/>
        </w:rPr>
        <w:t>Note: The plate image, densitograms, and tabulated values presented here are representative figures prepared to illustrate the expected HPTLC / 2D / 3D profile and comparison. They should be replaced with the actual instrument-exported plate photograph, densitograms, and integrated data from your laboratory runs before final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