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0"/>
        </w:rPr>
        <w:t>HPTLC 2D and 3D Fingerprint Analysis of the Ethyl Acetate Fraction of the Methanol Extract of Sphagneticola trilobata (Wedelia trilobata): Comparison with Quercetin and Rutin Standards</w:t>
      </w:r>
    </w:p>
    <w:p>
      <w:pPr>
        <w:spacing w:after="40"/>
        <w:jc w:val="center"/>
      </w:pPr>
      <w:r>
        <w:rPr>
          <w:rFonts w:ascii="Times New Roman" w:hAnsi="Times New Roman"/>
          <w:b/>
          <w:i/>
          <w:sz w:val="24"/>
        </w:rPr>
        <w:t>Results and Discussion</w:t>
      </w:r>
    </w:p>
    <w:p>
      <w:pPr>
        <w:spacing w:after="200"/>
        <w:jc w:val="center"/>
      </w:pPr>
      <w:r>
        <w:rPr>
          <w:rFonts w:ascii="Times New Roman" w:hAnsi="Times New Roman"/>
          <w:b w:val="0"/>
          <w:i/>
          <w:sz w:val="20"/>
        </w:rPr>
        <w:t>Master of Pharmacy (M. Pharm.) – Pharmacognosy and Phytochemistry</w:t>
      </w:r>
    </w:p>
    <w:p>
      <w:pPr>
        <w:keepNext/>
        <w:spacing w:before="200" w:after="80"/>
      </w:pPr>
      <w:r>
        <w:rPr>
          <w:rFonts w:ascii="Times New Roman" w:hAnsi="Times New Roman"/>
          <w:b/>
          <w:i w:val="0"/>
          <w:sz w:val="26"/>
        </w:rPr>
        <w:t>1. Introduction</w:t>
      </w:r>
    </w:p>
    <w:p>
      <w:pPr>
        <w:spacing w:after="120" w:line="276" w:lineRule="auto"/>
        <w:jc w:val="both"/>
      </w:pPr>
      <w:r>
        <w:rPr>
          <w:rFonts w:ascii="Times New Roman" w:hAnsi="Times New Roman"/>
          <w:b w:val="0"/>
          <w:i w:val="0"/>
          <w:sz w:val="22"/>
        </w:rPr>
        <w:t>Sphagneticola trilobata (L.) Pruski (synonym: Wedelia trilobata; family Asteraceae) is a creeping perennial herb traditionally used for its anti-inflammatory, hepatoprotective, antimicrobial and wound-healing properties, activities that are largely attributed to its flavonoid content. In the present study, the ethyl acetate (EA) fraction obtained from the crude methanol extract of the aerial parts was subjected to high-performance thin-layer chromatography (HPTLC) fingerprinting and compared with two pharmacologically important flavonoid markers, namely quercetin (an aglycone) and rutin (quercetin-3-O-rutinoside, a glycoside).</w:t>
      </w:r>
    </w:p>
    <w:p>
      <w:pPr>
        <w:spacing w:after="120" w:line="276" w:lineRule="auto"/>
        <w:jc w:val="both"/>
      </w:pPr>
      <w:r>
        <w:rPr>
          <w:rFonts w:ascii="Times New Roman" w:hAnsi="Times New Roman"/>
          <w:b w:val="0"/>
          <w:i w:val="0"/>
          <w:sz w:val="22"/>
        </w:rPr>
        <w:t>Liquid–liquid fractionation of the methanol extract with solvents of increasing polarity (n-hexane → chloroform → ethyl acetate → n-butanol → aqueous) was used to enrich the moderately polar flavonoid aglycones and glycosides in the ethyl acetate fraction. HPTLC, with its capacity for parallel sample development, densitometric scanning, and the generation of two-dimensional (2D) and three-dimensional (3D) chromatographic profiles, was selected for qualitative identification and comparative fingerprinting.</w:t>
      </w:r>
    </w:p>
    <w:p>
      <w:pPr>
        <w:spacing w:after="120" w:line="276" w:lineRule="auto"/>
        <w:jc w:val="both"/>
      </w:pPr>
      <w:r>
        <w:rPr>
          <w:rFonts w:ascii="Times New Roman" w:hAnsi="Times New Roman"/>
          <w:b w:val="0"/>
          <w:i w:val="0"/>
          <w:sz w:val="22"/>
        </w:rPr>
        <w:t>The specific objectives of this part of the study were:</w:t>
      </w:r>
    </w:p>
    <w:p>
      <w:pPr>
        <w:pStyle w:val="ListBullet"/>
        <w:spacing w:after="40" w:line="276" w:lineRule="auto"/>
      </w:pPr>
      <w:r>
        <w:rPr>
          <w:rFonts w:ascii="Times New Roman" w:hAnsi="Times New Roman"/>
          <w:b w:val="0"/>
          <w:i w:val="0"/>
          <w:sz w:val="22"/>
        </w:rPr>
        <w:t>to develop a suitable HPTLC method for the EA fraction of S. trilobata;</w:t>
      </w:r>
    </w:p>
    <w:p>
      <w:pPr>
        <w:pStyle w:val="ListBullet"/>
        <w:spacing w:after="40" w:line="276" w:lineRule="auto"/>
      </w:pPr>
      <w:r>
        <w:rPr>
          <w:rFonts w:ascii="Times New Roman" w:hAnsi="Times New Roman"/>
          <w:b w:val="0"/>
          <w:i w:val="0"/>
          <w:sz w:val="22"/>
        </w:rPr>
        <w:t>to record 2D densitograms (Rf versus absorbance) of the standards and the EA fraction;</w:t>
      </w:r>
    </w:p>
    <w:p>
      <w:pPr>
        <w:pStyle w:val="ListBullet"/>
        <w:spacing w:after="40" w:line="276" w:lineRule="auto"/>
      </w:pPr>
      <w:r>
        <w:rPr>
          <w:rFonts w:ascii="Times New Roman" w:hAnsi="Times New Roman"/>
          <w:b w:val="0"/>
          <w:i w:val="0"/>
          <w:sz w:val="22"/>
        </w:rPr>
        <w:t>to generate a 3D densitogram (overlay of all tracks) for visual comparison; and</w:t>
      </w:r>
    </w:p>
    <w:p>
      <w:pPr>
        <w:pStyle w:val="ListBullet"/>
        <w:spacing w:after="40" w:line="276" w:lineRule="auto"/>
      </w:pPr>
      <w:r>
        <w:rPr>
          <w:rFonts w:ascii="Times New Roman" w:hAnsi="Times New Roman"/>
          <w:b w:val="0"/>
          <w:i w:val="0"/>
          <w:sz w:val="22"/>
        </w:rPr>
        <w:t>to confirm the presence of quercetin and rutin in the EA fraction by Rf matching, co-chromatography, and overlaid spectral comparison.</w:t>
      </w:r>
    </w:p>
    <w:p>
      <w:pPr>
        <w:keepNext/>
        <w:spacing w:before="200" w:after="80"/>
      </w:pPr>
      <w:r>
        <w:rPr>
          <w:rFonts w:ascii="Times New Roman" w:hAnsi="Times New Roman"/>
          <w:b/>
          <w:i w:val="0"/>
          <w:sz w:val="26"/>
        </w:rPr>
        <w:t>2. Materials and Chromatographic Conditions</w:t>
      </w:r>
    </w:p>
    <w:p>
      <w:pPr>
        <w:keepNext/>
        <w:spacing w:before="160" w:after="80"/>
      </w:pPr>
      <w:r>
        <w:rPr>
          <w:rFonts w:ascii="Times New Roman" w:hAnsi="Times New Roman"/>
          <w:b/>
          <w:i w:val="0"/>
          <w:sz w:val="23"/>
        </w:rPr>
        <w:t>2.1. Instrumentation and sample application</w:t>
      </w:r>
    </w:p>
    <w:p>
      <w:pPr>
        <w:pStyle w:val="ListBullet"/>
        <w:spacing w:after="40" w:line="276" w:lineRule="auto"/>
      </w:pPr>
      <w:r>
        <w:rPr>
          <w:rFonts w:ascii="Times New Roman" w:hAnsi="Times New Roman"/>
          <w:b w:val="0"/>
          <w:i w:val="0"/>
          <w:sz w:val="22"/>
        </w:rPr>
        <w:t>HPTLC system: CAMAG (Switzerland), comprising a Linomat 5 sample applicator, an ADC2 automatic developing chamber, a TLC Scanner 4, and visionCATS / WinCATS software.</w:t>
      </w:r>
    </w:p>
    <w:p>
      <w:pPr>
        <w:pStyle w:val="ListBullet"/>
        <w:spacing w:after="40" w:line="276" w:lineRule="auto"/>
      </w:pPr>
      <w:r>
        <w:rPr>
          <w:rFonts w:ascii="Times New Roman" w:hAnsi="Times New Roman"/>
          <w:b w:val="0"/>
          <w:i w:val="0"/>
          <w:sz w:val="22"/>
        </w:rPr>
        <w:t>Stationary phase: pre-coated silica gel 60 F254 aluminium-backed HPTLC plates (20 × 10 cm, 0.2 mm layer thickness; E. Merck).</w:t>
      </w:r>
    </w:p>
    <w:p>
      <w:pPr>
        <w:pStyle w:val="ListBullet"/>
        <w:spacing w:after="40" w:line="276" w:lineRule="auto"/>
      </w:pPr>
      <w:r>
        <w:rPr>
          <w:rFonts w:ascii="Times New Roman" w:hAnsi="Times New Roman"/>
          <w:b w:val="0"/>
          <w:i w:val="0"/>
          <w:sz w:val="22"/>
        </w:rPr>
        <w:t>Visualisation: CAMAG TLC visualizer under UV 254 nm, UV 366 nm, and white light.</w:t>
      </w:r>
    </w:p>
    <w:p>
      <w:pPr>
        <w:pStyle w:val="ListBullet"/>
        <w:spacing w:after="40" w:line="276" w:lineRule="auto"/>
      </w:pPr>
      <w:r>
        <w:rPr>
          <w:rFonts w:ascii="Times New Roman" w:hAnsi="Times New Roman"/>
          <w:b w:val="0"/>
          <w:i w:val="0"/>
          <w:sz w:val="22"/>
        </w:rPr>
        <w:t>Derivatising reagent: Natural Products–polyethylene glycol (NP–PEG) reagent for flavonoid detection, giving fluorescence enhancement at 366 nm.</w:t>
      </w:r>
    </w:p>
    <w:p>
      <w:pPr>
        <w:keepNext/>
        <w:spacing w:before="160" w:after="80"/>
      </w:pPr>
      <w:r>
        <w:rPr>
          <w:rFonts w:ascii="Times New Roman" w:hAnsi="Times New Roman"/>
          <w:b/>
          <w:i w:val="0"/>
          <w:sz w:val="23"/>
        </w:rPr>
        <w:t>2.2. Optimised chromatographic conditions</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4" w:color="000000"/>
          <w:insideV w:val="single" w:sz="4" w:color="000000"/>
        </w:tblBorders>
        <w:tblCellMar>
          <w:top w:w="40" w:type="dxa"/>
          <w:left w:w="80" w:type="dxa"/>
          <w:bottom w:w="40" w:type="dxa"/>
          <w:right w:w="80" w:type="dxa"/>
        </w:tblCellMar>
      </w:tblPr>
      <w:tblGrid>
        <w:gridCol w:w="4513"/>
        <w:gridCol w:w="4513"/>
      </w:tblGrid>
      <w:tr>
        <w:tc>
          <w:tcPr>
            <w:tcW w:type="dxa" w:w="4513"/>
            <w:shd w:fill="D9D9D9"/>
          </w:tcPr>
          <w:p>
            <w:pPr>
              <w:spacing w:before="20" w:after="20" w:line="240" w:lineRule="auto"/>
              <w:jc w:val="center"/>
            </w:pPr>
            <w:r/>
            <w:r>
              <w:rPr>
                <w:rFonts w:ascii="Times New Roman" w:hAnsi="Times New Roman"/>
                <w:b/>
                <w:i w:val="0"/>
                <w:sz w:val="20"/>
              </w:rPr>
              <w:t>Parameter</w:t>
            </w:r>
          </w:p>
        </w:tc>
        <w:tc>
          <w:tcPr>
            <w:tcW w:type="dxa" w:w="4513"/>
            <w:shd w:fill="D9D9D9"/>
          </w:tcPr>
          <w:p>
            <w:pPr>
              <w:spacing w:before="20" w:after="20" w:line="240" w:lineRule="auto"/>
              <w:jc w:val="center"/>
            </w:pPr>
            <w:r/>
            <w:r>
              <w:rPr>
                <w:rFonts w:ascii="Times New Roman" w:hAnsi="Times New Roman"/>
                <w:b/>
                <w:i w:val="0"/>
                <w:sz w:val="20"/>
              </w:rPr>
              <w:t>Optimised condition</w:t>
            </w:r>
          </w:p>
        </w:tc>
      </w:tr>
      <w:tr>
        <w:tc>
          <w:tcPr>
            <w:tcW w:type="dxa" w:w="4513"/>
          </w:tcPr>
          <w:p>
            <w:pPr>
              <w:spacing w:before="20" w:after="20" w:line="240" w:lineRule="auto"/>
            </w:pPr>
            <w:r/>
            <w:r>
              <w:rPr>
                <w:rFonts w:ascii="Times New Roman" w:hAnsi="Times New Roman"/>
                <w:b/>
                <w:i w:val="0"/>
                <w:sz w:val="20"/>
              </w:rPr>
              <w:t>Stationary phase</w:t>
            </w:r>
          </w:p>
        </w:tc>
        <w:tc>
          <w:tcPr>
            <w:tcW w:type="dxa" w:w="4513"/>
          </w:tcPr>
          <w:p>
            <w:pPr>
              <w:spacing w:before="20" w:after="20" w:line="240" w:lineRule="auto"/>
            </w:pPr>
            <w:r/>
            <w:r>
              <w:rPr>
                <w:rFonts w:ascii="Times New Roman" w:hAnsi="Times New Roman"/>
                <w:b w:val="0"/>
                <w:i w:val="0"/>
                <w:sz w:val="20"/>
              </w:rPr>
              <w:t>Silica gel 60 F254 HPTLC plate (Merck), 0.2 mm</w:t>
            </w:r>
          </w:p>
        </w:tc>
      </w:tr>
      <w:tr>
        <w:tc>
          <w:tcPr>
            <w:tcW w:type="dxa" w:w="4513"/>
          </w:tcPr>
          <w:p>
            <w:pPr>
              <w:spacing w:before="20" w:after="20" w:line="240" w:lineRule="auto"/>
            </w:pPr>
            <w:r/>
            <w:r>
              <w:rPr>
                <w:rFonts w:ascii="Times New Roman" w:hAnsi="Times New Roman"/>
                <w:b/>
                <w:i w:val="0"/>
                <w:sz w:val="20"/>
              </w:rPr>
              <w:t>Mobile phase</w:t>
            </w:r>
          </w:p>
        </w:tc>
        <w:tc>
          <w:tcPr>
            <w:tcW w:type="dxa" w:w="4513"/>
          </w:tcPr>
          <w:p>
            <w:pPr>
              <w:spacing w:before="20" w:after="20" w:line="240" w:lineRule="auto"/>
            </w:pPr>
            <w:r/>
            <w:r>
              <w:rPr>
                <w:rFonts w:ascii="Times New Roman" w:hAnsi="Times New Roman"/>
                <w:b w:val="0"/>
                <w:i w:val="0"/>
                <w:sz w:val="20"/>
              </w:rPr>
              <w:t>Toluene : ethyl acetate : formic acid (5 : 4 : 1, v/v/v)</w:t>
            </w:r>
          </w:p>
        </w:tc>
      </w:tr>
      <w:tr>
        <w:tc>
          <w:tcPr>
            <w:tcW w:type="dxa" w:w="4513"/>
          </w:tcPr>
          <w:p>
            <w:pPr>
              <w:spacing w:before="20" w:after="20" w:line="240" w:lineRule="auto"/>
            </w:pPr>
            <w:r/>
            <w:r>
              <w:rPr>
                <w:rFonts w:ascii="Times New Roman" w:hAnsi="Times New Roman"/>
                <w:b/>
                <w:i w:val="0"/>
                <w:sz w:val="20"/>
              </w:rPr>
              <w:t>Chamber saturation</w:t>
            </w:r>
          </w:p>
        </w:tc>
        <w:tc>
          <w:tcPr>
            <w:tcW w:type="dxa" w:w="4513"/>
          </w:tcPr>
          <w:p>
            <w:pPr>
              <w:spacing w:before="20" w:after="20" w:line="240" w:lineRule="auto"/>
            </w:pPr>
            <w:r/>
            <w:r>
              <w:rPr>
                <w:rFonts w:ascii="Times New Roman" w:hAnsi="Times New Roman"/>
                <w:b w:val="0"/>
                <w:i w:val="0"/>
                <w:sz w:val="20"/>
              </w:rPr>
              <w:t>Twin-trough chamber, saturated 20 min with filter paper</w:t>
            </w:r>
          </w:p>
        </w:tc>
      </w:tr>
      <w:tr>
        <w:tc>
          <w:tcPr>
            <w:tcW w:type="dxa" w:w="4513"/>
          </w:tcPr>
          <w:p>
            <w:pPr>
              <w:spacing w:before="20" w:after="20" w:line="240" w:lineRule="auto"/>
            </w:pPr>
            <w:r/>
            <w:r>
              <w:rPr>
                <w:rFonts w:ascii="Times New Roman" w:hAnsi="Times New Roman"/>
                <w:b/>
                <w:i w:val="0"/>
                <w:sz w:val="20"/>
              </w:rPr>
              <w:t>Migration distance</w:t>
            </w:r>
          </w:p>
        </w:tc>
        <w:tc>
          <w:tcPr>
            <w:tcW w:type="dxa" w:w="4513"/>
          </w:tcPr>
          <w:p>
            <w:pPr>
              <w:spacing w:before="20" w:after="20" w:line="240" w:lineRule="auto"/>
            </w:pPr>
            <w:r/>
            <w:r>
              <w:rPr>
                <w:rFonts w:ascii="Times New Roman" w:hAnsi="Times New Roman"/>
                <w:b w:val="0"/>
                <w:i w:val="0"/>
                <w:sz w:val="20"/>
              </w:rPr>
              <w:t>80 mm from the application position</w:t>
            </w:r>
          </w:p>
        </w:tc>
      </w:tr>
      <w:tr>
        <w:tc>
          <w:tcPr>
            <w:tcW w:type="dxa" w:w="4513"/>
          </w:tcPr>
          <w:p>
            <w:pPr>
              <w:spacing w:before="20" w:after="20" w:line="240" w:lineRule="auto"/>
            </w:pPr>
            <w:r/>
            <w:r>
              <w:rPr>
                <w:rFonts w:ascii="Times New Roman" w:hAnsi="Times New Roman"/>
                <w:b/>
                <w:i w:val="0"/>
                <w:sz w:val="20"/>
              </w:rPr>
              <w:t>Band length / spacing</w:t>
            </w:r>
          </w:p>
        </w:tc>
        <w:tc>
          <w:tcPr>
            <w:tcW w:type="dxa" w:w="4513"/>
          </w:tcPr>
          <w:p>
            <w:pPr>
              <w:spacing w:before="20" w:after="20" w:line="240" w:lineRule="auto"/>
            </w:pPr>
            <w:r/>
            <w:r>
              <w:rPr>
                <w:rFonts w:ascii="Times New Roman" w:hAnsi="Times New Roman"/>
                <w:b w:val="0"/>
                <w:i w:val="0"/>
                <w:sz w:val="20"/>
              </w:rPr>
              <w:t>8 mm band; 6 bands per plate; 15 mm from lower edge</w:t>
            </w:r>
          </w:p>
        </w:tc>
      </w:tr>
      <w:tr>
        <w:tc>
          <w:tcPr>
            <w:tcW w:type="dxa" w:w="4513"/>
          </w:tcPr>
          <w:p>
            <w:pPr>
              <w:spacing w:before="20" w:after="20" w:line="240" w:lineRule="auto"/>
            </w:pPr>
            <w:r/>
            <w:r>
              <w:rPr>
                <w:rFonts w:ascii="Times New Roman" w:hAnsi="Times New Roman"/>
                <w:b/>
                <w:i w:val="0"/>
                <w:sz w:val="20"/>
              </w:rPr>
              <w:t>Application volume</w:t>
            </w:r>
          </w:p>
        </w:tc>
        <w:tc>
          <w:tcPr>
            <w:tcW w:type="dxa" w:w="4513"/>
          </w:tcPr>
          <w:p>
            <w:pPr>
              <w:spacing w:before="20" w:after="20" w:line="240" w:lineRule="auto"/>
            </w:pPr>
            <w:r/>
            <w:r>
              <w:rPr>
                <w:rFonts w:ascii="Times New Roman" w:hAnsi="Times New Roman"/>
                <w:b w:val="0"/>
                <w:i w:val="0"/>
                <w:sz w:val="20"/>
              </w:rPr>
              <w:t>Standards 4 µL; EA fraction 8 µL (10 mg/mL)</w:t>
            </w:r>
          </w:p>
        </w:tc>
      </w:tr>
      <w:tr>
        <w:tc>
          <w:tcPr>
            <w:tcW w:type="dxa" w:w="4513"/>
          </w:tcPr>
          <w:p>
            <w:pPr>
              <w:spacing w:before="20" w:after="20" w:line="240" w:lineRule="auto"/>
            </w:pPr>
            <w:r/>
            <w:r>
              <w:rPr>
                <w:rFonts w:ascii="Times New Roman" w:hAnsi="Times New Roman"/>
                <w:b/>
                <w:i w:val="0"/>
                <w:sz w:val="20"/>
              </w:rPr>
              <w:t>Development conditions</w:t>
            </w:r>
          </w:p>
        </w:tc>
        <w:tc>
          <w:tcPr>
            <w:tcW w:type="dxa" w:w="4513"/>
          </w:tcPr>
          <w:p>
            <w:pPr>
              <w:spacing w:before="20" w:after="20" w:line="240" w:lineRule="auto"/>
            </w:pPr>
            <w:r/>
            <w:r>
              <w:rPr>
                <w:rFonts w:ascii="Times New Roman" w:hAnsi="Times New Roman"/>
                <w:b w:val="0"/>
                <w:i w:val="0"/>
                <w:sz w:val="20"/>
              </w:rPr>
              <w:t>25 ± 2 °C; relative humidity 50 ± 5%</w:t>
            </w:r>
          </w:p>
        </w:tc>
      </w:tr>
      <w:tr>
        <w:tc>
          <w:tcPr>
            <w:tcW w:type="dxa" w:w="4513"/>
          </w:tcPr>
          <w:p>
            <w:pPr>
              <w:spacing w:before="20" w:after="20" w:line="240" w:lineRule="auto"/>
            </w:pPr>
            <w:r/>
            <w:r>
              <w:rPr>
                <w:rFonts w:ascii="Times New Roman" w:hAnsi="Times New Roman"/>
                <w:b/>
                <w:i w:val="0"/>
                <w:sz w:val="20"/>
              </w:rPr>
              <w:t>Detection wavelengths</w:t>
            </w:r>
          </w:p>
        </w:tc>
        <w:tc>
          <w:tcPr>
            <w:tcW w:type="dxa" w:w="4513"/>
          </w:tcPr>
          <w:p>
            <w:pPr>
              <w:spacing w:before="20" w:after="20" w:line="240" w:lineRule="auto"/>
            </w:pPr>
            <w:r/>
            <w:r>
              <w:rPr>
                <w:rFonts w:ascii="Times New Roman" w:hAnsi="Times New Roman"/>
                <w:b w:val="0"/>
                <w:i w:val="0"/>
                <w:sz w:val="20"/>
              </w:rPr>
              <w:t>254 nm (quenching); 366 nm (fluorescence after NP–PEG)</w:t>
            </w:r>
          </w:p>
        </w:tc>
      </w:tr>
      <w:tr>
        <w:tc>
          <w:tcPr>
            <w:tcW w:type="dxa" w:w="4513"/>
          </w:tcPr>
          <w:p>
            <w:pPr>
              <w:spacing w:before="20" w:after="20" w:line="240" w:lineRule="auto"/>
            </w:pPr>
            <w:r/>
            <w:r>
              <w:rPr>
                <w:rFonts w:ascii="Times New Roman" w:hAnsi="Times New Roman"/>
                <w:b/>
                <w:i w:val="0"/>
                <w:sz w:val="20"/>
              </w:rPr>
              <w:t>Scanning mode</w:t>
            </w:r>
          </w:p>
        </w:tc>
        <w:tc>
          <w:tcPr>
            <w:tcW w:type="dxa" w:w="4513"/>
          </w:tcPr>
          <w:p>
            <w:pPr>
              <w:spacing w:before="20" w:after="20" w:line="240" w:lineRule="auto"/>
            </w:pPr>
            <w:r/>
            <w:r>
              <w:rPr>
                <w:rFonts w:ascii="Times New Roman" w:hAnsi="Times New Roman"/>
                <w:b w:val="0"/>
                <w:i w:val="0"/>
                <w:sz w:val="20"/>
              </w:rPr>
              <w:t>Absorption/reflectance; slit 5.00 × 0.45 mm; 20 mm/s</w:t>
            </w:r>
          </w:p>
        </w:tc>
      </w:tr>
      <w:tr>
        <w:tc>
          <w:tcPr>
            <w:tcW w:type="dxa" w:w="4513"/>
          </w:tcPr>
          <w:p>
            <w:pPr>
              <w:spacing w:before="20" w:after="20" w:line="240" w:lineRule="auto"/>
            </w:pPr>
            <w:r/>
            <w:r>
              <w:rPr>
                <w:rFonts w:ascii="Times New Roman" w:hAnsi="Times New Roman"/>
                <w:b/>
                <w:i w:val="0"/>
                <w:sz w:val="20"/>
              </w:rPr>
              <w:t>Lamp</w:t>
            </w:r>
          </w:p>
        </w:tc>
        <w:tc>
          <w:tcPr>
            <w:tcW w:type="dxa" w:w="4513"/>
          </w:tcPr>
          <w:p>
            <w:pPr>
              <w:spacing w:before="20" w:after="20" w:line="240" w:lineRule="auto"/>
            </w:pPr>
            <w:r/>
            <w:r>
              <w:rPr>
                <w:rFonts w:ascii="Times New Roman" w:hAnsi="Times New Roman"/>
                <w:b w:val="0"/>
                <w:i w:val="0"/>
                <w:sz w:val="20"/>
              </w:rPr>
              <w:t>Deuterium and tungsten (D2 / W)</w:t>
            </w:r>
          </w:p>
        </w:tc>
      </w:tr>
    </w:tbl>
    <w:p>
      <w:pPr>
        <w:spacing w:after="120" w:line="276" w:lineRule="auto"/>
        <w:jc w:val="both"/>
      </w:pPr>
      <w:r>
        <w:rPr>
          <w:rFonts w:ascii="Times New Roman" w:hAnsi="Times New Roman"/>
          <w:b w:val="0"/>
          <w:i w:val="0"/>
          <w:sz w:val="22"/>
        </w:rPr>
        <w:t>The toluene : ethyl acetate : formic acid (5:4:1) system is a well-established normal-phase solvent for the separation of flavonoid aglycones and glycosides. Formic acid suppresses tailing of the phenolic hydroxyl groups, producing compact, well-resolved bands. The less polar aglycone quercetin migrates with a high Rf (~0.95), whereas the more polar glycoside rutin is retained nearer the origin with a low Rf (~0.42).</w:t>
      </w:r>
    </w:p>
    <w:p>
      <w:pPr>
        <w:keepNext/>
        <w:spacing w:before="200" w:after="80"/>
      </w:pPr>
      <w:r>
        <w:rPr>
          <w:rFonts w:ascii="Times New Roman" w:hAnsi="Times New Roman"/>
          <w:b/>
          <w:i w:val="0"/>
          <w:sz w:val="26"/>
        </w:rPr>
        <w:t>3. 2D Densitograms of the Reference Standards</w:t>
      </w:r>
    </w:p>
    <w:p>
      <w:pPr>
        <w:spacing w:after="120" w:line="276" w:lineRule="auto"/>
        <w:jc w:val="both"/>
      </w:pPr>
      <w:r>
        <w:rPr>
          <w:rFonts w:ascii="Times New Roman" w:hAnsi="Times New Roman"/>
          <w:b w:val="0"/>
          <w:i w:val="0"/>
          <w:sz w:val="22"/>
        </w:rPr>
        <w:t>Each reference standard was applied as a single band and developed under the optimised conditions. After development, the plate was scanned at 366 nm. The 2D densitogram represents the densitometric peak profile of the track, plotting absorbance (in arbitrary units, AU) against the retention factor (Rf). A single, symmetrical, well-resolved peak was obtained for each standard, confirming purity and method suitability.</w:t>
      </w:r>
    </w:p>
    <w:p>
      <w:pPr>
        <w:keepNext/>
        <w:spacing w:before="160" w:after="80"/>
      </w:pPr>
      <w:r>
        <w:rPr>
          <w:rFonts w:ascii="Times New Roman" w:hAnsi="Times New Roman"/>
          <w:b/>
          <w:i w:val="0"/>
          <w:sz w:val="23"/>
        </w:rPr>
        <w:t>3.1. Standard quercetin (Track 1)</w:t>
      </w:r>
    </w:p>
    <w:p>
      <w:pPr>
        <w:spacing w:before="120" w:after="40"/>
        <w:jc w:val="center"/>
      </w:pPr>
      <w:r>
        <w:drawing>
          <wp:inline xmlns:a="http://schemas.openxmlformats.org/drawingml/2006/main" xmlns:pic="http://schemas.openxmlformats.org/drawingml/2006/picture">
            <wp:extent cx="5303520" cy="2514895"/>
            <wp:docPr id="1" name="Picture 1"/>
            <wp:cNvGraphicFramePr>
              <a:graphicFrameLocks noChangeAspect="1"/>
            </wp:cNvGraphicFramePr>
            <a:graphic>
              <a:graphicData uri="http://schemas.openxmlformats.org/drawingml/2006/picture">
                <pic:pic>
                  <pic:nvPicPr>
                    <pic:cNvPr id="0" name="fig_std_quercetin_2d.png"/>
                    <pic:cNvPicPr/>
                  </pic:nvPicPr>
                  <pic:blipFill>
                    <a:blip r:embed="rId9"/>
                    <a:stretch>
                      <a:fillRect/>
                    </a:stretch>
                  </pic:blipFill>
                  <pic:spPr>
                    <a:xfrm>
                      <a:off x="0" y="0"/>
                      <a:ext cx="5303520" cy="2514895"/>
                    </a:xfrm>
                    <a:prstGeom prst="rect"/>
                  </pic:spPr>
                </pic:pic>
              </a:graphicData>
            </a:graphic>
          </wp:inline>
        </w:drawing>
      </w:r>
    </w:p>
    <w:p>
      <w:pPr>
        <w:spacing w:after="200" w:line="240" w:lineRule="auto"/>
        <w:jc w:val="center"/>
      </w:pPr>
      <w:r>
        <w:rPr>
          <w:rFonts w:ascii="Times New Roman" w:hAnsi="Times New Roman"/>
          <w:b/>
          <w:i w:val="0"/>
          <w:sz w:val="19"/>
        </w:rPr>
        <w:t>Figure 1.</w:t>
      </w:r>
      <w:r>
        <w:rPr>
          <w:rFonts w:ascii="Times New Roman" w:hAnsi="Times New Roman"/>
          <w:b w:val="0"/>
          <w:i/>
          <w:sz w:val="19"/>
        </w:rPr>
        <w:t xml:space="preserve"> 2D HPTLC densitogram of standard quercetin scanned at 366 nm, showing a single band at Rf 0.95.</w:t>
      </w:r>
    </w:p>
    <w:p>
      <w:pPr>
        <w:spacing w:after="120" w:line="276" w:lineRule="auto"/>
        <w:jc w:val="both"/>
      </w:pPr>
      <w:r>
        <w:rPr>
          <w:rFonts w:ascii="Times New Roman" w:hAnsi="Times New Roman"/>
          <w:b w:val="0"/>
          <w:i w:val="0"/>
          <w:sz w:val="22"/>
        </w:rPr>
        <w:t>Quercetin produced a single sharp band with Rf = 0.95 ± 0.01, appearing as a bright yellow fluorescent zone at 366 nm after NP–PEG derivatisation. The high Rf is consistent with its non-glycosylated, comparatively less polar aglycone structure.</w:t>
      </w:r>
    </w:p>
    <w:p>
      <w:pPr>
        <w:keepNext/>
        <w:spacing w:before="160" w:after="80"/>
      </w:pPr>
      <w:r>
        <w:rPr>
          <w:rFonts w:ascii="Times New Roman" w:hAnsi="Times New Roman"/>
          <w:b/>
          <w:i w:val="0"/>
          <w:sz w:val="23"/>
        </w:rPr>
        <w:t>3.2. Standard rutin (Track 2)</w:t>
      </w:r>
    </w:p>
    <w:p>
      <w:pPr>
        <w:spacing w:before="120" w:after="40"/>
        <w:jc w:val="center"/>
      </w:pPr>
      <w:r>
        <w:drawing>
          <wp:inline xmlns:a="http://schemas.openxmlformats.org/drawingml/2006/main" xmlns:pic="http://schemas.openxmlformats.org/drawingml/2006/picture">
            <wp:extent cx="5303520" cy="2510618"/>
            <wp:docPr id="2" name="Picture 2"/>
            <wp:cNvGraphicFramePr>
              <a:graphicFrameLocks noChangeAspect="1"/>
            </wp:cNvGraphicFramePr>
            <a:graphic>
              <a:graphicData uri="http://schemas.openxmlformats.org/drawingml/2006/picture">
                <pic:pic>
                  <pic:nvPicPr>
                    <pic:cNvPr id="0" name="fig_std_rutin_2d.png"/>
                    <pic:cNvPicPr/>
                  </pic:nvPicPr>
                  <pic:blipFill>
                    <a:blip r:embed="rId10"/>
                    <a:stretch>
                      <a:fillRect/>
                    </a:stretch>
                  </pic:blipFill>
                  <pic:spPr>
                    <a:xfrm>
                      <a:off x="0" y="0"/>
                      <a:ext cx="5303520" cy="2510618"/>
                    </a:xfrm>
                    <a:prstGeom prst="rect"/>
                  </pic:spPr>
                </pic:pic>
              </a:graphicData>
            </a:graphic>
          </wp:inline>
        </w:drawing>
      </w:r>
    </w:p>
    <w:p>
      <w:pPr>
        <w:spacing w:after="200" w:line="240" w:lineRule="auto"/>
        <w:jc w:val="center"/>
      </w:pPr>
      <w:r>
        <w:rPr>
          <w:rFonts w:ascii="Times New Roman" w:hAnsi="Times New Roman"/>
          <w:b/>
          <w:i w:val="0"/>
          <w:sz w:val="19"/>
        </w:rPr>
        <w:t>Figure 2.</w:t>
      </w:r>
      <w:r>
        <w:rPr>
          <w:rFonts w:ascii="Times New Roman" w:hAnsi="Times New Roman"/>
          <w:b w:val="0"/>
          <w:i/>
          <w:sz w:val="19"/>
        </w:rPr>
        <w:t xml:space="preserve"> 2D HPTLC densitogram of standard rutin scanned at 366 nm, showing a single band at Rf 0.42.</w:t>
      </w:r>
    </w:p>
    <w:p>
      <w:pPr>
        <w:spacing w:after="120" w:line="276" w:lineRule="auto"/>
        <w:jc w:val="both"/>
      </w:pPr>
      <w:r>
        <w:rPr>
          <w:rFonts w:ascii="Times New Roman" w:hAnsi="Times New Roman"/>
          <w:b w:val="0"/>
          <w:i w:val="0"/>
          <w:sz w:val="22"/>
        </w:rPr>
        <w:t>Rutin produced a single band with Rf = 0.42 ± 0.01, appearing as an orange-yellow fluorescent zone at 366 nm. The lower Rf reflects the increased polarity contributed by the disaccharide (rutinose) moiety, which increases retention on the polar silica surface.</w:t>
      </w:r>
    </w:p>
    <w:p>
      <w:pPr>
        <w:keepNext/>
        <w:spacing w:before="200" w:after="80"/>
      </w:pPr>
      <w:r>
        <w:rPr>
          <w:rFonts w:ascii="Times New Roman" w:hAnsi="Times New Roman"/>
          <w:b/>
          <w:i w:val="0"/>
          <w:sz w:val="26"/>
        </w:rPr>
        <w:t>4. 2D Densitogram of the Ethyl Acetate Fraction</w:t>
      </w:r>
    </w:p>
    <w:p>
      <w:pPr>
        <w:spacing w:after="120" w:line="276" w:lineRule="auto"/>
        <w:jc w:val="both"/>
      </w:pPr>
      <w:r>
        <w:rPr>
          <w:rFonts w:ascii="Times New Roman" w:hAnsi="Times New Roman"/>
          <w:b w:val="0"/>
          <w:i w:val="0"/>
          <w:sz w:val="22"/>
        </w:rPr>
        <w:t>The ethyl acetate fraction of the methanol extract was applied (Track 3) and developed alongside the standards. Scanning at 366 nm revealed a multi-component fingerprint comprising seven resolved peaks (P1–P7). Two of these peaks co-chromatographed with the reference standards: peak P3 (Rf 0.42) matched rutin, and peak P7 (Rf 0.95) matched quercetin.</w:t>
      </w:r>
    </w:p>
    <w:p>
      <w:pPr>
        <w:spacing w:before="120" w:after="40"/>
        <w:jc w:val="center"/>
      </w:pPr>
      <w:r>
        <w:drawing>
          <wp:inline xmlns:a="http://schemas.openxmlformats.org/drawingml/2006/main" xmlns:pic="http://schemas.openxmlformats.org/drawingml/2006/picture">
            <wp:extent cx="5303520" cy="2466557"/>
            <wp:docPr id="3" name="Picture 3"/>
            <wp:cNvGraphicFramePr>
              <a:graphicFrameLocks noChangeAspect="1"/>
            </wp:cNvGraphicFramePr>
            <a:graphic>
              <a:graphicData uri="http://schemas.openxmlformats.org/drawingml/2006/picture">
                <pic:pic>
                  <pic:nvPicPr>
                    <pic:cNvPr id="0" name="fig_ea_fraction_2d.png"/>
                    <pic:cNvPicPr/>
                  </pic:nvPicPr>
                  <pic:blipFill>
                    <a:blip r:embed="rId11"/>
                    <a:stretch>
                      <a:fillRect/>
                    </a:stretch>
                  </pic:blipFill>
                  <pic:spPr>
                    <a:xfrm>
                      <a:off x="0" y="0"/>
                      <a:ext cx="5303520" cy="2466557"/>
                    </a:xfrm>
                    <a:prstGeom prst="rect"/>
                  </pic:spPr>
                </pic:pic>
              </a:graphicData>
            </a:graphic>
          </wp:inline>
        </w:drawing>
      </w:r>
    </w:p>
    <w:p>
      <w:pPr>
        <w:spacing w:after="200" w:line="240" w:lineRule="auto"/>
        <w:jc w:val="center"/>
      </w:pPr>
      <w:r>
        <w:rPr>
          <w:rFonts w:ascii="Times New Roman" w:hAnsi="Times New Roman"/>
          <w:b/>
          <w:i w:val="0"/>
          <w:sz w:val="19"/>
        </w:rPr>
        <w:t>Figure 3.</w:t>
      </w:r>
      <w:r>
        <w:rPr>
          <w:rFonts w:ascii="Times New Roman" w:hAnsi="Times New Roman"/>
          <w:b w:val="0"/>
          <w:i/>
          <w:sz w:val="19"/>
        </w:rPr>
        <w:t xml:space="preserve"> 2D HPTLC densitogram of the ethyl acetate fraction of S. trilobata at 366 nm, showing seven resolved peaks (P1–P7); P3 = rutin and P7 = quercetin.</w:t>
      </w:r>
    </w:p>
    <w:p>
      <w:pPr>
        <w:keepNext/>
        <w:spacing w:before="160" w:after="80"/>
      </w:pPr>
      <w:r>
        <w:rPr>
          <w:rFonts w:ascii="Times New Roman" w:hAnsi="Times New Roman"/>
          <w:b/>
          <w:i w:val="0"/>
          <w:sz w:val="23"/>
        </w:rPr>
        <w:t>4.1. Peak table of the ethyl acetate fraction (366 nm)</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4" w:color="000000"/>
          <w:insideV w:val="single" w:sz="4" w:color="000000"/>
        </w:tblBorders>
        <w:tblCellMar>
          <w:top w:w="40" w:type="dxa"/>
          <w:left w:w="80" w:type="dxa"/>
          <w:bottom w:w="40" w:type="dxa"/>
          <w:right w:w="80" w:type="dxa"/>
        </w:tblCellMar>
      </w:tblPr>
      <w:tblGrid>
        <w:gridCol w:w="1805"/>
        <w:gridCol w:w="1805"/>
        <w:gridCol w:w="1805"/>
        <w:gridCol w:w="1805"/>
        <w:gridCol w:w="1805"/>
      </w:tblGrid>
      <w:tr>
        <w:tc>
          <w:tcPr>
            <w:tcW w:type="dxa" w:w="1805"/>
            <w:shd w:fill="D9D9D9"/>
          </w:tcPr>
          <w:p>
            <w:pPr>
              <w:spacing w:before="20" w:after="20" w:line="240" w:lineRule="auto"/>
              <w:jc w:val="center"/>
            </w:pPr>
            <w:r/>
            <w:r>
              <w:rPr>
                <w:rFonts w:ascii="Times New Roman" w:hAnsi="Times New Roman"/>
                <w:b/>
                <w:i w:val="0"/>
                <w:sz w:val="20"/>
              </w:rPr>
              <w:t>Peak</w:t>
            </w:r>
          </w:p>
        </w:tc>
        <w:tc>
          <w:tcPr>
            <w:tcW w:type="dxa" w:w="1805"/>
            <w:shd w:fill="D9D9D9"/>
          </w:tcPr>
          <w:p>
            <w:pPr>
              <w:spacing w:before="20" w:after="20" w:line="240" w:lineRule="auto"/>
              <w:jc w:val="center"/>
            </w:pPr>
            <w:r/>
            <w:r>
              <w:rPr>
                <w:rFonts w:ascii="Times New Roman" w:hAnsi="Times New Roman"/>
                <w:b/>
                <w:i w:val="0"/>
                <w:sz w:val="20"/>
              </w:rPr>
              <w:t>Rf</w:t>
            </w:r>
          </w:p>
        </w:tc>
        <w:tc>
          <w:tcPr>
            <w:tcW w:type="dxa" w:w="1805"/>
            <w:shd w:fill="D9D9D9"/>
          </w:tcPr>
          <w:p>
            <w:pPr>
              <w:spacing w:before="20" w:after="20" w:line="240" w:lineRule="auto"/>
              <w:jc w:val="center"/>
            </w:pPr>
            <w:r/>
            <w:r>
              <w:rPr>
                <w:rFonts w:ascii="Times New Roman" w:hAnsi="Times New Roman"/>
                <w:b/>
                <w:i w:val="0"/>
                <w:sz w:val="20"/>
              </w:rPr>
              <w:t>Peak area (AU)</w:t>
            </w:r>
          </w:p>
        </w:tc>
        <w:tc>
          <w:tcPr>
            <w:tcW w:type="dxa" w:w="1805"/>
            <w:shd w:fill="D9D9D9"/>
          </w:tcPr>
          <w:p>
            <w:pPr>
              <w:spacing w:before="20" w:after="20" w:line="240" w:lineRule="auto"/>
              <w:jc w:val="center"/>
            </w:pPr>
            <w:r/>
            <w:r>
              <w:rPr>
                <w:rFonts w:ascii="Times New Roman" w:hAnsi="Times New Roman"/>
                <w:b/>
                <w:i w:val="0"/>
                <w:sz w:val="20"/>
              </w:rPr>
              <w:t>% Area</w:t>
            </w:r>
          </w:p>
        </w:tc>
        <w:tc>
          <w:tcPr>
            <w:tcW w:type="dxa" w:w="1805"/>
            <w:shd w:fill="D9D9D9"/>
          </w:tcPr>
          <w:p>
            <w:pPr>
              <w:spacing w:before="20" w:after="20" w:line="240" w:lineRule="auto"/>
              <w:jc w:val="center"/>
            </w:pPr>
            <w:r/>
            <w:r>
              <w:rPr>
                <w:rFonts w:ascii="Times New Roman" w:hAnsi="Times New Roman"/>
                <w:b/>
                <w:i w:val="0"/>
                <w:sz w:val="20"/>
              </w:rPr>
              <w:t>Assignment / remark</w:t>
            </w:r>
          </w:p>
        </w:tc>
      </w:tr>
      <w:tr>
        <w:tc>
          <w:tcPr>
            <w:tcW w:type="dxa" w:w="1805"/>
          </w:tcPr>
          <w:p>
            <w:pPr>
              <w:spacing w:before="20" w:after="20" w:line="240" w:lineRule="auto"/>
            </w:pPr>
            <w:r/>
            <w:r>
              <w:rPr>
                <w:rFonts w:ascii="Times New Roman" w:hAnsi="Times New Roman"/>
                <w:b/>
                <w:i w:val="0"/>
                <w:sz w:val="20"/>
              </w:rPr>
              <w:t>P1</w:t>
            </w:r>
          </w:p>
        </w:tc>
        <w:tc>
          <w:tcPr>
            <w:tcW w:type="dxa" w:w="1805"/>
          </w:tcPr>
          <w:p>
            <w:pPr>
              <w:spacing w:before="20" w:after="20" w:line="240" w:lineRule="auto"/>
            </w:pPr>
            <w:r/>
            <w:r>
              <w:rPr>
                <w:rFonts w:ascii="Times New Roman" w:hAnsi="Times New Roman"/>
                <w:b w:val="0"/>
                <w:i w:val="0"/>
                <w:sz w:val="20"/>
              </w:rPr>
              <w:t>0.09</w:t>
            </w:r>
          </w:p>
        </w:tc>
        <w:tc>
          <w:tcPr>
            <w:tcW w:type="dxa" w:w="1805"/>
          </w:tcPr>
          <w:p>
            <w:pPr>
              <w:spacing w:before="20" w:after="20" w:line="240" w:lineRule="auto"/>
            </w:pPr>
            <w:r/>
            <w:r>
              <w:rPr>
                <w:rFonts w:ascii="Times New Roman" w:hAnsi="Times New Roman"/>
                <w:b w:val="0"/>
                <w:i w:val="0"/>
                <w:sz w:val="20"/>
              </w:rPr>
              <w:t>1820</w:t>
            </w:r>
          </w:p>
        </w:tc>
        <w:tc>
          <w:tcPr>
            <w:tcW w:type="dxa" w:w="1805"/>
          </w:tcPr>
          <w:p>
            <w:pPr>
              <w:spacing w:before="20" w:after="20" w:line="240" w:lineRule="auto"/>
            </w:pPr>
            <w:r/>
            <w:r>
              <w:rPr>
                <w:rFonts w:ascii="Times New Roman" w:hAnsi="Times New Roman"/>
                <w:b w:val="0"/>
                <w:i w:val="0"/>
                <w:sz w:val="20"/>
              </w:rPr>
              <w:t>5.8</w:t>
            </w:r>
          </w:p>
        </w:tc>
        <w:tc>
          <w:tcPr>
            <w:tcW w:type="dxa" w:w="1805"/>
          </w:tcPr>
          <w:p>
            <w:pPr>
              <w:spacing w:before="20" w:after="20" w:line="240" w:lineRule="auto"/>
            </w:pPr>
            <w:r/>
            <w:r>
              <w:rPr>
                <w:rFonts w:ascii="Times New Roman" w:hAnsi="Times New Roman"/>
                <w:b w:val="0"/>
                <w:i w:val="0"/>
                <w:sz w:val="20"/>
              </w:rPr>
              <w:t>Polar pigment / phenolic acid (unidentified)</w:t>
            </w:r>
          </w:p>
        </w:tc>
      </w:tr>
      <w:tr>
        <w:tc>
          <w:tcPr>
            <w:tcW w:type="dxa" w:w="1805"/>
          </w:tcPr>
          <w:p>
            <w:pPr>
              <w:spacing w:before="20" w:after="20" w:line="240" w:lineRule="auto"/>
            </w:pPr>
            <w:r/>
            <w:r>
              <w:rPr>
                <w:rFonts w:ascii="Times New Roman" w:hAnsi="Times New Roman"/>
                <w:b/>
                <w:i w:val="0"/>
                <w:sz w:val="20"/>
              </w:rPr>
              <w:t>P2</w:t>
            </w:r>
          </w:p>
        </w:tc>
        <w:tc>
          <w:tcPr>
            <w:tcW w:type="dxa" w:w="1805"/>
          </w:tcPr>
          <w:p>
            <w:pPr>
              <w:spacing w:before="20" w:after="20" w:line="240" w:lineRule="auto"/>
            </w:pPr>
            <w:r/>
            <w:r>
              <w:rPr>
                <w:rFonts w:ascii="Times New Roman" w:hAnsi="Times New Roman"/>
                <w:b w:val="0"/>
                <w:i w:val="0"/>
                <w:sz w:val="20"/>
              </w:rPr>
              <w:t>0.23</w:t>
            </w:r>
          </w:p>
        </w:tc>
        <w:tc>
          <w:tcPr>
            <w:tcW w:type="dxa" w:w="1805"/>
          </w:tcPr>
          <w:p>
            <w:pPr>
              <w:spacing w:before="20" w:after="20" w:line="240" w:lineRule="auto"/>
            </w:pPr>
            <w:r/>
            <w:r>
              <w:rPr>
                <w:rFonts w:ascii="Times New Roman" w:hAnsi="Times New Roman"/>
                <w:b w:val="0"/>
                <w:i w:val="0"/>
                <w:sz w:val="20"/>
              </w:rPr>
              <w:t>2560</w:t>
            </w:r>
          </w:p>
        </w:tc>
        <w:tc>
          <w:tcPr>
            <w:tcW w:type="dxa" w:w="1805"/>
          </w:tcPr>
          <w:p>
            <w:pPr>
              <w:spacing w:before="20" w:after="20" w:line="240" w:lineRule="auto"/>
            </w:pPr>
            <w:r/>
            <w:r>
              <w:rPr>
                <w:rFonts w:ascii="Times New Roman" w:hAnsi="Times New Roman"/>
                <w:b w:val="0"/>
                <w:i w:val="0"/>
                <w:sz w:val="20"/>
              </w:rPr>
              <w:t>8.1</w:t>
            </w:r>
          </w:p>
        </w:tc>
        <w:tc>
          <w:tcPr>
            <w:tcW w:type="dxa" w:w="1805"/>
          </w:tcPr>
          <w:p>
            <w:pPr>
              <w:spacing w:before="20" w:after="20" w:line="240" w:lineRule="auto"/>
            </w:pPr>
            <w:r/>
            <w:r>
              <w:rPr>
                <w:rFonts w:ascii="Times New Roman" w:hAnsi="Times New Roman"/>
                <w:b w:val="0"/>
                <w:i w:val="0"/>
                <w:sz w:val="20"/>
              </w:rPr>
              <w:t>Minor flavonoid glycoside (unidentified)</w:t>
            </w:r>
          </w:p>
        </w:tc>
      </w:tr>
      <w:tr>
        <w:tc>
          <w:tcPr>
            <w:tcW w:type="dxa" w:w="1805"/>
          </w:tcPr>
          <w:p>
            <w:pPr>
              <w:spacing w:before="20" w:after="20" w:line="240" w:lineRule="auto"/>
            </w:pPr>
            <w:r/>
            <w:r>
              <w:rPr>
                <w:rFonts w:ascii="Times New Roman" w:hAnsi="Times New Roman"/>
                <w:b/>
                <w:i w:val="0"/>
                <w:sz w:val="20"/>
              </w:rPr>
              <w:t>P3</w:t>
            </w:r>
          </w:p>
        </w:tc>
        <w:tc>
          <w:tcPr>
            <w:tcW w:type="dxa" w:w="1805"/>
          </w:tcPr>
          <w:p>
            <w:pPr>
              <w:spacing w:before="20" w:after="20" w:line="240" w:lineRule="auto"/>
            </w:pPr>
            <w:r/>
            <w:r>
              <w:rPr>
                <w:rFonts w:ascii="Times New Roman" w:hAnsi="Times New Roman"/>
                <w:b w:val="0"/>
                <w:i w:val="0"/>
                <w:sz w:val="20"/>
              </w:rPr>
              <w:t>0.42</w:t>
            </w:r>
          </w:p>
        </w:tc>
        <w:tc>
          <w:tcPr>
            <w:tcW w:type="dxa" w:w="1805"/>
          </w:tcPr>
          <w:p>
            <w:pPr>
              <w:spacing w:before="20" w:after="20" w:line="240" w:lineRule="auto"/>
            </w:pPr>
            <w:r/>
            <w:r>
              <w:rPr>
                <w:rFonts w:ascii="Times New Roman" w:hAnsi="Times New Roman"/>
                <w:b w:val="0"/>
                <w:i w:val="0"/>
                <w:sz w:val="20"/>
              </w:rPr>
              <w:t>9340</w:t>
            </w:r>
          </w:p>
        </w:tc>
        <w:tc>
          <w:tcPr>
            <w:tcW w:type="dxa" w:w="1805"/>
          </w:tcPr>
          <w:p>
            <w:pPr>
              <w:spacing w:before="20" w:after="20" w:line="240" w:lineRule="auto"/>
            </w:pPr>
            <w:r/>
            <w:r>
              <w:rPr>
                <w:rFonts w:ascii="Times New Roman" w:hAnsi="Times New Roman"/>
                <w:b w:val="0"/>
                <w:i w:val="0"/>
                <w:sz w:val="20"/>
              </w:rPr>
              <w:t>29.7</w:t>
            </w:r>
          </w:p>
        </w:tc>
        <w:tc>
          <w:tcPr>
            <w:tcW w:type="dxa" w:w="1805"/>
          </w:tcPr>
          <w:p>
            <w:pPr>
              <w:spacing w:before="20" w:after="20" w:line="240" w:lineRule="auto"/>
            </w:pPr>
            <w:r/>
            <w:r>
              <w:rPr>
                <w:rFonts w:ascii="Times New Roman" w:hAnsi="Times New Roman"/>
                <w:b w:val="0"/>
                <w:i w:val="0"/>
                <w:sz w:val="20"/>
              </w:rPr>
              <w:t>Rutin (matches standard, Figure 2)</w:t>
            </w:r>
          </w:p>
        </w:tc>
      </w:tr>
      <w:tr>
        <w:tc>
          <w:tcPr>
            <w:tcW w:type="dxa" w:w="1805"/>
          </w:tcPr>
          <w:p>
            <w:pPr>
              <w:spacing w:before="20" w:after="20" w:line="240" w:lineRule="auto"/>
            </w:pPr>
            <w:r/>
            <w:r>
              <w:rPr>
                <w:rFonts w:ascii="Times New Roman" w:hAnsi="Times New Roman"/>
                <w:b/>
                <w:i w:val="0"/>
                <w:sz w:val="20"/>
              </w:rPr>
              <w:t>P4</w:t>
            </w:r>
          </w:p>
        </w:tc>
        <w:tc>
          <w:tcPr>
            <w:tcW w:type="dxa" w:w="1805"/>
          </w:tcPr>
          <w:p>
            <w:pPr>
              <w:spacing w:before="20" w:after="20" w:line="240" w:lineRule="auto"/>
            </w:pPr>
            <w:r/>
            <w:r>
              <w:rPr>
                <w:rFonts w:ascii="Times New Roman" w:hAnsi="Times New Roman"/>
                <w:b w:val="0"/>
                <w:i w:val="0"/>
                <w:sz w:val="20"/>
              </w:rPr>
              <w:t>0.55</w:t>
            </w:r>
          </w:p>
        </w:tc>
        <w:tc>
          <w:tcPr>
            <w:tcW w:type="dxa" w:w="1805"/>
          </w:tcPr>
          <w:p>
            <w:pPr>
              <w:spacing w:before="20" w:after="20" w:line="240" w:lineRule="auto"/>
            </w:pPr>
            <w:r/>
            <w:r>
              <w:rPr>
                <w:rFonts w:ascii="Times New Roman" w:hAnsi="Times New Roman"/>
                <w:b w:val="0"/>
                <w:i w:val="0"/>
                <w:sz w:val="20"/>
              </w:rPr>
              <w:t>3120</w:t>
            </w:r>
          </w:p>
        </w:tc>
        <w:tc>
          <w:tcPr>
            <w:tcW w:type="dxa" w:w="1805"/>
          </w:tcPr>
          <w:p>
            <w:pPr>
              <w:spacing w:before="20" w:after="20" w:line="240" w:lineRule="auto"/>
            </w:pPr>
            <w:r/>
            <w:r>
              <w:rPr>
                <w:rFonts w:ascii="Times New Roman" w:hAnsi="Times New Roman"/>
                <w:b w:val="0"/>
                <w:i w:val="0"/>
                <w:sz w:val="20"/>
              </w:rPr>
              <w:t>9.9</w:t>
            </w:r>
          </w:p>
        </w:tc>
        <w:tc>
          <w:tcPr>
            <w:tcW w:type="dxa" w:w="1805"/>
          </w:tcPr>
          <w:p>
            <w:pPr>
              <w:spacing w:before="20" w:after="20" w:line="240" w:lineRule="auto"/>
            </w:pPr>
            <w:r/>
            <w:r>
              <w:rPr>
                <w:rFonts w:ascii="Times New Roman" w:hAnsi="Times New Roman"/>
                <w:b w:val="0"/>
                <w:i w:val="0"/>
                <w:sz w:val="20"/>
              </w:rPr>
              <w:t>Flavonoid glycoside (unidentified)</w:t>
            </w:r>
          </w:p>
        </w:tc>
      </w:tr>
      <w:tr>
        <w:tc>
          <w:tcPr>
            <w:tcW w:type="dxa" w:w="1805"/>
          </w:tcPr>
          <w:p>
            <w:pPr>
              <w:spacing w:before="20" w:after="20" w:line="240" w:lineRule="auto"/>
            </w:pPr>
            <w:r/>
            <w:r>
              <w:rPr>
                <w:rFonts w:ascii="Times New Roman" w:hAnsi="Times New Roman"/>
                <w:b/>
                <w:i w:val="0"/>
                <w:sz w:val="20"/>
              </w:rPr>
              <w:t>P5</w:t>
            </w:r>
          </w:p>
        </w:tc>
        <w:tc>
          <w:tcPr>
            <w:tcW w:type="dxa" w:w="1805"/>
          </w:tcPr>
          <w:p>
            <w:pPr>
              <w:spacing w:before="20" w:after="20" w:line="240" w:lineRule="auto"/>
            </w:pPr>
            <w:r/>
            <w:r>
              <w:rPr>
                <w:rFonts w:ascii="Times New Roman" w:hAnsi="Times New Roman"/>
                <w:b w:val="0"/>
                <w:i w:val="0"/>
                <w:sz w:val="20"/>
              </w:rPr>
              <w:t>0.67</w:t>
            </w:r>
          </w:p>
        </w:tc>
        <w:tc>
          <w:tcPr>
            <w:tcW w:type="dxa" w:w="1805"/>
          </w:tcPr>
          <w:p>
            <w:pPr>
              <w:spacing w:before="20" w:after="20" w:line="240" w:lineRule="auto"/>
            </w:pPr>
            <w:r/>
            <w:r>
              <w:rPr>
                <w:rFonts w:ascii="Times New Roman" w:hAnsi="Times New Roman"/>
                <w:b w:val="0"/>
                <w:i w:val="0"/>
                <w:sz w:val="20"/>
              </w:rPr>
              <w:t>2280</w:t>
            </w:r>
          </w:p>
        </w:tc>
        <w:tc>
          <w:tcPr>
            <w:tcW w:type="dxa" w:w="1805"/>
          </w:tcPr>
          <w:p>
            <w:pPr>
              <w:spacing w:before="20" w:after="20" w:line="240" w:lineRule="auto"/>
            </w:pPr>
            <w:r/>
            <w:r>
              <w:rPr>
                <w:rFonts w:ascii="Times New Roman" w:hAnsi="Times New Roman"/>
                <w:b w:val="0"/>
                <w:i w:val="0"/>
                <w:sz w:val="20"/>
              </w:rPr>
              <w:t>7.2</w:t>
            </w:r>
          </w:p>
        </w:tc>
        <w:tc>
          <w:tcPr>
            <w:tcW w:type="dxa" w:w="1805"/>
          </w:tcPr>
          <w:p>
            <w:pPr>
              <w:spacing w:before="20" w:after="20" w:line="240" w:lineRule="auto"/>
            </w:pPr>
            <w:r/>
            <w:r>
              <w:rPr>
                <w:rFonts w:ascii="Times New Roman" w:hAnsi="Times New Roman"/>
                <w:b w:val="0"/>
                <w:i w:val="0"/>
                <w:sz w:val="20"/>
              </w:rPr>
              <w:t>Minor constituent (unidentified)</w:t>
            </w:r>
          </w:p>
        </w:tc>
      </w:tr>
      <w:tr>
        <w:tc>
          <w:tcPr>
            <w:tcW w:type="dxa" w:w="1805"/>
          </w:tcPr>
          <w:p>
            <w:pPr>
              <w:spacing w:before="20" w:after="20" w:line="240" w:lineRule="auto"/>
            </w:pPr>
            <w:r/>
            <w:r>
              <w:rPr>
                <w:rFonts w:ascii="Times New Roman" w:hAnsi="Times New Roman"/>
                <w:b/>
                <w:i w:val="0"/>
                <w:sz w:val="20"/>
              </w:rPr>
              <w:t>P6</w:t>
            </w:r>
          </w:p>
        </w:tc>
        <w:tc>
          <w:tcPr>
            <w:tcW w:type="dxa" w:w="1805"/>
          </w:tcPr>
          <w:p>
            <w:pPr>
              <w:spacing w:before="20" w:after="20" w:line="240" w:lineRule="auto"/>
            </w:pPr>
            <w:r/>
            <w:r>
              <w:rPr>
                <w:rFonts w:ascii="Times New Roman" w:hAnsi="Times New Roman"/>
                <w:b w:val="0"/>
                <w:i w:val="0"/>
                <w:sz w:val="20"/>
              </w:rPr>
              <w:t>0.79</w:t>
            </w:r>
          </w:p>
        </w:tc>
        <w:tc>
          <w:tcPr>
            <w:tcW w:type="dxa" w:w="1805"/>
          </w:tcPr>
          <w:p>
            <w:pPr>
              <w:spacing w:before="20" w:after="20" w:line="240" w:lineRule="auto"/>
            </w:pPr>
            <w:r/>
            <w:r>
              <w:rPr>
                <w:rFonts w:ascii="Times New Roman" w:hAnsi="Times New Roman"/>
                <w:b w:val="0"/>
                <w:i w:val="0"/>
                <w:sz w:val="20"/>
              </w:rPr>
              <w:t>1980</w:t>
            </w:r>
          </w:p>
        </w:tc>
        <w:tc>
          <w:tcPr>
            <w:tcW w:type="dxa" w:w="1805"/>
          </w:tcPr>
          <w:p>
            <w:pPr>
              <w:spacing w:before="20" w:after="20" w:line="240" w:lineRule="auto"/>
            </w:pPr>
            <w:r/>
            <w:r>
              <w:rPr>
                <w:rFonts w:ascii="Times New Roman" w:hAnsi="Times New Roman"/>
                <w:b w:val="0"/>
                <w:i w:val="0"/>
                <w:sz w:val="20"/>
              </w:rPr>
              <w:t>6.3</w:t>
            </w:r>
          </w:p>
        </w:tc>
        <w:tc>
          <w:tcPr>
            <w:tcW w:type="dxa" w:w="1805"/>
          </w:tcPr>
          <w:p>
            <w:pPr>
              <w:spacing w:before="20" w:after="20" w:line="240" w:lineRule="auto"/>
            </w:pPr>
            <w:r/>
            <w:r>
              <w:rPr>
                <w:rFonts w:ascii="Times New Roman" w:hAnsi="Times New Roman"/>
                <w:b w:val="0"/>
                <w:i w:val="0"/>
                <w:sz w:val="20"/>
              </w:rPr>
              <w:t>Minor constituent (unidentified)</w:t>
            </w:r>
          </w:p>
        </w:tc>
      </w:tr>
      <w:tr>
        <w:tc>
          <w:tcPr>
            <w:tcW w:type="dxa" w:w="1805"/>
          </w:tcPr>
          <w:p>
            <w:pPr>
              <w:spacing w:before="20" w:after="20" w:line="240" w:lineRule="auto"/>
            </w:pPr>
            <w:r/>
            <w:r>
              <w:rPr>
                <w:rFonts w:ascii="Times New Roman" w:hAnsi="Times New Roman"/>
                <w:b/>
                <w:i w:val="0"/>
                <w:sz w:val="20"/>
              </w:rPr>
              <w:t>P7</w:t>
            </w:r>
          </w:p>
        </w:tc>
        <w:tc>
          <w:tcPr>
            <w:tcW w:type="dxa" w:w="1805"/>
          </w:tcPr>
          <w:p>
            <w:pPr>
              <w:spacing w:before="20" w:after="20" w:line="240" w:lineRule="auto"/>
            </w:pPr>
            <w:r/>
            <w:r>
              <w:rPr>
                <w:rFonts w:ascii="Times New Roman" w:hAnsi="Times New Roman"/>
                <w:b w:val="0"/>
                <w:i w:val="0"/>
                <w:sz w:val="20"/>
              </w:rPr>
              <w:t>0.95</w:t>
            </w:r>
          </w:p>
        </w:tc>
        <w:tc>
          <w:tcPr>
            <w:tcW w:type="dxa" w:w="1805"/>
          </w:tcPr>
          <w:p>
            <w:pPr>
              <w:spacing w:before="20" w:after="20" w:line="240" w:lineRule="auto"/>
            </w:pPr>
            <w:r/>
            <w:r>
              <w:rPr>
                <w:rFonts w:ascii="Times New Roman" w:hAnsi="Times New Roman"/>
                <w:b w:val="0"/>
                <w:i w:val="0"/>
                <w:sz w:val="20"/>
              </w:rPr>
              <w:t>10380</w:t>
            </w:r>
          </w:p>
        </w:tc>
        <w:tc>
          <w:tcPr>
            <w:tcW w:type="dxa" w:w="1805"/>
          </w:tcPr>
          <w:p>
            <w:pPr>
              <w:spacing w:before="20" w:after="20" w:line="240" w:lineRule="auto"/>
            </w:pPr>
            <w:r/>
            <w:r>
              <w:rPr>
                <w:rFonts w:ascii="Times New Roman" w:hAnsi="Times New Roman"/>
                <w:b w:val="0"/>
                <w:i w:val="0"/>
                <w:sz w:val="20"/>
              </w:rPr>
              <w:t>33.0</w:t>
            </w:r>
          </w:p>
        </w:tc>
        <w:tc>
          <w:tcPr>
            <w:tcW w:type="dxa" w:w="1805"/>
          </w:tcPr>
          <w:p>
            <w:pPr>
              <w:spacing w:before="20" w:after="20" w:line="240" w:lineRule="auto"/>
            </w:pPr>
            <w:r/>
            <w:r>
              <w:rPr>
                <w:rFonts w:ascii="Times New Roman" w:hAnsi="Times New Roman"/>
                <w:b w:val="0"/>
                <w:i w:val="0"/>
                <w:sz w:val="20"/>
              </w:rPr>
              <w:t>Quercetin (matches standard, Figure 1)</w:t>
            </w:r>
          </w:p>
        </w:tc>
      </w:tr>
    </w:tbl>
    <w:p>
      <w:pPr>
        <w:spacing w:after="120" w:line="276" w:lineRule="auto"/>
        <w:jc w:val="both"/>
      </w:pPr>
      <w:r>
        <w:rPr>
          <w:rFonts w:ascii="Times New Roman" w:hAnsi="Times New Roman"/>
          <w:b w:val="0"/>
          <w:i w:val="0"/>
          <w:sz w:val="22"/>
        </w:rPr>
        <w:t>Peaks P3 (rutin) and P7 (quercetin) together accounted for approximately 62.7% of the total integrated peak area, indicating that the EA fraction is markedly enriched in these two flavonoids.</w:t>
      </w:r>
    </w:p>
    <w:p>
      <w:pPr>
        <w:spacing w:after="120" w:line="276" w:lineRule="auto"/>
        <w:jc w:val="both"/>
      </w:pPr>
      <w:r>
        <w:rPr>
          <w:rFonts w:ascii="Times New Roman" w:hAnsi="Times New Roman"/>
          <w:b/>
          <w:i w:val="0"/>
          <w:sz w:val="22"/>
        </w:rPr>
        <w:t xml:space="preserve">Key observation. </w:t>
      </w:r>
      <w:r>
        <w:rPr>
          <w:rFonts w:ascii="Times New Roman" w:hAnsi="Times New Roman"/>
          <w:b w:val="0"/>
          <w:i w:val="0"/>
          <w:sz w:val="22"/>
        </w:rPr>
        <w:t>The Rf values of peaks P3 and P7 in the EA fraction were identical (within ±0.01) to the Rf values of the standards rutin (0.42) and quercetin (0.95), respectively, providing the first line of evidence for the presence of both marker compounds in the fraction.</w:t>
      </w:r>
    </w:p>
    <w:p>
      <w:pPr>
        <w:keepNext/>
        <w:spacing w:before="200" w:after="80"/>
      </w:pPr>
      <w:r>
        <w:rPr>
          <w:rFonts w:ascii="Times New Roman" w:hAnsi="Times New Roman"/>
          <w:b/>
          <w:i w:val="0"/>
          <w:sz w:val="26"/>
        </w:rPr>
        <w:t>5. 2D Overlay and 3D Densitogram</w:t>
      </w:r>
    </w:p>
    <w:p>
      <w:pPr>
        <w:keepNext/>
        <w:spacing w:before="160" w:after="80"/>
      </w:pPr>
      <w:r>
        <w:rPr>
          <w:rFonts w:ascii="Times New Roman" w:hAnsi="Times New Roman"/>
          <w:b/>
          <w:i w:val="0"/>
          <w:sz w:val="23"/>
        </w:rPr>
        <w:t>5.1. 2D overlay (comparative profile)</w:t>
      </w:r>
    </w:p>
    <w:p>
      <w:pPr>
        <w:spacing w:after="120" w:line="276" w:lineRule="auto"/>
        <w:jc w:val="both"/>
      </w:pPr>
      <w:r>
        <w:rPr>
          <w:rFonts w:ascii="Times New Roman" w:hAnsi="Times New Roman"/>
          <w:b w:val="0"/>
          <w:i w:val="0"/>
          <w:sz w:val="22"/>
        </w:rPr>
        <w:t>Overlaying the densitograms of the standards on the EA-fraction track allowed direct visual confirmation of band alignment. The vertical reference lines at Rf 0.42 and Rf 0.95 passed exactly through peaks P3 and P7 of the EA fraction, confirming co-migration with rutin and quercetin, respectively.</w:t>
      </w:r>
    </w:p>
    <w:p>
      <w:pPr>
        <w:spacing w:before="120" w:after="40"/>
        <w:jc w:val="center"/>
      </w:pPr>
      <w:r>
        <w:drawing>
          <wp:inline xmlns:a="http://schemas.openxmlformats.org/drawingml/2006/main" xmlns:pic="http://schemas.openxmlformats.org/drawingml/2006/picture">
            <wp:extent cx="5303520" cy="2835672"/>
            <wp:docPr id="4" name="Picture 4"/>
            <wp:cNvGraphicFramePr>
              <a:graphicFrameLocks noChangeAspect="1"/>
            </wp:cNvGraphicFramePr>
            <a:graphic>
              <a:graphicData uri="http://schemas.openxmlformats.org/drawingml/2006/picture">
                <pic:pic>
                  <pic:nvPicPr>
                    <pic:cNvPr id="0" name="fig_overlay_2d.png"/>
                    <pic:cNvPicPr/>
                  </pic:nvPicPr>
                  <pic:blipFill>
                    <a:blip r:embed="rId12"/>
                    <a:stretch>
                      <a:fillRect/>
                    </a:stretch>
                  </pic:blipFill>
                  <pic:spPr>
                    <a:xfrm>
                      <a:off x="0" y="0"/>
                      <a:ext cx="5303520" cy="2835672"/>
                    </a:xfrm>
                    <a:prstGeom prst="rect"/>
                  </pic:spPr>
                </pic:pic>
              </a:graphicData>
            </a:graphic>
          </wp:inline>
        </w:drawing>
      </w:r>
    </w:p>
    <w:p>
      <w:pPr>
        <w:spacing w:after="200" w:line="240" w:lineRule="auto"/>
        <w:jc w:val="center"/>
      </w:pPr>
      <w:r>
        <w:rPr>
          <w:rFonts w:ascii="Times New Roman" w:hAnsi="Times New Roman"/>
          <w:b/>
          <w:i w:val="0"/>
          <w:sz w:val="19"/>
        </w:rPr>
        <w:t>Figure 4.</w:t>
      </w:r>
      <w:r>
        <w:rPr>
          <w:rFonts w:ascii="Times New Roman" w:hAnsi="Times New Roman"/>
          <w:b w:val="0"/>
          <w:i/>
          <w:sz w:val="19"/>
        </w:rPr>
        <w:t xml:space="preserve"> 2D overlay of standard quercetin, standard rutin, and the EA fraction at 366 nm; dashed lines mark Rf 0.42 (rutin) and Rf 0.95 (quercetin).</w:t>
      </w:r>
    </w:p>
    <w:p>
      <w:pPr>
        <w:keepNext/>
        <w:spacing w:before="160" w:after="80"/>
      </w:pPr>
      <w:r>
        <w:rPr>
          <w:rFonts w:ascii="Times New Roman" w:hAnsi="Times New Roman"/>
          <w:b/>
          <w:i w:val="0"/>
          <w:sz w:val="23"/>
        </w:rPr>
        <w:t>5.2. 3D densitogram (all-track comparison)</w:t>
      </w:r>
    </w:p>
    <w:p>
      <w:pPr>
        <w:spacing w:after="120" w:line="276" w:lineRule="auto"/>
        <w:jc w:val="both"/>
      </w:pPr>
      <w:r>
        <w:rPr>
          <w:rFonts w:ascii="Times New Roman" w:hAnsi="Times New Roman"/>
          <w:b w:val="0"/>
          <w:i w:val="0"/>
          <w:sz w:val="22"/>
        </w:rPr>
        <w:t>The 3D densitogram was constructed by plotting the densitometric tracks of all samples along a third (track) axis, producing a waterfall-style surface (Rf on the x-axis, track identity on the y-axis, and absorbance on the z-axis). This visualisation highlights, at a glance, which peaks in the EA fraction align with the single peaks of the pure standards.</w:t>
      </w:r>
    </w:p>
    <w:p>
      <w:pPr>
        <w:spacing w:before="120" w:after="40"/>
        <w:jc w:val="center"/>
      </w:pPr>
      <w:r>
        <w:drawing>
          <wp:inline xmlns:a="http://schemas.openxmlformats.org/drawingml/2006/main" xmlns:pic="http://schemas.openxmlformats.org/drawingml/2006/picture">
            <wp:extent cx="5303520" cy="4366234"/>
            <wp:docPr id="5" name="Picture 5"/>
            <wp:cNvGraphicFramePr>
              <a:graphicFrameLocks noChangeAspect="1"/>
            </wp:cNvGraphicFramePr>
            <a:graphic>
              <a:graphicData uri="http://schemas.openxmlformats.org/drawingml/2006/picture">
                <pic:pic>
                  <pic:nvPicPr>
                    <pic:cNvPr id="0" name="fig_3d_densitogram.png"/>
                    <pic:cNvPicPr/>
                  </pic:nvPicPr>
                  <pic:blipFill>
                    <a:blip r:embed="rId13"/>
                    <a:stretch>
                      <a:fillRect/>
                    </a:stretch>
                  </pic:blipFill>
                  <pic:spPr>
                    <a:xfrm>
                      <a:off x="0" y="0"/>
                      <a:ext cx="5303520" cy="4366234"/>
                    </a:xfrm>
                    <a:prstGeom prst="rect"/>
                  </pic:spPr>
                </pic:pic>
              </a:graphicData>
            </a:graphic>
          </wp:inline>
        </w:drawing>
      </w:r>
    </w:p>
    <w:p>
      <w:pPr>
        <w:spacing w:after="200" w:line="240" w:lineRule="auto"/>
        <w:jc w:val="center"/>
      </w:pPr>
      <w:r>
        <w:rPr>
          <w:rFonts w:ascii="Times New Roman" w:hAnsi="Times New Roman"/>
          <w:b/>
          <w:i w:val="0"/>
          <w:sz w:val="19"/>
        </w:rPr>
        <w:t>Figure 5.</w:t>
      </w:r>
      <w:r>
        <w:rPr>
          <w:rFonts w:ascii="Times New Roman" w:hAnsi="Times New Roman"/>
          <w:b w:val="0"/>
          <w:i/>
          <w:sz w:val="19"/>
        </w:rPr>
        <w:t xml:space="preserve"> 3D HPTLC densitogram comparing the EA fraction with standards rutin and quercetin at 366 nm; EA-fraction peaks rise at the same Rf positions as the standards.</w:t>
      </w:r>
    </w:p>
    <w:p>
      <w:pPr>
        <w:spacing w:after="120" w:line="276" w:lineRule="auto"/>
        <w:jc w:val="both"/>
      </w:pPr>
      <w:r>
        <w:rPr>
          <w:rFonts w:ascii="Times New Roman" w:hAnsi="Times New Roman"/>
          <w:b w:val="0"/>
          <w:i w:val="0"/>
          <w:sz w:val="22"/>
        </w:rPr>
        <w:t>In the 3D representation, the rutin standard ridge (Rf 0.42) and the quercetin standard ridge (Rf 0.95) lined up vertically with the corresponding ridges of the EA fraction. The additional ridges visible only in the EA-fraction track represent the other native constituents (P1, P2, P4, P5, and P6).</w:t>
      </w:r>
    </w:p>
    <w:p>
      <w:pPr>
        <w:keepNext/>
        <w:spacing w:before="160" w:after="80"/>
      </w:pPr>
      <w:r>
        <w:rPr>
          <w:rFonts w:ascii="Times New Roman" w:hAnsi="Times New Roman"/>
          <w:b/>
          <w:i w:val="0"/>
          <w:sz w:val="23"/>
        </w:rPr>
        <w:t>5.3. Derivatised plate image (366 nm)</w:t>
      </w:r>
    </w:p>
    <w:p>
      <w:pPr>
        <w:spacing w:before="120" w:after="40"/>
        <w:jc w:val="center"/>
      </w:pPr>
      <w:r>
        <w:drawing>
          <wp:inline xmlns:a="http://schemas.openxmlformats.org/drawingml/2006/main" xmlns:pic="http://schemas.openxmlformats.org/drawingml/2006/picture">
            <wp:extent cx="3017520" cy="3566519"/>
            <wp:docPr id="6" name="Picture 6"/>
            <wp:cNvGraphicFramePr>
              <a:graphicFrameLocks noChangeAspect="1"/>
            </wp:cNvGraphicFramePr>
            <a:graphic>
              <a:graphicData uri="http://schemas.openxmlformats.org/drawingml/2006/picture">
                <pic:pic>
                  <pic:nvPicPr>
                    <pic:cNvPr id="0" name="fig_plate_image.png"/>
                    <pic:cNvPicPr/>
                  </pic:nvPicPr>
                  <pic:blipFill>
                    <a:blip r:embed="rId14"/>
                    <a:stretch>
                      <a:fillRect/>
                    </a:stretch>
                  </pic:blipFill>
                  <pic:spPr>
                    <a:xfrm>
                      <a:off x="0" y="0"/>
                      <a:ext cx="3017520" cy="3566519"/>
                    </a:xfrm>
                    <a:prstGeom prst="rect"/>
                  </pic:spPr>
                </pic:pic>
              </a:graphicData>
            </a:graphic>
          </wp:inline>
        </w:drawing>
      </w:r>
    </w:p>
    <w:p>
      <w:pPr>
        <w:spacing w:after="200" w:line="240" w:lineRule="auto"/>
        <w:jc w:val="center"/>
      </w:pPr>
      <w:r>
        <w:rPr>
          <w:rFonts w:ascii="Times New Roman" w:hAnsi="Times New Roman"/>
          <w:b/>
          <w:i w:val="0"/>
          <w:sz w:val="19"/>
        </w:rPr>
        <w:t>Figure 6.</w:t>
      </w:r>
      <w:r>
        <w:rPr>
          <w:rFonts w:ascii="Times New Roman" w:hAnsi="Times New Roman"/>
          <w:b w:val="0"/>
          <w:i/>
          <w:sz w:val="19"/>
        </w:rPr>
        <w:t xml:space="preserve"> Schematic of the developed and NP–PEG-derivatised plate under 366 nm, showing band positions for the standards and the EA fraction.</w:t>
      </w:r>
    </w:p>
    <w:p>
      <w:pPr>
        <w:keepNext/>
        <w:spacing w:before="200" w:after="80"/>
      </w:pPr>
      <w:r>
        <w:rPr>
          <w:rFonts w:ascii="Times New Roman" w:hAnsi="Times New Roman"/>
          <w:b/>
          <w:i w:val="0"/>
          <w:sz w:val="26"/>
        </w:rPr>
        <w:t>6. Comparative Rf and Identification Summary</w:t>
      </w:r>
    </w:p>
    <w:p>
      <w:pPr>
        <w:keepNext/>
        <w:spacing w:before="160" w:after="80"/>
      </w:pPr>
      <w:r>
        <w:rPr>
          <w:rFonts w:ascii="Times New Roman" w:hAnsi="Times New Roman"/>
          <w:b/>
          <w:i w:val="0"/>
          <w:sz w:val="23"/>
        </w:rPr>
        <w:t>6.1. Rf comparison</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4" w:color="000000"/>
          <w:insideV w:val="single" w:sz="4" w:color="000000"/>
        </w:tblBorders>
        <w:tblCellMar>
          <w:top w:w="40" w:type="dxa"/>
          <w:left w:w="80" w:type="dxa"/>
          <w:bottom w:w="40" w:type="dxa"/>
          <w:right w:w="80" w:type="dxa"/>
        </w:tblCellMar>
      </w:tblPr>
      <w:tblGrid>
        <w:gridCol w:w="1805"/>
        <w:gridCol w:w="1805"/>
        <w:gridCol w:w="1805"/>
        <w:gridCol w:w="1805"/>
        <w:gridCol w:w="1805"/>
      </w:tblGrid>
      <w:tr>
        <w:tc>
          <w:tcPr>
            <w:tcW w:type="dxa" w:w="1805"/>
            <w:shd w:fill="D9D9D9"/>
          </w:tcPr>
          <w:p>
            <w:pPr>
              <w:spacing w:before="20" w:after="20" w:line="240" w:lineRule="auto"/>
              <w:jc w:val="center"/>
            </w:pPr>
            <w:r/>
            <w:r>
              <w:rPr>
                <w:rFonts w:ascii="Times New Roman" w:hAnsi="Times New Roman"/>
                <w:b/>
                <w:i w:val="0"/>
                <w:sz w:val="20"/>
              </w:rPr>
              <w:t>Compound / track</w:t>
            </w:r>
          </w:p>
        </w:tc>
        <w:tc>
          <w:tcPr>
            <w:tcW w:type="dxa" w:w="1805"/>
            <w:shd w:fill="D9D9D9"/>
          </w:tcPr>
          <w:p>
            <w:pPr>
              <w:spacing w:before="20" w:after="20" w:line="240" w:lineRule="auto"/>
              <w:jc w:val="center"/>
            </w:pPr>
            <w:r/>
            <w:r>
              <w:rPr>
                <w:rFonts w:ascii="Times New Roman" w:hAnsi="Times New Roman"/>
                <w:b/>
                <w:i w:val="0"/>
                <w:sz w:val="20"/>
              </w:rPr>
              <w:t>Rf (standard)</w:t>
            </w:r>
          </w:p>
        </w:tc>
        <w:tc>
          <w:tcPr>
            <w:tcW w:type="dxa" w:w="1805"/>
            <w:shd w:fill="D9D9D9"/>
          </w:tcPr>
          <w:p>
            <w:pPr>
              <w:spacing w:before="20" w:after="20" w:line="240" w:lineRule="auto"/>
              <w:jc w:val="center"/>
            </w:pPr>
            <w:r/>
            <w:r>
              <w:rPr>
                <w:rFonts w:ascii="Times New Roman" w:hAnsi="Times New Roman"/>
                <w:b/>
                <w:i w:val="0"/>
                <w:sz w:val="20"/>
              </w:rPr>
              <w:t>Rf (EA fraction)</w:t>
            </w:r>
          </w:p>
        </w:tc>
        <w:tc>
          <w:tcPr>
            <w:tcW w:type="dxa" w:w="1805"/>
            <w:shd w:fill="D9D9D9"/>
          </w:tcPr>
          <w:p>
            <w:pPr>
              <w:spacing w:before="20" w:after="20" w:line="240" w:lineRule="auto"/>
              <w:jc w:val="center"/>
            </w:pPr>
            <w:r/>
            <w:r>
              <w:rPr>
                <w:rFonts w:ascii="Times New Roman" w:hAnsi="Times New Roman"/>
                <w:b/>
                <w:i w:val="0"/>
                <w:sz w:val="20"/>
              </w:rPr>
              <w:t>ΔRf</w:t>
            </w:r>
          </w:p>
        </w:tc>
        <w:tc>
          <w:tcPr>
            <w:tcW w:type="dxa" w:w="1805"/>
            <w:shd w:fill="D9D9D9"/>
          </w:tcPr>
          <w:p>
            <w:pPr>
              <w:spacing w:before="20" w:after="20" w:line="240" w:lineRule="auto"/>
              <w:jc w:val="center"/>
            </w:pPr>
            <w:r/>
            <w:r>
              <w:rPr>
                <w:rFonts w:ascii="Times New Roman" w:hAnsi="Times New Roman"/>
                <w:b/>
                <w:i w:val="0"/>
                <w:sz w:val="20"/>
              </w:rPr>
              <w:t>Match</w:t>
            </w:r>
          </w:p>
        </w:tc>
      </w:tr>
      <w:tr>
        <w:tc>
          <w:tcPr>
            <w:tcW w:type="dxa" w:w="1805"/>
          </w:tcPr>
          <w:p>
            <w:pPr>
              <w:spacing w:before="20" w:after="20" w:line="240" w:lineRule="auto"/>
            </w:pPr>
            <w:r/>
            <w:r>
              <w:rPr>
                <w:rFonts w:ascii="Times New Roman" w:hAnsi="Times New Roman"/>
                <w:b/>
                <w:i w:val="0"/>
                <w:sz w:val="20"/>
              </w:rPr>
              <w:t>Quercetin</w:t>
            </w:r>
          </w:p>
        </w:tc>
        <w:tc>
          <w:tcPr>
            <w:tcW w:type="dxa" w:w="1805"/>
          </w:tcPr>
          <w:p>
            <w:pPr>
              <w:spacing w:before="20" w:after="20" w:line="240" w:lineRule="auto"/>
            </w:pPr>
            <w:r/>
            <w:r>
              <w:rPr>
                <w:rFonts w:ascii="Times New Roman" w:hAnsi="Times New Roman"/>
                <w:b w:val="0"/>
                <w:i w:val="0"/>
                <w:sz w:val="20"/>
              </w:rPr>
              <w:t>0.95</w:t>
            </w:r>
          </w:p>
        </w:tc>
        <w:tc>
          <w:tcPr>
            <w:tcW w:type="dxa" w:w="1805"/>
          </w:tcPr>
          <w:p>
            <w:pPr>
              <w:spacing w:before="20" w:after="20" w:line="240" w:lineRule="auto"/>
            </w:pPr>
            <w:r/>
            <w:r>
              <w:rPr>
                <w:rFonts w:ascii="Times New Roman" w:hAnsi="Times New Roman"/>
                <w:b w:val="0"/>
                <w:i w:val="0"/>
                <w:sz w:val="20"/>
              </w:rPr>
              <w:t>0.95 (P7)</w:t>
            </w:r>
          </w:p>
        </w:tc>
        <w:tc>
          <w:tcPr>
            <w:tcW w:type="dxa" w:w="1805"/>
          </w:tcPr>
          <w:p>
            <w:pPr>
              <w:spacing w:before="20" w:after="20" w:line="240" w:lineRule="auto"/>
            </w:pPr>
            <w:r/>
            <w:r>
              <w:rPr>
                <w:rFonts w:ascii="Times New Roman" w:hAnsi="Times New Roman"/>
                <w:b w:val="0"/>
                <w:i w:val="0"/>
                <w:sz w:val="20"/>
              </w:rPr>
              <w:t>0.00</w:t>
            </w:r>
          </w:p>
        </w:tc>
        <w:tc>
          <w:tcPr>
            <w:tcW w:type="dxa" w:w="1805"/>
          </w:tcPr>
          <w:p>
            <w:pPr>
              <w:spacing w:before="20" w:after="20" w:line="240" w:lineRule="auto"/>
            </w:pPr>
            <w:r/>
            <w:r>
              <w:rPr>
                <w:rFonts w:ascii="Times New Roman" w:hAnsi="Times New Roman"/>
                <w:b w:val="0"/>
                <w:i w:val="0"/>
                <w:sz w:val="20"/>
              </w:rPr>
              <w:t>Confirmed</w:t>
            </w:r>
          </w:p>
        </w:tc>
      </w:tr>
      <w:tr>
        <w:tc>
          <w:tcPr>
            <w:tcW w:type="dxa" w:w="1805"/>
          </w:tcPr>
          <w:p>
            <w:pPr>
              <w:spacing w:before="20" w:after="20" w:line="240" w:lineRule="auto"/>
            </w:pPr>
            <w:r/>
            <w:r>
              <w:rPr>
                <w:rFonts w:ascii="Times New Roman" w:hAnsi="Times New Roman"/>
                <w:b/>
                <w:i w:val="0"/>
                <w:sz w:val="20"/>
              </w:rPr>
              <w:t>Rutin</w:t>
            </w:r>
          </w:p>
        </w:tc>
        <w:tc>
          <w:tcPr>
            <w:tcW w:type="dxa" w:w="1805"/>
          </w:tcPr>
          <w:p>
            <w:pPr>
              <w:spacing w:before="20" w:after="20" w:line="240" w:lineRule="auto"/>
            </w:pPr>
            <w:r/>
            <w:r>
              <w:rPr>
                <w:rFonts w:ascii="Times New Roman" w:hAnsi="Times New Roman"/>
                <w:b w:val="0"/>
                <w:i w:val="0"/>
                <w:sz w:val="20"/>
              </w:rPr>
              <w:t>0.42</w:t>
            </w:r>
          </w:p>
        </w:tc>
        <w:tc>
          <w:tcPr>
            <w:tcW w:type="dxa" w:w="1805"/>
          </w:tcPr>
          <w:p>
            <w:pPr>
              <w:spacing w:before="20" w:after="20" w:line="240" w:lineRule="auto"/>
            </w:pPr>
            <w:r/>
            <w:r>
              <w:rPr>
                <w:rFonts w:ascii="Times New Roman" w:hAnsi="Times New Roman"/>
                <w:b w:val="0"/>
                <w:i w:val="0"/>
                <w:sz w:val="20"/>
              </w:rPr>
              <w:t>0.42 (P3)</w:t>
            </w:r>
          </w:p>
        </w:tc>
        <w:tc>
          <w:tcPr>
            <w:tcW w:type="dxa" w:w="1805"/>
          </w:tcPr>
          <w:p>
            <w:pPr>
              <w:spacing w:before="20" w:after="20" w:line="240" w:lineRule="auto"/>
            </w:pPr>
            <w:r/>
            <w:r>
              <w:rPr>
                <w:rFonts w:ascii="Times New Roman" w:hAnsi="Times New Roman"/>
                <w:b w:val="0"/>
                <w:i w:val="0"/>
                <w:sz w:val="20"/>
              </w:rPr>
              <w:t>0.00</w:t>
            </w:r>
          </w:p>
        </w:tc>
        <w:tc>
          <w:tcPr>
            <w:tcW w:type="dxa" w:w="1805"/>
          </w:tcPr>
          <w:p>
            <w:pPr>
              <w:spacing w:before="20" w:after="20" w:line="240" w:lineRule="auto"/>
            </w:pPr>
            <w:r/>
            <w:r>
              <w:rPr>
                <w:rFonts w:ascii="Times New Roman" w:hAnsi="Times New Roman"/>
                <w:b w:val="0"/>
                <w:i w:val="0"/>
                <w:sz w:val="20"/>
              </w:rPr>
              <w:t>Confirmed</w:t>
            </w:r>
          </w:p>
        </w:tc>
      </w:tr>
    </w:tbl>
    <w:p>
      <w:pPr>
        <w:keepNext/>
        <w:spacing w:before="160" w:after="80"/>
      </w:pPr>
      <w:r>
        <w:rPr>
          <w:rFonts w:ascii="Times New Roman" w:hAnsi="Times New Roman"/>
          <w:b/>
          <w:i w:val="0"/>
          <w:sz w:val="23"/>
        </w:rPr>
        <w:t>6.2. Multi-criteria identification</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4" w:color="000000"/>
          <w:insideV w:val="single" w:sz="4" w:color="000000"/>
        </w:tblBorders>
        <w:tblCellMar>
          <w:top w:w="40" w:type="dxa"/>
          <w:left w:w="80" w:type="dxa"/>
          <w:bottom w:w="40" w:type="dxa"/>
          <w:right w:w="80" w:type="dxa"/>
        </w:tblCellMar>
      </w:tblPr>
      <w:tblGrid>
        <w:gridCol w:w="3009"/>
        <w:gridCol w:w="3009"/>
        <w:gridCol w:w="3009"/>
      </w:tblGrid>
      <w:tr>
        <w:tc>
          <w:tcPr>
            <w:tcW w:type="dxa" w:w="3009"/>
            <w:shd w:fill="D9D9D9"/>
          </w:tcPr>
          <w:p>
            <w:pPr>
              <w:spacing w:before="20" w:after="20" w:line="240" w:lineRule="auto"/>
              <w:jc w:val="center"/>
            </w:pPr>
            <w:r/>
            <w:r>
              <w:rPr>
                <w:rFonts w:ascii="Times New Roman" w:hAnsi="Times New Roman"/>
                <w:b/>
                <w:i w:val="0"/>
                <w:sz w:val="20"/>
              </w:rPr>
              <w:t>Identification criterion</w:t>
            </w:r>
          </w:p>
        </w:tc>
        <w:tc>
          <w:tcPr>
            <w:tcW w:type="dxa" w:w="3009"/>
            <w:shd w:fill="D9D9D9"/>
          </w:tcPr>
          <w:p>
            <w:pPr>
              <w:spacing w:before="20" w:after="20" w:line="240" w:lineRule="auto"/>
              <w:jc w:val="center"/>
            </w:pPr>
            <w:r/>
            <w:r>
              <w:rPr>
                <w:rFonts w:ascii="Times New Roman" w:hAnsi="Times New Roman"/>
                <w:b/>
                <w:i w:val="0"/>
                <w:sz w:val="20"/>
              </w:rPr>
              <w:t>Quercetin (P7)</w:t>
            </w:r>
          </w:p>
        </w:tc>
        <w:tc>
          <w:tcPr>
            <w:tcW w:type="dxa" w:w="3009"/>
            <w:shd w:fill="D9D9D9"/>
          </w:tcPr>
          <w:p>
            <w:pPr>
              <w:spacing w:before="20" w:after="20" w:line="240" w:lineRule="auto"/>
              <w:jc w:val="center"/>
            </w:pPr>
            <w:r/>
            <w:r>
              <w:rPr>
                <w:rFonts w:ascii="Times New Roman" w:hAnsi="Times New Roman"/>
                <w:b/>
                <w:i w:val="0"/>
                <w:sz w:val="20"/>
              </w:rPr>
              <w:t>Rutin (P3)</w:t>
            </w:r>
          </w:p>
        </w:tc>
      </w:tr>
      <w:tr>
        <w:tc>
          <w:tcPr>
            <w:tcW w:type="dxa" w:w="3009"/>
          </w:tcPr>
          <w:p>
            <w:pPr>
              <w:spacing w:before="20" w:after="20" w:line="240" w:lineRule="auto"/>
            </w:pPr>
            <w:r/>
            <w:r>
              <w:rPr>
                <w:rFonts w:ascii="Times New Roman" w:hAnsi="Times New Roman"/>
                <w:b w:val="0"/>
                <w:i w:val="0"/>
                <w:sz w:val="20"/>
              </w:rPr>
              <w:t>Rf matching with standard</w:t>
            </w:r>
          </w:p>
        </w:tc>
        <w:tc>
          <w:tcPr>
            <w:tcW w:type="dxa" w:w="3009"/>
          </w:tcPr>
          <w:p>
            <w:pPr>
              <w:spacing w:before="20" w:after="20" w:line="240" w:lineRule="auto"/>
            </w:pPr>
            <w:r/>
            <w:r>
              <w:rPr>
                <w:rFonts w:ascii="Times New Roman" w:hAnsi="Times New Roman"/>
                <w:b w:val="0"/>
                <w:i w:val="0"/>
                <w:sz w:val="20"/>
              </w:rPr>
              <w:t>Yes (Rf 0.95)</w:t>
            </w:r>
          </w:p>
        </w:tc>
        <w:tc>
          <w:tcPr>
            <w:tcW w:type="dxa" w:w="3009"/>
          </w:tcPr>
          <w:p>
            <w:pPr>
              <w:spacing w:before="20" w:after="20" w:line="240" w:lineRule="auto"/>
            </w:pPr>
            <w:r/>
            <w:r>
              <w:rPr>
                <w:rFonts w:ascii="Times New Roman" w:hAnsi="Times New Roman"/>
                <w:b w:val="0"/>
                <w:i w:val="0"/>
                <w:sz w:val="20"/>
              </w:rPr>
              <w:t>Yes (Rf 0.42)</w:t>
            </w:r>
          </w:p>
        </w:tc>
      </w:tr>
      <w:tr>
        <w:tc>
          <w:tcPr>
            <w:tcW w:type="dxa" w:w="3009"/>
          </w:tcPr>
          <w:p>
            <w:pPr>
              <w:spacing w:before="20" w:after="20" w:line="240" w:lineRule="auto"/>
            </w:pPr>
            <w:r/>
            <w:r>
              <w:rPr>
                <w:rFonts w:ascii="Times New Roman" w:hAnsi="Times New Roman"/>
                <w:b w:val="0"/>
                <w:i w:val="0"/>
                <w:sz w:val="20"/>
              </w:rPr>
              <w:t>Co-chromatography (spiking)</w:t>
            </w:r>
          </w:p>
        </w:tc>
        <w:tc>
          <w:tcPr>
            <w:tcW w:type="dxa" w:w="3009"/>
          </w:tcPr>
          <w:p>
            <w:pPr>
              <w:spacing w:before="20" w:after="20" w:line="240" w:lineRule="auto"/>
            </w:pPr>
            <w:r/>
            <w:r>
              <w:rPr>
                <w:rFonts w:ascii="Times New Roman" w:hAnsi="Times New Roman"/>
                <w:b w:val="0"/>
                <w:i w:val="0"/>
                <w:sz w:val="20"/>
              </w:rPr>
              <w:t>Single intensified band; no splitting</w:t>
            </w:r>
          </w:p>
        </w:tc>
        <w:tc>
          <w:tcPr>
            <w:tcW w:type="dxa" w:w="3009"/>
          </w:tcPr>
          <w:p>
            <w:pPr>
              <w:spacing w:before="20" w:after="20" w:line="240" w:lineRule="auto"/>
            </w:pPr>
            <w:r/>
            <w:r>
              <w:rPr>
                <w:rFonts w:ascii="Times New Roman" w:hAnsi="Times New Roman"/>
                <w:b w:val="0"/>
                <w:i w:val="0"/>
                <w:sz w:val="20"/>
              </w:rPr>
              <w:t>Single intensified band; no splitting</w:t>
            </w:r>
          </w:p>
        </w:tc>
      </w:tr>
      <w:tr>
        <w:tc>
          <w:tcPr>
            <w:tcW w:type="dxa" w:w="3009"/>
          </w:tcPr>
          <w:p>
            <w:pPr>
              <w:spacing w:before="20" w:after="20" w:line="240" w:lineRule="auto"/>
            </w:pPr>
            <w:r/>
            <w:r>
              <w:rPr>
                <w:rFonts w:ascii="Times New Roman" w:hAnsi="Times New Roman"/>
                <w:b w:val="0"/>
                <w:i w:val="0"/>
                <w:sz w:val="20"/>
              </w:rPr>
              <w:t>Colour at 366 nm (post NP–PEG)</w:t>
            </w:r>
          </w:p>
        </w:tc>
        <w:tc>
          <w:tcPr>
            <w:tcW w:type="dxa" w:w="3009"/>
          </w:tcPr>
          <w:p>
            <w:pPr>
              <w:spacing w:before="20" w:after="20" w:line="240" w:lineRule="auto"/>
            </w:pPr>
            <w:r/>
            <w:r>
              <w:rPr>
                <w:rFonts w:ascii="Times New Roman" w:hAnsi="Times New Roman"/>
                <w:b w:val="0"/>
                <w:i w:val="0"/>
                <w:sz w:val="20"/>
              </w:rPr>
              <w:t>Bright yellow fluorescence</w:t>
            </w:r>
          </w:p>
        </w:tc>
        <w:tc>
          <w:tcPr>
            <w:tcW w:type="dxa" w:w="3009"/>
          </w:tcPr>
          <w:p>
            <w:pPr>
              <w:spacing w:before="20" w:after="20" w:line="240" w:lineRule="auto"/>
            </w:pPr>
            <w:r/>
            <w:r>
              <w:rPr>
                <w:rFonts w:ascii="Times New Roman" w:hAnsi="Times New Roman"/>
                <w:b w:val="0"/>
                <w:i w:val="0"/>
                <w:sz w:val="20"/>
              </w:rPr>
              <w:t>Orange-yellow fluorescence</w:t>
            </w:r>
          </w:p>
        </w:tc>
      </w:tr>
      <w:tr>
        <w:tc>
          <w:tcPr>
            <w:tcW w:type="dxa" w:w="3009"/>
          </w:tcPr>
          <w:p>
            <w:pPr>
              <w:spacing w:before="20" w:after="20" w:line="240" w:lineRule="auto"/>
            </w:pPr>
            <w:r/>
            <w:r>
              <w:rPr>
                <w:rFonts w:ascii="Times New Roman" w:hAnsi="Times New Roman"/>
                <w:b w:val="0"/>
                <w:i w:val="0"/>
                <w:sz w:val="20"/>
              </w:rPr>
              <w:t>UV λmax overlay</w:t>
            </w:r>
          </w:p>
        </w:tc>
        <w:tc>
          <w:tcPr>
            <w:tcW w:type="dxa" w:w="3009"/>
          </w:tcPr>
          <w:p>
            <w:pPr>
              <w:spacing w:before="20" w:after="20" w:line="240" w:lineRule="auto"/>
            </w:pPr>
            <w:r/>
            <w:r>
              <w:rPr>
                <w:rFonts w:ascii="Times New Roman" w:hAnsi="Times New Roman"/>
                <w:b w:val="0"/>
                <w:i w:val="0"/>
                <w:sz w:val="20"/>
              </w:rPr>
              <w:t>Superimposable with standard</w:t>
            </w:r>
          </w:p>
        </w:tc>
        <w:tc>
          <w:tcPr>
            <w:tcW w:type="dxa" w:w="3009"/>
          </w:tcPr>
          <w:p>
            <w:pPr>
              <w:spacing w:before="20" w:after="20" w:line="240" w:lineRule="auto"/>
            </w:pPr>
            <w:r/>
            <w:r>
              <w:rPr>
                <w:rFonts w:ascii="Times New Roman" w:hAnsi="Times New Roman"/>
                <w:b w:val="0"/>
                <w:i w:val="0"/>
                <w:sz w:val="20"/>
              </w:rPr>
              <w:t>Superimposable with standard</w:t>
            </w:r>
          </w:p>
        </w:tc>
      </w:tr>
      <w:tr>
        <w:tc>
          <w:tcPr>
            <w:tcW w:type="dxa" w:w="3009"/>
          </w:tcPr>
          <w:p>
            <w:pPr>
              <w:spacing w:before="20" w:after="20" w:line="240" w:lineRule="auto"/>
            </w:pPr>
            <w:r/>
            <w:r>
              <w:rPr>
                <w:rFonts w:ascii="Times New Roman" w:hAnsi="Times New Roman"/>
                <w:b w:val="0"/>
                <w:i w:val="0"/>
                <w:sz w:val="20"/>
              </w:rPr>
              <w:t>Correlation (r) of spectra</w:t>
            </w:r>
          </w:p>
        </w:tc>
        <w:tc>
          <w:tcPr>
            <w:tcW w:type="dxa" w:w="3009"/>
          </w:tcPr>
          <w:p>
            <w:pPr>
              <w:spacing w:before="20" w:after="20" w:line="240" w:lineRule="auto"/>
            </w:pPr>
            <w:r/>
            <w:r>
              <w:rPr>
                <w:rFonts w:ascii="Times New Roman" w:hAnsi="Times New Roman"/>
                <w:b w:val="0"/>
                <w:i w:val="0"/>
                <w:sz w:val="20"/>
              </w:rPr>
              <w:t>r &gt; 0.999</w:t>
            </w:r>
          </w:p>
        </w:tc>
        <w:tc>
          <w:tcPr>
            <w:tcW w:type="dxa" w:w="3009"/>
          </w:tcPr>
          <w:p>
            <w:pPr>
              <w:spacing w:before="20" w:after="20" w:line="240" w:lineRule="auto"/>
            </w:pPr>
            <w:r/>
            <w:r>
              <w:rPr>
                <w:rFonts w:ascii="Times New Roman" w:hAnsi="Times New Roman"/>
                <w:b w:val="0"/>
                <w:i w:val="0"/>
                <w:sz w:val="20"/>
              </w:rPr>
              <w:t>r &gt; 0.999</w:t>
            </w:r>
          </w:p>
        </w:tc>
      </w:tr>
    </w:tbl>
    <w:p>
      <w:pPr>
        <w:spacing w:after="120" w:line="276" w:lineRule="auto"/>
        <w:jc w:val="both"/>
      </w:pPr>
      <w:r>
        <w:rPr>
          <w:rFonts w:ascii="Times New Roman" w:hAnsi="Times New Roman"/>
          <w:b w:val="0"/>
          <w:i w:val="0"/>
          <w:sz w:val="22"/>
        </w:rPr>
        <w:t>When the EA fraction was co-applied (spiked) with each standard on the same band, the corresponding peaks (P3 with rutin; P7 with quercetin) showed a single intensified band with no peak splitting or shoulder formation and no change in Rf. This provides conclusive secondary confirmation that P3 corresponds to rutin and P7 to quercetin.</w:t>
      </w:r>
    </w:p>
    <w:p>
      <w:pPr>
        <w:keepNext/>
        <w:spacing w:before="200" w:after="80"/>
      </w:pPr>
      <w:r>
        <w:rPr>
          <w:rFonts w:ascii="Times New Roman" w:hAnsi="Times New Roman"/>
          <w:b/>
          <w:i w:val="0"/>
          <w:sz w:val="26"/>
        </w:rPr>
        <w:t>7. System Suitability and Method Performance</w:t>
      </w:r>
    </w:p>
    <w:tbl>
      <w:tblPr>
        <w:tblStyle w:val="TableGrid"/>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4" w:color="000000"/>
          <w:insideV w:val="single" w:sz="4" w:color="000000"/>
        </w:tblBorders>
        <w:tblCellMar>
          <w:top w:w="40" w:type="dxa"/>
          <w:left w:w="80" w:type="dxa"/>
          <w:bottom w:w="40" w:type="dxa"/>
          <w:right w:w="80" w:type="dxa"/>
        </w:tblCellMar>
      </w:tblPr>
      <w:tblGrid>
        <w:gridCol w:w="2256"/>
        <w:gridCol w:w="2256"/>
        <w:gridCol w:w="2256"/>
        <w:gridCol w:w="2256"/>
      </w:tblGrid>
      <w:tr>
        <w:tc>
          <w:tcPr>
            <w:tcW w:type="dxa" w:w="2256"/>
            <w:shd w:fill="D9D9D9"/>
          </w:tcPr>
          <w:p>
            <w:pPr>
              <w:spacing w:before="20" w:after="20" w:line="240" w:lineRule="auto"/>
              <w:jc w:val="center"/>
            </w:pPr>
            <w:r/>
            <w:r>
              <w:rPr>
                <w:rFonts w:ascii="Times New Roman" w:hAnsi="Times New Roman"/>
                <w:b/>
                <w:i w:val="0"/>
                <w:sz w:val="20"/>
              </w:rPr>
              <w:t>Parameter</w:t>
            </w:r>
          </w:p>
        </w:tc>
        <w:tc>
          <w:tcPr>
            <w:tcW w:type="dxa" w:w="2256"/>
            <w:shd w:fill="D9D9D9"/>
          </w:tcPr>
          <w:p>
            <w:pPr>
              <w:spacing w:before="20" w:after="20" w:line="240" w:lineRule="auto"/>
              <w:jc w:val="center"/>
            </w:pPr>
            <w:r/>
            <w:r>
              <w:rPr>
                <w:rFonts w:ascii="Times New Roman" w:hAnsi="Times New Roman"/>
                <w:b/>
                <w:i w:val="0"/>
                <w:sz w:val="20"/>
              </w:rPr>
              <w:t>Quercetin</w:t>
            </w:r>
          </w:p>
        </w:tc>
        <w:tc>
          <w:tcPr>
            <w:tcW w:type="dxa" w:w="2256"/>
            <w:shd w:fill="D9D9D9"/>
          </w:tcPr>
          <w:p>
            <w:pPr>
              <w:spacing w:before="20" w:after="20" w:line="240" w:lineRule="auto"/>
              <w:jc w:val="center"/>
            </w:pPr>
            <w:r/>
            <w:r>
              <w:rPr>
                <w:rFonts w:ascii="Times New Roman" w:hAnsi="Times New Roman"/>
                <w:b/>
                <w:i w:val="0"/>
                <w:sz w:val="20"/>
              </w:rPr>
              <w:t>Rutin</w:t>
            </w:r>
          </w:p>
        </w:tc>
        <w:tc>
          <w:tcPr>
            <w:tcW w:type="dxa" w:w="2256"/>
            <w:shd w:fill="D9D9D9"/>
          </w:tcPr>
          <w:p>
            <w:pPr>
              <w:spacing w:before="20" w:after="20" w:line="240" w:lineRule="auto"/>
              <w:jc w:val="center"/>
            </w:pPr>
            <w:r/>
            <w:r>
              <w:rPr>
                <w:rFonts w:ascii="Times New Roman" w:hAnsi="Times New Roman"/>
                <w:b/>
                <w:i w:val="0"/>
                <w:sz w:val="20"/>
              </w:rPr>
              <w:t>Acceptance</w:t>
            </w:r>
          </w:p>
        </w:tc>
      </w:tr>
      <w:tr>
        <w:tc>
          <w:tcPr>
            <w:tcW w:type="dxa" w:w="2256"/>
          </w:tcPr>
          <w:p>
            <w:pPr>
              <w:spacing w:before="20" w:after="20" w:line="240" w:lineRule="auto"/>
            </w:pPr>
            <w:r/>
            <w:r>
              <w:rPr>
                <w:rFonts w:ascii="Times New Roman" w:hAnsi="Times New Roman"/>
                <w:b/>
                <w:i w:val="0"/>
                <w:sz w:val="20"/>
              </w:rPr>
              <w:t>Rf (mean, n = 3)</w:t>
            </w:r>
          </w:p>
        </w:tc>
        <w:tc>
          <w:tcPr>
            <w:tcW w:type="dxa" w:w="2256"/>
          </w:tcPr>
          <w:p>
            <w:pPr>
              <w:spacing w:before="20" w:after="20" w:line="240" w:lineRule="auto"/>
            </w:pPr>
            <w:r/>
            <w:r>
              <w:rPr>
                <w:rFonts w:ascii="Times New Roman" w:hAnsi="Times New Roman"/>
                <w:b w:val="0"/>
                <w:i w:val="0"/>
                <w:sz w:val="20"/>
              </w:rPr>
              <w:t>0.95</w:t>
            </w:r>
          </w:p>
        </w:tc>
        <w:tc>
          <w:tcPr>
            <w:tcW w:type="dxa" w:w="2256"/>
          </w:tcPr>
          <w:p>
            <w:pPr>
              <w:spacing w:before="20" w:after="20" w:line="240" w:lineRule="auto"/>
            </w:pPr>
            <w:r/>
            <w:r>
              <w:rPr>
                <w:rFonts w:ascii="Times New Roman" w:hAnsi="Times New Roman"/>
                <w:b w:val="0"/>
                <w:i w:val="0"/>
                <w:sz w:val="20"/>
              </w:rPr>
              <w:t>0.42</w:t>
            </w:r>
          </w:p>
        </w:tc>
        <w:tc>
          <w:tcPr>
            <w:tcW w:type="dxa" w:w="2256"/>
          </w:tcPr>
          <w:p>
            <w:pPr>
              <w:spacing w:before="20" w:after="20" w:line="240" w:lineRule="auto"/>
            </w:pPr>
            <w:r/>
            <w:r>
              <w:rPr>
                <w:rFonts w:ascii="Times New Roman" w:hAnsi="Times New Roman"/>
                <w:b w:val="0"/>
                <w:i w:val="0"/>
                <w:sz w:val="20"/>
              </w:rPr>
              <w:t>RSD &lt; 2%</w:t>
            </w:r>
          </w:p>
        </w:tc>
      </w:tr>
      <w:tr>
        <w:tc>
          <w:tcPr>
            <w:tcW w:type="dxa" w:w="2256"/>
          </w:tcPr>
          <w:p>
            <w:pPr>
              <w:spacing w:before="20" w:after="20" w:line="240" w:lineRule="auto"/>
            </w:pPr>
            <w:r/>
            <w:r>
              <w:rPr>
                <w:rFonts w:ascii="Times New Roman" w:hAnsi="Times New Roman"/>
                <w:b/>
                <w:i w:val="0"/>
                <w:sz w:val="20"/>
              </w:rPr>
              <w:t>Resolution (Rs) from nearest band</w:t>
            </w:r>
          </w:p>
        </w:tc>
        <w:tc>
          <w:tcPr>
            <w:tcW w:type="dxa" w:w="2256"/>
          </w:tcPr>
          <w:p>
            <w:pPr>
              <w:spacing w:before="20" w:after="20" w:line="240" w:lineRule="auto"/>
            </w:pPr>
            <w:r/>
            <w:r>
              <w:rPr>
                <w:rFonts w:ascii="Times New Roman" w:hAnsi="Times New Roman"/>
                <w:b w:val="0"/>
                <w:i w:val="0"/>
                <w:sz w:val="20"/>
              </w:rPr>
              <w:t>2.6</w:t>
            </w:r>
          </w:p>
        </w:tc>
        <w:tc>
          <w:tcPr>
            <w:tcW w:type="dxa" w:w="2256"/>
          </w:tcPr>
          <w:p>
            <w:pPr>
              <w:spacing w:before="20" w:after="20" w:line="240" w:lineRule="auto"/>
            </w:pPr>
            <w:r/>
            <w:r>
              <w:rPr>
                <w:rFonts w:ascii="Times New Roman" w:hAnsi="Times New Roman"/>
                <w:b w:val="0"/>
                <w:i w:val="0"/>
                <w:sz w:val="20"/>
              </w:rPr>
              <w:t>1.9</w:t>
            </w:r>
          </w:p>
        </w:tc>
        <w:tc>
          <w:tcPr>
            <w:tcW w:type="dxa" w:w="2256"/>
          </w:tcPr>
          <w:p>
            <w:pPr>
              <w:spacing w:before="20" w:after="20" w:line="240" w:lineRule="auto"/>
            </w:pPr>
            <w:r/>
            <w:r>
              <w:rPr>
                <w:rFonts w:ascii="Times New Roman" w:hAnsi="Times New Roman"/>
                <w:b w:val="0"/>
                <w:i w:val="0"/>
                <w:sz w:val="20"/>
              </w:rPr>
              <w:t>Rs &gt; 1.5</w:t>
            </w:r>
          </w:p>
        </w:tc>
      </w:tr>
      <w:tr>
        <w:tc>
          <w:tcPr>
            <w:tcW w:type="dxa" w:w="2256"/>
          </w:tcPr>
          <w:p>
            <w:pPr>
              <w:spacing w:before="20" w:after="20" w:line="240" w:lineRule="auto"/>
            </w:pPr>
            <w:r/>
            <w:r>
              <w:rPr>
                <w:rFonts w:ascii="Times New Roman" w:hAnsi="Times New Roman"/>
                <w:b/>
                <w:i w:val="0"/>
                <w:sz w:val="20"/>
              </w:rPr>
              <w:t>Tailing factor (T)</w:t>
            </w:r>
          </w:p>
        </w:tc>
        <w:tc>
          <w:tcPr>
            <w:tcW w:type="dxa" w:w="2256"/>
          </w:tcPr>
          <w:p>
            <w:pPr>
              <w:spacing w:before="20" w:after="20" w:line="240" w:lineRule="auto"/>
            </w:pPr>
            <w:r/>
            <w:r>
              <w:rPr>
                <w:rFonts w:ascii="Times New Roman" w:hAnsi="Times New Roman"/>
                <w:b w:val="0"/>
                <w:i w:val="0"/>
                <w:sz w:val="20"/>
              </w:rPr>
              <w:t>1.04</w:t>
            </w:r>
          </w:p>
        </w:tc>
        <w:tc>
          <w:tcPr>
            <w:tcW w:type="dxa" w:w="2256"/>
          </w:tcPr>
          <w:p>
            <w:pPr>
              <w:spacing w:before="20" w:after="20" w:line="240" w:lineRule="auto"/>
            </w:pPr>
            <w:r/>
            <w:r>
              <w:rPr>
                <w:rFonts w:ascii="Times New Roman" w:hAnsi="Times New Roman"/>
                <w:b w:val="0"/>
                <w:i w:val="0"/>
                <w:sz w:val="20"/>
              </w:rPr>
              <w:t>1.08</w:t>
            </w:r>
          </w:p>
        </w:tc>
        <w:tc>
          <w:tcPr>
            <w:tcW w:type="dxa" w:w="2256"/>
          </w:tcPr>
          <w:p>
            <w:pPr>
              <w:spacing w:before="20" w:after="20" w:line="240" w:lineRule="auto"/>
            </w:pPr>
            <w:r/>
            <w:r>
              <w:rPr>
                <w:rFonts w:ascii="Times New Roman" w:hAnsi="Times New Roman"/>
                <w:b w:val="0"/>
                <w:i w:val="0"/>
                <w:sz w:val="20"/>
              </w:rPr>
              <w:t>T ≤ 1.5</w:t>
            </w:r>
          </w:p>
        </w:tc>
      </w:tr>
      <w:tr>
        <w:tc>
          <w:tcPr>
            <w:tcW w:type="dxa" w:w="2256"/>
          </w:tcPr>
          <w:p>
            <w:pPr>
              <w:spacing w:before="20" w:after="20" w:line="240" w:lineRule="auto"/>
            </w:pPr>
            <w:r/>
            <w:r>
              <w:rPr>
                <w:rFonts w:ascii="Times New Roman" w:hAnsi="Times New Roman"/>
                <w:b/>
                <w:i w:val="0"/>
                <w:sz w:val="20"/>
              </w:rPr>
              <w:t>Theoretical plates (N)</w:t>
            </w:r>
          </w:p>
        </w:tc>
        <w:tc>
          <w:tcPr>
            <w:tcW w:type="dxa" w:w="2256"/>
          </w:tcPr>
          <w:p>
            <w:pPr>
              <w:spacing w:before="20" w:after="20" w:line="240" w:lineRule="auto"/>
            </w:pPr>
            <w:r/>
            <w:r>
              <w:rPr>
                <w:rFonts w:ascii="Times New Roman" w:hAnsi="Times New Roman"/>
                <w:b w:val="0"/>
                <w:i w:val="0"/>
                <w:sz w:val="20"/>
              </w:rPr>
              <w:t>4180</w:t>
            </w:r>
          </w:p>
        </w:tc>
        <w:tc>
          <w:tcPr>
            <w:tcW w:type="dxa" w:w="2256"/>
          </w:tcPr>
          <w:p>
            <w:pPr>
              <w:spacing w:before="20" w:after="20" w:line="240" w:lineRule="auto"/>
            </w:pPr>
            <w:r/>
            <w:r>
              <w:rPr>
                <w:rFonts w:ascii="Times New Roman" w:hAnsi="Times New Roman"/>
                <w:b w:val="0"/>
                <w:i w:val="0"/>
                <w:sz w:val="20"/>
              </w:rPr>
              <w:t>3650</w:t>
            </w:r>
          </w:p>
        </w:tc>
        <w:tc>
          <w:tcPr>
            <w:tcW w:type="dxa" w:w="2256"/>
          </w:tcPr>
          <w:p>
            <w:pPr>
              <w:spacing w:before="20" w:after="20" w:line="240" w:lineRule="auto"/>
            </w:pPr>
            <w:r/>
            <w:r>
              <w:rPr>
                <w:rFonts w:ascii="Times New Roman" w:hAnsi="Times New Roman"/>
                <w:b w:val="0"/>
                <w:i w:val="0"/>
                <w:sz w:val="20"/>
              </w:rPr>
              <w:t>—</w:t>
            </w:r>
          </w:p>
        </w:tc>
      </w:tr>
      <w:tr>
        <w:tc>
          <w:tcPr>
            <w:tcW w:type="dxa" w:w="2256"/>
          </w:tcPr>
          <w:p>
            <w:pPr>
              <w:spacing w:before="20" w:after="20" w:line="240" w:lineRule="auto"/>
            </w:pPr>
            <w:r/>
            <w:r>
              <w:rPr>
                <w:rFonts w:ascii="Times New Roman" w:hAnsi="Times New Roman"/>
                <w:b/>
                <w:i w:val="0"/>
                <w:sz w:val="20"/>
              </w:rPr>
              <w:t>Correlation coefficient (calibration)</w:t>
            </w:r>
          </w:p>
        </w:tc>
        <w:tc>
          <w:tcPr>
            <w:tcW w:type="dxa" w:w="2256"/>
          </w:tcPr>
          <w:p>
            <w:pPr>
              <w:spacing w:before="20" w:after="20" w:line="240" w:lineRule="auto"/>
            </w:pPr>
            <w:r/>
            <w:r>
              <w:rPr>
                <w:rFonts w:ascii="Times New Roman" w:hAnsi="Times New Roman"/>
                <w:b w:val="0"/>
                <w:i w:val="0"/>
                <w:sz w:val="20"/>
              </w:rPr>
              <w:t>0.9987</w:t>
            </w:r>
          </w:p>
        </w:tc>
        <w:tc>
          <w:tcPr>
            <w:tcW w:type="dxa" w:w="2256"/>
          </w:tcPr>
          <w:p>
            <w:pPr>
              <w:spacing w:before="20" w:after="20" w:line="240" w:lineRule="auto"/>
            </w:pPr>
            <w:r/>
            <w:r>
              <w:rPr>
                <w:rFonts w:ascii="Times New Roman" w:hAnsi="Times New Roman"/>
                <w:b w:val="0"/>
                <w:i w:val="0"/>
                <w:sz w:val="20"/>
              </w:rPr>
              <w:t>0.9991</w:t>
            </w:r>
          </w:p>
        </w:tc>
        <w:tc>
          <w:tcPr>
            <w:tcW w:type="dxa" w:w="2256"/>
          </w:tcPr>
          <w:p>
            <w:pPr>
              <w:spacing w:before="20" w:after="20" w:line="240" w:lineRule="auto"/>
            </w:pPr>
            <w:r/>
            <w:r>
              <w:rPr>
                <w:rFonts w:ascii="Times New Roman" w:hAnsi="Times New Roman"/>
                <w:b w:val="0"/>
                <w:i w:val="0"/>
                <w:sz w:val="20"/>
              </w:rPr>
              <w:t>r ≥ 0.99</w:t>
            </w:r>
          </w:p>
        </w:tc>
      </w:tr>
      <w:tr>
        <w:tc>
          <w:tcPr>
            <w:tcW w:type="dxa" w:w="2256"/>
          </w:tcPr>
          <w:p>
            <w:pPr>
              <w:spacing w:before="20" w:after="20" w:line="240" w:lineRule="auto"/>
            </w:pPr>
            <w:r/>
            <w:r>
              <w:rPr>
                <w:rFonts w:ascii="Times New Roman" w:hAnsi="Times New Roman"/>
                <w:b/>
                <w:i w:val="0"/>
                <w:sz w:val="20"/>
              </w:rPr>
              <w:t>LOD (ng/band)</w:t>
            </w:r>
          </w:p>
        </w:tc>
        <w:tc>
          <w:tcPr>
            <w:tcW w:type="dxa" w:w="2256"/>
          </w:tcPr>
          <w:p>
            <w:pPr>
              <w:spacing w:before="20" w:after="20" w:line="240" w:lineRule="auto"/>
            </w:pPr>
            <w:r/>
            <w:r>
              <w:rPr>
                <w:rFonts w:ascii="Times New Roman" w:hAnsi="Times New Roman"/>
                <w:b w:val="0"/>
                <w:i w:val="0"/>
                <w:sz w:val="20"/>
              </w:rPr>
              <w:t>21</w:t>
            </w:r>
          </w:p>
        </w:tc>
        <w:tc>
          <w:tcPr>
            <w:tcW w:type="dxa" w:w="2256"/>
          </w:tcPr>
          <w:p>
            <w:pPr>
              <w:spacing w:before="20" w:after="20" w:line="240" w:lineRule="auto"/>
            </w:pPr>
            <w:r/>
            <w:r>
              <w:rPr>
                <w:rFonts w:ascii="Times New Roman" w:hAnsi="Times New Roman"/>
                <w:b w:val="0"/>
                <w:i w:val="0"/>
                <w:sz w:val="20"/>
              </w:rPr>
              <w:t>34</w:t>
            </w:r>
          </w:p>
        </w:tc>
        <w:tc>
          <w:tcPr>
            <w:tcW w:type="dxa" w:w="2256"/>
          </w:tcPr>
          <w:p>
            <w:pPr>
              <w:spacing w:before="20" w:after="20" w:line="240" w:lineRule="auto"/>
            </w:pPr>
            <w:r/>
            <w:r>
              <w:rPr>
                <w:rFonts w:ascii="Times New Roman" w:hAnsi="Times New Roman"/>
                <w:b w:val="0"/>
                <w:i w:val="0"/>
                <w:sz w:val="20"/>
              </w:rPr>
              <w:t>—</w:t>
            </w:r>
          </w:p>
        </w:tc>
      </w:tr>
      <w:tr>
        <w:tc>
          <w:tcPr>
            <w:tcW w:type="dxa" w:w="2256"/>
          </w:tcPr>
          <w:p>
            <w:pPr>
              <w:spacing w:before="20" w:after="20" w:line="240" w:lineRule="auto"/>
            </w:pPr>
            <w:r/>
            <w:r>
              <w:rPr>
                <w:rFonts w:ascii="Times New Roman" w:hAnsi="Times New Roman"/>
                <w:b/>
                <w:i w:val="0"/>
                <w:sz w:val="20"/>
              </w:rPr>
              <w:t>LOQ (ng/band)</w:t>
            </w:r>
          </w:p>
        </w:tc>
        <w:tc>
          <w:tcPr>
            <w:tcW w:type="dxa" w:w="2256"/>
          </w:tcPr>
          <w:p>
            <w:pPr>
              <w:spacing w:before="20" w:after="20" w:line="240" w:lineRule="auto"/>
            </w:pPr>
            <w:r/>
            <w:r>
              <w:rPr>
                <w:rFonts w:ascii="Times New Roman" w:hAnsi="Times New Roman"/>
                <w:b w:val="0"/>
                <w:i w:val="0"/>
                <w:sz w:val="20"/>
              </w:rPr>
              <w:t>64</w:t>
            </w:r>
          </w:p>
        </w:tc>
        <w:tc>
          <w:tcPr>
            <w:tcW w:type="dxa" w:w="2256"/>
          </w:tcPr>
          <w:p>
            <w:pPr>
              <w:spacing w:before="20" w:after="20" w:line="240" w:lineRule="auto"/>
            </w:pPr>
            <w:r/>
            <w:r>
              <w:rPr>
                <w:rFonts w:ascii="Times New Roman" w:hAnsi="Times New Roman"/>
                <w:b w:val="0"/>
                <w:i w:val="0"/>
                <w:sz w:val="20"/>
              </w:rPr>
              <w:t>103</w:t>
            </w:r>
          </w:p>
        </w:tc>
        <w:tc>
          <w:tcPr>
            <w:tcW w:type="dxa" w:w="2256"/>
          </w:tcPr>
          <w:p>
            <w:pPr>
              <w:spacing w:before="20" w:after="20" w:line="240" w:lineRule="auto"/>
            </w:pPr>
            <w:r/>
            <w:r>
              <w:rPr>
                <w:rFonts w:ascii="Times New Roman" w:hAnsi="Times New Roman"/>
                <w:b w:val="0"/>
                <w:i w:val="0"/>
                <w:sz w:val="20"/>
              </w:rPr>
              <w:t>—</w:t>
            </w:r>
          </w:p>
        </w:tc>
      </w:tr>
    </w:tbl>
    <w:p>
      <w:pPr>
        <w:spacing w:after="120" w:line="276" w:lineRule="auto"/>
        <w:jc w:val="both"/>
      </w:pPr>
      <w:r>
        <w:rPr>
          <w:rFonts w:ascii="Times New Roman" w:hAnsi="Times New Roman"/>
          <w:b w:val="0"/>
          <w:i w:val="0"/>
          <w:sz w:val="22"/>
        </w:rPr>
        <w:t>All system-suitability parameters were within acceptable limits, demonstrating that the developed HPTLC method is specific, precise, and suitable for the qualitative fingerprinting and identification of quercetin and rutin in the EA fraction of S. trilobata.</w:t>
      </w:r>
    </w:p>
    <w:p>
      <w:pPr>
        <w:keepNext/>
        <w:spacing w:before="200" w:after="80"/>
      </w:pPr>
      <w:r>
        <w:rPr>
          <w:rFonts w:ascii="Times New Roman" w:hAnsi="Times New Roman"/>
          <w:b/>
          <w:i w:val="0"/>
          <w:sz w:val="26"/>
        </w:rPr>
        <w:t>8. Discussion</w:t>
      </w:r>
    </w:p>
    <w:p>
      <w:pPr>
        <w:spacing w:after="120" w:line="276" w:lineRule="auto"/>
        <w:jc w:val="both"/>
      </w:pPr>
      <w:r>
        <w:rPr>
          <w:rFonts w:ascii="Times New Roman" w:hAnsi="Times New Roman"/>
          <w:b w:val="0"/>
          <w:i w:val="0"/>
          <w:sz w:val="22"/>
        </w:rPr>
        <w:t>The HPTLC fingerprint of the ethyl acetate fraction of the S. trilobata methanol extract is consistent with a flavonoid-rich profile. The comparison—in both the 2D densitometric and the 3D overlay modes—established an unambiguous correspondence between two of the seven native bands and the reference standards. The aglycone quercetin, being less polar, migrated close to the solvent front (Rf 0.95), whereas the glycoside rutin, owing to its sugar moiety and consequently higher polarity, was retained near the origin (Rf 0.42). This polarity-based separation behaviour is in agreement with the expected normal-phase chromatographic order on silica gel.</w:t>
      </w:r>
    </w:p>
    <w:p>
      <w:pPr>
        <w:spacing w:after="120" w:line="276" w:lineRule="auto"/>
        <w:jc w:val="both"/>
      </w:pPr>
      <w:r>
        <w:rPr>
          <w:rFonts w:ascii="Times New Roman" w:hAnsi="Times New Roman"/>
          <w:b w:val="0"/>
          <w:i w:val="0"/>
          <w:sz w:val="22"/>
        </w:rPr>
        <w:t>The observation that quercetin (P7, ~33% area) and rutin (P3, ~30% area) were the two dominant bands of the EA fraction suggests that the ethyl acetate fractionation step is highly effective for enriching these therapeutically relevant flavonoids. Their combined presence may rationalise the reported antioxidant, anti-inflammatory, and hepatoprotective activities of the plant, since both quercetin and rutin are established free-radical scavengers.</w:t>
      </w:r>
    </w:p>
    <w:p>
      <w:pPr>
        <w:keepNext/>
        <w:spacing w:before="200" w:after="80"/>
      </w:pPr>
      <w:r>
        <w:rPr>
          <w:rFonts w:ascii="Times New Roman" w:hAnsi="Times New Roman"/>
          <w:b/>
          <w:i w:val="0"/>
          <w:sz w:val="26"/>
        </w:rPr>
        <w:t>9. Conclusion</w:t>
      </w:r>
    </w:p>
    <w:p>
      <w:pPr>
        <w:spacing w:after="120" w:line="276" w:lineRule="auto"/>
        <w:jc w:val="both"/>
      </w:pPr>
      <w:r>
        <w:rPr>
          <w:rFonts w:ascii="Times New Roman" w:hAnsi="Times New Roman"/>
          <w:b w:val="0"/>
          <w:i w:val="0"/>
          <w:sz w:val="22"/>
        </w:rPr>
        <w:t>A simple, precise, and specific HPTLC method was developed and applied to fingerprint the ethyl acetate fraction of the methanol extract of Sphagneticola trilobata (Wedelia trilobata). The 2D and 3D densitograms, supported by Rf matching, co-chromatography, and spectral overlay, conclusively confirmed the presence of the flavonoids quercetin (Rf 0.95) and rutin (Rf 0.42) as major constituents of the fraction. The method is reproducible and may be adopted as a quality-control fingerprint and for the simultaneous marker-based standardisation of S. trilobata preparations.</w:t>
      </w:r>
    </w:p>
    <w:p>
      <w:pPr>
        <w:keepNext/>
        <w:spacing w:before="200" w:after="80"/>
      </w:pPr>
      <w:r>
        <w:rPr>
          <w:rFonts w:ascii="Times New Roman" w:hAnsi="Times New Roman"/>
          <w:b/>
          <w:i w:val="0"/>
          <w:sz w:val="26"/>
        </w:rPr>
        <w:t>References</w:t>
      </w:r>
    </w:p>
    <w:p>
      <w:pPr>
        <w:spacing w:after="60" w:line="240" w:lineRule="auto"/>
        <w:jc w:val="both"/>
      </w:pPr>
      <w:r>
        <w:rPr>
          <w:rFonts w:ascii="Times New Roman" w:hAnsi="Times New Roman"/>
          <w:b w:val="0"/>
          <w:i w:val="0"/>
          <w:sz w:val="20"/>
        </w:rPr>
        <w:t>[1] Wagner H, Bladt S. Plant Drug Analysis – A Thin Layer Chromatography Atlas. 2nd ed. Berlin: Springer.</w:t>
      </w:r>
    </w:p>
    <w:p>
      <w:pPr>
        <w:spacing w:after="60" w:line="240" w:lineRule="auto"/>
        <w:jc w:val="both"/>
      </w:pPr>
      <w:r>
        <w:rPr>
          <w:rFonts w:ascii="Times New Roman" w:hAnsi="Times New Roman"/>
          <w:b w:val="0"/>
          <w:i w:val="0"/>
          <w:sz w:val="20"/>
        </w:rPr>
        <w:t>[2] Sherma J, Fried B. Handbook of Thin-Layer Chromatography. 3rd ed. New York: Marcel Dekker.</w:t>
      </w:r>
    </w:p>
    <w:p>
      <w:pPr>
        <w:spacing w:after="60" w:line="240" w:lineRule="auto"/>
        <w:jc w:val="both"/>
      </w:pPr>
      <w:r>
        <w:rPr>
          <w:rFonts w:ascii="Times New Roman" w:hAnsi="Times New Roman"/>
          <w:b w:val="0"/>
          <w:i w:val="0"/>
          <w:sz w:val="20"/>
        </w:rPr>
        <w:t>[3] Srivastava MM. High-Performance Thin-Layer Chromatography (HPTLC). Berlin: Springer.</w:t>
      </w:r>
    </w:p>
    <w:p>
      <w:pPr>
        <w:spacing w:after="60" w:line="240" w:lineRule="auto"/>
        <w:jc w:val="both"/>
      </w:pPr>
      <w:r>
        <w:rPr>
          <w:rFonts w:ascii="Times New Roman" w:hAnsi="Times New Roman"/>
          <w:b w:val="0"/>
          <w:i w:val="0"/>
          <w:sz w:val="20"/>
        </w:rPr>
        <w:t>[4] International Conference on Harmonisation. ICH Q2(R1): Validation of Analytical Procedures.</w:t>
      </w:r>
    </w:p>
    <w:p>
      <w:pPr>
        <w:spacing w:after="60" w:line="240" w:lineRule="auto"/>
        <w:jc w:val="both"/>
      </w:pPr>
      <w:r>
        <w:rPr>
          <w:rFonts w:ascii="Times New Roman" w:hAnsi="Times New Roman"/>
          <w:b w:val="0"/>
          <w:i w:val="0"/>
          <w:sz w:val="20"/>
        </w:rPr>
        <w:t>[5] Harborne JB. Phytochemical Methods – A Guide to Modern Techniques of Plant Analysis. London: Chapman &amp; Hall.</w:t>
      </w:r>
    </w:p>
    <w:p>
      <w:pPr>
        <w:spacing w:after="60" w:line="240" w:lineRule="auto"/>
        <w:jc w:val="both"/>
      </w:pPr>
      <w:r>
        <w:rPr>
          <w:rFonts w:ascii="Times New Roman" w:hAnsi="Times New Roman"/>
          <w:b w:val="0"/>
          <w:i w:val="0"/>
          <w:sz w:val="20"/>
        </w:rPr>
        <w:t>[6] Reported HPTLC densitometric methods employing toluene : ethyl acetate : formic acid mobile phases for the determination of quercetin and rutin in plant extracts.</w:t>
      </w:r>
    </w:p>
    <w:p>
      <w:pPr>
        <w:spacing w:before="160"/>
        <w:jc w:val="both"/>
      </w:pPr>
      <w:r>
        <w:rPr>
          <w:rFonts w:ascii="Times New Roman" w:hAnsi="Times New Roman"/>
          <w:b w:val="0"/>
          <w:i/>
          <w:sz w:val="19"/>
        </w:rPr>
        <w:t>Note: The densitograms and tabulated values presented here are representative figures prepared to illustrate the expected 2D/3D HPTLC profile and comparison. They should be replaced with the actual instrument-exported densitograms and integrated data from your laboratory runs before final submission.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