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200" w:before="1200"/>
        <w:jc w:val="center"/>
      </w:pPr>
      <w:r>
        <w:rPr>
          <w:rFonts w:ascii="Calibri" w:cs="Calibri" w:eastAsia="Calibri" w:hAnsi="Calibri"/>
          <w:b/>
          <w:bCs/>
          <w:color w:val="1F5132"/>
          <w:sz w:val="44"/>
          <w:szCs w:val="44"/>
          <w:rtl/>
        </w:rPr>
        <w:t xml:space="preserve">كيف نحمي المنصة من التسرب؟</w:t>
      </w:r>
    </w:p>
    <w:p>
      <w:pPr>
        <w:bidi/>
        <w:spacing w:after="400"/>
        <w:jc w:val="center"/>
      </w:pPr>
      <w:r>
        <w:rPr>
          <w:rFonts w:ascii="Calibri" w:cs="Calibri" w:eastAsia="Calibri" w:hAnsi="Calibri"/>
          <w:color w:val="555555"/>
          <w:sz w:val="24"/>
          <w:szCs w:val="24"/>
          <w:rtl/>
        </w:rPr>
        <w:t xml:space="preserve">ردًا على سؤال المشرف: ما الذي يمنع المنظم والمورد من التعامل المباشر خارج المنصة؟</w:t>
      </w:r>
    </w:p>
    <w:p>
      <w:pPr>
        <w:bidi/>
        <w:spacing w:before="1200"/>
        <w:jc w:val="center"/>
      </w:pPr>
      <w:r>
        <w:rPr>
          <w:rFonts w:ascii="Calibri" w:cs="Calibri" w:eastAsia="Calibri" w:hAnsi="Calibri"/>
          <w:sz w:val="22"/>
          <w:szCs w:val="22"/>
          <w:rtl/>
        </w:rPr>
        <w:t xml:space="preserve">Sevent — استراتيجية المنصة</w:t>
      </w:r>
    </w:p>
    <w:p>
      <w:pPr>
        <w:bidi/>
        <w:jc w:val="center"/>
      </w:pPr>
      <w:r>
        <w:rPr>
          <w:rFonts w:ascii="Calibri" w:cs="Calibri" w:eastAsia="Calibri" w:hAnsi="Calibri"/>
          <w:color w:val="555555"/>
          <w:sz w:val="22"/>
          <w:szCs w:val="22"/>
          <w:rtl/>
        </w:rPr>
        <w:t xml:space="preserve">29 أبريل 2026</w:t>
      </w:r>
    </w:p>
    <w:p>
      <w:r>
        <w:br w:type="page"/>
      </w:r>
    </w:p>
    <w:p>
      <w:pPr>
        <w:pStyle w:val="Heading1"/>
        <w:bidi/>
        <w:spacing w:after="240" w:before="360"/>
        <w:jc w:val="left"/>
      </w:pPr>
      <w:r>
        <w:rPr>
          <w:rFonts w:ascii="Calibri" w:cs="Calibri" w:eastAsia="Calibri" w:hAnsi="Calibri"/>
          <w:b/>
          <w:bCs/>
          <w:color w:val="1F5132"/>
          <w:sz w:val="36"/>
          <w:szCs w:val="36"/>
          <w:rtl/>
        </w:rPr>
        <w:t xml:space="preserve">أولًا: الواقع الصريح</w:t>
      </w:r>
    </w:p>
    <w:p>
      <w:pPr>
        <w:bidi/>
        <w:spacing w:after="120" w:line="360"/>
        <w:jc w:val="left"/>
      </w:pPr>
      <w:r>
        <w:rPr>
          <w:rFonts w:ascii="Calibri" w:cs="Calibri" w:eastAsia="Calibri" w:hAnsi="Calibri"/>
          <w:sz w:val="24"/>
          <w:szCs w:val="24"/>
          <w:rtl/>
        </w:rPr>
        <w:t xml:space="preserve">سؤال المشرف هو السؤال الوجودي لأي منصة B2B Marketplace في العالم، ويستحق إجابة صادقة وليس عامة. ظاهرة التعامل المباشر خارج المنصة، أو ما يُعرف بـ Disintermediation، هي التهديد الأكبر لأي سوق رقمي يربط طرفين، وليست خاصية فريدة بسوق Sevent.</w:t>
      </w:r>
    </w:p>
    <w:p>
      <w:pPr>
        <w:bidi/>
        <w:spacing w:after="120" w:line="360"/>
        <w:jc w:val="left"/>
      </w:pPr>
      <w:r>
        <w:rPr>
          <w:rFonts w:ascii="Calibri" w:cs="Calibri" w:eastAsia="Calibri" w:hAnsi="Calibri"/>
          <w:sz w:val="24"/>
          <w:szCs w:val="24"/>
          <w:rtl/>
        </w:rPr>
        <w:t xml:space="preserve">سوق الفعاليات في السعودية تحديدًا يجمع الخصائص الثلاث الأكثر خطورة لظاهرة التسرب:</w:t>
      </w:r>
    </w:p>
    <w:p>
      <w:pPr>
        <w:pStyle w:val="ListParagraph"/>
        <w:numPr>
          <w:ilvl w:val="0"/>
          <w:numId w:val="2"/>
        </w:numPr>
        <w:bidi/>
        <w:spacing w:after="80"/>
        <w:jc w:val="left"/>
      </w:pPr>
      <w:r>
        <w:rPr>
          <w:rFonts w:ascii="Calibri" w:cs="Calibri" w:eastAsia="Calibri" w:hAnsi="Calibri"/>
          <w:sz w:val="24"/>
          <w:szCs w:val="24"/>
          <w:rtl/>
        </w:rPr>
        <w:t xml:space="preserve">قيمة المعاملة عالية: ميزانية فعالية واحدة قد تتراوح من 50 ألف إلى 500 ألف ريال أو أكثر.</w:t>
      </w:r>
    </w:p>
    <w:p>
      <w:pPr>
        <w:pStyle w:val="ListParagraph"/>
        <w:numPr>
          <w:ilvl w:val="0"/>
          <w:numId w:val="2"/>
        </w:numPr>
        <w:bidi/>
        <w:spacing w:after="80"/>
        <w:jc w:val="left"/>
      </w:pPr>
      <w:r>
        <w:rPr>
          <w:rFonts w:ascii="Calibri" w:cs="Calibri" w:eastAsia="Calibri" w:hAnsi="Calibri"/>
          <w:sz w:val="24"/>
          <w:szCs w:val="24"/>
          <w:rtl/>
        </w:rPr>
        <w:t xml:space="preserve">التكرار منخفض: المنظم قد يستخدم نفس المورد مرتين إلى أربع مرات في السنة فقط.</w:t>
      </w:r>
    </w:p>
    <w:p>
      <w:pPr>
        <w:pStyle w:val="ListParagraph"/>
        <w:numPr>
          <w:ilvl w:val="0"/>
          <w:numId w:val="2"/>
        </w:numPr>
        <w:bidi/>
        <w:spacing w:after="80"/>
        <w:jc w:val="left"/>
      </w:pPr>
      <w:r>
        <w:rPr>
          <w:rFonts w:ascii="Calibri" w:cs="Calibri" w:eastAsia="Calibri" w:hAnsi="Calibri"/>
          <w:sz w:val="24"/>
          <w:szCs w:val="24"/>
          <w:rtl/>
        </w:rPr>
        <w:t xml:space="preserve">العلاقات شخصية وعلاقاتية، خصوصًا في السوق السعودي حيث الثقة تُبنى وجهًا لوجه.</w:t>
      </w:r>
    </w:p>
    <w:p>
      <w:pPr>
        <w:bidi/>
        <w:spacing w:after="120" w:line="360"/>
        <w:jc w:val="left"/>
      </w:pPr>
      <w:r>
        <w:rPr>
          <w:rFonts w:ascii="Calibri" w:cs="Calibri" w:eastAsia="Calibri" w:hAnsi="Calibri"/>
          <w:sz w:val="24"/>
          <w:szCs w:val="24"/>
          <w:rtl/>
        </w:rPr>
        <w:t xml:space="preserve">أي شركة منصات تدّعي أن منتجها محمي تمامًا من التسرب تكذب. منصات عالمية مثل Upwork و Thumbtack تخسر بين 30 و 50 بالمئة من المعاملات المتكررة خارج المنصة بعد التعارف الأول. السؤال الصحيح إذًا ليس "كيف نمنع التسرب نهائيًا" لأن هذا مستحيل، بل "كيف نجعل البقاء على المنصة هو الخيار الأرخص والأسهل لكلا الطرفين".</w:t>
      </w:r>
    </w:p>
    <w:p>
      <w:r>
        <w:br w:type="page"/>
      </w:r>
    </w:p>
    <w:p>
      <w:pPr>
        <w:pStyle w:val="Heading1"/>
        <w:bidi/>
        <w:spacing w:after="240" w:before="360"/>
        <w:jc w:val="left"/>
      </w:pPr>
      <w:r>
        <w:rPr>
          <w:rFonts w:ascii="Calibri" w:cs="Calibri" w:eastAsia="Calibri" w:hAnsi="Calibri"/>
          <w:b/>
          <w:bCs/>
          <w:color w:val="1F5132"/>
          <w:sz w:val="36"/>
          <w:szCs w:val="36"/>
          <w:rtl/>
        </w:rPr>
        <w:t xml:space="preserve">ثانيًا: لماذا نموذج SaaS-enabled يحلّ المشكلة هيكليًا</w:t>
      </w:r>
    </w:p>
    <w:p>
      <w:pPr>
        <w:bidi/>
        <w:spacing w:after="120" w:line="360"/>
        <w:jc w:val="left"/>
      </w:pPr>
      <w:r>
        <w:rPr>
          <w:rFonts w:ascii="Calibri" w:cs="Calibri" w:eastAsia="Calibri" w:hAnsi="Calibri"/>
          <w:sz w:val="24"/>
          <w:szCs w:val="24"/>
          <w:rtl/>
        </w:rPr>
        <w:t xml:space="preserve">هنا تكمن العبقرية الاستراتيجية لاختيار النموذج. لو كانت Sevent سوقًا مفتوحًا على غرار Eventbrite، لكان التسرب يقتل المنصة، لأن إيرادها الوحيد هو عمولة المعاملة. أما لأننا اخترنا نموذج SaaS-enabled، فالصورة تختلف جوهريًا، كما يوضح الجدول التالي:</w:t>
      </w:r>
    </w:p>
    <w:tbl>
      <w:tblPr>
        <w:bidiVisual/>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400"/>
        <w:gridCol w:w="3000"/>
        <w:gridCol w:w="4200"/>
      </w:tblGrid>
      <w:tr>
        <w:trPr>
          <w:tblHeader/>
        </w:trPr>
        <w:tc>
          <w:tcPr>
            <w:tcW w:type="dxa" w:w="2400"/>
            <w:tcBorders>
              <w:top w:val="single" w:color="BFD9C9" w:sz="6"/>
              <w:left w:val="single" w:color="BFD9C9" w:sz="6"/>
              <w:bottom w:val="single" w:color="BFD9C9" w:sz="6"/>
              <w:right w:val="single" w:color="BFD9C9" w:sz="6"/>
            </w:tcBorders>
            <w:shd w:fill="2C7A4B" w:val="clear"/>
            <w:vAlign w:val="center"/>
          </w:tcPr>
          <w:p>
            <w:pPr>
              <w:bidi/>
              <w:spacing w:after="40" w:before="40"/>
              <w:jc w:val="left"/>
            </w:pPr>
            <w:r>
              <w:rPr>
                <w:rFonts w:ascii="Calibri" w:cs="Calibri" w:eastAsia="Calibri" w:hAnsi="Calibri"/>
                <w:b/>
                <w:bCs/>
                <w:color w:val="FFFFFF"/>
                <w:sz w:val="22"/>
                <w:szCs w:val="22"/>
                <w:rtl/>
              </w:rPr>
              <w:t xml:space="preserve">هل المنصة تخسر؟</w:t>
            </w:r>
          </w:p>
        </w:tc>
        <w:tc>
          <w:tcPr>
            <w:tcW w:type="dxa" w:w="3000"/>
            <w:tcBorders>
              <w:top w:val="single" w:color="BFD9C9" w:sz="6"/>
              <w:left w:val="single" w:color="BFD9C9" w:sz="6"/>
              <w:bottom w:val="single" w:color="BFD9C9" w:sz="6"/>
              <w:right w:val="single" w:color="BFD9C9" w:sz="6"/>
            </w:tcBorders>
            <w:shd w:fill="2C7A4B" w:val="clear"/>
            <w:vAlign w:val="center"/>
          </w:tcPr>
          <w:p>
            <w:pPr>
              <w:bidi/>
              <w:spacing w:after="40" w:before="40"/>
              <w:jc w:val="left"/>
            </w:pPr>
            <w:r>
              <w:rPr>
                <w:rFonts w:ascii="Calibri" w:cs="Calibri" w:eastAsia="Calibri" w:hAnsi="Calibri"/>
                <w:b/>
                <w:bCs/>
                <w:color w:val="FFFFFF"/>
                <w:sz w:val="22"/>
                <w:szCs w:val="22"/>
                <w:rtl/>
              </w:rPr>
              <w:t xml:space="preserve">إيراد المنصة</w:t>
            </w:r>
          </w:p>
        </w:tc>
        <w:tc>
          <w:tcPr>
            <w:tcW w:type="dxa" w:w="4200"/>
            <w:tcBorders>
              <w:top w:val="single" w:color="BFD9C9" w:sz="6"/>
              <w:left w:val="single" w:color="BFD9C9" w:sz="6"/>
              <w:bottom w:val="single" w:color="BFD9C9" w:sz="6"/>
              <w:right w:val="single" w:color="BFD9C9" w:sz="6"/>
            </w:tcBorders>
            <w:shd w:fill="2C7A4B" w:val="clear"/>
            <w:vAlign w:val="center"/>
          </w:tcPr>
          <w:p>
            <w:pPr>
              <w:bidi/>
              <w:spacing w:after="40" w:before="40"/>
              <w:jc w:val="left"/>
            </w:pPr>
            <w:r>
              <w:rPr>
                <w:rFonts w:ascii="Calibri" w:cs="Calibri" w:eastAsia="Calibri" w:hAnsi="Calibri"/>
                <w:b/>
                <w:bCs/>
                <w:color w:val="FFFFFF"/>
                <w:sz w:val="22"/>
                <w:szCs w:val="22"/>
                <w:rtl/>
              </w:rPr>
              <w:t xml:space="preserve">الحالة</w:t>
            </w:r>
          </w:p>
        </w:tc>
      </w:tr>
      <w:tr>
        <w:tc>
          <w:tcPr>
            <w:tcW w:type="dxa" w:w="2400"/>
            <w:tcBorders>
              <w:top w:val="single" w:color="BFD9C9" w:sz="6"/>
              <w:left w:val="single" w:color="BFD9C9" w:sz="6"/>
              <w:bottom w:val="single" w:color="BFD9C9" w:sz="6"/>
              <w:right w:val="single" w:color="BFD9C9" w:sz="6"/>
            </w:tcBorders>
            <w:shd w:fill="F0F7F2" w:val="clear"/>
            <w:vAlign w:val="center"/>
          </w:tcPr>
          <w:p>
            <w:pPr>
              <w:bidi/>
              <w:spacing w:after="40" w:before="40"/>
              <w:jc w:val="left"/>
            </w:pPr>
            <w:r>
              <w:rPr>
                <w:rFonts w:ascii="Calibri" w:cs="Calibri" w:eastAsia="Calibri" w:hAnsi="Calibri"/>
                <w:b/>
                <w:bCs/>
                <w:color w:val="1F5132"/>
                <w:sz w:val="22"/>
                <w:szCs w:val="22"/>
                <w:rtl/>
              </w:rPr>
              <w:t xml:space="preserve">ربح كامل</w:t>
            </w:r>
          </w:p>
        </w:tc>
        <w:tc>
          <w:tcPr>
            <w:tcW w:type="dxa" w:w="3000"/>
            <w:tcBorders>
              <w:top w:val="single" w:color="BFD9C9" w:sz="6"/>
              <w:left w:val="single" w:color="BFD9C9" w:sz="6"/>
              <w:bottom w:val="single" w:color="BFD9C9" w:sz="6"/>
              <w:right w:val="single" w:color="BFD9C9" w:sz="6"/>
            </w:tcBorders>
            <w:shd w:fill="F0F7F2" w:val="clear"/>
            <w:vAlign w:val="center"/>
          </w:tcPr>
          <w:p>
            <w:pPr>
              <w:bidi/>
              <w:spacing w:after="40" w:before="40"/>
              <w:jc w:val="left"/>
            </w:pPr>
            <w:r>
              <w:rPr>
                <w:rFonts w:ascii="Calibri" w:cs="Calibri" w:eastAsia="Calibri" w:hAnsi="Calibri"/>
                <w:color w:val="000000"/>
                <w:sz w:val="22"/>
                <w:szCs w:val="22"/>
                <w:rtl/>
              </w:rPr>
              <w:t xml:space="preserve">اشتراك شهري + عمولة</w:t>
            </w:r>
          </w:p>
        </w:tc>
        <w:tc>
          <w:tcPr>
            <w:tcW w:type="dxa" w:w="4200"/>
            <w:tcBorders>
              <w:top w:val="single" w:color="BFD9C9" w:sz="6"/>
              <w:left w:val="single" w:color="BFD9C9" w:sz="6"/>
              <w:bottom w:val="single" w:color="BFD9C9" w:sz="6"/>
              <w:right w:val="single" w:color="BFD9C9" w:sz="6"/>
            </w:tcBorders>
            <w:shd w:fill="F0F7F2" w:val="clear"/>
            <w:vAlign w:val="center"/>
          </w:tcPr>
          <w:p>
            <w:pPr>
              <w:bidi/>
              <w:spacing w:after="40" w:before="40"/>
              <w:jc w:val="left"/>
            </w:pPr>
            <w:r>
              <w:rPr>
                <w:rFonts w:ascii="Calibri" w:cs="Calibri" w:eastAsia="Calibri" w:hAnsi="Calibri"/>
                <w:color w:val="000000"/>
                <w:sz w:val="22"/>
                <w:szCs w:val="22"/>
                <w:rtl/>
              </w:rPr>
              <w:t xml:space="preserve">مورد ومنظم تعارفا عبر Sevent ودفعا عبر المنصة</w:t>
            </w:r>
          </w:p>
        </w:tc>
      </w:tr>
      <w:tr>
        <w:tc>
          <w:tcPr>
            <w:tcW w:type="dxa" w:w="2400"/>
            <w:tcBorders>
              <w:top w:val="single" w:color="BFD9C9" w:sz="6"/>
              <w:left w:val="single" w:color="BFD9C9" w:sz="6"/>
              <w:bottom w:val="single" w:color="BFD9C9" w:sz="6"/>
              <w:right w:val="single" w:color="BFD9C9" w:sz="6"/>
            </w:tcBorders>
            <w:vAlign w:val="center"/>
          </w:tcPr>
          <w:p>
            <w:pPr>
              <w:bidi/>
              <w:spacing w:after="40" w:before="40"/>
              <w:jc w:val="left"/>
            </w:pPr>
            <w:r>
              <w:rPr>
                <w:rFonts w:ascii="Calibri" w:cs="Calibri" w:eastAsia="Calibri" w:hAnsi="Calibri"/>
                <w:color w:val="2C7A4B"/>
                <w:sz w:val="22"/>
                <w:szCs w:val="22"/>
                <w:rtl/>
              </w:rPr>
              <w:t xml:space="preserve">ربح جزئي مازال موجودًا</w:t>
            </w:r>
          </w:p>
        </w:tc>
        <w:tc>
          <w:tcPr>
            <w:tcW w:type="dxa" w:w="3000"/>
            <w:tcBorders>
              <w:top w:val="single" w:color="BFD9C9" w:sz="6"/>
              <w:left w:val="single" w:color="BFD9C9" w:sz="6"/>
              <w:bottom w:val="single" w:color="BFD9C9" w:sz="6"/>
              <w:right w:val="single" w:color="BFD9C9" w:sz="6"/>
            </w:tcBorders>
            <w:vAlign w:val="center"/>
          </w:tcPr>
          <w:p>
            <w:pPr>
              <w:bidi/>
              <w:spacing w:after="40" w:before="40"/>
              <w:jc w:val="left"/>
            </w:pPr>
            <w:r>
              <w:rPr>
                <w:rFonts w:ascii="Calibri" w:cs="Calibri" w:eastAsia="Calibri" w:hAnsi="Calibri"/>
                <w:color w:val="000000"/>
                <w:sz w:val="22"/>
                <w:szCs w:val="22"/>
                <w:rtl/>
              </w:rPr>
              <w:t xml:space="preserve">اشتراك شهري فقط</w:t>
            </w:r>
          </w:p>
        </w:tc>
        <w:tc>
          <w:tcPr>
            <w:tcW w:type="dxa" w:w="4200"/>
            <w:tcBorders>
              <w:top w:val="single" w:color="BFD9C9" w:sz="6"/>
              <w:left w:val="single" w:color="BFD9C9" w:sz="6"/>
              <w:bottom w:val="single" w:color="BFD9C9" w:sz="6"/>
              <w:right w:val="single" w:color="BFD9C9" w:sz="6"/>
            </w:tcBorders>
            <w:vAlign w:val="center"/>
          </w:tcPr>
          <w:p>
            <w:pPr>
              <w:bidi/>
              <w:spacing w:after="40" w:before="40"/>
              <w:jc w:val="left"/>
            </w:pPr>
            <w:r>
              <w:rPr>
                <w:rFonts w:ascii="Calibri" w:cs="Calibri" w:eastAsia="Calibri" w:hAnsi="Calibri"/>
                <w:color w:val="000000"/>
                <w:sz w:val="22"/>
                <w:szCs w:val="22"/>
                <w:rtl/>
              </w:rPr>
              <w:t xml:space="preserve">تعارفا عبر Sevent لكن دفعا خارجها</w:t>
            </w:r>
          </w:p>
        </w:tc>
      </w:tr>
      <w:tr>
        <w:tc>
          <w:tcPr>
            <w:tcW w:type="dxa" w:w="2400"/>
            <w:tcBorders>
              <w:top w:val="single" w:color="BFD9C9" w:sz="6"/>
              <w:left w:val="single" w:color="BFD9C9" w:sz="6"/>
              <w:bottom w:val="single" w:color="BFD9C9" w:sz="6"/>
              <w:right w:val="single" w:color="BFD9C9" w:sz="6"/>
            </w:tcBorders>
            <w:shd w:fill="F0F7F2" w:val="clear"/>
            <w:vAlign w:val="center"/>
          </w:tcPr>
          <w:p>
            <w:pPr>
              <w:bidi/>
              <w:spacing w:after="40" w:before="40"/>
              <w:jc w:val="left"/>
            </w:pPr>
            <w:r>
              <w:rPr>
                <w:rFonts w:ascii="Calibri" w:cs="Calibri" w:eastAsia="Calibri" w:hAnsi="Calibri"/>
                <w:color w:val="2C7A4B"/>
                <w:sz w:val="22"/>
                <w:szCs w:val="22"/>
                <w:rtl/>
              </w:rPr>
              <w:t xml:space="preserve">ربح</w:t>
            </w:r>
          </w:p>
        </w:tc>
        <w:tc>
          <w:tcPr>
            <w:tcW w:type="dxa" w:w="3000"/>
            <w:tcBorders>
              <w:top w:val="single" w:color="BFD9C9" w:sz="6"/>
              <w:left w:val="single" w:color="BFD9C9" w:sz="6"/>
              <w:bottom w:val="single" w:color="BFD9C9" w:sz="6"/>
              <w:right w:val="single" w:color="BFD9C9" w:sz="6"/>
            </w:tcBorders>
            <w:shd w:fill="F0F7F2" w:val="clear"/>
            <w:vAlign w:val="center"/>
          </w:tcPr>
          <w:p>
            <w:pPr>
              <w:bidi/>
              <w:spacing w:after="40" w:before="40"/>
              <w:jc w:val="left"/>
            </w:pPr>
            <w:r>
              <w:rPr>
                <w:rFonts w:ascii="Calibri" w:cs="Calibri" w:eastAsia="Calibri" w:hAnsi="Calibri"/>
                <w:color w:val="000000"/>
                <w:sz w:val="22"/>
                <w:szCs w:val="22"/>
                <w:rtl/>
              </w:rPr>
              <w:t xml:space="preserve">اشتراك شهري</w:t>
            </w:r>
          </w:p>
        </w:tc>
        <w:tc>
          <w:tcPr>
            <w:tcW w:type="dxa" w:w="4200"/>
            <w:tcBorders>
              <w:top w:val="single" w:color="BFD9C9" w:sz="6"/>
              <w:left w:val="single" w:color="BFD9C9" w:sz="6"/>
              <w:bottom w:val="single" w:color="BFD9C9" w:sz="6"/>
              <w:right w:val="single" w:color="BFD9C9" w:sz="6"/>
            </w:tcBorders>
            <w:shd w:fill="F0F7F2" w:val="clear"/>
            <w:vAlign w:val="center"/>
          </w:tcPr>
          <w:p>
            <w:pPr>
              <w:bidi/>
              <w:spacing w:after="40" w:before="40"/>
              <w:jc w:val="left"/>
            </w:pPr>
            <w:r>
              <w:rPr>
                <w:rFonts w:ascii="Calibri" w:cs="Calibri" w:eastAsia="Calibri" w:hAnsi="Calibri"/>
                <w:color w:val="000000"/>
                <w:sz w:val="22"/>
                <w:szCs w:val="22"/>
                <w:rtl/>
              </w:rPr>
              <w:t xml:space="preserve">مورد يستخدم Sevent لإدارة عملائه القدامى المباشرين</w:t>
            </w:r>
          </w:p>
        </w:tc>
      </w:tr>
    </w:tbl>
    <w:p>
      <w:pPr>
        <w:bidi/>
        <w:spacing w:after="120" w:line="360"/>
        <w:jc w:val="left"/>
      </w:pPr>
      <w:r>
        <w:rPr>
          <w:rFonts w:ascii="Calibri" w:cs="Calibri" w:eastAsia="Calibri" w:hAnsi="Calibri"/>
          <w:sz w:val="24"/>
          <w:szCs w:val="24"/>
          <w:rtl/>
        </w:rPr>
        <w:t xml:space="preserve">النقطة الحاسمة: المورد يدفع اشتراكًا شهريًا للأداة التي تشمل نظام عروض الأسعار والتقويم والبورتفوليو وفواتير ZATCA، سواء جاءه العميل من المنصة أو من علاقاته الشخصية. هذا بالضبط ما فعلته Shopify و Toast و ServiceTitan في أسواقها. هم يبيعون "المعاول والجاروف" لا الذهب نفسه. لذا حتى لو حدث تسرب بنسبة 50 بالمئة من المعاملات، فالمنصة لا تموت، بل تستمر في تحقيق إيراد مستقر من الاشتراكات.</w:t>
      </w:r>
    </w:p>
    <w:p>
      <w:r>
        <w:br w:type="page"/>
      </w:r>
    </w:p>
    <w:p>
      <w:pPr>
        <w:pStyle w:val="Heading1"/>
        <w:bidi/>
        <w:spacing w:after="240" w:before="360"/>
        <w:jc w:val="left"/>
      </w:pPr>
      <w:r>
        <w:rPr>
          <w:rFonts w:ascii="Calibri" w:cs="Calibri" w:eastAsia="Calibri" w:hAnsi="Calibri"/>
          <w:b/>
          <w:bCs/>
          <w:color w:val="1F5132"/>
          <w:sz w:val="36"/>
          <w:szCs w:val="36"/>
          <w:rtl/>
        </w:rPr>
        <w:t xml:space="preserve">ثالثًا: الدفاعات التكتيكية المحددة لـ Sevent</w:t>
      </w:r>
    </w:p>
    <w:p>
      <w:pPr>
        <w:bidi/>
        <w:spacing w:after="120" w:line="360"/>
        <w:jc w:val="left"/>
      </w:pPr>
      <w:r>
        <w:rPr>
          <w:rFonts w:ascii="Calibri" w:cs="Calibri" w:eastAsia="Calibri" w:hAnsi="Calibri"/>
          <w:sz w:val="24"/>
          <w:szCs w:val="24"/>
          <w:rtl/>
        </w:rPr>
        <w:t xml:space="preserve">بالإضافة إلى الحماية الهيكلية التي يوفرها نموذج SaaS-enabled، هناك ست ميزات عملية يجب بناؤها لتقليل التسرب فعليًا:</w:t>
      </w:r>
    </w:p>
    <w:p>
      <w:pPr>
        <w:pStyle w:val="Heading2"/>
        <w:bidi/>
        <w:spacing w:after="160" w:before="280"/>
        <w:jc w:val="left"/>
      </w:pPr>
      <w:r>
        <w:rPr>
          <w:rFonts w:ascii="Calibri" w:cs="Calibri" w:eastAsia="Calibri" w:hAnsi="Calibri"/>
          <w:b/>
          <w:bCs/>
          <w:color w:val="2C7A4B"/>
          <w:sz w:val="30"/>
          <w:szCs w:val="30"/>
          <w:rtl/>
        </w:rPr>
        <w:t xml:space="preserve">1. ZATCA كحاجز قانوني (الأقوى في السعودية)</w:t>
      </w:r>
    </w:p>
    <w:p>
      <w:pPr>
        <w:bidi/>
        <w:spacing w:after="120" w:line="360"/>
        <w:jc w:val="left"/>
      </w:pPr>
      <w:r>
        <w:rPr>
          <w:rFonts w:ascii="Calibri" w:cs="Calibri" w:eastAsia="Calibri" w:hAnsi="Calibri"/>
          <w:sz w:val="24"/>
          <w:szCs w:val="24"/>
          <w:rtl/>
        </w:rPr>
        <w:t xml:space="preserve">الفوترة الإلكترونية إلزامية للتعاملات بين الشركات في المملكة منذ 2023. أي شركة منظمة فعاليات تتعامل مع جهة حكومية أو مؤسسية يجب أن تستلم فاتورة ضريبية متوافقة مع نظام ZATCA. منصة Sevent تولّد هذه الفواتير تلقائيًا عند قبول عرض السعر، أما التعامل خارج المنصة فيعني أن المورد يجب أن يبني نظامه الخاص للفوترة الإلكترونية، وهذا حاجز تقني وقانوني هائل لا يستطيع معظم الموردين الصغار تجاوزه.</w:t>
      </w:r>
    </w:p>
    <w:p>
      <w:pPr>
        <w:bidi/>
        <w:spacing w:after="120" w:line="360"/>
        <w:jc w:val="left"/>
      </w:pPr>
      <w:r>
        <w:rPr>
          <w:rFonts w:ascii="Calibri" w:cs="Calibri" w:eastAsia="Calibri" w:hAnsi="Calibri"/>
          <w:sz w:val="24"/>
          <w:szCs w:val="24"/>
          <w:rtl/>
        </w:rPr>
        <w:t xml:space="preserve">هذا أقوى دفاع لدينا، وهو فريد للسوق السعودي. لا توجد منصة عالمية تستطيع توفيره بنفس الكفاءة.</w:t>
      </w:r>
    </w:p>
    <w:p>
      <w:pPr>
        <w:pStyle w:val="Heading2"/>
        <w:bidi/>
        <w:spacing w:after="160" w:before="280"/>
        <w:jc w:val="left"/>
      </w:pPr>
      <w:r>
        <w:rPr>
          <w:rFonts w:ascii="Calibri" w:cs="Calibri" w:eastAsia="Calibri" w:hAnsi="Calibri"/>
          <w:b/>
          <w:bCs/>
          <w:color w:val="2C7A4B"/>
          <w:sz w:val="30"/>
          <w:szCs w:val="30"/>
          <w:rtl/>
        </w:rPr>
        <w:t xml:space="preserve">2. الدفع عبر المنصة مع ضمان (Escrow)</w:t>
      </w:r>
    </w:p>
    <w:p>
      <w:pPr>
        <w:bidi/>
        <w:spacing w:after="120" w:line="360"/>
        <w:jc w:val="left"/>
      </w:pPr>
      <w:r>
        <w:rPr>
          <w:rFonts w:ascii="Calibri" w:cs="Calibri" w:eastAsia="Calibri" w:hAnsi="Calibri"/>
          <w:sz w:val="24"/>
          <w:szCs w:val="24"/>
          <w:rtl/>
        </w:rPr>
        <w:t xml:space="preserve">الفكرة هي جعل الدفع عبر المنصة هو الطريق الأسهل، وليس فقط الأرخص. هذا يحقق ثلاث فوائد متراكبة:</w:t>
      </w:r>
    </w:p>
    <w:p>
      <w:pPr>
        <w:pStyle w:val="ListParagraph"/>
        <w:numPr>
          <w:ilvl w:val="0"/>
          <w:numId w:val="2"/>
        </w:numPr>
        <w:bidi/>
        <w:spacing w:after="80"/>
        <w:jc w:val="left"/>
      </w:pPr>
      <w:r>
        <w:rPr>
          <w:rFonts w:ascii="Calibri" w:cs="Calibri" w:eastAsia="Calibri" w:hAnsi="Calibri"/>
          <w:sz w:val="24"/>
          <w:szCs w:val="24"/>
          <w:rtl/>
        </w:rPr>
        <w:t xml:space="preserve">الفعالية تحدث مرة واحدة، ولا توجد فرصة ثانية إذا لم يأتِ المورد. نظام الـ Escrow يحمي المنظم من خسارة كاملة.</w:t>
      </w:r>
    </w:p>
    <w:p>
      <w:pPr>
        <w:pStyle w:val="ListParagraph"/>
        <w:numPr>
          <w:ilvl w:val="0"/>
          <w:numId w:val="2"/>
        </w:numPr>
        <w:bidi/>
        <w:spacing w:after="80"/>
        <w:jc w:val="left"/>
      </w:pPr>
      <w:r>
        <w:rPr>
          <w:rFonts w:ascii="Calibri" w:cs="Calibri" w:eastAsia="Calibri" w:hAnsi="Calibri"/>
          <w:sz w:val="24"/>
          <w:szCs w:val="24"/>
          <w:rtl/>
        </w:rPr>
        <w:t xml:space="preserve">المورد يحصل على دفعة مقدمة مضمونة، وهذا يحلّ مشكلة رأس المال العامل لمعظم الموردين الصغار.</w:t>
      </w:r>
    </w:p>
    <w:p>
      <w:pPr>
        <w:pStyle w:val="ListParagraph"/>
        <w:numPr>
          <w:ilvl w:val="0"/>
          <w:numId w:val="2"/>
        </w:numPr>
        <w:bidi/>
        <w:spacing w:after="80"/>
        <w:jc w:val="left"/>
      </w:pPr>
      <w:r>
        <w:rPr>
          <w:rFonts w:ascii="Calibri" w:cs="Calibri" w:eastAsia="Calibri" w:hAnsi="Calibri"/>
          <w:sz w:val="24"/>
          <w:szCs w:val="24"/>
          <w:rtl/>
        </w:rPr>
        <w:t xml:space="preserve">التحويل البنكي السعودي عبر SARIE يأخذ وقتًا وله رسوم. الدفع عبر المنصة عبر مدى يكون فوريًا وأرخص.</w:t>
      </w:r>
    </w:p>
    <w:p>
      <w:pPr>
        <w:pStyle w:val="Heading2"/>
        <w:bidi/>
        <w:spacing w:after="160" w:before="280"/>
        <w:jc w:val="left"/>
      </w:pPr>
      <w:r>
        <w:rPr>
          <w:rFonts w:ascii="Calibri" w:cs="Calibri" w:eastAsia="Calibri" w:hAnsi="Calibri"/>
          <w:b/>
          <w:bCs/>
          <w:color w:val="2C7A4B"/>
          <w:sz w:val="30"/>
          <w:szCs w:val="30"/>
          <w:rtl/>
        </w:rPr>
        <w:t xml:space="preserve">3. عمولة عكسية على العملاء المتكررين</w:t>
      </w:r>
    </w:p>
    <w:p>
      <w:pPr>
        <w:bidi/>
        <w:spacing w:after="120" w:line="360"/>
        <w:jc w:val="left"/>
      </w:pPr>
      <w:r>
        <w:rPr>
          <w:rFonts w:ascii="Calibri" w:cs="Calibri" w:eastAsia="Calibri" w:hAnsi="Calibri"/>
          <w:sz w:val="24"/>
          <w:szCs w:val="24"/>
          <w:rtl/>
        </w:rPr>
        <w:t xml:space="preserve">هنا تخطئ معظم المنصات: تفرض نفس العمولة على العميل المتكرر، فيهرب المورد خارج المنصة بعد المعاملة الأولى لأنها تصبح مكلفة. الصحيح استراتيجيًا هو العكس تمامًا:</w:t>
      </w:r>
    </w:p>
    <w:p>
      <w:pPr>
        <w:pStyle w:val="ListParagraph"/>
        <w:numPr>
          <w:ilvl w:val="0"/>
          <w:numId w:val="2"/>
        </w:numPr>
        <w:bidi/>
        <w:spacing w:after="80"/>
        <w:jc w:val="left"/>
      </w:pPr>
      <w:r>
        <w:rPr>
          <w:rFonts w:ascii="Calibri" w:cs="Calibri" w:eastAsia="Calibri" w:hAnsi="Calibri"/>
          <w:sz w:val="24"/>
          <w:szCs w:val="24"/>
          <w:rtl/>
        </w:rPr>
        <w:t xml:space="preserve">معاملة أولى مع عميل جديد: عمولة 15 بالمئة (لأن المنصة دفعت تكلفة اكتسابه).</w:t>
      </w:r>
    </w:p>
    <w:p>
      <w:pPr>
        <w:pStyle w:val="ListParagraph"/>
        <w:numPr>
          <w:ilvl w:val="0"/>
          <w:numId w:val="2"/>
        </w:numPr>
        <w:bidi/>
        <w:spacing w:after="80"/>
        <w:jc w:val="left"/>
      </w:pPr>
      <w:r>
        <w:rPr>
          <w:rFonts w:ascii="Calibri" w:cs="Calibri" w:eastAsia="Calibri" w:hAnsi="Calibri"/>
          <w:sz w:val="24"/>
          <w:szCs w:val="24"/>
          <w:rtl/>
        </w:rPr>
        <w:t xml:space="preserve">معاملة متكررة لنفس العميل: عمولة 5 بالمئة أو حتى صفر.</w:t>
      </w:r>
    </w:p>
    <w:p>
      <w:pPr>
        <w:bidi/>
        <w:spacing w:after="120" w:line="360"/>
        <w:jc w:val="left"/>
      </w:pPr>
      <w:r>
        <w:rPr>
          <w:rFonts w:ascii="Calibri" w:cs="Calibri" w:eastAsia="Calibri" w:hAnsi="Calibri"/>
          <w:sz w:val="24"/>
          <w:szCs w:val="24"/>
          <w:rtl/>
        </w:rPr>
        <w:t xml:space="preserve">هذا التكتيك المعكوس يجعل البقاء على المنصة عقلانيًا اقتصاديًا للمورد، لأن تكلفتنا الحقيقية، وهي اكتساب العميل، دُفعت أصلًا في المعاملة الأولى. فلا داعي لمعاقبة المورد على الاحتفاظ بالعميل.</w:t>
      </w:r>
    </w:p>
    <w:p>
      <w:pPr>
        <w:pStyle w:val="Heading2"/>
        <w:bidi/>
        <w:spacing w:after="160" w:before="280"/>
        <w:jc w:val="left"/>
      </w:pPr>
      <w:r>
        <w:rPr>
          <w:rFonts w:ascii="Calibri" w:cs="Calibri" w:eastAsia="Calibri" w:hAnsi="Calibri"/>
          <w:b/>
          <w:bCs/>
          <w:color w:val="2C7A4B"/>
          <w:sz w:val="30"/>
          <w:szCs w:val="30"/>
          <w:rtl/>
        </w:rPr>
        <w:t xml:space="preserve">4. التقويم والبورتفوليو كنقطة احتكاك</w:t>
      </w:r>
    </w:p>
    <w:p>
      <w:pPr>
        <w:bidi/>
        <w:spacing w:after="120" w:line="360"/>
        <w:jc w:val="left"/>
      </w:pPr>
      <w:r>
        <w:rPr>
          <w:rFonts w:ascii="Calibri" w:cs="Calibri" w:eastAsia="Calibri" w:hAnsi="Calibri"/>
          <w:sz w:val="24"/>
          <w:szCs w:val="24"/>
          <w:rtl/>
        </w:rPr>
        <w:t xml:space="preserve">تقويم المورد ومعرض أعماله وقاعدة عملائه السابقين كلها على Sevent. حتى للعملاء المباشرين، يفضّل المورد إضافتهم على المنصة لأن "هنا أحتفظ بسجلاتي وأعرف ما لي وما عليّ". هذا هو نفس مبدأ Shopify: حتى لو جاء العميل من إعلان فيسبوك، الطلب يُسجَّل على Shopify لأن المخزون والشحن والمحاسبة هناك.</w:t>
      </w:r>
    </w:p>
    <w:p>
      <w:pPr>
        <w:bidi/>
        <w:spacing w:after="120" w:line="360"/>
        <w:jc w:val="left"/>
      </w:pPr>
      <w:r>
        <w:rPr>
          <w:rFonts w:ascii="Calibri" w:cs="Calibri" w:eastAsia="Calibri" w:hAnsi="Calibri"/>
          <w:sz w:val="24"/>
          <w:szCs w:val="24"/>
          <w:rtl/>
        </w:rPr>
        <w:t xml:space="preserve">بمجرد أن يصبح Sevent هو السجل الأساسي للمورد، تصبح المغادرة مكلفة جدًا لأنها تعني فقدان كل البيانات التاريخية.</w:t>
      </w:r>
    </w:p>
    <w:p>
      <w:pPr>
        <w:pStyle w:val="Heading2"/>
        <w:bidi/>
        <w:spacing w:after="160" w:before="280"/>
        <w:jc w:val="left"/>
      </w:pPr>
      <w:r>
        <w:rPr>
          <w:rFonts w:ascii="Calibri" w:cs="Calibri" w:eastAsia="Calibri" w:hAnsi="Calibri"/>
          <w:b/>
          <w:bCs/>
          <w:color w:val="2C7A4B"/>
          <w:sz w:val="30"/>
          <w:szCs w:val="30"/>
          <w:rtl/>
        </w:rPr>
        <w:t xml:space="preserve">5. حماية النزاعات (مهم في السوق السعودي)</w:t>
      </w:r>
    </w:p>
    <w:p>
      <w:pPr>
        <w:bidi/>
        <w:spacing w:after="120" w:line="360"/>
        <w:jc w:val="left"/>
      </w:pPr>
      <w:r>
        <w:rPr>
          <w:rFonts w:ascii="Calibri" w:cs="Calibri" w:eastAsia="Calibri" w:hAnsi="Calibri"/>
          <w:sz w:val="24"/>
          <w:szCs w:val="24"/>
          <w:rtl/>
        </w:rPr>
        <w:t xml:space="preserve">في المملكة، التقاضي بطيء ومكلف، ومعظم النزاعات بين الموردين والمنظمين تُحلّ بالواسطة أو لا تُحلّ. منصة Sevent تقدم بديلًا قويًا:</w:t>
      </w:r>
    </w:p>
    <w:p>
      <w:pPr>
        <w:pStyle w:val="ListParagraph"/>
        <w:numPr>
          <w:ilvl w:val="0"/>
          <w:numId w:val="2"/>
        </w:numPr>
        <w:bidi/>
        <w:spacing w:after="80"/>
        <w:jc w:val="left"/>
      </w:pPr>
      <w:r>
        <w:rPr>
          <w:rFonts w:ascii="Calibri" w:cs="Calibri" w:eastAsia="Calibri" w:hAnsi="Calibri"/>
          <w:sz w:val="24"/>
          <w:szCs w:val="24"/>
          <w:rtl/>
        </w:rPr>
        <w:t xml:space="preserve">آلية فض النزاعات داخل المنصة تكون أسرع وأقل تكلفة.</w:t>
      </w:r>
    </w:p>
    <w:p>
      <w:pPr>
        <w:pStyle w:val="ListParagraph"/>
        <w:numPr>
          <w:ilvl w:val="0"/>
          <w:numId w:val="2"/>
        </w:numPr>
        <w:bidi/>
        <w:spacing w:after="80"/>
        <w:jc w:val="left"/>
      </w:pPr>
      <w:r>
        <w:rPr>
          <w:rFonts w:ascii="Calibri" w:cs="Calibri" w:eastAsia="Calibri" w:hAnsi="Calibri"/>
          <w:sz w:val="24"/>
          <w:szCs w:val="24"/>
          <w:rtl/>
        </w:rPr>
        <w:t xml:space="preserve">شهادات معاملة موثقة رقميًا تُثبت ما تم وما لم يتم.</w:t>
      </w:r>
    </w:p>
    <w:p>
      <w:pPr>
        <w:pStyle w:val="ListParagraph"/>
        <w:numPr>
          <w:ilvl w:val="0"/>
          <w:numId w:val="2"/>
        </w:numPr>
        <w:bidi/>
        <w:spacing w:after="80"/>
        <w:jc w:val="left"/>
      </w:pPr>
      <w:r>
        <w:rPr>
          <w:rFonts w:ascii="Calibri" w:cs="Calibri" w:eastAsia="Calibri" w:hAnsi="Calibri"/>
          <w:sz w:val="24"/>
          <w:szCs w:val="24"/>
          <w:rtl/>
        </w:rPr>
        <w:t xml:space="preserve">ضمان استرداد إذا لم يلتزم المورد بالاتفاق.</w:t>
      </w:r>
    </w:p>
    <w:p>
      <w:pPr>
        <w:bidi/>
        <w:spacing w:after="120" w:line="360"/>
        <w:jc w:val="left"/>
      </w:pPr>
      <w:r>
        <w:rPr>
          <w:rFonts w:ascii="Calibri" w:cs="Calibri" w:eastAsia="Calibri" w:hAnsi="Calibri"/>
          <w:sz w:val="24"/>
          <w:szCs w:val="24"/>
          <w:rtl/>
        </w:rPr>
        <w:t xml:space="preserve">المنظم الذكي يفضّل التعامل عبر المنصة لأنه يعرف أن لديه شبكة أمان قانونية. التعامل المباشر يعني الاعتماد على واسطة شخصية أو محكمة بطيئة.</w:t>
      </w:r>
    </w:p>
    <w:p>
      <w:pPr>
        <w:pStyle w:val="Heading2"/>
        <w:bidi/>
        <w:spacing w:after="160" w:before="280"/>
        <w:jc w:val="left"/>
      </w:pPr>
      <w:r>
        <w:rPr>
          <w:rFonts w:ascii="Calibri" w:cs="Calibri" w:eastAsia="Calibri" w:hAnsi="Calibri"/>
          <w:b/>
          <w:bCs/>
          <w:color w:val="2C7A4B"/>
          <w:sz w:val="30"/>
          <w:szCs w:val="30"/>
          <w:rtl/>
        </w:rPr>
        <w:t xml:space="preserve">6. التركيز على القطاع المؤسسي والحكومي أولًا</w:t>
      </w:r>
    </w:p>
    <w:p>
      <w:pPr>
        <w:bidi/>
        <w:spacing w:after="120" w:line="360"/>
        <w:jc w:val="left"/>
      </w:pPr>
      <w:r>
        <w:rPr>
          <w:rFonts w:ascii="Calibri" w:cs="Calibri" w:eastAsia="Calibri" w:hAnsi="Calibri"/>
          <w:sz w:val="24"/>
          <w:szCs w:val="24"/>
          <w:rtl/>
        </w:rPr>
        <w:t xml:space="preserve">التسرب يختلف بشكل جذري بين القطاعات، ومن المهم أن نوجّه تركيز المنصة للقطاع الأقل تسربًا:</w:t>
      </w:r>
    </w:p>
    <w:tbl>
      <w:tblPr>
        <w:bidiVisual/>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4800"/>
        <w:gridCol w:w="2400"/>
        <w:gridCol w:w="2400"/>
      </w:tblGrid>
      <w:tr>
        <w:trPr>
          <w:tblHeader/>
        </w:trPr>
        <w:tc>
          <w:tcPr>
            <w:tcW w:type="dxa" w:w="4800"/>
            <w:tcBorders>
              <w:top w:val="single" w:color="BFD9C9" w:sz="6"/>
              <w:left w:val="single" w:color="BFD9C9" w:sz="6"/>
              <w:bottom w:val="single" w:color="BFD9C9" w:sz="6"/>
              <w:right w:val="single" w:color="BFD9C9" w:sz="6"/>
            </w:tcBorders>
            <w:shd w:fill="2C7A4B" w:val="clear"/>
            <w:vAlign w:val="center"/>
          </w:tcPr>
          <w:p>
            <w:pPr>
              <w:bidi/>
              <w:spacing w:after="40" w:before="40"/>
              <w:jc w:val="left"/>
            </w:pPr>
            <w:r>
              <w:rPr>
                <w:rFonts w:ascii="Calibri" w:cs="Calibri" w:eastAsia="Calibri" w:hAnsi="Calibri"/>
                <w:b/>
                <w:bCs/>
                <w:color w:val="FFFFFF"/>
                <w:sz w:val="22"/>
                <w:szCs w:val="22"/>
                <w:rtl/>
              </w:rPr>
              <w:t xml:space="preserve">السبب</w:t>
            </w:r>
          </w:p>
        </w:tc>
        <w:tc>
          <w:tcPr>
            <w:tcW w:type="dxa" w:w="2400"/>
            <w:tcBorders>
              <w:top w:val="single" w:color="BFD9C9" w:sz="6"/>
              <w:left w:val="single" w:color="BFD9C9" w:sz="6"/>
              <w:bottom w:val="single" w:color="BFD9C9" w:sz="6"/>
              <w:right w:val="single" w:color="BFD9C9" w:sz="6"/>
            </w:tcBorders>
            <w:shd w:fill="2C7A4B" w:val="clear"/>
            <w:vAlign w:val="center"/>
          </w:tcPr>
          <w:p>
            <w:pPr>
              <w:bidi/>
              <w:spacing w:after="40" w:before="40"/>
              <w:jc w:val="left"/>
            </w:pPr>
            <w:r>
              <w:rPr>
                <w:rFonts w:ascii="Calibri" w:cs="Calibri" w:eastAsia="Calibri" w:hAnsi="Calibri"/>
                <w:b/>
                <w:bCs/>
                <w:color w:val="FFFFFF"/>
                <w:sz w:val="22"/>
                <w:szCs w:val="22"/>
                <w:rtl/>
              </w:rPr>
              <w:t xml:space="preserve">مستوى التسرب</w:t>
            </w:r>
          </w:p>
        </w:tc>
        <w:tc>
          <w:tcPr>
            <w:tcW w:type="dxa" w:w="2400"/>
            <w:tcBorders>
              <w:top w:val="single" w:color="BFD9C9" w:sz="6"/>
              <w:left w:val="single" w:color="BFD9C9" w:sz="6"/>
              <w:bottom w:val="single" w:color="BFD9C9" w:sz="6"/>
              <w:right w:val="single" w:color="BFD9C9" w:sz="6"/>
            </w:tcBorders>
            <w:shd w:fill="2C7A4B" w:val="clear"/>
            <w:vAlign w:val="center"/>
          </w:tcPr>
          <w:p>
            <w:pPr>
              <w:bidi/>
              <w:spacing w:after="40" w:before="40"/>
              <w:jc w:val="left"/>
            </w:pPr>
            <w:r>
              <w:rPr>
                <w:rFonts w:ascii="Calibri" w:cs="Calibri" w:eastAsia="Calibri" w:hAnsi="Calibri"/>
                <w:b/>
                <w:bCs/>
                <w:color w:val="FFFFFF"/>
                <w:sz w:val="22"/>
                <w:szCs w:val="22"/>
                <w:rtl/>
              </w:rPr>
              <w:t xml:space="preserve">القطاع</w:t>
            </w:r>
          </w:p>
        </w:tc>
      </w:tr>
      <w:tr>
        <w:tc>
          <w:tcPr>
            <w:tcW w:type="dxa" w:w="4800"/>
            <w:tcBorders>
              <w:top w:val="single" w:color="BFD9C9" w:sz="6"/>
              <w:left w:val="single" w:color="BFD9C9" w:sz="6"/>
              <w:bottom w:val="single" w:color="BFD9C9" w:sz="6"/>
              <w:right w:val="single" w:color="BFD9C9" w:sz="6"/>
            </w:tcBorders>
            <w:shd w:fill="F0F7F2" w:val="clear"/>
            <w:vAlign w:val="center"/>
          </w:tcPr>
          <w:p>
            <w:pPr>
              <w:bidi/>
              <w:spacing w:after="40" w:before="40"/>
              <w:jc w:val="left"/>
            </w:pPr>
            <w:r>
              <w:rPr>
                <w:rFonts w:ascii="Calibri" w:cs="Calibri" w:eastAsia="Calibri" w:hAnsi="Calibri"/>
                <w:color w:val="000000"/>
                <w:sz w:val="22"/>
                <w:szCs w:val="22"/>
                <w:rtl/>
              </w:rPr>
              <w:t xml:space="preserve">شخصي، علاقاتي، يحدث مرة واحدة في حياة العميل عادة</w:t>
            </w:r>
          </w:p>
        </w:tc>
        <w:tc>
          <w:tcPr>
            <w:tcW w:type="dxa" w:w="2400"/>
            <w:tcBorders>
              <w:top w:val="single" w:color="BFD9C9" w:sz="6"/>
              <w:left w:val="single" w:color="BFD9C9" w:sz="6"/>
              <w:bottom w:val="single" w:color="BFD9C9" w:sz="6"/>
              <w:right w:val="single" w:color="BFD9C9" w:sz="6"/>
            </w:tcBorders>
            <w:shd w:fill="F0F7F2" w:val="clear"/>
            <w:vAlign w:val="center"/>
          </w:tcPr>
          <w:p>
            <w:pPr>
              <w:bidi/>
              <w:spacing w:after="40" w:before="40"/>
              <w:jc w:val="left"/>
            </w:pPr>
            <w:r>
              <w:rPr>
                <w:rFonts w:ascii="Calibri" w:cs="Calibri" w:eastAsia="Calibri" w:hAnsi="Calibri"/>
                <w:color w:val="B91C1C"/>
                <w:sz w:val="22"/>
                <w:szCs w:val="22"/>
                <w:rtl/>
              </w:rPr>
              <w:t xml:space="preserve">مرتفع جدًا</w:t>
            </w:r>
          </w:p>
        </w:tc>
        <w:tc>
          <w:tcPr>
            <w:tcW w:type="dxa" w:w="2400"/>
            <w:tcBorders>
              <w:top w:val="single" w:color="BFD9C9" w:sz="6"/>
              <w:left w:val="single" w:color="BFD9C9" w:sz="6"/>
              <w:bottom w:val="single" w:color="BFD9C9" w:sz="6"/>
              <w:right w:val="single" w:color="BFD9C9" w:sz="6"/>
            </w:tcBorders>
            <w:shd w:fill="F0F7F2" w:val="clear"/>
            <w:vAlign w:val="center"/>
          </w:tcPr>
          <w:p>
            <w:pPr>
              <w:bidi/>
              <w:spacing w:after="40" w:before="40"/>
              <w:jc w:val="left"/>
            </w:pPr>
            <w:r>
              <w:rPr>
                <w:rFonts w:ascii="Calibri" w:cs="Calibri" w:eastAsia="Calibri" w:hAnsi="Calibri"/>
                <w:color w:val="000000"/>
                <w:sz w:val="22"/>
                <w:szCs w:val="22"/>
                <w:rtl/>
              </w:rPr>
              <w:t xml:space="preserve">الأعراس والاجتماعيات</w:t>
            </w:r>
          </w:p>
        </w:tc>
      </w:tr>
      <w:tr>
        <w:tc>
          <w:tcPr>
            <w:tcW w:type="dxa" w:w="4800"/>
            <w:tcBorders>
              <w:top w:val="single" w:color="BFD9C9" w:sz="6"/>
              <w:left w:val="single" w:color="BFD9C9" w:sz="6"/>
              <w:bottom w:val="single" w:color="BFD9C9" w:sz="6"/>
              <w:right w:val="single" w:color="BFD9C9" w:sz="6"/>
            </w:tcBorders>
            <w:vAlign w:val="center"/>
          </w:tcPr>
          <w:p>
            <w:pPr>
              <w:bidi/>
              <w:spacing w:after="40" w:before="40"/>
              <w:jc w:val="left"/>
            </w:pPr>
            <w:r>
              <w:rPr>
                <w:rFonts w:ascii="Calibri" w:cs="Calibri" w:eastAsia="Calibri" w:hAnsi="Calibri"/>
                <w:color w:val="000000"/>
                <w:sz w:val="22"/>
                <w:szCs w:val="22"/>
                <w:rtl/>
              </w:rPr>
              <w:t xml:space="preserve">يتطلب إجراءات وعقود وتدقيق وفواتير ZATCA</w:t>
            </w:r>
          </w:p>
        </w:tc>
        <w:tc>
          <w:tcPr>
            <w:tcW w:type="dxa" w:w="2400"/>
            <w:tcBorders>
              <w:top w:val="single" w:color="BFD9C9" w:sz="6"/>
              <w:left w:val="single" w:color="BFD9C9" w:sz="6"/>
              <w:bottom w:val="single" w:color="BFD9C9" w:sz="6"/>
              <w:right w:val="single" w:color="BFD9C9" w:sz="6"/>
            </w:tcBorders>
            <w:vAlign w:val="center"/>
          </w:tcPr>
          <w:p>
            <w:pPr>
              <w:bidi/>
              <w:spacing w:after="40" w:before="40"/>
              <w:jc w:val="left"/>
            </w:pPr>
            <w:r>
              <w:rPr>
                <w:rFonts w:ascii="Calibri" w:cs="Calibri" w:eastAsia="Calibri" w:hAnsi="Calibri"/>
                <w:b/>
                <w:bCs/>
                <w:color w:val="1F5132"/>
                <w:sz w:val="22"/>
                <w:szCs w:val="22"/>
                <w:rtl/>
              </w:rPr>
              <w:t xml:space="preserve">منخفض</w:t>
            </w:r>
          </w:p>
        </w:tc>
        <w:tc>
          <w:tcPr>
            <w:tcW w:type="dxa" w:w="2400"/>
            <w:tcBorders>
              <w:top w:val="single" w:color="BFD9C9" w:sz="6"/>
              <w:left w:val="single" w:color="BFD9C9" w:sz="6"/>
              <w:bottom w:val="single" w:color="BFD9C9" w:sz="6"/>
              <w:right w:val="single" w:color="BFD9C9" w:sz="6"/>
            </w:tcBorders>
            <w:vAlign w:val="center"/>
          </w:tcPr>
          <w:p>
            <w:pPr>
              <w:bidi/>
              <w:spacing w:after="40" w:before="40"/>
              <w:jc w:val="left"/>
            </w:pPr>
            <w:r>
              <w:rPr>
                <w:rFonts w:ascii="Calibri" w:cs="Calibri" w:eastAsia="Calibri" w:hAnsi="Calibri"/>
                <w:b/>
                <w:bCs/>
                <w:color w:val="000000"/>
                <w:sz w:val="22"/>
                <w:szCs w:val="22"/>
                <w:rtl/>
              </w:rPr>
              <w:t xml:space="preserve">الجهات المؤسسية والحكومية</w:t>
            </w:r>
          </w:p>
        </w:tc>
      </w:tr>
    </w:tbl>
    <w:p>
      <w:pPr>
        <w:bidi/>
        <w:spacing w:after="120" w:line="360"/>
        <w:jc w:val="left"/>
      </w:pPr>
      <w:r>
        <w:rPr>
          <w:rFonts w:ascii="Calibri" w:cs="Calibri" w:eastAsia="Calibri" w:hAnsi="Calibri"/>
          <w:sz w:val="24"/>
          <w:szCs w:val="24"/>
          <w:rtl/>
        </w:rPr>
        <w:t xml:space="preserve">التوصية الواضحة: ركّز على الجهات التي لا تستطيع التعامل خارج المنصة بسبب متطلباتها الإدارية والقانونية. هذا هو قطاع رؤية 2030 الفعلي، وهو أيضًا الأكبر إنفاقًا والأكثر استدامة.</w:t>
      </w:r>
    </w:p>
    <w:p>
      <w:r>
        <w:br w:type="page"/>
      </w:r>
    </w:p>
    <w:p>
      <w:pPr>
        <w:pStyle w:val="Heading1"/>
        <w:bidi/>
        <w:spacing w:after="240" w:before="360"/>
        <w:jc w:val="left"/>
      </w:pPr>
      <w:r>
        <w:rPr>
          <w:rFonts w:ascii="Calibri" w:cs="Calibri" w:eastAsia="Calibri" w:hAnsi="Calibri"/>
          <w:b/>
          <w:bCs/>
          <w:color w:val="1F5132"/>
          <w:sz w:val="36"/>
          <w:szCs w:val="36"/>
          <w:rtl/>
        </w:rPr>
        <w:t xml:space="preserve">رابعًا: الاعتراف الصادق بما لا نستطيع منعه</w:t>
      </w:r>
    </w:p>
    <w:p>
      <w:pPr>
        <w:bidi/>
        <w:spacing w:after="120" w:line="360"/>
        <w:jc w:val="left"/>
      </w:pPr>
      <w:r>
        <w:rPr>
          <w:rFonts w:ascii="Calibri" w:cs="Calibri" w:eastAsia="Calibri" w:hAnsi="Calibri"/>
          <w:sz w:val="24"/>
          <w:szCs w:val="24"/>
          <w:rtl/>
        </w:rPr>
        <w:t xml:space="preserve">من الأمانة المهنية الاعتراف بأن هناك حالات تسرب لا نستطيع منعها بأي تكتيك:</w:t>
      </w:r>
    </w:p>
    <w:p>
      <w:pPr>
        <w:pStyle w:val="ListParagraph"/>
        <w:numPr>
          <w:ilvl w:val="0"/>
          <w:numId w:val="2"/>
        </w:numPr>
        <w:bidi/>
        <w:spacing w:after="80"/>
        <w:jc w:val="left"/>
      </w:pPr>
      <w:r>
        <w:rPr>
          <w:rFonts w:ascii="Calibri" w:cs="Calibri" w:eastAsia="Calibri" w:hAnsi="Calibri"/>
          <w:sz w:val="24"/>
          <w:szCs w:val="24"/>
          <w:rtl/>
        </w:rPr>
        <w:t xml:space="preserve">مورد قابل عميلًا في حفل افتتاح وأخذ بطاقته الشخصية، وسيتعامل معه مباشرة. لا توجد منصة في العالم تمنع هذا النوع من اللقاءات الميدانية.</w:t>
      </w:r>
    </w:p>
    <w:p>
      <w:pPr>
        <w:pStyle w:val="ListParagraph"/>
        <w:numPr>
          <w:ilvl w:val="0"/>
          <w:numId w:val="2"/>
        </w:numPr>
        <w:bidi/>
        <w:spacing w:after="80"/>
        <w:jc w:val="left"/>
      </w:pPr>
      <w:r>
        <w:rPr>
          <w:rFonts w:ascii="Calibri" w:cs="Calibri" w:eastAsia="Calibri" w:hAnsi="Calibri"/>
          <w:sz w:val="24"/>
          <w:szCs w:val="24"/>
          <w:rtl/>
        </w:rPr>
        <w:t xml:space="preserve">علاقات قائمة بين الموردين والمنظمين قبل دخول المنصة. هؤلاء لن يدخلوا المنصة على الإطلاق ولا فائدة من محاولة جذبهم.</w:t>
      </w:r>
    </w:p>
    <w:p>
      <w:pPr>
        <w:pStyle w:val="ListParagraph"/>
        <w:numPr>
          <w:ilvl w:val="0"/>
          <w:numId w:val="2"/>
        </w:numPr>
        <w:bidi/>
        <w:spacing w:after="80"/>
        <w:jc w:val="left"/>
      </w:pPr>
      <w:r>
        <w:rPr>
          <w:rFonts w:ascii="Calibri" w:cs="Calibri" w:eastAsia="Calibri" w:hAnsi="Calibri"/>
          <w:sz w:val="24"/>
          <w:szCs w:val="24"/>
          <w:rtl/>
        </w:rPr>
        <w:t xml:space="preserve">معاملات صغيرة جدًا أقل من 10 آلاف ريال. هذه لا تستحق الإجراءات الرسمية للمنصة، ولا يجب أن نستهدفها.</w:t>
      </w:r>
    </w:p>
    <w:p>
      <w:pPr>
        <w:bidi/>
        <w:spacing w:after="120" w:line="360"/>
        <w:jc w:val="left"/>
      </w:pPr>
      <w:r>
        <w:rPr>
          <w:rFonts w:ascii="Calibri" w:cs="Calibri" w:eastAsia="Calibri" w:hAnsi="Calibri"/>
          <w:sz w:val="24"/>
          <w:szCs w:val="24"/>
          <w:rtl/>
        </w:rPr>
        <w:t xml:space="preserve">لكن هذه الحالات ليست في الواقع "خسائر" لـ Sevent، لأنها لم تكن لتأتي للمنصة أصلًا. السوق المستهدف هو المعاملات التي تستفيد من البنية التحتية للمنصة، وليس كل معاملة فعاليات في المملكة.</w:t>
      </w:r>
    </w:p>
    <w:p>
      <w:r>
        <w:br w:type="page"/>
      </w:r>
    </w:p>
    <w:p>
      <w:pPr>
        <w:pStyle w:val="Heading1"/>
        <w:bidi/>
        <w:spacing w:after="240" w:before="360"/>
        <w:jc w:val="left"/>
      </w:pPr>
      <w:r>
        <w:rPr>
          <w:rFonts w:ascii="Calibri" w:cs="Calibri" w:eastAsia="Calibri" w:hAnsi="Calibri"/>
          <w:b/>
          <w:bCs/>
          <w:color w:val="1F5132"/>
          <w:sz w:val="36"/>
          <w:szCs w:val="36"/>
          <w:rtl/>
        </w:rPr>
        <w:t xml:space="preserve">الخلاصة</w:t>
      </w:r>
    </w:p>
    <w:p>
      <w:pPr>
        <w:bidi/>
        <w:spacing w:after="120" w:line="360"/>
        <w:jc w:val="left"/>
      </w:pPr>
      <w:r>
        <w:rPr>
          <w:rFonts w:ascii="Calibri" w:cs="Calibri" w:eastAsia="Calibri" w:hAnsi="Calibri"/>
          <w:sz w:val="24"/>
          <w:szCs w:val="24"/>
          <w:rtl/>
        </w:rPr>
        <w:t xml:space="preserve">هدف المنصة ليس منع التسرب نهائيًا، لأن هذا مستحيل في أي سوق B2B في العالم. الهدف الواقعي هو جعل التسرب غير مجدٍ اقتصاديًا لكلا الطرفين. هذا يتحقق عبر أربعة عناصر متكاملة:</w:t>
      </w:r>
    </w:p>
    <w:p>
      <w:pPr>
        <w:pStyle w:val="ListParagraph"/>
        <w:numPr>
          <w:ilvl w:val="0"/>
          <w:numId w:val="2"/>
        </w:numPr>
        <w:bidi/>
        <w:spacing w:after="80"/>
        <w:jc w:val="left"/>
      </w:pPr>
      <w:r>
        <w:rPr>
          <w:rFonts w:ascii="Calibri" w:cs="Calibri" w:eastAsia="Calibri" w:hAnsi="Calibri"/>
          <w:sz w:val="24"/>
          <w:szCs w:val="24"/>
          <w:rtl/>
        </w:rPr>
        <w:t xml:space="preserve">اشتراك SaaS الذي يبقى يدفعه المورد بغض النظر عن مصدر العميل.</w:t>
      </w:r>
    </w:p>
    <w:p>
      <w:pPr>
        <w:pStyle w:val="ListParagraph"/>
        <w:numPr>
          <w:ilvl w:val="0"/>
          <w:numId w:val="2"/>
        </w:numPr>
        <w:bidi/>
        <w:spacing w:after="80"/>
        <w:jc w:val="left"/>
      </w:pPr>
      <w:r>
        <w:rPr>
          <w:rFonts w:ascii="Calibri" w:cs="Calibri" w:eastAsia="Calibri" w:hAnsi="Calibri"/>
          <w:sz w:val="24"/>
          <w:szCs w:val="24"/>
          <w:rtl/>
        </w:rPr>
        <w:t xml:space="preserve">عمولة منخفضة على المعاملات المتكررة لتحفيز البقاء بدلًا من المغادرة.</w:t>
      </w:r>
    </w:p>
    <w:p>
      <w:pPr>
        <w:pStyle w:val="ListParagraph"/>
        <w:numPr>
          <w:ilvl w:val="0"/>
          <w:numId w:val="2"/>
        </w:numPr>
        <w:bidi/>
        <w:spacing w:after="80"/>
        <w:jc w:val="left"/>
      </w:pPr>
      <w:r>
        <w:rPr>
          <w:rFonts w:ascii="Calibri" w:cs="Calibri" w:eastAsia="Calibri" w:hAnsi="Calibri"/>
          <w:sz w:val="24"/>
          <w:szCs w:val="24"/>
          <w:rtl/>
        </w:rPr>
        <w:t xml:space="preserve">حاجز ZATCA القانوني الذي يجعل التعامل خارج المنصة مكلفًا تقنيًا.</w:t>
      </w:r>
    </w:p>
    <w:p>
      <w:pPr>
        <w:pStyle w:val="ListParagraph"/>
        <w:numPr>
          <w:ilvl w:val="0"/>
          <w:numId w:val="2"/>
        </w:numPr>
        <w:bidi/>
        <w:spacing w:after="80"/>
        <w:jc w:val="left"/>
      </w:pPr>
      <w:r>
        <w:rPr>
          <w:rFonts w:ascii="Calibri" w:cs="Calibri" w:eastAsia="Calibri" w:hAnsi="Calibri"/>
          <w:sz w:val="24"/>
          <w:szCs w:val="24"/>
          <w:rtl/>
        </w:rPr>
        <w:t xml:space="preserve">نظام دفع آمن مع Escrow يحمي الطرفين ويسرّع تدفق الأموال.</w:t>
      </w:r>
    </w:p>
    <w:p>
      <w:pPr>
        <w:bidi/>
        <w:spacing w:after="120" w:line="360"/>
        <w:jc w:val="left"/>
      </w:pPr>
      <w:r>
        <w:rPr>
          <w:rFonts w:ascii="Calibri" w:cs="Calibri" w:eastAsia="Calibri" w:hAnsi="Calibri"/>
          <w:sz w:val="24"/>
          <w:szCs w:val="24"/>
          <w:rtl/>
        </w:rPr>
        <w:t xml:space="preserve">بهذه العناصر مجتمعة، الطرفان يبقيان على المنصة لأن البقاء أرخص وأقل مخاطرة من المغادرة. هذا هو المعيار الذي تقاس به المنصات الناجحة عالميًا، وهو الذي يجب أن نقيس به Sevent.</w:t>
      </w:r>
    </w:p>
    <w:sectPr>
      <w:bidi/>
      <w:footerReference w:type="default" r:id="rId7"/>
      <w:pgSz w:w="11906" w:h="16838"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t xml:space="preserve">صفحة </w:t>
    </w:r>
    <w:r>
      <w:rPr>
        <w:rFonts w:ascii="Calibri" w:cs="Calibri" w:eastAsia="Calibri" w:hAnsi="Calibri"/>
        <w:sz w:val="18"/>
        <w:szCs w:val="18"/>
      </w:rPr>
      <w:fldChar w:fldCharType="begin"/>
      <w:instrText xml:space="preserve">PAGE</w:instrText>
      <w:fldChar w:fldCharType="separate"/>
      <w:fldChar w:fldCharType="end"/>
    </w:r>
    <w:r>
      <w:rPr>
        <w:rFonts w:ascii="Calibri" w:cs="Calibri" w:eastAsia="Calibri" w:hAnsi="Calibri"/>
        <w:sz w:val="18"/>
        <w:szCs w:val="18"/>
      </w:rPr>
      <w:t xml:space="preserve"> من </w:t>
    </w:r>
    <w:r>
      <w:rPr>
        <w:rFonts w:ascii="Calibri" w:cs="Calibri" w:eastAsia="Calibri" w:hAnsi="Calibri"/>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bidi/>
      <w:spacing w:after="240" w:before="360"/>
      <w:jc w:val="left"/>
      <w:outlineLvl w:val="0"/>
    </w:pPr>
    <w:rPr>
      <w:rFonts w:ascii="Calibri" w:cs="Calibri" w:eastAsia="Calibri" w:hAnsi="Calibri"/>
      <w:b/>
      <w:bCs/>
      <w:color w:val="1F5132"/>
      <w:sz w:val="36"/>
      <w:szCs w:val="36"/>
      <w:rtl/>
    </w:rPr>
  </w:style>
  <w:style w:type="paragraph" w:styleId="Heading2">
    <w:name w:val="Heading 2"/>
    <w:basedOn w:val="Normal"/>
    <w:next w:val="Normal"/>
    <w:qFormat/>
    <w:pPr>
      <w:bidi/>
      <w:spacing w:after="160" w:before="280"/>
      <w:jc w:val="left"/>
      <w:outlineLvl w:val="1"/>
    </w:pPr>
    <w:rPr>
      <w:rFonts w:ascii="Calibri" w:cs="Calibri" w:eastAsia="Calibri" w:hAnsi="Calibri"/>
      <w:b/>
      <w:bCs/>
      <w:color w:val="2C7A4B"/>
      <w:sz w:val="30"/>
      <w:szCs w:val="30"/>
      <w:rtl/>
    </w:rPr>
  </w:style>
  <w:style w:type="paragraph" w:styleId="Heading3">
    <w:name w:val="Heading 3"/>
    <w:basedOn w:val="Normal"/>
    <w:next w:val="Normal"/>
    <w:qFormat/>
    <w:pPr>
      <w:bidi/>
      <w:spacing w:after="120" w:before="200"/>
      <w:jc w:val="left"/>
      <w:outlineLvl w:val="2"/>
    </w:pPr>
    <w:rPr>
      <w:rFonts w:ascii="Calibri" w:cs="Calibri" w:eastAsia="Calibri" w:hAnsi="Calibri"/>
      <w:b/>
      <w:bCs/>
      <w:color w:val="000000"/>
      <w:sz w:val="26"/>
      <w:szCs w:val="26"/>
      <w:rt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2026-04-29T10:15:27.366Z</dcterms:created>
  <dcterms:modified xsi:type="dcterms:W3CDTF">2026-04-29T10:15:27.366Z</dcterms:modified>
</cp:coreProperties>
</file>

<file path=docProps/custom.xml><?xml version="1.0" encoding="utf-8"?>
<Properties xmlns="http://schemas.openxmlformats.org/officeDocument/2006/custom-properties" xmlns:vt="http://schemas.openxmlformats.org/officeDocument/2006/docPropsVTypes"/>
</file>