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7314" w14:textId="0AD729B7" w:rsidR="00C30D89" w:rsidRDefault="00885640">
      <w:pPr>
        <w:bidi/>
        <w:spacing w:after="80"/>
      </w:pPr>
      <w:r>
        <w:rPr>
          <w:b/>
          <w:bCs/>
          <w:color w:val="1F5132"/>
          <w:sz w:val="32"/>
          <w:szCs w:val="32"/>
          <w:rtl/>
        </w:rPr>
        <w:t xml:space="preserve">ملخص تنفيذي </w:t>
      </w:r>
      <w:r w:rsidR="00DF0426">
        <w:rPr>
          <w:b/>
          <w:bCs/>
          <w:color w:val="1F5132"/>
          <w:sz w:val="32"/>
          <w:szCs w:val="32"/>
        </w:rPr>
        <w:t>-</w:t>
      </w:r>
      <w:r>
        <w:rPr>
          <w:b/>
          <w:bCs/>
          <w:color w:val="1F5132"/>
          <w:sz w:val="32"/>
          <w:szCs w:val="32"/>
          <w:rtl/>
        </w:rPr>
        <w:t xml:space="preserve"> استراتيجية منصة Sevent</w:t>
      </w:r>
    </w:p>
    <w:p w14:paraId="1F429B63" w14:textId="77777777" w:rsidR="00C30D89" w:rsidRDefault="00885640">
      <w:pPr>
        <w:bidi/>
        <w:spacing w:after="160"/>
      </w:pPr>
      <w:r>
        <w:rPr>
          <w:i/>
          <w:iCs/>
          <w:color w:val="555555"/>
          <w:sz w:val="18"/>
          <w:szCs w:val="18"/>
          <w:rtl/>
        </w:rPr>
        <w:t>نموذج العمل، خارطة الطريق، والحماية من التسرب  |  29 أبريل 2026</w:t>
      </w:r>
    </w:p>
    <w:p w14:paraId="594FE5A0" w14:textId="77777777" w:rsidR="00C30D89" w:rsidRPr="00DF0426" w:rsidRDefault="00885640">
      <w:pPr>
        <w:pStyle w:val="Heading1"/>
        <w:rPr>
          <w:sz w:val="32"/>
          <w:szCs w:val="32"/>
        </w:rPr>
      </w:pPr>
      <w:r>
        <w:t>١</w:t>
      </w:r>
      <w:r w:rsidRPr="00DF0426">
        <w:rPr>
          <w:sz w:val="32"/>
          <w:szCs w:val="32"/>
        </w:rPr>
        <w:t>. التوصية</w:t>
      </w:r>
    </w:p>
    <w:p w14:paraId="692921F6" w14:textId="750F95CA" w:rsidR="00C30D89" w:rsidRPr="00DF0426" w:rsidRDefault="00885640">
      <w:pPr>
        <w:pStyle w:val="ListParagraph"/>
        <w:numPr>
          <w:ilvl w:val="0"/>
          <w:numId w:val="2"/>
        </w:numPr>
        <w:bidi/>
        <w:spacing w:after="40" w:line="260" w:lineRule="auto"/>
        <w:rPr>
          <w:sz w:val="24"/>
          <w:szCs w:val="24"/>
        </w:rPr>
      </w:pPr>
      <w:r w:rsidRPr="00DF0426">
        <w:rPr>
          <w:b/>
          <w:bCs/>
          <w:color w:val="1F5132"/>
          <w:sz w:val="24"/>
          <w:szCs w:val="24"/>
          <w:rtl/>
        </w:rPr>
        <w:t xml:space="preserve">النموذج: </w:t>
      </w:r>
      <w:r w:rsidRPr="00DF0426">
        <w:rPr>
          <w:sz w:val="24"/>
          <w:szCs w:val="24"/>
          <w:rtl/>
        </w:rPr>
        <w:t xml:space="preserve">سوق عمودي متخصص مدعوم بطبقة SaaS </w:t>
      </w:r>
      <w:r w:rsidR="00A46F24">
        <w:rPr>
          <w:sz w:val="24"/>
          <w:szCs w:val="24"/>
        </w:rPr>
        <w:t>-</w:t>
      </w:r>
      <w:r w:rsidRPr="00DF0426">
        <w:rPr>
          <w:sz w:val="24"/>
          <w:szCs w:val="24"/>
          <w:rtl/>
        </w:rPr>
        <w:t>B2B بين منظمي الفعاليات والموردين.</w:t>
      </w:r>
    </w:p>
    <w:p w14:paraId="6A08B75A" w14:textId="77777777" w:rsidR="00C30D89" w:rsidRPr="00DF0426" w:rsidRDefault="00885640">
      <w:pPr>
        <w:pStyle w:val="ListParagraph"/>
        <w:numPr>
          <w:ilvl w:val="0"/>
          <w:numId w:val="2"/>
        </w:numPr>
        <w:bidi/>
        <w:spacing w:after="40" w:line="260" w:lineRule="auto"/>
        <w:rPr>
          <w:sz w:val="24"/>
          <w:szCs w:val="24"/>
        </w:rPr>
      </w:pPr>
      <w:r w:rsidRPr="00DF0426">
        <w:rPr>
          <w:b/>
          <w:bCs/>
          <w:color w:val="1F5132"/>
          <w:sz w:val="24"/>
          <w:szCs w:val="24"/>
          <w:rtl/>
        </w:rPr>
        <w:t xml:space="preserve">نقطة الارتكاز: </w:t>
      </w:r>
      <w:r w:rsidRPr="00DF0426">
        <w:rPr>
          <w:sz w:val="24"/>
          <w:szCs w:val="24"/>
          <w:rtl/>
        </w:rPr>
        <w:t>المورد قبل المنظم. الأدوات أولًا، المعاملات تأتي تبعًا.</w:t>
      </w:r>
    </w:p>
    <w:p w14:paraId="5F508E8E" w14:textId="594D95B9" w:rsidR="00DF0426" w:rsidRDefault="00885640" w:rsidP="00DF0426">
      <w:pPr>
        <w:pStyle w:val="ListParagraph"/>
        <w:numPr>
          <w:ilvl w:val="0"/>
          <w:numId w:val="2"/>
        </w:numPr>
        <w:bidi/>
        <w:spacing w:after="40" w:line="260" w:lineRule="auto"/>
        <w:rPr>
          <w:rtl/>
        </w:rPr>
      </w:pPr>
      <w:r w:rsidRPr="00DF0426">
        <w:rPr>
          <w:b/>
          <w:bCs/>
          <w:color w:val="1F5132"/>
          <w:sz w:val="24"/>
          <w:szCs w:val="24"/>
          <w:rtl/>
        </w:rPr>
        <w:t xml:space="preserve">القطاع المستهدف: </w:t>
      </w:r>
      <w:r w:rsidRPr="00DF0426">
        <w:rPr>
          <w:sz w:val="24"/>
          <w:szCs w:val="24"/>
          <w:rtl/>
        </w:rPr>
        <w:t>الفعاليات المؤسسية والحكومية</w:t>
      </w:r>
    </w:p>
    <w:p w14:paraId="112D4A88" w14:textId="77777777" w:rsidR="00DF0426" w:rsidRDefault="00DF0426" w:rsidP="00DF0426">
      <w:pPr>
        <w:pBdr>
          <w:bottom w:val="single" w:sz="12" w:space="1" w:color="auto"/>
        </w:pBdr>
        <w:bidi/>
        <w:spacing w:after="40" w:line="260" w:lineRule="auto"/>
        <w:rPr>
          <w:rtl/>
        </w:rPr>
      </w:pPr>
    </w:p>
    <w:p w14:paraId="4E467736" w14:textId="77777777" w:rsidR="00DF0426" w:rsidRDefault="00DF0426" w:rsidP="00DF0426">
      <w:pPr>
        <w:bidi/>
        <w:spacing w:after="40" w:line="260" w:lineRule="auto"/>
      </w:pPr>
    </w:p>
    <w:p w14:paraId="4356513A" w14:textId="77777777" w:rsidR="00C30D89" w:rsidRDefault="00885640">
      <w:pPr>
        <w:pStyle w:val="Heading1"/>
      </w:pPr>
      <w:r>
        <w:t>٢. لماذا يناسب السوق السعودي</w:t>
      </w:r>
    </w:p>
    <w:p w14:paraId="6176F656" w14:textId="5E9353B2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rtl/>
        </w:rPr>
        <w:t>فجوة رقمنة هائلة عند الموردين</w:t>
      </w:r>
    </w:p>
    <w:p w14:paraId="2BD51A09" w14:textId="25FBBD6C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rtl/>
        </w:rPr>
        <w:t xml:space="preserve">الثقة </w:t>
      </w:r>
      <w:r w:rsidR="00DF0426">
        <w:rPr>
          <w:rFonts w:hint="cs"/>
          <w:b/>
          <w:bCs/>
          <w:rtl/>
          <w:lang w:bidi="ar-JO"/>
        </w:rPr>
        <w:t>مبنية على العلاقات</w:t>
      </w:r>
      <w:r w:rsidR="00DF0426">
        <w:rPr>
          <w:b/>
          <w:bCs/>
        </w:rPr>
        <w:t>:</w:t>
      </w:r>
      <w:r>
        <w:rPr>
          <w:b/>
          <w:bCs/>
          <w:rtl/>
        </w:rPr>
        <w:t xml:space="preserve"> </w:t>
      </w:r>
      <w:r>
        <w:rPr>
          <w:rtl/>
        </w:rPr>
        <w:t>السوق المفتوح يفشل، نحتاج طبقة Managed خفيفة (تحقق سجل تجاري، تقييمات، ضمان دفع).</w:t>
      </w:r>
    </w:p>
    <w:p w14:paraId="2954881D" w14:textId="3B3D1AEA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rtl/>
        </w:rPr>
        <w:t>إنفاق مؤسسي وحكومي ضخم</w:t>
      </w:r>
      <w:r w:rsidR="00DF0426">
        <w:rPr>
          <w:rFonts w:hint="cs"/>
          <w:b/>
          <w:bCs/>
          <w:rtl/>
        </w:rPr>
        <w:t xml:space="preserve">: </w:t>
      </w:r>
      <w:r>
        <w:rPr>
          <w:rtl/>
        </w:rPr>
        <w:t>يتطلب فواتير ZATCA وعقودًا. أدوات RFQ والبنود وضريبة 15% المبنية في Sevent تخدم هذا مباشرة.</w:t>
      </w:r>
    </w:p>
    <w:p w14:paraId="2AF686E5" w14:textId="77777777" w:rsidR="00C30D89" w:rsidRDefault="00885640">
      <w:pPr>
        <w:pStyle w:val="Heading1"/>
      </w:pPr>
      <w:r>
        <w:t>٣. خارطة الطريق — ثلاث مراحل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093"/>
        <w:gridCol w:w="4159"/>
        <w:gridCol w:w="2300"/>
        <w:gridCol w:w="1538"/>
      </w:tblGrid>
      <w:tr w:rsidR="00C30D89" w14:paraId="026B6C36" w14:textId="77777777">
        <w:trPr>
          <w:tblHeader/>
        </w:trPr>
        <w:tc>
          <w:tcPr>
            <w:tcW w:w="2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4EA1C82C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الإيراد</w:t>
            </w:r>
          </w:p>
        </w:tc>
        <w:tc>
          <w:tcPr>
            <w:tcW w:w="4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2F8916AE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المنتج</w:t>
            </w:r>
          </w:p>
        </w:tc>
        <w:tc>
          <w:tcPr>
            <w:tcW w:w="2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3937CAC2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النموذج</w:t>
            </w:r>
          </w:p>
        </w:tc>
        <w:tc>
          <w:tcPr>
            <w:tcW w:w="16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2C6A3B23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المرحلة</w:t>
            </w:r>
          </w:p>
        </w:tc>
      </w:tr>
      <w:tr w:rsidR="00C30D89" w14:paraId="35E2BCF1" w14:textId="77777777">
        <w:tc>
          <w:tcPr>
            <w:tcW w:w="2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6E22F376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اشتراك شهري</w:t>
            </w:r>
          </w:p>
        </w:tc>
        <w:tc>
          <w:tcPr>
            <w:tcW w:w="4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4DE2D747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عروض أسعار، بورتفوليو، تقويم، فواتير ZATCA</w:t>
            </w:r>
          </w:p>
        </w:tc>
        <w:tc>
          <w:tcPr>
            <w:tcW w:w="2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12698E72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SaaS للموردين</w:t>
            </w:r>
          </w:p>
        </w:tc>
        <w:tc>
          <w:tcPr>
            <w:tcW w:w="16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768A621C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  <w:rtl/>
              </w:rPr>
              <w:t>١ — الآن</w:t>
            </w:r>
          </w:p>
        </w:tc>
      </w:tr>
      <w:tr w:rsidR="00C30D89" w14:paraId="5C00AA85" w14:textId="77777777">
        <w:tc>
          <w:tcPr>
            <w:tcW w:w="2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56772B43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عمولة 8-15%</w:t>
            </w:r>
          </w:p>
        </w:tc>
        <w:tc>
          <w:tcPr>
            <w:tcW w:w="4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34C38EA5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مطابقة عبر RFQ، تحقق هوية، ضمان دفع</w:t>
            </w:r>
          </w:p>
        </w:tc>
        <w:tc>
          <w:tcPr>
            <w:tcW w:w="2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4D441998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Managed خفيف</w:t>
            </w:r>
          </w:p>
        </w:tc>
        <w:tc>
          <w:tcPr>
            <w:tcW w:w="16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4896CB43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  <w:rtl/>
              </w:rPr>
              <w:t>٢ — 6-12 شهر</w:t>
            </w:r>
          </w:p>
        </w:tc>
      </w:tr>
      <w:tr w:rsidR="00C30D89" w14:paraId="50326B6C" w14:textId="77777777">
        <w:tc>
          <w:tcPr>
            <w:tcW w:w="2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209AA0B6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متعدد</w:t>
            </w:r>
          </w:p>
        </w:tc>
        <w:tc>
          <w:tcPr>
            <w:tcW w:w="4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67142B46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بيانات السوق، تمويل موردين، تأمين فعاليات</w:t>
            </w:r>
          </w:p>
        </w:tc>
        <w:tc>
          <w:tcPr>
            <w:tcW w:w="24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0BCD0F60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Vertical Network</w:t>
            </w:r>
          </w:p>
        </w:tc>
        <w:tc>
          <w:tcPr>
            <w:tcW w:w="16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54D37B6A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000000"/>
                <w:sz w:val="18"/>
                <w:szCs w:val="18"/>
                <w:rtl/>
              </w:rPr>
              <w:t>٣ — 18+ شهر</w:t>
            </w:r>
          </w:p>
        </w:tc>
      </w:tr>
    </w:tbl>
    <w:p w14:paraId="394FE6E0" w14:textId="77777777" w:rsidR="00C30D89" w:rsidRDefault="00C30D89">
      <w:pPr>
        <w:bidi/>
        <w:spacing w:after="60" w:line="280" w:lineRule="auto"/>
      </w:pPr>
    </w:p>
    <w:p w14:paraId="4958F4A5" w14:textId="77777777" w:rsidR="00C30D89" w:rsidRDefault="00885640">
      <w:pPr>
        <w:pStyle w:val="Heading1"/>
      </w:pPr>
      <w:r>
        <w:t>٤. الحماية من التسرب (Disintermediation)</w:t>
      </w:r>
    </w:p>
    <w:p w14:paraId="74AE2C8A" w14:textId="77777777" w:rsidR="00C30D89" w:rsidRDefault="00885640">
      <w:pPr>
        <w:bidi/>
        <w:spacing w:after="60" w:line="280" w:lineRule="auto"/>
      </w:pPr>
      <w:r>
        <w:rPr>
          <w:i/>
          <w:iCs/>
          <w:rtl/>
        </w:rPr>
        <w:t xml:space="preserve">الهدف ليس منع التسرب نهائيًا (مستحيل)، بل </w:t>
      </w:r>
      <w:r>
        <w:rPr>
          <w:b/>
          <w:bCs/>
          <w:color w:val="1F5132"/>
          <w:rtl/>
        </w:rPr>
        <w:t>جعل البقاء على المنصة أرخص من المغادرة.</w:t>
      </w:r>
    </w:p>
    <w:tbl>
      <w:tblPr>
        <w:bidiVisual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7115"/>
        <w:gridCol w:w="2975"/>
      </w:tblGrid>
      <w:tr w:rsidR="00C30D89" w14:paraId="24499418" w14:textId="77777777">
        <w:trPr>
          <w:tblHeader/>
        </w:trPr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58EF98BA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الفكرة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2C7A4B"/>
            <w:vAlign w:val="center"/>
          </w:tcPr>
          <w:p w14:paraId="7AC2F54D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الدفاع</w:t>
            </w:r>
          </w:p>
        </w:tc>
      </w:tr>
      <w:tr w:rsidR="00C30D89" w14:paraId="37753764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35C31FC8" w14:textId="74F1D168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توليد فواتير متوافقة تلقائيًا. التعامل خارج المنصة يفرض على المورد بناء نظامه الخاص</w:t>
            </w:r>
            <w:r w:rsidR="00DF0426">
              <w:rPr>
                <w:rFonts w:hint="cs"/>
                <w:color w:val="000000"/>
                <w:sz w:val="18"/>
                <w:szCs w:val="18"/>
                <w:rtl/>
              </w:rPr>
              <w:t xml:space="preserve">. </w:t>
            </w:r>
            <w:r>
              <w:rPr>
                <w:color w:val="000000"/>
                <w:sz w:val="18"/>
                <w:szCs w:val="18"/>
                <w:rtl/>
              </w:rPr>
              <w:t>حاجز قانوني وتقني فريد للسعودية.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19A704F0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ZATCA كحاجز قانوني</w:t>
            </w:r>
          </w:p>
        </w:tc>
      </w:tr>
      <w:tr w:rsidR="00C30D89" w14:paraId="69E907D5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26DAC6C1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الدفع محجوز حتى تنفيذ الفعالية. المنظم يحصل على حماية، والمورد يحصل على دفعة مقدمة مضمونة.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3207A245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Escrow + مدى</w:t>
            </w:r>
          </w:p>
        </w:tc>
      </w:tr>
      <w:tr w:rsidR="00C30D89" w14:paraId="4E3ED9D1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2BDE5D42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معاملة أولى 15%، متكررة 5% أو صفر. يجعل البقاء عقلانيًا اقتصاديًا للمورد.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0CAC6F84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عمولة عكسية للمتكرر</w:t>
            </w:r>
          </w:p>
        </w:tc>
      </w:tr>
      <w:tr w:rsidR="00C30D89" w14:paraId="30A6D292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5C370FF9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التقويم وقاعدة العملاء والبورتفوليو على Sevent. المغادرة تعني فقدان النظام التشغيلي بالكامل.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476CB69F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التقويم والبورتفوليو</w:t>
            </w:r>
          </w:p>
        </w:tc>
      </w:tr>
      <w:tr w:rsidR="00C30D89" w14:paraId="5326A877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0AE8F898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فض نزاعات داخل المنصة، أسرع من المحاكم. ضمان استرداد. سجل معاملة موثق.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shd w:val="clear" w:color="auto" w:fill="F0F7F2"/>
            <w:vAlign w:val="center"/>
          </w:tcPr>
          <w:p w14:paraId="2695929F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حماية النزاعات</w:t>
            </w:r>
          </w:p>
        </w:tc>
      </w:tr>
      <w:tr w:rsidR="00C30D89" w14:paraId="2715D8A7" w14:textId="77777777">
        <w:tc>
          <w:tcPr>
            <w:tcW w:w="78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0D19BABF" w14:textId="77777777" w:rsidR="00C30D89" w:rsidRDefault="00885640">
            <w:pPr>
              <w:bidi/>
              <w:spacing w:before="20" w:after="20"/>
            </w:pPr>
            <w:r>
              <w:rPr>
                <w:color w:val="000000"/>
                <w:sz w:val="18"/>
                <w:szCs w:val="18"/>
                <w:rtl/>
              </w:rPr>
              <w:t>الجهات الحكومية والمؤسسية لا تستطيع التعامل خارج المنصة بسبب متطلبات الفوترة والعقود. أعراس واجتماعيات = تسرب مرتفع، نتجنبها.</w:t>
            </w:r>
          </w:p>
        </w:tc>
        <w:tc>
          <w:tcPr>
            <w:tcW w:w="3200" w:type="dxa"/>
            <w:tcBorders>
              <w:top w:val="single" w:sz="6" w:space="0" w:color="BFD9C9"/>
              <w:left w:val="single" w:sz="6" w:space="0" w:color="BFD9C9"/>
              <w:bottom w:val="single" w:sz="6" w:space="0" w:color="BFD9C9"/>
              <w:right w:val="single" w:sz="6" w:space="0" w:color="BFD9C9"/>
            </w:tcBorders>
            <w:vAlign w:val="center"/>
          </w:tcPr>
          <w:p w14:paraId="2F1DD8E0" w14:textId="77777777" w:rsidR="00C30D89" w:rsidRDefault="00885640">
            <w:pPr>
              <w:bidi/>
              <w:spacing w:before="20" w:after="20"/>
            </w:pPr>
            <w:r>
              <w:rPr>
                <w:b/>
                <w:bCs/>
                <w:color w:val="1F5132"/>
                <w:sz w:val="18"/>
                <w:szCs w:val="18"/>
                <w:rtl/>
              </w:rPr>
              <w:t>التركيز المؤسسي</w:t>
            </w:r>
          </w:p>
        </w:tc>
      </w:tr>
    </w:tbl>
    <w:p w14:paraId="0C2538E4" w14:textId="77777777" w:rsidR="00C30D89" w:rsidRDefault="00885640">
      <w:pPr>
        <w:pStyle w:val="Heading1"/>
      </w:pPr>
      <w:r>
        <w:t>٥. الخطوة التالية</w:t>
      </w:r>
    </w:p>
    <w:p w14:paraId="0B043B7A" w14:textId="77777777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rtl/>
        </w:rPr>
        <w:t xml:space="preserve">استخراج بيانات الاستخدام الحالية للإجابة على: </w:t>
      </w:r>
      <w:r>
        <w:rPr>
          <w:rtl/>
        </w:rPr>
        <w:t>نسبة المنظمين إلى الموردين، الميزة الأكثر استخدامًا، معدل الاحتفاظ لكل طرف.</w:t>
      </w:r>
    </w:p>
    <w:p w14:paraId="3C6A7716" w14:textId="77777777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rtl/>
        </w:rPr>
        <w:t xml:space="preserve">بناء خارطة طريق تفصيلية للمرحلة الأولى </w:t>
      </w:r>
      <w:r>
        <w:rPr>
          <w:rtl/>
        </w:rPr>
        <w:t>(SaaS للموردين) قبل أي توسعة في طبقة السوق.</w:t>
      </w:r>
    </w:p>
    <w:p w14:paraId="5B675092" w14:textId="77777777" w:rsidR="00C30D89" w:rsidRDefault="00885640">
      <w:pPr>
        <w:pStyle w:val="ListParagraph"/>
        <w:numPr>
          <w:ilvl w:val="0"/>
          <w:numId w:val="2"/>
        </w:numPr>
        <w:bidi/>
        <w:spacing w:after="40" w:line="260" w:lineRule="auto"/>
      </w:pPr>
      <w:r>
        <w:rPr>
          <w:b/>
          <w:bCs/>
          <w:color w:val="1F5132"/>
          <w:rtl/>
        </w:rPr>
        <w:t xml:space="preserve">الـ codebase الحالي (RFQ، بنود، VAT 15%، بورتفوليو) </w:t>
      </w:r>
      <w:r>
        <w:rPr>
          <w:rtl/>
        </w:rPr>
        <w:t>يدعم المرحلة الأولى مباشرة — توسعة وتعميق، لا إعادة كتابة.</w:t>
      </w:r>
    </w:p>
    <w:sectPr w:rsidR="00C30D89">
      <w:footerReference w:type="default" r:id="rId7"/>
      <w:pgSz w:w="11906" w:h="16838"/>
      <w:pgMar w:top="900" w:right="900" w:bottom="900" w:left="900" w:header="708" w:footer="708" w:gutter="0"/>
      <w:pgNumType w:start="1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F056" w14:textId="77777777" w:rsidR="0081225A" w:rsidRDefault="0081225A">
      <w:r>
        <w:separator/>
      </w:r>
    </w:p>
  </w:endnote>
  <w:endnote w:type="continuationSeparator" w:id="0">
    <w:p w14:paraId="29C6ABB8" w14:textId="77777777" w:rsidR="0081225A" w:rsidRDefault="00812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BEF2" w14:textId="77777777" w:rsidR="00C30D89" w:rsidRDefault="00885640">
    <w:pPr>
      <w:jc w:val="center"/>
    </w:pPr>
    <w:r>
      <w:rPr>
        <w:color w:val="666666"/>
        <w:sz w:val="16"/>
        <w:szCs w:val="16"/>
      </w:rPr>
      <w:t xml:space="preserve">Sevent — </w:t>
    </w:r>
    <w:proofErr w:type="spellStart"/>
    <w:r>
      <w:rPr>
        <w:color w:val="666666"/>
        <w:sz w:val="16"/>
        <w:szCs w:val="16"/>
      </w:rPr>
      <w:t>ملخص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تنفيذي</w:t>
    </w:r>
    <w:proofErr w:type="spellEnd"/>
    <w:r>
      <w:rPr>
        <w:color w:val="666666"/>
        <w:sz w:val="16"/>
        <w:szCs w:val="16"/>
      </w:rPr>
      <w:t xml:space="preserve">  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F042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DF0426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ED66B" w14:textId="77777777" w:rsidR="0081225A" w:rsidRDefault="0081225A">
      <w:r>
        <w:separator/>
      </w:r>
    </w:p>
  </w:footnote>
  <w:footnote w:type="continuationSeparator" w:id="0">
    <w:p w14:paraId="4E014B72" w14:textId="77777777" w:rsidR="0081225A" w:rsidRDefault="00812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5CA"/>
    <w:multiLevelType w:val="hybridMultilevel"/>
    <w:tmpl w:val="10225C9C"/>
    <w:lvl w:ilvl="0" w:tplc="6654FF66">
      <w:start w:val="1"/>
      <w:numFmt w:val="bullet"/>
      <w:lvlText w:val="●"/>
      <w:lvlJc w:val="left"/>
      <w:pPr>
        <w:ind w:left="720" w:hanging="360"/>
      </w:pPr>
    </w:lvl>
    <w:lvl w:ilvl="1" w:tplc="A2CE6A48">
      <w:start w:val="1"/>
      <w:numFmt w:val="bullet"/>
      <w:lvlText w:val="○"/>
      <w:lvlJc w:val="left"/>
      <w:pPr>
        <w:ind w:left="1440" w:hanging="360"/>
      </w:pPr>
    </w:lvl>
    <w:lvl w:ilvl="2" w:tplc="C54471E2">
      <w:start w:val="1"/>
      <w:numFmt w:val="bullet"/>
      <w:lvlText w:val="■"/>
      <w:lvlJc w:val="left"/>
      <w:pPr>
        <w:ind w:left="2160" w:hanging="360"/>
      </w:pPr>
    </w:lvl>
    <w:lvl w:ilvl="3" w:tplc="77E029A0">
      <w:start w:val="1"/>
      <w:numFmt w:val="bullet"/>
      <w:lvlText w:val="●"/>
      <w:lvlJc w:val="left"/>
      <w:pPr>
        <w:ind w:left="2880" w:hanging="360"/>
      </w:pPr>
    </w:lvl>
    <w:lvl w:ilvl="4" w:tplc="3512714A">
      <w:start w:val="1"/>
      <w:numFmt w:val="bullet"/>
      <w:lvlText w:val="○"/>
      <w:lvlJc w:val="left"/>
      <w:pPr>
        <w:ind w:left="3600" w:hanging="360"/>
      </w:pPr>
    </w:lvl>
    <w:lvl w:ilvl="5" w:tplc="7DF83874">
      <w:start w:val="1"/>
      <w:numFmt w:val="bullet"/>
      <w:lvlText w:val="■"/>
      <w:lvlJc w:val="left"/>
      <w:pPr>
        <w:ind w:left="4320" w:hanging="360"/>
      </w:pPr>
    </w:lvl>
    <w:lvl w:ilvl="6" w:tplc="1A7C5158">
      <w:start w:val="1"/>
      <w:numFmt w:val="bullet"/>
      <w:lvlText w:val="●"/>
      <w:lvlJc w:val="left"/>
      <w:pPr>
        <w:ind w:left="5040" w:hanging="360"/>
      </w:pPr>
    </w:lvl>
    <w:lvl w:ilvl="7" w:tplc="12802738">
      <w:start w:val="1"/>
      <w:numFmt w:val="bullet"/>
      <w:lvlText w:val="●"/>
      <w:lvlJc w:val="left"/>
      <w:pPr>
        <w:ind w:left="5760" w:hanging="360"/>
      </w:pPr>
    </w:lvl>
    <w:lvl w:ilvl="8" w:tplc="0748CB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8E27B7"/>
    <w:multiLevelType w:val="hybridMultilevel"/>
    <w:tmpl w:val="AA529746"/>
    <w:lvl w:ilvl="0" w:tplc="011E1290">
      <w:start w:val="1"/>
      <w:numFmt w:val="bullet"/>
      <w:lvlText w:val="•"/>
      <w:lvlJc w:val="left"/>
      <w:pPr>
        <w:ind w:left="600" w:hanging="280"/>
      </w:pPr>
    </w:lvl>
    <w:lvl w:ilvl="1" w:tplc="9B848F8A">
      <w:numFmt w:val="decimal"/>
      <w:lvlText w:val=""/>
      <w:lvlJc w:val="left"/>
    </w:lvl>
    <w:lvl w:ilvl="2" w:tplc="2DD4849A">
      <w:numFmt w:val="decimal"/>
      <w:lvlText w:val=""/>
      <w:lvlJc w:val="left"/>
    </w:lvl>
    <w:lvl w:ilvl="3" w:tplc="9B42A1C6">
      <w:numFmt w:val="decimal"/>
      <w:lvlText w:val=""/>
      <w:lvlJc w:val="left"/>
    </w:lvl>
    <w:lvl w:ilvl="4" w:tplc="A12EEA68">
      <w:numFmt w:val="decimal"/>
      <w:lvlText w:val=""/>
      <w:lvlJc w:val="left"/>
    </w:lvl>
    <w:lvl w:ilvl="5" w:tplc="5DEA2ED2">
      <w:numFmt w:val="decimal"/>
      <w:lvlText w:val=""/>
      <w:lvlJc w:val="left"/>
    </w:lvl>
    <w:lvl w:ilvl="6" w:tplc="7F08E260">
      <w:numFmt w:val="decimal"/>
      <w:lvlText w:val=""/>
      <w:lvlJc w:val="left"/>
    </w:lvl>
    <w:lvl w:ilvl="7" w:tplc="31A02DFC">
      <w:numFmt w:val="decimal"/>
      <w:lvlText w:val=""/>
      <w:lvlJc w:val="left"/>
    </w:lvl>
    <w:lvl w:ilvl="8" w:tplc="8E8E533E">
      <w:numFmt w:val="decimal"/>
      <w:lvlText w:val=""/>
      <w:lvlJc w:val="left"/>
    </w:lvl>
  </w:abstractNum>
  <w:num w:numId="1" w16cid:durableId="363332596">
    <w:abstractNumId w:val="0"/>
    <w:lvlOverride w:ilvl="0">
      <w:startOverride w:val="1"/>
    </w:lvlOverride>
  </w:num>
  <w:num w:numId="2" w16cid:durableId="21100024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D89"/>
    <w:rsid w:val="00197152"/>
    <w:rsid w:val="00535A68"/>
    <w:rsid w:val="0081225A"/>
    <w:rsid w:val="00885640"/>
    <w:rsid w:val="00A46F24"/>
    <w:rsid w:val="00C30D89"/>
    <w:rsid w:val="00DF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67A02"/>
  <w15:docId w15:val="{F489BEB2-3014-48DC-9784-0143F400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180" w:after="80"/>
      <w:outlineLvl w:val="0"/>
    </w:pPr>
    <w:rPr>
      <w:b/>
      <w:bCs/>
      <w:color w:val="1F5132"/>
      <w:sz w:val="26"/>
      <w:szCs w:val="26"/>
      <w:rtl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G</cp:lastModifiedBy>
  <cp:revision>3</cp:revision>
  <dcterms:created xsi:type="dcterms:W3CDTF">2026-04-29T10:50:00Z</dcterms:created>
  <dcterms:modified xsi:type="dcterms:W3CDTF">2026-04-29T14:22:00Z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2026-04-29T10:57:51Z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80c4bc4d-9c2c-4326-bd6d-cc3d01817ddc</vt:lpwstr>
  </property>
  <property fmtid="{D5CDD505-2E9C-101B-9397-08002B2CF9AE}" pid="7" name="MSIP_Label_defa4170-0d19-0005-0004-bc88714345d2_ActionId">
    <vt:lpwstr>3d147ab5-e1e1-4738-b01b-636aaf99e413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