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Calibri" w:cs="Calibri" w:eastAsia="Calibri" w:hAnsi="Calibri"/>
          <w:b/>
          <w:bCs/>
          <w:color w:val="1F5132"/>
          <w:sz w:val="48"/>
          <w:szCs w:val="48"/>
        </w:rPr>
        <w:t xml:space="preserve">Sevent Platform Strategy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Business Model, Roadmap, and Defense Against Disintermediation</w:t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Ahmad Rabaya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29 April 2026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5132"/>
          <w:sz w:val="32"/>
          <w:szCs w:val="32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F5132"/>
          <w:sz w:val="22"/>
          <w:szCs w:val="22"/>
        </w:rPr>
        <w:t xml:space="preserve">Recommended model: </w:t>
      </w:r>
      <w:r>
        <w:rPr>
          <w:rFonts w:ascii="Calibri" w:cs="Calibri" w:eastAsia="Calibri" w:hAnsi="Calibri"/>
          <w:sz w:val="22"/>
          <w:szCs w:val="22"/>
        </w:rPr>
        <w:t xml:space="preserve">SaaS-enabled Vertical Marketplace, B2B (organizer ↔ supplier).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F5132"/>
          <w:sz w:val="22"/>
          <w:szCs w:val="22"/>
        </w:rPr>
        <w:t xml:space="preserve">Anchor customer: </w:t>
      </w:r>
      <w:r>
        <w:rPr>
          <w:rFonts w:ascii="Calibri" w:cs="Calibri" w:eastAsia="Calibri" w:hAnsi="Calibri"/>
          <w:sz w:val="22"/>
          <w:szCs w:val="22"/>
        </w:rPr>
        <w:t xml:space="preserve">the supplier, not the organizer. Tools first, transactions follow.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F5132"/>
          <w:sz w:val="22"/>
          <w:szCs w:val="22"/>
        </w:rPr>
        <w:t xml:space="preserve">Target sector: </w:t>
      </w:r>
      <w:r>
        <w:rPr>
          <w:rFonts w:ascii="Calibri" w:cs="Calibri" w:eastAsia="Calibri" w:hAnsi="Calibri"/>
          <w:sz w:val="22"/>
          <w:szCs w:val="22"/>
        </w:rPr>
        <w:t xml:space="preserve">institutional and government events (Vision 2030 spend, lowest leakage).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Trap to avoid: </w:t>
      </w:r>
      <w:r>
        <w:rPr>
          <w:rFonts w:ascii="Calibri" w:cs="Calibri" w:eastAsia="Calibri" w:hAnsi="Calibri"/>
          <w:sz w:val="22"/>
          <w:szCs w:val="22"/>
        </w:rPr>
        <w:t xml:space="preserve">consumer ticketing. The category is owned by Eventbrite, Platinumlist, Webook.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F5132"/>
          <w:sz w:val="22"/>
          <w:szCs w:val="22"/>
        </w:rPr>
        <w:t xml:space="preserve">Defense against disintermediation: </w:t>
      </w:r>
      <w:r>
        <w:rPr>
          <w:rFonts w:ascii="Calibri" w:cs="Calibri" w:eastAsia="Calibri" w:hAnsi="Calibri"/>
          <w:sz w:val="22"/>
          <w:szCs w:val="22"/>
        </w:rPr>
        <w:t xml:space="preserve">ZATCA + escrow + inverse repeat commission + calendar/portfolio lock-in.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F5132"/>
          <w:sz w:val="22"/>
          <w:szCs w:val="22"/>
        </w:rPr>
        <w:t xml:space="preserve">Codebase fit: </w:t>
      </w:r>
      <w:r>
        <w:rPr>
          <w:rFonts w:ascii="Calibri" w:cs="Calibri" w:eastAsia="Calibri" w:hAnsi="Calibri"/>
          <w:sz w:val="22"/>
          <w:szCs w:val="22"/>
        </w:rPr>
        <w:t xml:space="preserve">RFQ, line-items, VAT 15%, supplier portfolio already support Phase 1. Deepen, do not rewrite.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5132"/>
          <w:sz w:val="32"/>
          <w:szCs w:val="32"/>
        </w:rPr>
        <w:t xml:space="preserve">1. The 9 Platform Business Models</w:t>
      </w:r>
    </w:p>
    <w:p>
      <w:pPr>
        <w:spacing w:after="10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marketplace landscape splits into nine archetypes. Each one is defined by the level of platform control and the typical margin profile.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00"/>
        <w:gridCol w:w="1600"/>
        <w:gridCol w:w="1600"/>
        <w:gridCol w:w="2800"/>
      </w:tblGrid>
      <w:tr>
        <w:trPr>
          <w:tblHeader/>
        </w:trPr>
        <w:tc>
          <w:tcPr>
            <w:tcW w:type="dxa" w:w="42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2C7A4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(Events)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2C7A4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2C7A4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2C7A4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42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Eventbrite, Meetup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2-10%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Open Marketplace</w:t>
            </w:r>
          </w:p>
        </w:tc>
      </w:tr>
      <w:tr>
        <w:tc>
          <w:tcPr>
            <w:tcW w:type="dxa" w:w="42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Classpass, Resy, OpenTable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15-30%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Managed Marketplace</w:t>
            </w:r>
          </w:p>
        </w:tc>
      </w:tr>
      <w:tr>
        <w:tc>
          <w:tcPr>
            <w:tcW w:type="dxa" w:w="42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SeatGeek, StubHub, Songkick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Aggregator</w:t>
            </w:r>
          </w:p>
        </w:tc>
      </w:tr>
      <w:tr>
        <w:tc>
          <w:tcPr>
            <w:tcW w:type="dxa" w:w="42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Ticketmaster, DICE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2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First-party (pseudo)</w:t>
            </w:r>
          </w:p>
        </w:tc>
      </w:tr>
      <w:tr>
        <w:tc>
          <w:tcPr>
            <w:tcW w:type="dxa" w:w="42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132"/>
                <w:sz w:val="20"/>
                <w:szCs w:val="20"/>
              </w:rPr>
              <w:t xml:space="preserve">Cvent, Splash, Hopin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132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132"/>
                <w:sz w:val="20"/>
                <w:szCs w:val="20"/>
              </w:rPr>
              <w:t xml:space="preserve">Med-High</w:t>
            </w:r>
          </w:p>
        </w:tc>
        <w:tc>
          <w:tcPr>
            <w:tcW w:type="dxa" w:w="2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132"/>
                <w:sz w:val="20"/>
                <w:szCs w:val="20"/>
              </w:rPr>
              <w:t xml:space="preserve">SaaS-enabled (recommended)</w:t>
            </w:r>
          </w:p>
        </w:tc>
      </w:tr>
      <w:tr>
        <w:tc>
          <w:tcPr>
            <w:tcW w:type="dxa" w:w="42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Knot, WeddingWire, Bandsintown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Discovery / Lead-gen</w:t>
            </w:r>
          </w:p>
        </w:tc>
      </w:tr>
      <w:tr>
        <w:tc>
          <w:tcPr>
            <w:tcW w:type="dxa" w:w="42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Lyte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Auction-based</w:t>
            </w:r>
          </w:p>
        </w:tc>
      </w:tr>
      <w:tr>
        <w:tc>
          <w:tcPr>
            <w:tcW w:type="dxa" w:w="42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GigSalad, Headout, The Bash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Vertical Marketplace</w:t>
            </w:r>
          </w:p>
        </w:tc>
      </w:tr>
      <w:tr>
        <w:tc>
          <w:tcPr>
            <w:tcW w:type="dxa" w:w="42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Classpass, MoviePass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Subscription</w:t>
            </w:r>
          </w:p>
        </w:tc>
      </w:tr>
    </w:tbl>
    <w:p>
      <w:pPr>
        <w:spacing w:after="100" w:line="320"/>
        <w:jc w:val="left"/>
      </w:pPr>
      <w:r>
        <w:rPr>
          <w:rFonts w:ascii="Calibri" w:cs="Calibri" w:eastAsia="Calibri" w:hAnsi="Calibri"/>
          <w:b/>
          <w:bCs/>
          <w:color w:val="1F5132"/>
          <w:sz w:val="22"/>
          <w:szCs w:val="22"/>
        </w:rPr>
        <w:t xml:space="preserve">Decision rule: </w:t>
      </w:r>
      <w:r>
        <w:rPr>
          <w:rFonts w:ascii="Calibri" w:cs="Calibri" w:eastAsia="Calibri" w:hAnsi="Calibri"/>
          <w:sz w:val="22"/>
          <w:szCs w:val="22"/>
        </w:rPr>
        <w:t xml:space="preserve">ask what is hardest for the organizer to do alone. Audience reach → open marketplace. Quality variance → managed. Fragmented suppliers without tools → SaaS-enabled.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5132"/>
          <w:sz w:val="32"/>
          <w:szCs w:val="32"/>
        </w:rPr>
        <w:t xml:space="preserve">2. Recommendation: SaaS-enabled Vertical Marketplace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C7A4B"/>
          <w:sz w:val="26"/>
          <w:szCs w:val="26"/>
        </w:rPr>
        <w:t xml:space="preserve">Why this fits Saudi specifically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Massive supplier digitization gap. </w:t>
      </w:r>
      <w:r>
        <w:rPr>
          <w:rFonts w:ascii="Calibri" w:cs="Calibri" w:eastAsia="Calibri" w:hAnsi="Calibri"/>
          <w:sz w:val="22"/>
          <w:szCs w:val="22"/>
        </w:rPr>
        <w:t xml:space="preserve">Catering, AV, decor, photography vendors run on WhatsApp + Excel. No CRM, no calendars, no quote systems. Any professional tool delivers immediate value before a single customer arrives.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Saudi B2B trust is relational. </w:t>
      </w:r>
      <w:r>
        <w:rPr>
          <w:rFonts w:ascii="Calibri" w:cs="Calibri" w:eastAsia="Calibri" w:hAnsi="Calibri"/>
          <w:sz w:val="22"/>
          <w:szCs w:val="22"/>
        </w:rPr>
        <w:t xml:space="preserve">Open marketplaces fail because organizers do not book unfamiliar suppliers. Need a thin Managed layer: CR verification, audited reviews, payment guarantee.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Vision 2030 institutional spend. </w:t>
      </w:r>
      <w:r>
        <w:rPr>
          <w:rFonts w:ascii="Calibri" w:cs="Calibri" w:eastAsia="Calibri" w:hAnsi="Calibri"/>
          <w:sz w:val="22"/>
          <w:szCs w:val="22"/>
        </w:rPr>
        <w:t xml:space="preserve">Corporate and government events need ZATCA invoices, contracts, audit trails. RFQ + line-items + 15% VAT (already built) serve this market directly.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C7A4B"/>
          <w:sz w:val="26"/>
          <w:szCs w:val="26"/>
        </w:rPr>
        <w:t xml:space="preserve">Why this fits the existing codebase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RFQ flow exists with line-items table.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Supplier portfolios and onboarding wizard implemented.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VAT 15% with inclusive/exclusive supplier toggle (recent commit).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Organizer-supplier role split already in the data model.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Conclusion: deepen the existing tools; no rewrite required.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C7A4B"/>
          <w:sz w:val="26"/>
          <w:szCs w:val="26"/>
        </w:rPr>
        <w:t xml:space="preserve">Anchor customer principle</w:t>
      </w:r>
    </w:p>
    <w:p>
      <w:pPr>
        <w:spacing w:after="100" w:line="320"/>
        <w:jc w:val="left"/>
      </w:pPr>
      <w:r>
        <w:rPr>
          <w:rFonts w:ascii="Calibri" w:cs="Calibri" w:eastAsia="Calibri" w:hAnsi="Calibri"/>
          <w:b/>
          <w:bCs/>
          <w:color w:val="1F5132"/>
          <w:sz w:val="22"/>
          <w:szCs w:val="22"/>
        </w:rPr>
        <w:t xml:space="preserve">Build for the supplier first. </w:t>
      </w:r>
      <w:r>
        <w:rPr>
          <w:rFonts w:ascii="Calibri" w:cs="Calibri" w:eastAsia="Calibri" w:hAnsi="Calibri"/>
          <w:sz w:val="22"/>
          <w:szCs w:val="22"/>
        </w:rPr>
        <w:t xml:space="preserve">Organizers follow good suppliers; the reverse is far slower. This is the Shopify / Toast / ServiceTitan playbook: sell the picks and shovels, not the gold.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5132"/>
          <w:sz w:val="32"/>
          <w:szCs w:val="32"/>
        </w:rPr>
        <w:t xml:space="preserve">3. The Trap to Avoid</w:t>
      </w:r>
    </w:p>
    <w:p>
      <w:pPr>
        <w:spacing w:after="100" w:line="320"/>
        <w:jc w:val="left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Do NOT build an Arabic Eventbrite. </w:t>
      </w:r>
      <w:r>
        <w:rPr>
          <w:rFonts w:ascii="Calibri" w:cs="Calibri" w:eastAsia="Calibri" w:hAnsi="Calibri"/>
          <w:sz w:val="22"/>
          <w:szCs w:val="22"/>
        </w:rPr>
        <w:t xml:space="preserve">Consumer ticketing is the wrong category for Sevent.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Eventbrite, Platinumlist, Webook already own the consumer ticketing category.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Margins are 2-5% per ticket. No path to high lifetime value.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Zero lock-in: organizers can switch any time.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Each event is one-shot; no compounding asset.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color w:val="1F5132"/>
          <w:sz w:val="22"/>
          <w:szCs w:val="22"/>
        </w:rPr>
        <w:t xml:space="preserve">Sevent is not in this market. </w:t>
      </w:r>
      <w:r>
        <w:rPr>
          <w:rFonts w:ascii="Calibri" w:cs="Calibri" w:eastAsia="Calibri" w:hAnsi="Calibri"/>
          <w:sz w:val="22"/>
          <w:szCs w:val="22"/>
        </w:rPr>
        <w:t xml:space="preserve">RFQ ≠ tickets. The codebase already says B2B.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5132"/>
          <w:sz w:val="32"/>
          <w:szCs w:val="32"/>
        </w:rPr>
        <w:t xml:space="preserve">4. Three-Phase Roadmap</w:t>
      </w:r>
    </w:p>
    <w:p>
      <w:pPr>
        <w:spacing w:after="10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Build the SaaS layer first, the marketplace second, and the network third. Each phase compounds on the previous one.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4800"/>
        <w:gridCol w:w="24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2C7A4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4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2C7A4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4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2C7A4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2C7A4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Monthly subscription</w:t>
            </w:r>
          </w:p>
        </w:tc>
        <w:tc>
          <w:tcPr>
            <w:tcW w:type="dxa" w:w="4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Quote system, portfolio, calendar, ZATCA invoicing</w:t>
            </w:r>
          </w:p>
        </w:tc>
        <w:tc>
          <w:tcPr>
            <w:tcW w:type="dxa" w:w="24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132"/>
                <w:sz w:val="20"/>
                <w:szCs w:val="20"/>
              </w:rPr>
              <w:t xml:space="preserve">SaaS for Suppliers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 — Now</w:t>
            </w:r>
          </w:p>
        </w:tc>
      </w:tr>
      <w:tr>
        <w:tc>
          <w:tcPr>
            <w:tcW w:type="dxa" w:w="24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Commission 8-15%</w:t>
            </w:r>
          </w:p>
        </w:tc>
        <w:tc>
          <w:tcPr>
            <w:tcW w:type="dxa" w:w="4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RFQ-based matching, identity verification, payment escrow</w:t>
            </w:r>
          </w:p>
        </w:tc>
        <w:tc>
          <w:tcPr>
            <w:tcW w:type="dxa" w:w="24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132"/>
                <w:sz w:val="20"/>
                <w:szCs w:val="20"/>
              </w:rPr>
              <w:t xml:space="preserve">Light Managed Marketplace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 — 6-12 months</w:t>
            </w:r>
          </w:p>
        </w:tc>
      </w:tr>
      <w:tr>
        <w:tc>
          <w:tcPr>
            <w:tcW w:type="dxa" w:w="24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Multi-source</w:t>
            </w:r>
          </w:p>
        </w:tc>
        <w:tc>
          <w:tcPr>
            <w:tcW w:type="dxa" w:w="4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Market data, supplier financing, event insurance</w:t>
            </w:r>
          </w:p>
        </w:tc>
        <w:tc>
          <w:tcPr>
            <w:tcW w:type="dxa" w:w="24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132"/>
                <w:sz w:val="20"/>
                <w:szCs w:val="20"/>
              </w:rPr>
              <w:t xml:space="preserve">Vertical Network</w:t>
            </w:r>
          </w:p>
        </w:tc>
        <w:tc>
          <w:tcPr>
            <w:tcW w:type="dxa" w:w="1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 — 18+ months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5132"/>
          <w:sz w:val="32"/>
          <w:szCs w:val="32"/>
        </w:rPr>
        <w:t xml:space="preserve">5. Disintermediation: The Existential Question</w:t>
      </w:r>
    </w:p>
    <w:p>
      <w:pPr>
        <w:spacing w:after="100" w:line="320"/>
        <w:jc w:val="left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Supervisor's question: </w:t>
      </w:r>
      <w:r>
        <w:rPr>
          <w:rFonts w:ascii="Calibri" w:cs="Calibri" w:eastAsia="Calibri" w:hAnsi="Calibri"/>
          <w:sz w:val="22"/>
          <w:szCs w:val="22"/>
        </w:rPr>
        <w:t xml:space="preserve">what stops organizers and suppliers from going around the platform after they meet on it?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C7A4B"/>
          <w:sz w:val="26"/>
          <w:szCs w:val="26"/>
        </w:rPr>
        <w:t xml:space="preserve">The honest answer</w:t>
      </w:r>
    </w:p>
    <w:p>
      <w:pPr>
        <w:spacing w:after="100" w:line="320"/>
        <w:jc w:val="left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No platform fully prevents leakage. </w:t>
      </w:r>
      <w:r>
        <w:rPr>
          <w:rFonts w:ascii="Calibri" w:cs="Calibri" w:eastAsia="Calibri" w:hAnsi="Calibri"/>
          <w:sz w:val="22"/>
          <w:szCs w:val="22"/>
        </w:rPr>
        <w:t xml:space="preserve">Upwork and Thumbtack lose 30-50% of repeat business off-platform after the first transaction. The right goal is to make staying cheaper than leaving — not to seal the door shut.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C7A4B"/>
          <w:sz w:val="26"/>
          <w:szCs w:val="26"/>
        </w:rPr>
        <w:t xml:space="preserve">Why Saudi events are the worst case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High transaction value: </w:t>
      </w:r>
      <w:r>
        <w:rPr>
          <w:rFonts w:ascii="Calibri" w:cs="Calibri" w:eastAsia="Calibri" w:hAnsi="Calibri"/>
          <w:sz w:val="22"/>
          <w:szCs w:val="22"/>
        </w:rPr>
        <w:t xml:space="preserve">single event budgets often run 50,000 to 500,000 SAR.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Low frequency: </w:t>
      </w:r>
      <w:r>
        <w:rPr>
          <w:rFonts w:ascii="Calibri" w:cs="Calibri" w:eastAsia="Calibri" w:hAnsi="Calibri"/>
          <w:sz w:val="22"/>
          <w:szCs w:val="22"/>
        </w:rPr>
        <w:t xml:space="preserve">an organizer typically uses the same supplier 2-4 times per year.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Relational trust: </w:t>
      </w:r>
      <w:r>
        <w:rPr>
          <w:rFonts w:ascii="Calibri" w:cs="Calibri" w:eastAsia="Calibri" w:hAnsi="Calibri"/>
          <w:sz w:val="22"/>
          <w:szCs w:val="22"/>
        </w:rPr>
        <w:t xml:space="preserve">Saudi B2B runs on personal relationships and word of mouth.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C7A4B"/>
          <w:sz w:val="26"/>
          <w:szCs w:val="26"/>
        </w:rPr>
        <w:t xml:space="preserve">Why SaaS-enabled solves it structurally</w:t>
      </w:r>
    </w:p>
    <w:p>
      <w:pPr>
        <w:spacing w:after="10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model itself absorbs leakage. Three scenarios, three revenue outcomes: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3000"/>
        <w:gridCol w:w="5400"/>
      </w:tblGrid>
      <w:tr>
        <w:trPr>
          <w:tblHeader/>
        </w:trPr>
        <w:tc>
          <w:tcPr>
            <w:tcW w:type="dxa" w:w="2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2C7A4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 for Sevent</w:t>
            </w:r>
          </w:p>
        </w:tc>
        <w:tc>
          <w:tcPr>
            <w:tcW w:type="dxa" w:w="30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2C7A4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Revenue</w:t>
            </w:r>
          </w:p>
        </w:tc>
        <w:tc>
          <w:tcPr>
            <w:tcW w:type="dxa" w:w="54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2C7A4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2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132"/>
                <w:sz w:val="20"/>
                <w:szCs w:val="20"/>
              </w:rPr>
              <w:t xml:space="preserve">Full revenue</w:t>
            </w:r>
          </w:p>
        </w:tc>
        <w:tc>
          <w:tcPr>
            <w:tcW w:type="dxa" w:w="30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Subscription + commission</w:t>
            </w:r>
          </w:p>
        </w:tc>
        <w:tc>
          <w:tcPr>
            <w:tcW w:type="dxa" w:w="54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Met on Sevent, paid on Sevent</w:t>
            </w:r>
          </w:p>
        </w:tc>
      </w:tr>
      <w:tr>
        <w:tc>
          <w:tcPr>
            <w:tcW w:type="dxa" w:w="2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7A4B"/>
                <w:sz w:val="20"/>
                <w:szCs w:val="20"/>
              </w:rPr>
              <w:t xml:space="preserve">Partial revenue retained</w:t>
            </w:r>
          </w:p>
        </w:tc>
        <w:tc>
          <w:tcPr>
            <w:tcW w:type="dxa" w:w="30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Subscription only</w:t>
            </w:r>
          </w:p>
        </w:tc>
        <w:tc>
          <w:tcPr>
            <w:tcW w:type="dxa" w:w="54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Met on Sevent, paid off-platform</w:t>
            </w:r>
          </w:p>
        </w:tc>
      </w:tr>
      <w:tr>
        <w:tc>
          <w:tcPr>
            <w:tcW w:type="dxa" w:w="2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7A4B"/>
                <w:sz w:val="20"/>
                <w:szCs w:val="20"/>
              </w:rPr>
              <w:t xml:space="preserve">Ongoing revenue</w:t>
            </w:r>
          </w:p>
        </w:tc>
        <w:tc>
          <w:tcPr>
            <w:tcW w:type="dxa" w:w="30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Subscription only</w:t>
            </w:r>
          </w:p>
        </w:tc>
        <w:tc>
          <w:tcPr>
            <w:tcW w:type="dxa" w:w="54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Supplier manages legacy clients on Sevent</w:t>
            </w:r>
          </w:p>
        </w:tc>
      </w:tr>
    </w:tbl>
    <w:p>
      <w:pPr>
        <w:spacing w:after="100" w:line="320"/>
        <w:jc w:val="left"/>
      </w:pPr>
      <w:r>
        <w:rPr>
          <w:rFonts w:ascii="Calibri" w:cs="Calibri" w:eastAsia="Calibri" w:hAnsi="Calibri"/>
          <w:b/>
          <w:bCs/>
          <w:color w:val="1F5132"/>
          <w:sz w:val="22"/>
          <w:szCs w:val="22"/>
        </w:rPr>
        <w:t xml:space="preserve">Key insight: </w:t>
      </w:r>
      <w:r>
        <w:rPr>
          <w:rFonts w:ascii="Calibri" w:cs="Calibri" w:eastAsia="Calibri" w:hAnsi="Calibri"/>
          <w:sz w:val="22"/>
          <w:szCs w:val="22"/>
        </w:rPr>
        <w:t xml:space="preserve">even if 50% of transactions leak, the platform survives because the supplier keeps paying for the tool. Shopify, Toast, ServiceTitan win this way.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5132"/>
          <w:sz w:val="32"/>
          <w:szCs w:val="32"/>
        </w:rPr>
        <w:t xml:space="preserve">6. Six Tactical Defenses</w:t>
      </w:r>
    </w:p>
    <w:p>
      <w:pPr>
        <w:spacing w:after="10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Concrete features that increase switching cost and make staying the rational choice.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800"/>
        <w:gridCol w:w="3200"/>
        <w:gridCol w:w="600"/>
      </w:tblGrid>
      <w:tr>
        <w:trPr>
          <w:tblHeader/>
        </w:trPr>
        <w:tc>
          <w:tcPr>
            <w:tcW w:type="dxa" w:w="7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2C7A4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2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2C7A4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Defense</w:t>
            </w:r>
          </w:p>
        </w:tc>
        <w:tc>
          <w:tcPr>
            <w:tcW w:type="dxa" w:w="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2C7A4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</w:tr>
      <w:tr>
        <w:tc>
          <w:tcPr>
            <w:tcW w:type="dxa" w:w="7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Auto-generate compliant tax invoices on quote acceptance. Off-platform = supplier must build their own e-invoicing system. Strongest defense and unique to Saudi.</w:t>
            </w:r>
          </w:p>
        </w:tc>
        <w:tc>
          <w:tcPr>
            <w:tcW w:type="dxa" w:w="32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132"/>
                <w:sz w:val="20"/>
                <w:szCs w:val="20"/>
              </w:rPr>
              <w:t xml:space="preserve">ZATCA Compliance Barrier</w:t>
            </w:r>
          </w:p>
        </w:tc>
        <w:tc>
          <w:tcPr>
            <w:tcW w:type="dxa" w:w="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Funds held in escrow until event delivery. Suppliers receive guaranteed advance payment (working capital). Mada is instant; SARIE bank transfer is slow and fee-heavy.</w:t>
            </w:r>
          </w:p>
        </w:tc>
        <w:tc>
          <w:tcPr>
            <w:tcW w:type="dxa" w:w="32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132"/>
                <w:sz w:val="20"/>
                <w:szCs w:val="20"/>
              </w:rPr>
              <w:t xml:space="preserve">Escrow Payments + Mada</w:t>
            </w:r>
          </w:p>
        </w:tc>
        <w:tc>
          <w:tcPr>
            <w:tcW w:type="dxa" w:w="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First booking with a client = 15% commission. Repeat booking = 5% or 0%. Makes staying on-platform rational, not punitive. Most platforms do the opposite and lose suppliers.</w:t>
            </w:r>
          </w:p>
        </w:tc>
        <w:tc>
          <w:tcPr>
            <w:tcW w:type="dxa" w:w="32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132"/>
                <w:sz w:val="20"/>
                <w:szCs w:val="20"/>
              </w:rPr>
              <w:t xml:space="preserve">Inverse Repeat Commission</w:t>
            </w:r>
          </w:p>
        </w:tc>
        <w:tc>
          <w:tcPr>
            <w:tcW w:type="dxa" w:w="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Supplier's calendar, customer history, portfolio, and financial records all live on Sevent. Leaving means losing the operational system, not just one customer relationship.</w:t>
            </w:r>
          </w:p>
        </w:tc>
        <w:tc>
          <w:tcPr>
            <w:tcW w:type="dxa" w:w="32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132"/>
                <w:sz w:val="20"/>
                <w:szCs w:val="20"/>
              </w:rPr>
              <w:t xml:space="preserve">Calendar + Portfolio Lock-in</w:t>
            </w:r>
          </w:p>
        </w:tc>
        <w:tc>
          <w:tcPr>
            <w:tcW w:type="dxa" w:w="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In-app arbitration is faster than Saudi courts. Refund guarantees protect organizers. Verified transaction history serves as legal evidence if needed.</w:t>
            </w:r>
          </w:p>
        </w:tc>
        <w:tc>
          <w:tcPr>
            <w:tcW w:type="dxa" w:w="32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132"/>
                <w:sz w:val="20"/>
                <w:szCs w:val="20"/>
              </w:rPr>
              <w:t xml:space="preserve">Dispute Resolution Layer</w:t>
            </w:r>
          </w:p>
        </w:tc>
        <w:tc>
          <w:tcPr>
            <w:tcW w:type="dxa" w:w="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shd w:fill="F0F7F2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8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Government and corporate clients legally cannot transact informally — they need contracts, audits, ZATCA. Lowest-leakage segment, highest spend. Weddings have opposite dynamics: skip them.</w:t>
            </w:r>
          </w:p>
        </w:tc>
        <w:tc>
          <w:tcPr>
            <w:tcW w:type="dxa" w:w="32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132"/>
                <w:sz w:val="20"/>
                <w:szCs w:val="20"/>
              </w:rPr>
              <w:t xml:space="preserve">Institutional Sector Focus</w:t>
            </w:r>
          </w:p>
        </w:tc>
        <w:tc>
          <w:tcPr>
            <w:tcW w:type="dxa" w:w="600"/>
            <w:tcBorders>
              <w:top w:val="single" w:color="BFD9C9" w:sz="6"/>
              <w:left w:val="single" w:color="BFD9C9" w:sz="6"/>
              <w:bottom w:val="single" w:color="BFD9C9" w:sz="6"/>
              <w:right w:val="single" w:color="BFD9C9" w:sz="6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5132"/>
          <w:sz w:val="32"/>
          <w:szCs w:val="32"/>
        </w:rPr>
        <w:t xml:space="preserve">7. What We Cannot Prevent</w:t>
      </w:r>
    </w:p>
    <w:p>
      <w:pPr>
        <w:spacing w:after="10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Honest acknowledgment is part of a credible strategy. These leakage cases will happen and should not be treated as failures: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Suppliers and organizers who meet at an event in person will exchange business cards. No platform on earth prevents this.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Pre-existing relationships from before Sevent existed will not move onto the platform. Stop targeting them.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Transactions under 10,000 SAR do not justify formal infrastructure. Skip them deliberately.</w:t>
      </w:r>
    </w:p>
    <w:p>
      <w:pPr>
        <w:spacing w:after="100" w:line="320"/>
        <w:jc w:val="left"/>
      </w:pPr>
      <w:r>
        <w:rPr>
          <w:rFonts w:ascii="Calibri" w:cs="Calibri" w:eastAsia="Calibri" w:hAnsi="Calibri"/>
          <w:b/>
          <w:bCs/>
          <w:color w:val="1F5132"/>
          <w:sz w:val="22"/>
          <w:szCs w:val="22"/>
        </w:rPr>
        <w:t xml:space="preserve">These are not losses. </w:t>
      </w:r>
      <w:r>
        <w:rPr>
          <w:rFonts w:ascii="Calibri" w:cs="Calibri" w:eastAsia="Calibri" w:hAnsi="Calibri"/>
          <w:sz w:val="22"/>
          <w:szCs w:val="22"/>
        </w:rPr>
        <w:t xml:space="preserve">They were never the addressable market. The target is transactions that benefit from the platform's infrastructure — not every event in Saudi Arabia.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color w:val="1F5132"/>
          <w:sz w:val="32"/>
          <w:szCs w:val="32"/>
        </w:rPr>
        <w:t xml:space="preserve">8. Conclusion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C7A4B"/>
          <w:sz w:val="26"/>
          <w:szCs w:val="26"/>
        </w:rPr>
        <w:t xml:space="preserve">The strategic frame in one sentence</w:t>
      </w:r>
    </w:p>
    <w:p>
      <w:pPr>
        <w:spacing w:after="100" w:line="320"/>
        <w:jc w:val="left"/>
      </w:pPr>
      <w:r>
        <w:rPr>
          <w:rFonts w:ascii="Calibri" w:cs="Calibri" w:eastAsia="Calibri" w:hAnsi="Calibri"/>
          <w:b/>
          <w:bCs/>
          <w:color w:val="1F5132"/>
          <w:sz w:val="22"/>
          <w:szCs w:val="22"/>
        </w:rPr>
        <w:t xml:space="preserve">Sevent's goal is not to prevent leakage but to make leakage economically irrational </w:t>
      </w:r>
      <w:r>
        <w:rPr>
          <w:rFonts w:ascii="Calibri" w:cs="Calibri" w:eastAsia="Calibri" w:hAnsi="Calibri"/>
          <w:sz w:val="22"/>
          <w:szCs w:val="22"/>
        </w:rPr>
        <w:t xml:space="preserve">for both sides — through subscription that stays paid regardless of customer source, low repeat-commission that rewards retention, ZATCA as a legal switching cost, and escrow that protects both parties.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C7A4B"/>
          <w:sz w:val="26"/>
          <w:szCs w:val="26"/>
        </w:rPr>
        <w:t xml:space="preserve">Verification before commitment</w:t>
      </w:r>
    </w:p>
    <w:p>
      <w:pPr>
        <w:spacing w:after="10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Three questions to answer with usage data before locking in this direction: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Are current Sevent users organizers, suppliers, or both? What is the ratio?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Which feature do they use most? This reveals the real product anchor.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What is the retention rate of suppliers vs. organizers? Whoever stays longer is who to invest in first.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C7A4B"/>
          <w:sz w:val="26"/>
          <w:szCs w:val="26"/>
        </w:rPr>
        <w:t xml:space="preserve">Next step</w:t>
      </w:r>
    </w:p>
    <w:p>
      <w:pPr>
        <w:spacing w:after="100" w:line="3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Pull usage data, answer the three questions above, and build a detailed roadmap for Phase 1 (Supplier SaaS) before adding any marketplace features. </w:t>
      </w:r>
      <w:r>
        <w:rPr>
          <w:rFonts w:ascii="Calibri" w:cs="Calibri" w:eastAsia="Calibri" w:hAnsi="Calibri"/>
          <w:sz w:val="22"/>
          <w:szCs w:val="22"/>
        </w:rPr>
        <w:t xml:space="preserve">The codebase already supports this direction — we deepen, not rewrite.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Sevent — Platform Strategy   |  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8"/>
        <w:szCs w:val="18"/>
      </w:rPr>
      <w:t xml:space="preserve"> of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51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C7A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2026-04-29T10:48:12.345Z</dcterms:created>
  <dcterms:modified xsi:type="dcterms:W3CDTF">2026-04-29T10:48:12.346Z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