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1200"/>
        <w:jc w:val="center"/>
      </w:pPr>
      <w:r>
        <w:rPr>
          <w:rFonts w:ascii="Calibri" w:cs="Calibri" w:eastAsia="Calibri" w:hAnsi="Calibri"/>
          <w:b/>
          <w:bCs/>
          <w:color w:val="1F5132"/>
          <w:sz w:val="56"/>
          <w:szCs w:val="56"/>
          <w:rtl/>
        </w:rPr>
        <w:t xml:space="preserve">منصة Sevent</w:t>
      </w:r>
    </w:p>
    <w:p>
      <w:pPr>
        <w:bidi/>
        <w:spacing w:after="200"/>
        <w:jc w:val="center"/>
      </w:pPr>
      <w:r>
        <w:rPr>
          <w:rFonts w:ascii="Calibri" w:cs="Calibri" w:eastAsia="Calibri" w:hAnsi="Calibri"/>
          <w:b/>
          <w:bCs/>
          <w:color w:val="333333"/>
          <w:sz w:val="32"/>
          <w:szCs w:val="32"/>
          <w:rtl/>
        </w:rPr>
        <w:t xml:space="preserve">تقرير تنفيذي: الميزات الجاهزة والميزات المخطط لها</w:t>
      </w:r>
    </w:p>
    <w:p>
      <w:pPr>
        <w:bidi/>
        <w:spacing w:after="80"/>
        <w:jc w:val="center"/>
      </w:pPr>
      <w:r>
        <w:rPr>
          <w:rFonts w:ascii="Calibri" w:cs="Calibri" w:eastAsia="Calibri" w:hAnsi="Calibri"/>
          <w:color w:val="555555"/>
          <w:sz w:val="24"/>
          <w:szCs w:val="24"/>
          <w:rtl/>
        </w:rPr>
        <w:t xml:space="preserve">موجَّه إلى: الرئيس التنفيذي · الرئيس التشغيلي · الرئيس الاستراتيجي · الرئيس المالي</w:t>
      </w:r>
    </w:p>
    <w:p>
      <w:pPr>
        <w:bidi/>
        <w:jc w:val="center"/>
      </w:pPr>
      <w:r>
        <w:rPr>
          <w:rFonts w:ascii="Calibri" w:cs="Calibri" w:eastAsia="Calibri" w:hAnsi="Calibri"/>
          <w:color w:val="777777"/>
          <w:sz w:val="22"/>
          <w:szCs w:val="22"/>
          <w:rtl/>
        </w:rPr>
        <w:t xml:space="preserve">تاريخ التقرير: 3 مايو 2026</w:t>
      </w:r>
    </w:p>
    <w:p>
      <w:r>
        <w:br w:type="page"/>
      </w:r>
    </w:p>
    <w:p>
      <w:pPr>
        <w:pStyle w:val="Heading1"/>
        <w:bidi/>
        <w:spacing w:after="180" w:before="320"/>
        <w:jc w:val="left"/>
      </w:pPr>
      <w:r>
        <w:rPr>
          <w:rFonts w:ascii="Calibri" w:cs="Calibri" w:eastAsia="Calibri" w:hAnsi="Calibri"/>
          <w:b/>
          <w:bCs/>
          <w:color w:val="1F5132"/>
          <w:sz w:val="36"/>
          <w:szCs w:val="36"/>
          <w:rtl/>
        </w:rPr>
        <w:t xml:space="preserve">الملخص التنفيذي</w:t>
      </w:r>
    </w:p>
    <w:p>
      <w:pPr>
        <w:bidi/>
        <w:spacing w:after="120" w:line="360"/>
        <w:jc w:val="left"/>
      </w:pPr>
      <w:r>
        <w:rPr>
          <w:rFonts w:ascii="Calibri" w:cs="Calibri" w:eastAsia="Calibri" w:hAnsi="Calibri"/>
          <w:sz w:val="24"/>
          <w:szCs w:val="24"/>
          <w:rtl/>
        </w:rPr>
        <w:t xml:space="preserve">Sevent سوق رقمي مُدار يخدم قطاع الفعاليات في المملكة العربية السعودية. يربط الجهات المُنظِّمة (الشركات، الجهات الحكومية وشبه الحكومية، ووكالات الفعاليات) بالموردين (القاعات، التموين، التصوير، الديكور، وغيرها). يستهدف الإصدار الأول تجربة رائدة مع 20–30 موردًا منتقًى في الرياض وجدة عبر طلبات عروض حقيقية.</w:t>
      </w:r>
    </w:p>
    <w:p>
      <w:pPr>
        <w:bidi/>
        <w:spacing w:after="120" w:line="360"/>
        <w:jc w:val="left"/>
      </w:pPr>
      <w:r>
        <w:rPr>
          <w:rFonts w:ascii="Calibri" w:cs="Calibri" w:eastAsia="Calibri" w:hAnsi="Calibri"/>
          <w:sz w:val="24"/>
          <w:szCs w:val="24"/>
          <w:rtl/>
        </w:rPr>
        <w:t xml:space="preserve">هذا التقرير موجز تنفيذي يغطي: (1) الميزات الجاهزة العاملة فعليًا اليوم، (2) الميزات المرئية للمستخدم بوسم «قريبًا»، (3) الميزات المؤجلة إلى الإصدار الثاني، و(4) القرارات الاستراتيجية الجوهرية.</w:t>
      </w:r>
    </w:p>
    <w:p>
      <w:pPr>
        <w:pStyle w:val="Heading2"/>
        <w:bidi/>
        <w:spacing w:after="120" w:before="220"/>
        <w:jc w:val="left"/>
      </w:pPr>
      <w:r>
        <w:rPr>
          <w:rFonts w:ascii="Calibri" w:cs="Calibri" w:eastAsia="Calibri" w:hAnsi="Calibri"/>
          <w:b/>
          <w:bCs/>
          <w:color w:val="2C7A4B"/>
          <w:sz w:val="28"/>
          <w:szCs w:val="28"/>
          <w:rtl/>
        </w:rPr>
        <w:t xml:space="preserve">أبرز النقاط</w:t>
      </w:r>
    </w:p>
    <w:p>
      <w:pPr>
        <w:pStyle w:val="ListParagraph"/>
        <w:numPr>
          <w:ilvl w:val="0"/>
          <w:numId w:val="2"/>
        </w:numPr>
        <w:bidi/>
        <w:spacing w:after="60"/>
        <w:jc w:val="left"/>
      </w:pPr>
      <w:r>
        <w:rPr>
          <w:rFonts w:ascii="Calibri" w:cs="Calibri" w:eastAsia="Calibri" w:hAnsi="Calibri"/>
          <w:sz w:val="24"/>
          <w:szCs w:val="24"/>
          <w:rtl/>
        </w:rPr>
        <w:t xml:space="preserve">ثلاث واجهات متكاملة عاملة: المُنظِّم، المورد، والإدارة الداخلية، مع نظام صلاحيات دقيق يحدد ما يراه كل مستخدم حسب حالته.</w:t>
      </w:r>
    </w:p>
    <w:p>
      <w:pPr>
        <w:pStyle w:val="ListParagraph"/>
        <w:numPr>
          <w:ilvl w:val="0"/>
          <w:numId w:val="2"/>
        </w:numPr>
        <w:bidi/>
        <w:spacing w:after="60"/>
        <w:jc w:val="left"/>
      </w:pPr>
      <w:r>
        <w:rPr>
          <w:rFonts w:ascii="Calibri" w:cs="Calibri" w:eastAsia="Calibri" w:hAnsi="Calibri"/>
          <w:sz w:val="24"/>
          <w:szCs w:val="24"/>
          <w:rtl/>
        </w:rPr>
        <w:t xml:space="preserve">دورة عمل كاملة من البداية للنهاية: تسجيل المورد ⟵ التحقق من الوثائق ⟵ نشر طلب العرض ⟵ المطابقة الذكية ⟵ التسعير ⟵ توقيع العقد ⟵ الحجز المؤكد.</w:t>
      </w:r>
    </w:p>
    <w:p>
      <w:pPr>
        <w:pStyle w:val="ListParagraph"/>
        <w:numPr>
          <w:ilvl w:val="0"/>
          <w:numId w:val="2"/>
        </w:numPr>
        <w:bidi/>
        <w:spacing w:after="60"/>
        <w:jc w:val="left"/>
      </w:pPr>
      <w:r>
        <w:rPr>
          <w:rFonts w:ascii="Calibri" w:cs="Calibri" w:eastAsia="Calibri" w:hAnsi="Calibri"/>
          <w:sz w:val="24"/>
          <w:szCs w:val="24"/>
          <w:rtl/>
        </w:rPr>
        <w:t xml:space="preserve">المدفوعات في الإصدار الحالي خارج المنصة (تحويل بنكي)؛ المنصة توثّق كل الحالات وتُصدر عقود PDF غير قابلة للتعديل.</w:t>
      </w:r>
    </w:p>
    <w:p>
      <w:pPr>
        <w:pStyle w:val="ListParagraph"/>
        <w:numPr>
          <w:ilvl w:val="0"/>
          <w:numId w:val="2"/>
        </w:numPr>
        <w:bidi/>
        <w:spacing w:after="60"/>
        <w:jc w:val="left"/>
      </w:pPr>
      <w:r>
        <w:rPr>
          <w:rFonts w:ascii="Calibri" w:cs="Calibri" w:eastAsia="Calibri" w:hAnsi="Calibri"/>
          <w:sz w:val="24"/>
          <w:szCs w:val="24"/>
          <w:rtl/>
        </w:rPr>
        <w:t xml:space="preserve">الواجهة ثنائية اللغة (عربي/إنجليزي) بدعم كامل للاتجاه من اليمين إلى اليسار من اليوم الأول.</w:t>
      </w:r>
    </w:p>
    <w:p>
      <w:pPr>
        <w:pStyle w:val="ListParagraph"/>
        <w:numPr>
          <w:ilvl w:val="0"/>
          <w:numId w:val="2"/>
        </w:numPr>
        <w:bidi/>
        <w:spacing w:after="60"/>
        <w:jc w:val="left"/>
      </w:pPr>
      <w:r>
        <w:rPr>
          <w:rFonts w:ascii="Calibri" w:cs="Calibri" w:eastAsia="Calibri" w:hAnsi="Calibri"/>
          <w:sz w:val="24"/>
          <w:szCs w:val="24"/>
          <w:rtl/>
        </w:rPr>
        <w:t xml:space="preserve">خارطة طريق واضحة للإصدار الثاني تشمل المدفوعات على المنصة (مصدر الإيراد الأساسي)، الكتالوج التفاعلي، والإدخال الذكي للموردين.</w:t>
      </w:r>
    </w:p>
    <w:p>
      <w:r>
        <w:br w:type="page"/>
      </w:r>
    </w:p>
    <w:p>
      <w:pPr>
        <w:pStyle w:val="Heading1"/>
        <w:bidi/>
        <w:spacing w:after="180" w:before="320"/>
        <w:jc w:val="left"/>
      </w:pPr>
      <w:r>
        <w:rPr>
          <w:rFonts w:ascii="Calibri" w:cs="Calibri" w:eastAsia="Calibri" w:hAnsi="Calibri"/>
          <w:b/>
          <w:bCs/>
          <w:color w:val="1F5132"/>
          <w:sz w:val="36"/>
          <w:szCs w:val="36"/>
          <w:rtl/>
        </w:rPr>
        <w:t xml:space="preserve">أولًا: الميزات الجاهزة والعاملة اليوم</w:t>
      </w:r>
    </w:p>
    <w:p>
      <w:pPr>
        <w:bidi/>
        <w:spacing w:after="120" w:line="360"/>
        <w:jc w:val="left"/>
      </w:pPr>
      <w:r>
        <w:rPr>
          <w:rFonts w:ascii="Calibri" w:cs="Calibri" w:eastAsia="Calibri" w:hAnsi="Calibri"/>
          <w:sz w:val="24"/>
          <w:szCs w:val="24"/>
          <w:rtl/>
        </w:rPr>
        <w:t xml:space="preserve">الميزات أدناه مُطبَّقة فعليًا في المنصة وتعمل من البداية إلى النهاية، مُجمَّعة حسب المستخدم المستهدف.</w:t>
      </w:r>
    </w:p>
    <w:p>
      <w:pPr>
        <w:pStyle w:val="Heading2"/>
        <w:bidi/>
        <w:spacing w:after="120" w:before="220"/>
        <w:jc w:val="left"/>
      </w:pPr>
      <w:r>
        <w:rPr>
          <w:rFonts w:ascii="Calibri" w:cs="Calibri" w:eastAsia="Calibri" w:hAnsi="Calibri"/>
          <w:b/>
          <w:bCs/>
          <w:color w:val="2C7A4B"/>
          <w:sz w:val="28"/>
          <w:szCs w:val="28"/>
          <w:rtl/>
        </w:rPr>
        <w:t xml:space="preserve">1) واجهة المُنظِّم (الشركات والجهات الحكومية والوكالات)</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000"/>
        <w:gridCol w:w="4000"/>
        <w:gridCol w:w="2360"/>
      </w:tblGrid>
      <w:tr>
        <w:trPr>
          <w:tblHeader/>
        </w:trPr>
        <w:tc>
          <w:tcPr>
            <w:tcW w:type="dxa" w:w="3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الميزة</w:t>
            </w:r>
          </w:p>
        </w:tc>
        <w:tc>
          <w:tcPr>
            <w:tcW w:type="dxa" w:w="4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الوصف</w:t>
            </w:r>
          </w:p>
        </w:tc>
        <w:tc>
          <w:tcPr>
            <w:tcW w:type="dxa" w:w="236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القيمة للأعمال</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لوحة تحكم رئيسية</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أربعة مؤشرات سريعة: إجمالي الفعاليات، طلبات العروض النشطة، العروض قيد الانتظار، الحجوزات المؤكدة.</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نظرة شاملة فورية لتحديد الأولويات.</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إدارة الفعاليات</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إنشاء الفعالية وتعديلها مع التاريخ والمدينة وعدد الضيوف وعنوان المكان والميزانية.</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تنظيم كامل لكل فعالية في مكان واحد.</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معالج طلبات العروض (4 خطوات)</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معالج تدريجي لإرسال طلب عرض منظَّم بمتطلبات التصنيف، آخر موعد للرد، وقائمة موردين مختصرة.</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جودة طلب أعلى وردود أكثر دقة من الموردين.</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المطابقة الذكية للموردين</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اقتراح أفضل خمسة موردين تلقائيًا حسب الموقع والإتاحة وتاريخ الفعالية والتخصص.</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توفير وقت طويل في البحث وتوزيع عادل للفرص.</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النشر في سوق الفرص</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زر لنشر طلب العرض في السوق المفتوحة لاكتشافه ذاتيًا، أو إبقاؤه بدعوة فقط.</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مرونة بين السرية والوصول الواسع.</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شبكة مقارنة العروض</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مقارنة جنبًا إلى جنب لجميع العروض، قابلة للفرز والتصفية حسب السعر والعربون والرسوم وانتهاء الصلاحية.</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قرار شراء أسرع وأكثر شفافية.</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العروض الفنية والمستندات</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طلب عرض فني تفصيلي بصيغة PDF من المورد ومرفقاته داخل المنصة.</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ملف مكتمل لكل صفقة دون اللجوء للبريد.</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التصدير: CSV و PDF</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تصدير المقارنات لمراجعتها خارجيًا أو مشاركتها مع لجنة المشتريات.</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تكامل سلس مع إجراءات الشراء الداخلية.</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قبول العرض وإنشاء الحجز</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قبول عرض ينشئ حجزًا مع مهلة تأكيد للمورد مدتها 48 ساعة.</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منع الحجز المزدوج وحماية وقت الفعالية.</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كشف تعارض المواعيد</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تنبيه عند وجود تعارض في تقويم المورد قبل قبول العرض.</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تجنّب أزمات اللحظة الأخيرة.</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إدارة الحجوزات</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استعراض كل الحجوزات بفلاتر الحالة (في انتظار المورد، مؤكد، ملغي) والمواعيد النهائية.</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متابعة دقيقة لكل التزام تشغيلي.</w:t>
            </w:r>
          </w:p>
        </w:tc>
      </w:tr>
    </w:tbl>
    <w:p>
      <w:r>
        <w:br w:type="page"/>
      </w:r>
    </w:p>
    <w:p>
      <w:pPr>
        <w:pStyle w:val="Heading2"/>
        <w:bidi/>
        <w:spacing w:after="120" w:before="220"/>
        <w:jc w:val="left"/>
      </w:pPr>
      <w:r>
        <w:rPr>
          <w:rFonts w:ascii="Calibri" w:cs="Calibri" w:eastAsia="Calibri" w:hAnsi="Calibri"/>
          <w:b/>
          <w:bCs/>
          <w:color w:val="2C7A4B"/>
          <w:sz w:val="28"/>
          <w:szCs w:val="28"/>
          <w:rtl/>
        </w:rPr>
        <w:t xml:space="preserve">2) واجهة المورد</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000"/>
        <w:gridCol w:w="4000"/>
        <w:gridCol w:w="2360"/>
      </w:tblGrid>
      <w:tr>
        <w:trPr>
          <w:tblHeader/>
        </w:trPr>
        <w:tc>
          <w:tcPr>
            <w:tcW w:type="dxa" w:w="3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الميزة</w:t>
            </w:r>
          </w:p>
        </w:tc>
        <w:tc>
          <w:tcPr>
            <w:tcW w:type="dxa" w:w="4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الوصف</w:t>
            </w:r>
          </w:p>
        </w:tc>
        <w:tc>
          <w:tcPr>
            <w:tcW w:type="dxa" w:w="236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القيمة للأعمال</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معالج الانضمام (3 خطوات)</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بيانات النشاط، التصنيفات الخدمية، والتحقق من الوثائق (الهوية الوطنية، الآيبان، الملف التعريفي).</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مدخل منظَّم يضمن اكتمال البيانات قبل الاعتماد.</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لوحة تحكم المورد</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إحصاءات سريعة (الدعوات المفتوحة، معدل الاستجابة، معدل الفوز)، طلبات حديثة بعدّاد تنازلي، شريط تقدّم الرحلة.</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وضوح فوري لما يحتاج للتحرك.</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الصفحة العامة (/s/[الاسم])</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صفحة احترافية تشمل الاسم، شارة التحقق، السيرة، نطاق الخدمة، اللغات، المعرض، الباقات، وملخص التقييمات.</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ظهور عضوي بمحركات البحث وتحويل الزوار إلى طلبات.</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تخصيص الملف الشخصي</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تعديل السيرة، اختيار اللون المميز، إعادة ترتيب الأقسام (سيرة، باقات، معرض، تقييمات).</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تمييز هوية المورد بصريًا.</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معرض الأعمال</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رفع صور وملفات PDF لأعمال سابقة مع الشروحات وإعادة ترتيبها بالسحب.</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دليل بصري قوي يرفع نسبة التحويل.</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التقويم وإدارة الإتاحة</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شبكة شهرية للحجوزات وفترات الإغلاق اليدوي مع إضافة وتعديل وحذف.</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لا حجز مزدوج ولا فوضى مواعيد.</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صندوق طلبات العروض</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استعراض الدعوات الواردة وتفاصيل الفعالية والمتطلبات والرد بعرض أو الاعتذار قبل المهلة.</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استجابة موحَّدة بدلًا من تشتت الواتساب والبريد.</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منشئ العروض</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صياغة وإرسال عرض (بنود حرّة أو بمساعدة محرك التسعير)، إرفاق عرض فني PDF، التعديل وإعادة الإرسال.</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سرعة وجودة في إعداد العروض.</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سوق الفرص</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تصفّح طلبات العروض المنشورة بفلاتر المدينة ونوع الفعالية والميزانية والتاريخ، ثم التقديم.</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نمو الإيرادات بدلًا من الانتظار السلبي للدعوات.</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قائمة الحجوزات</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الحجوزات المؤكدة وقيد الانتظار مع بيانات المُنظِّم وتاريخ الفعالية وقيمة العرض.</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متابعة الالتزامات في مكان واحد.</w:t>
            </w:r>
          </w:p>
        </w:tc>
      </w:tr>
    </w:tbl>
    <w:p>
      <w:r>
        <w:br w:type="page"/>
      </w:r>
    </w:p>
    <w:p>
      <w:pPr>
        <w:pStyle w:val="Heading2"/>
        <w:bidi/>
        <w:spacing w:after="120" w:before="220"/>
        <w:jc w:val="left"/>
      </w:pPr>
      <w:r>
        <w:rPr>
          <w:rFonts w:ascii="Calibri" w:cs="Calibri" w:eastAsia="Calibri" w:hAnsi="Calibri"/>
          <w:b/>
          <w:bCs/>
          <w:color w:val="2C7A4B"/>
          <w:sz w:val="28"/>
          <w:szCs w:val="28"/>
          <w:rtl/>
        </w:rPr>
        <w:t xml:space="preserve">3) الإدارة الداخلية والواجهة العامة والقدرات المشتركة</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000"/>
        <w:gridCol w:w="4000"/>
        <w:gridCol w:w="2360"/>
      </w:tblGrid>
      <w:tr>
        <w:trPr>
          <w:tblHeader/>
        </w:trPr>
        <w:tc>
          <w:tcPr>
            <w:tcW w:type="dxa" w:w="3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الميزة</w:t>
            </w:r>
          </w:p>
        </w:tc>
        <w:tc>
          <w:tcPr>
            <w:tcW w:type="dxa" w:w="4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الوصف</w:t>
            </w:r>
          </w:p>
        </w:tc>
        <w:tc>
          <w:tcPr>
            <w:tcW w:type="dxa" w:w="236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القيمة للأعمال</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لوحة الإدارة الداخلية</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ملخص أعداد الموردين (قيد المراجعة، معتمد، مرفوض) مع معاينة قائمة المراجعة وآخر الإشعارات.</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تحكم تشغيلي مركزي وفوري.</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مراجعة الموردين والاعتماد</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قائمة مرتبة (25 لكل صفحة) مع فلاتر الحالة، صفحات تفصيل لمراجعة الوثائق، اعتماد أو رفض الطلب.</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ضمان جودة كل مورد قبل ظهوره للجمهور.</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إدارة التغذية الراجعة</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متابعة الملاحظات بفلاتر الحالة (جديد، قيد المعالجة، تم) والدور والتصنيف، مع لقطات شاشة موقَّعة.</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تحسين سريع للمنتج خلال التجربة الرائدة.</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الصفحة الرئيسية للزوار</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قسم تعريفي، شارات الامتثال السعودي، تدفق رحلة من 4 خطوات، شبكة تصنيفات بأرقام حية، شهادات، أسئلة شائعة.</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بوابة تسويقية متكاملة لجذب الموردين والمنظمين.</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استعراض التصنيفات</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شبكة بكل التصنيفات الرئيسية مع عدد الموردين، ثم تعمّق إلى التصنيف الفرعي.</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اكتشاف منظَّم بدون تسجيل دخول.</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الصفحات القانونية</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شروط الاستخدام وسياسة الخصوصية بالعربية والإنجليزية.</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تأسيس قانوني للنشاط في السوق المحلي.</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نظام الإشعارات</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إشعارات داخل التطبيق (9+ أنواع: اعتماد المورد، رد العروض، إنشاء الحجز...) وإشعارات بريدية بقوالب مخصَّصة عبر مزوّد البريد.</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تواصل لحظي يقلل التسرّب في كل مرحلة.</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العقود الإلكترونية</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توليد عقد PDF مرتبط بنسخة العرض المقبولة، بختم تشفيري لا يقبل التعديل بعد القبول.</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توثيق قانوني يحمي الطرفين ويقلل النزاعات.</w:t>
            </w:r>
          </w:p>
        </w:tc>
      </w:tr>
      <w:tr>
        <w:tc>
          <w:tcPr>
            <w:tcW w:type="dxa" w:w="3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b/>
                <w:bCs/>
                <w:color w:val="000000"/>
                <w:sz w:val="21"/>
                <w:szCs w:val="21"/>
                <w:rtl/>
              </w:rPr>
              <w:t xml:space="preserve">الواجهة ثنائية اللغة</w:t>
            </w:r>
          </w:p>
        </w:tc>
        <w:tc>
          <w:tcPr>
            <w:tcW w:type="dxa" w:w="400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دعم كامل للعربية والإنجليزية مع اتجاه يمين-يسار طبيعي.</w:t>
            </w:r>
          </w:p>
        </w:tc>
        <w:tc>
          <w:tcPr>
            <w:tcW w:type="dxa" w:w="2360"/>
            <w:tcBorders>
              <w:top w:val="single" w:color="BFD9C9" w:sz="6"/>
              <w:left w:val="single" w:color="BFD9C9" w:sz="6"/>
              <w:bottom w:val="single" w:color="BFD9C9" w:sz="6"/>
              <w:right w:val="single" w:color="BFD9C9" w:sz="6"/>
            </w:tcBorders>
            <w:vAlign w:val="center"/>
          </w:tcPr>
          <w:p>
            <w:pPr>
              <w:bidi/>
              <w:spacing w:after="40" w:before="40"/>
              <w:jc w:val="left"/>
            </w:pPr>
            <w:r>
              <w:rPr>
                <w:rFonts w:ascii="Calibri" w:cs="Calibri" w:eastAsia="Calibri" w:hAnsi="Calibri"/>
                <w:color w:val="000000"/>
                <w:sz w:val="21"/>
                <w:szCs w:val="21"/>
                <w:rtl/>
              </w:rPr>
              <w:t xml:space="preserve">جاهزية تامة للسوق السعودي مع قابلية التوسع.</w:t>
            </w:r>
          </w:p>
        </w:tc>
      </w:tr>
      <w:tr>
        <w:tc>
          <w:tcPr>
            <w:tcW w:type="dxa" w:w="3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b/>
                <w:bCs/>
                <w:color w:val="000000"/>
                <w:sz w:val="21"/>
                <w:szCs w:val="21"/>
                <w:rtl/>
              </w:rPr>
              <w:t xml:space="preserve">التغذية الراجعة داخل التطبيق</w:t>
            </w:r>
          </w:p>
        </w:tc>
        <w:tc>
          <w:tcPr>
            <w:tcW w:type="dxa" w:w="400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أداة موحَّدة لجميع المستخدمين لإرسال ملاحظات أو إبلاغات مباشرة من أي صفحة.</w:t>
            </w:r>
          </w:p>
        </w:tc>
        <w:tc>
          <w:tcPr>
            <w:tcW w:type="dxa" w:w="2360"/>
            <w:tcBorders>
              <w:top w:val="single" w:color="BFD9C9" w:sz="6"/>
              <w:left w:val="single" w:color="BFD9C9" w:sz="6"/>
              <w:bottom w:val="single" w:color="BFD9C9" w:sz="6"/>
              <w:right w:val="single" w:color="BFD9C9" w:sz="6"/>
            </w:tcBorders>
            <w:shd w:fill="F0F7F2" w:val="clear"/>
            <w:vAlign w:val="center"/>
          </w:tcPr>
          <w:p>
            <w:pPr>
              <w:bidi/>
              <w:spacing w:after="40" w:before="40"/>
              <w:jc w:val="left"/>
            </w:pPr>
            <w:r>
              <w:rPr>
                <w:rFonts w:ascii="Calibri" w:cs="Calibri" w:eastAsia="Calibri" w:hAnsi="Calibri"/>
                <w:color w:val="000000"/>
                <w:sz w:val="21"/>
                <w:szCs w:val="21"/>
                <w:rtl/>
              </w:rPr>
              <w:t xml:space="preserve">اتصال مباشر بصوت العميل خلال التجربة الرائدة.</w:t>
            </w:r>
          </w:p>
        </w:tc>
      </w:tr>
    </w:tbl>
    <w:p>
      <w:r>
        <w:br w:type="page"/>
      </w:r>
    </w:p>
    <w:p>
      <w:pPr>
        <w:pStyle w:val="Heading1"/>
        <w:bidi/>
        <w:spacing w:after="180" w:before="320"/>
        <w:jc w:val="left"/>
      </w:pPr>
      <w:r>
        <w:rPr>
          <w:rFonts w:ascii="Calibri" w:cs="Calibri" w:eastAsia="Calibri" w:hAnsi="Calibri"/>
          <w:b/>
          <w:bCs/>
          <w:color w:val="1F5132"/>
          <w:sz w:val="36"/>
          <w:szCs w:val="36"/>
          <w:rtl/>
        </w:rPr>
        <w:t xml:space="preserve">ثانيًا: الميزات المخطط لها (الإصدار الثاني وما بعده)</w:t>
      </w:r>
    </w:p>
    <w:p>
      <w:pPr>
        <w:bidi/>
        <w:spacing w:after="120" w:line="360"/>
        <w:jc w:val="left"/>
      </w:pPr>
      <w:r>
        <w:rPr>
          <w:rFonts w:ascii="Calibri" w:cs="Calibri" w:eastAsia="Calibri" w:hAnsi="Calibri"/>
          <w:sz w:val="24"/>
          <w:szCs w:val="24"/>
          <w:rtl/>
        </w:rPr>
        <w:t xml:space="preserve">الميزات التالية محدَّدة في خارطة الطريق وموثَّقة، إما مرئية في المنصة كـ«قريبًا» أو مؤجَّلة باتفاق مع القيادة بعد التجربة الرائدة.</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000"/>
        <w:gridCol w:w="4000"/>
        <w:gridCol w:w="2360"/>
      </w:tblGrid>
      <w:tr>
        <w:trPr>
          <w:tblHeader/>
        </w:trPr>
        <w:tc>
          <w:tcPr>
            <w:tcW w:type="dxa" w:w="3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الميزة</w:t>
            </w:r>
          </w:p>
        </w:tc>
        <w:tc>
          <w:tcPr>
            <w:tcW w:type="dxa" w:w="400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الوصف الموجز</w:t>
            </w:r>
          </w:p>
        </w:tc>
        <w:tc>
          <w:tcPr>
            <w:tcW w:type="dxa" w:w="2360"/>
            <w:tcBorders>
              <w:top w:val="single" w:color="BFD9C9" w:sz="6"/>
              <w:left w:val="single" w:color="BFD9C9" w:sz="6"/>
              <w:bottom w:val="single" w:color="BFD9C9" w:sz="6"/>
              <w:right w:val="single" w:color="BFD9C9" w:sz="6"/>
            </w:tcBorders>
            <w:shd w:fill="2C7A4B" w:val="clear"/>
            <w:vAlign w:val="center"/>
          </w:tcPr>
          <w:p>
            <w:pPr>
              <w:bidi/>
              <w:spacing w:after="40" w:before="40"/>
              <w:jc w:val="left"/>
            </w:pPr>
            <w:r>
              <w:rPr>
                <w:rFonts w:ascii="Calibri" w:cs="Calibri" w:eastAsia="Calibri" w:hAnsi="Calibri"/>
                <w:b/>
                <w:bCs/>
                <w:color w:val="FFFFFF"/>
                <w:sz w:val="21"/>
                <w:szCs w:val="21"/>
                <w:rtl/>
              </w:rPr>
              <w:t xml:space="preserve">الأثر المتوقع</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الكتالوج التفاعلي وقواعد التسعير</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يعرض المورد باقاته وأسعاره وقواعد الكميات والإضافات وفروقات المسافة والمدة. (ظاهر اليوم بوسم «قريبًا في الإصدار الثاني»).</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تسريع تحويل الزائر إلى عميل وتقليل التفاوض.</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المدفوعات على المنصة وفواتير ZATCA</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بوابة دفع محلية، نظام ضمان (Escrow)، وفوترة متوافقة مع هيئة الزكاة والدخل.</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مصدر إيراد رئيسي عبر العمولة، وثقة أعلى لدى المنظمين.</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الإدخال الذكي من موقع المورد</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استخراج بيانات المورد تلقائيًا من موقعه عبر الذكاء الاصطناعي، ثم مراجعتها داخليًا قبل النشر.</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تقليل وقت الانضمام بشكل كبير لمن لا يجيدون الكتابة الطويلة.</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الإدخال الصوتي بالعربية</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إملاء الحقول الطويلة (السيرة، متطلبات الفعالية) صوتيًا.</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شمولية أكبر للموردين منخفضي القراءة والكتابة.</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الحساب مزدوج الدور</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حساب واحد يعمل كمورد ومُنظِّم في الوقت ذاته مع زر للتبديل.</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توسيع شريحة المستخدمين ومنع الحسابات المكررة.</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منشئ صفحات بالسحب والإفلات</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تصميم احترافي لصفحة المورد العامة بأقسام مرنة قابلة للتخصيص.</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تمييز الموردين الكبار وزيادة احترافية الواجهة العامة.</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صفحات هبوط حسب نوع المناسبة</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صفحات مخصَّصة لكل قطاع (مناسبات خاصة، شركات، حكومي) مع روابط للتصنيفات.</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استهداف تسويقي أدق وتحسين ظهور المنصة في محركات البحث.</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استيراد المحتوى من إنستغرام</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جلب آخر صور وأعمال المورد من حسابه الرسمي بعد إذنه.</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إثراء معارض الأعمال دون جهد إضافي.</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لوحات مؤشرات الأداء</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مؤشرات أداء مفصَّلة للموردين وللإدارة الداخلية.</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قرارات أعمق مبنية على البيانات.</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مكتبة قوالب العروض</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قوالب جاهزة لتسريع إعداد العروض المتكررة.</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توفير وقت المورد وزيادة سرعة الاستجابة.</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فلاتر بحث متقدمة وإشعارات الجوال</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فلترة عامة حسب التاريخ والتقييم والسعر، مع إشعارات Push على الجوال.</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تجربة بحث أكثر دقة وتفاعل أسرع مع المستخدمين.</w:t>
            </w:r>
          </w:p>
        </w:tc>
      </w:tr>
      <w:tr>
        <w:tc>
          <w:tcPr>
            <w:tcW w:type="dxa" w:w="3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b/>
                <w:bCs/>
                <w:color w:val="000000"/>
                <w:sz w:val="21"/>
                <w:szCs w:val="21"/>
                <w:rtl/>
              </w:rPr>
              <w:t xml:space="preserve">رفع مقاطع الفيديو وخريطة موقع SEO</w:t>
            </w:r>
          </w:p>
        </w:tc>
        <w:tc>
          <w:tcPr>
            <w:tcW w:type="dxa" w:w="400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دعم الفيديو في المعرض، وخريطة موقع تلقائية لتحسين أرشفة الموردين.</w:t>
            </w:r>
          </w:p>
        </w:tc>
        <w:tc>
          <w:tcPr>
            <w:tcW w:type="dxa" w:w="2360"/>
            <w:tcBorders>
              <w:top w:val="single" w:color="BFD9C9" w:sz="6"/>
              <w:left w:val="single" w:color="BFD9C9" w:sz="6"/>
              <w:bottom w:val="single" w:color="BFD9C9" w:sz="6"/>
              <w:right w:val="single" w:color="BFD9C9" w:sz="6"/>
            </w:tcBorders>
            <w:shd w:fill="FFF6E0" w:val="clear"/>
            <w:vAlign w:val="center"/>
          </w:tcPr>
          <w:p>
            <w:pPr>
              <w:bidi/>
              <w:spacing w:after="40" w:before="40"/>
              <w:jc w:val="left"/>
            </w:pPr>
            <w:r>
              <w:rPr>
                <w:rFonts w:ascii="Calibri" w:cs="Calibri" w:eastAsia="Calibri" w:hAnsi="Calibri"/>
                <w:color w:val="000000"/>
                <w:sz w:val="21"/>
                <w:szCs w:val="21"/>
                <w:rtl/>
              </w:rPr>
              <w:t xml:space="preserve">ظهور بصري وعضوي أقوى للمنصة.</w:t>
            </w:r>
          </w:p>
        </w:tc>
      </w:tr>
    </w:tbl>
    <w:p>
      <w:r>
        <w:br w:type="page"/>
      </w:r>
    </w:p>
    <w:p>
      <w:pPr>
        <w:pStyle w:val="Heading1"/>
        <w:bidi/>
        <w:spacing w:after="180" w:before="320"/>
        <w:jc w:val="left"/>
      </w:pPr>
      <w:r>
        <w:rPr>
          <w:rFonts w:ascii="Calibri" w:cs="Calibri" w:eastAsia="Calibri" w:hAnsi="Calibri"/>
          <w:b/>
          <w:bCs/>
          <w:color w:val="1F5132"/>
          <w:sz w:val="36"/>
          <w:szCs w:val="36"/>
          <w:rtl/>
        </w:rPr>
        <w:t xml:space="preserve">ثالثًا: ملاحظات استراتيجية للقيادة</w:t>
      </w:r>
    </w:p>
    <w:p>
      <w:pPr>
        <w:pStyle w:val="Heading2"/>
        <w:bidi/>
        <w:spacing w:after="120" w:before="220"/>
        <w:jc w:val="left"/>
      </w:pPr>
      <w:r>
        <w:rPr>
          <w:rFonts w:ascii="Calibri" w:cs="Calibri" w:eastAsia="Calibri" w:hAnsi="Calibri"/>
          <w:b/>
          <w:bCs/>
          <w:color w:val="2C7A4B"/>
          <w:sz w:val="28"/>
          <w:szCs w:val="28"/>
          <w:rtl/>
        </w:rPr>
        <w:t xml:space="preserve">النموذج التشغيلي الحالي</w:t>
      </w:r>
    </w:p>
    <w:p>
      <w:pPr>
        <w:pStyle w:val="ListParagraph"/>
        <w:numPr>
          <w:ilvl w:val="0"/>
          <w:numId w:val="2"/>
        </w:numPr>
        <w:bidi/>
        <w:spacing w:after="60"/>
        <w:jc w:val="left"/>
      </w:pPr>
      <w:r>
        <w:rPr>
          <w:rFonts w:ascii="Calibri" w:cs="Calibri" w:eastAsia="Calibri" w:hAnsi="Calibri"/>
          <w:sz w:val="24"/>
          <w:szCs w:val="24"/>
          <w:rtl/>
        </w:rPr>
        <w:t xml:space="preserve">التجربة الرائدة محصورة جغرافيًا في الرياض وجدة، مع شريحة موردين منتقاة (~20–30 موردًا) لضمان جودة التجربة قبل التوسع.</w:t>
      </w:r>
    </w:p>
    <w:p>
      <w:pPr>
        <w:pStyle w:val="ListParagraph"/>
        <w:numPr>
          <w:ilvl w:val="0"/>
          <w:numId w:val="2"/>
        </w:numPr>
        <w:bidi/>
        <w:spacing w:after="60"/>
        <w:jc w:val="left"/>
      </w:pPr>
      <w:r>
        <w:rPr>
          <w:rFonts w:ascii="Calibri" w:cs="Calibri" w:eastAsia="Calibri" w:hAnsi="Calibri"/>
          <w:sz w:val="24"/>
          <w:szCs w:val="24"/>
          <w:rtl/>
        </w:rPr>
        <w:t xml:space="preserve">نموذج «سوق مُدار» يضمن جودة كل مورد قبل ظهوره، بدلًا من نموذج المناقصات المفتوحة التقليدي.</w:t>
      </w:r>
    </w:p>
    <w:p>
      <w:pPr>
        <w:pStyle w:val="ListParagraph"/>
        <w:numPr>
          <w:ilvl w:val="0"/>
          <w:numId w:val="2"/>
        </w:numPr>
        <w:bidi/>
        <w:spacing w:after="60"/>
        <w:jc w:val="left"/>
      </w:pPr>
      <w:r>
        <w:rPr>
          <w:rFonts w:ascii="Calibri" w:cs="Calibri" w:eastAsia="Calibri" w:hAnsi="Calibri"/>
          <w:sz w:val="24"/>
          <w:szCs w:val="24"/>
          <w:rtl/>
        </w:rPr>
        <w:t xml:space="preserve">كل تغيير في حالة الحجز موثَّق بختم زمني وهوية الفاعل، مما يوفّر مسار تدقيق كامل لأي نزاع لاحق.</w:t>
      </w:r>
    </w:p>
    <w:p>
      <w:pPr>
        <w:pStyle w:val="Heading2"/>
        <w:bidi/>
        <w:spacing w:after="120" w:before="220"/>
        <w:jc w:val="left"/>
      </w:pPr>
      <w:r>
        <w:rPr>
          <w:rFonts w:ascii="Calibri" w:cs="Calibri" w:eastAsia="Calibri" w:hAnsi="Calibri"/>
          <w:b/>
          <w:bCs/>
          <w:color w:val="2C7A4B"/>
          <w:sz w:val="28"/>
          <w:szCs w:val="28"/>
          <w:rtl/>
        </w:rPr>
        <w:t xml:space="preserve">الإيرادات</w:t>
      </w:r>
    </w:p>
    <w:p>
      <w:pPr>
        <w:pStyle w:val="ListParagraph"/>
        <w:numPr>
          <w:ilvl w:val="0"/>
          <w:numId w:val="2"/>
        </w:numPr>
        <w:bidi/>
        <w:spacing w:after="60"/>
        <w:jc w:val="left"/>
      </w:pPr>
      <w:r>
        <w:rPr>
          <w:rFonts w:ascii="Calibri" w:cs="Calibri" w:eastAsia="Calibri" w:hAnsi="Calibri"/>
          <w:sz w:val="24"/>
          <w:szCs w:val="24"/>
          <w:rtl/>
        </w:rPr>
        <w:t xml:space="preserve">الإصدار الحالي لا يحقق إيرادًا مباشرًا من المعاملات (المدفوعات خارج المنصة)؛ التركيز على إثبات قيمة المنتج وبناء قاعدة الموردين والمُنظِّمين.</w:t>
      </w:r>
    </w:p>
    <w:p>
      <w:pPr>
        <w:pStyle w:val="ListParagraph"/>
        <w:numPr>
          <w:ilvl w:val="0"/>
          <w:numId w:val="2"/>
        </w:numPr>
        <w:bidi/>
        <w:spacing w:after="60"/>
        <w:jc w:val="left"/>
      </w:pPr>
      <w:r>
        <w:rPr>
          <w:rFonts w:ascii="Calibri" w:cs="Calibri" w:eastAsia="Calibri" w:hAnsi="Calibri"/>
          <w:sz w:val="24"/>
          <w:szCs w:val="24"/>
          <w:rtl/>
        </w:rPr>
        <w:t xml:space="preserve">الإصدار الثاني يفتح قناة العمولة عبر المدفوعات على المنصة، وهو المحرك المالي الأساسي للنموذج.</w:t>
      </w:r>
    </w:p>
    <w:p>
      <w:pPr>
        <w:pStyle w:val="ListParagraph"/>
        <w:numPr>
          <w:ilvl w:val="0"/>
          <w:numId w:val="2"/>
        </w:numPr>
        <w:bidi/>
        <w:spacing w:after="60"/>
        <w:jc w:val="left"/>
      </w:pPr>
      <w:r>
        <w:rPr>
          <w:rFonts w:ascii="Calibri" w:cs="Calibri" w:eastAsia="Calibri" w:hAnsi="Calibri"/>
          <w:sz w:val="24"/>
          <w:szCs w:val="24"/>
          <w:rtl/>
        </w:rPr>
        <w:t xml:space="preserve">قنوات إيراد محتملة للنقاش: عمولة على الصفقة، اشتراك للموردين الكبار، إبراز مدفوع في سوق الفرص.</w:t>
      </w:r>
    </w:p>
    <w:p>
      <w:pPr>
        <w:pStyle w:val="Heading2"/>
        <w:bidi/>
        <w:spacing w:after="120" w:before="220"/>
        <w:jc w:val="left"/>
      </w:pPr>
      <w:r>
        <w:rPr>
          <w:rFonts w:ascii="Calibri" w:cs="Calibri" w:eastAsia="Calibri" w:hAnsi="Calibri"/>
          <w:b/>
          <w:bCs/>
          <w:color w:val="2C7A4B"/>
          <w:sz w:val="28"/>
          <w:szCs w:val="28"/>
          <w:rtl/>
        </w:rPr>
        <w:t xml:space="preserve">المخاطر التي تم التعامل معها مسبقًا</w:t>
      </w:r>
    </w:p>
    <w:p>
      <w:pPr>
        <w:pStyle w:val="ListParagraph"/>
        <w:numPr>
          <w:ilvl w:val="0"/>
          <w:numId w:val="2"/>
        </w:numPr>
        <w:bidi/>
        <w:spacing w:after="60"/>
        <w:jc w:val="left"/>
      </w:pPr>
      <w:r>
        <w:rPr>
          <w:rFonts w:ascii="Calibri" w:cs="Calibri" w:eastAsia="Calibri" w:hAnsi="Calibri"/>
          <w:sz w:val="24"/>
          <w:szCs w:val="24"/>
          <w:rtl/>
        </w:rPr>
        <w:t xml:space="preserve">منع الحجز المزدوج: محقَّق عبر آلية الحجز المؤقت لمدة 48 ساعة قبل التأكيد النهائي.</w:t>
      </w:r>
    </w:p>
    <w:p>
      <w:pPr>
        <w:pStyle w:val="ListParagraph"/>
        <w:numPr>
          <w:ilvl w:val="0"/>
          <w:numId w:val="2"/>
        </w:numPr>
        <w:bidi/>
        <w:spacing w:after="60"/>
        <w:jc w:val="left"/>
      </w:pPr>
      <w:r>
        <w:rPr>
          <w:rFonts w:ascii="Calibri" w:cs="Calibri" w:eastAsia="Calibri" w:hAnsi="Calibri"/>
          <w:sz w:val="24"/>
          <w:szCs w:val="24"/>
          <w:rtl/>
        </w:rPr>
        <w:t xml:space="preserve">سلامة العقود: كل عرض مُرسَل يُحفظ كنسخة ثابتة بختم تشفيري لا يمكن تعديله بعد القبول.</w:t>
      </w:r>
    </w:p>
    <w:p>
      <w:pPr>
        <w:pStyle w:val="ListParagraph"/>
        <w:numPr>
          <w:ilvl w:val="0"/>
          <w:numId w:val="2"/>
        </w:numPr>
        <w:bidi/>
        <w:spacing w:after="60"/>
        <w:jc w:val="left"/>
      </w:pPr>
      <w:r>
        <w:rPr>
          <w:rFonts w:ascii="Calibri" w:cs="Calibri" w:eastAsia="Calibri" w:hAnsi="Calibri"/>
          <w:sz w:val="24"/>
          <w:szCs w:val="24"/>
          <w:rtl/>
        </w:rPr>
        <w:t xml:space="preserve">الجاهزية للسوق المحلي: واجهة عربية كاملة من اليوم الأول دون الحاجة لإعادة بناء لاحقة.</w:t>
      </w:r>
    </w:p>
    <w:p>
      <w:pPr>
        <w:pStyle w:val="ListParagraph"/>
        <w:numPr>
          <w:ilvl w:val="0"/>
          <w:numId w:val="2"/>
        </w:numPr>
        <w:bidi/>
        <w:spacing w:after="60"/>
        <w:jc w:val="left"/>
      </w:pPr>
      <w:r>
        <w:rPr>
          <w:rFonts w:ascii="Calibri" w:cs="Calibri" w:eastAsia="Calibri" w:hAnsi="Calibri"/>
          <w:sz w:val="24"/>
          <w:szCs w:val="24"/>
          <w:rtl/>
        </w:rPr>
        <w:t xml:space="preserve">جودة الموردين: لا يظهر مورد للجمهور قبل مراجعة وثائقه واعتماده يدويًا من الإدارة.</w:t>
      </w:r>
    </w:p>
    <w:p>
      <w:pPr>
        <w:pStyle w:val="Heading2"/>
        <w:bidi/>
        <w:spacing w:after="120" w:before="220"/>
        <w:jc w:val="left"/>
      </w:pPr>
      <w:r>
        <w:rPr>
          <w:rFonts w:ascii="Calibri" w:cs="Calibri" w:eastAsia="Calibri" w:hAnsi="Calibri"/>
          <w:b/>
          <w:bCs/>
          <w:color w:val="2C7A4B"/>
          <w:sz w:val="28"/>
          <w:szCs w:val="28"/>
          <w:rtl/>
        </w:rPr>
        <w:t xml:space="preserve">الخطوات التالية المقترحة</w:t>
      </w:r>
    </w:p>
    <w:p>
      <w:pPr>
        <w:pStyle w:val="ListParagraph"/>
        <w:numPr>
          <w:ilvl w:val="0"/>
          <w:numId w:val="2"/>
        </w:numPr>
        <w:bidi/>
        <w:spacing w:after="60"/>
        <w:jc w:val="left"/>
      </w:pPr>
      <w:r>
        <w:rPr>
          <w:rFonts w:ascii="Calibri" w:cs="Calibri" w:eastAsia="Calibri" w:hAnsi="Calibri"/>
          <w:sz w:val="24"/>
          <w:szCs w:val="24"/>
          <w:rtl/>
        </w:rPr>
        <w:t xml:space="preserve">استكمال التجربة الرائدة وقياس مؤشرات التبني والاحتفاظ خلال 4–6 أسابيع.</w:t>
      </w:r>
    </w:p>
    <w:p>
      <w:pPr>
        <w:pStyle w:val="ListParagraph"/>
        <w:numPr>
          <w:ilvl w:val="0"/>
          <w:numId w:val="2"/>
        </w:numPr>
        <w:bidi/>
        <w:spacing w:after="60"/>
        <w:jc w:val="left"/>
      </w:pPr>
      <w:r>
        <w:rPr>
          <w:rFonts w:ascii="Calibri" w:cs="Calibri" w:eastAsia="Calibri" w:hAnsi="Calibri"/>
          <w:sz w:val="24"/>
          <w:szCs w:val="24"/>
          <w:rtl/>
        </w:rPr>
        <w:t xml:space="preserve">ترتيب أولوية الإصدار الثاني بناءً على ملاحظات الموردين الفعلية، مع البدء بالكتالوج والمدفوعات.</w:t>
      </w:r>
    </w:p>
    <w:p>
      <w:pPr>
        <w:pStyle w:val="ListParagraph"/>
        <w:numPr>
          <w:ilvl w:val="0"/>
          <w:numId w:val="2"/>
        </w:numPr>
        <w:bidi/>
        <w:spacing w:after="60"/>
        <w:jc w:val="left"/>
      </w:pPr>
      <w:r>
        <w:rPr>
          <w:rFonts w:ascii="Calibri" w:cs="Calibri" w:eastAsia="Calibri" w:hAnsi="Calibri"/>
          <w:sz w:val="24"/>
          <w:szCs w:val="24"/>
          <w:rtl/>
        </w:rPr>
        <w:t xml:space="preserve">تحديد سياسة العمولة وشروط ZATCA قبل إطلاق المدفوعات على المنصة.</w:t>
      </w:r>
    </w:p>
    <w:p>
      <w:pPr>
        <w:pStyle w:val="ListParagraph"/>
        <w:numPr>
          <w:ilvl w:val="0"/>
          <w:numId w:val="2"/>
        </w:numPr>
        <w:bidi/>
        <w:spacing w:after="60"/>
        <w:jc w:val="left"/>
      </w:pPr>
      <w:r>
        <w:rPr>
          <w:rFonts w:ascii="Calibri" w:cs="Calibri" w:eastAsia="Calibri" w:hAnsi="Calibri"/>
          <w:sz w:val="24"/>
          <w:szCs w:val="24"/>
          <w:rtl/>
        </w:rPr>
        <w:t xml:space="preserve">اعتماد خطة توسع جغرافي تدريجية إلى مدن إضافية بعد التحقق من نموذج العمل في الرياض وجدة.</w:t>
      </w:r>
    </w:p>
    <w:sectPr>
      <w:bidi/>
      <w:footerReference w:type="default" r:id="rId7"/>
      <w:pgSz w:w="11906" w:h="16838" w:orient="portrait"/>
      <w:pgMar w:top="1100" w:right="1100" w:bottom="1100" w:left="11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Sevent — تقرير تنفيذي · صفحة </w:t>
    </w:r>
    <w:r>
      <w:rPr>
        <w:rFonts w:ascii="Calibri" w:cs="Calibri" w:eastAsia="Calibri" w:hAnsi="Calibri"/>
        <w:color w:val="777777"/>
        <w:sz w:val="18"/>
        <w:szCs w:val="18"/>
      </w:rPr>
      <w:fldChar w:fldCharType="begin"/>
      <w:instrText xml:space="preserve">PAGE</w:instrText>
      <w:fldChar w:fldCharType="separate"/>
      <w:fldChar w:fldCharType="end"/>
    </w:r>
    <w:r>
      <w:rPr>
        <w:rFonts w:ascii="Calibri" w:cs="Calibri" w:eastAsia="Calibri" w:hAnsi="Calibri"/>
        <w:color w:val="777777"/>
        <w:sz w:val="18"/>
        <w:szCs w:val="18"/>
      </w:rPr>
      <w:t xml:space="preserve"> من </w:t>
    </w:r>
    <w:r>
      <w:rPr>
        <w:rFonts w:ascii="Calibri" w:cs="Calibri" w:eastAsia="Calibri" w:hAnsi="Calibri"/>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80" w:before="320"/>
      <w:jc w:val="left"/>
      <w:outlineLvl w:val="0"/>
    </w:pPr>
    <w:rPr>
      <w:rFonts w:ascii="Calibri" w:cs="Calibri" w:eastAsia="Calibri" w:hAnsi="Calibri"/>
      <w:b/>
      <w:bCs/>
      <w:color w:val="1F5132"/>
      <w:sz w:val="36"/>
      <w:szCs w:val="36"/>
      <w:rtl/>
    </w:rPr>
  </w:style>
  <w:style w:type="paragraph" w:styleId="Heading2">
    <w:name w:val="Heading 2"/>
    <w:basedOn w:val="Normal"/>
    <w:next w:val="Normal"/>
    <w:qFormat/>
    <w:pPr>
      <w:bidi/>
      <w:spacing w:after="120" w:before="220"/>
      <w:jc w:val="left"/>
      <w:outlineLvl w:val="1"/>
    </w:pPr>
    <w:rPr>
      <w:rFonts w:ascii="Calibri" w:cs="Calibri" w:eastAsia="Calibri" w:hAnsi="Calibri"/>
      <w:b/>
      <w:bCs/>
      <w:color w:val="2C7A4B"/>
      <w:sz w:val="28"/>
      <w:szCs w:val="28"/>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2026-05-03T11:19:50.347Z</dcterms:created>
  <dcterms:modified xsi:type="dcterms:W3CDTF">2026-05-03T11:19:50.348Z</dcterms:modified>
</cp:coreProperties>
</file>

<file path=docProps/custom.xml><?xml version="1.0" encoding="utf-8"?>
<Properties xmlns="http://schemas.openxmlformats.org/officeDocument/2006/custom-properties" xmlns:vt="http://schemas.openxmlformats.org/officeDocument/2006/docPropsVTypes"/>
</file>