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6BE1" w14:textId="77777777" w:rsidR="00A077DF" w:rsidRDefault="00D879C4">
      <w:pPr>
        <w:pStyle w:val="Heading1"/>
        <w:bidi/>
        <w:spacing w:after="40"/>
        <w:jc w:val="center"/>
      </w:pPr>
      <w:r>
        <w:rPr>
          <w:b/>
          <w:bCs/>
          <w:color w:val="1F3A5F"/>
          <w:sz w:val="30"/>
          <w:szCs w:val="30"/>
          <w:rtl/>
        </w:rPr>
        <w:t>تقرير الإنجاز الأسبوعي — منصة سفنت</w:t>
      </w:r>
    </w:p>
    <w:p w14:paraId="2BD67081" w14:textId="77777777" w:rsidR="00A077DF" w:rsidRDefault="00D879C4">
      <w:pPr>
        <w:bidi/>
        <w:spacing w:after="120"/>
        <w:jc w:val="center"/>
      </w:pPr>
      <w:r>
        <w:rPr>
          <w:color w:val="555555"/>
          <w:sz w:val="20"/>
          <w:szCs w:val="20"/>
          <w:rtl/>
        </w:rPr>
        <w:t>للفترة من 02 / 05 / 2026 إلى 07 / 05 / 2026</w:t>
      </w:r>
    </w:p>
    <w:p w14:paraId="5CA6CF91" w14:textId="77777777" w:rsidR="00A077DF" w:rsidRDefault="00D879C4">
      <w:pPr>
        <w:bidi/>
        <w:spacing w:after="60" w:line="280" w:lineRule="auto"/>
      </w:pPr>
      <w:r>
        <w:rPr>
          <w:b/>
          <w:bCs/>
          <w:rtl/>
        </w:rPr>
        <w:t>السلام عليكم ورحمة الله،</w:t>
      </w:r>
    </w:p>
    <w:p w14:paraId="0675CB31" w14:textId="77777777" w:rsidR="00A077DF" w:rsidRDefault="00D879C4">
      <w:pPr>
        <w:bidi/>
        <w:spacing w:after="120" w:line="280" w:lineRule="auto"/>
      </w:pPr>
      <w:r>
        <w:rPr>
          <w:rtl/>
        </w:rPr>
        <w:t>فيما يلي ملخّص أبرز ما تمّ إنجازه خلال الأسبوع، في صورة جدول للسرعة في الاطّلاع:</w:t>
      </w:r>
    </w:p>
    <w:tbl>
      <w:tblPr>
        <w:bidiVisual/>
        <w:tblW w:w="5000" w:type="pct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65"/>
      </w:tblGrid>
      <w:tr w:rsidR="00A077DF" w14:paraId="3DC09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BE49" w14:textId="77777777" w:rsidR="00A077DF" w:rsidRDefault="00D879C4">
            <w:pPr>
              <w:bidi/>
              <w:spacing w:before="20" w:after="20"/>
              <w:jc w:val="center"/>
            </w:pPr>
            <w:r>
              <w:rPr>
                <w:b/>
                <w:bCs/>
                <w:color w:val="FFFFFF"/>
                <w:rtl/>
              </w:rPr>
              <w:t>البند</w:t>
            </w:r>
          </w:p>
        </w:tc>
        <w:tc>
          <w:tcPr>
            <w:tcW w:w="3400" w:type="pct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EC28" w14:textId="77777777" w:rsidR="00A077DF" w:rsidRDefault="00D879C4">
            <w:pPr>
              <w:bidi/>
              <w:spacing w:before="20" w:after="20"/>
              <w:jc w:val="center"/>
            </w:pPr>
            <w:r>
              <w:rPr>
                <w:b/>
                <w:bCs/>
                <w:color w:val="FFFFFF"/>
                <w:rtl/>
              </w:rPr>
              <w:t>أبرز الإنجاز</w:t>
            </w:r>
          </w:p>
        </w:tc>
      </w:tr>
      <w:tr w:rsidR="00A077DF" w14:paraId="6C942C1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464A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نظام الرسائل الداخلي</w:t>
            </w:r>
          </w:p>
        </w:tc>
        <w:tc>
          <w:tcPr>
            <w:tcW w:w="3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3C68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إطلاق </w:t>
            </w:r>
            <w:r>
              <w:rPr>
                <w:b/>
                <w:bCs/>
                <w:sz w:val="21"/>
                <w:szCs w:val="21"/>
                <w:rtl/>
              </w:rPr>
              <w:t>صندوق وارد ومحادثات داخل المنصّة</w:t>
            </w:r>
            <w:r>
              <w:rPr>
                <w:sz w:val="21"/>
                <w:szCs w:val="21"/>
                <w:rtl/>
              </w:rPr>
              <w:t xml:space="preserve"> تربط المنظِّم والمورّد والمشرف، مع قدرة المشرف على إرسال </w:t>
            </w:r>
            <w:r>
              <w:rPr>
                <w:b/>
                <w:bCs/>
                <w:sz w:val="21"/>
                <w:szCs w:val="21"/>
                <w:rtl/>
              </w:rPr>
              <w:t>إعلان عام لجميع المستخدمين أو لفئة محدّدة</w:t>
            </w:r>
            <w:r>
              <w:rPr>
                <w:sz w:val="21"/>
                <w:szCs w:val="21"/>
                <w:rtl/>
              </w:rPr>
              <w:t xml:space="preserve"> (مورّدين فقط، منظِّمين فقط، أو شخص بعينه)، ووصول إشعار للمستلِم يقوده مباشرة إلى المحادثة.</w:t>
            </w:r>
          </w:p>
        </w:tc>
      </w:tr>
      <w:tr w:rsidR="00A077DF" w14:paraId="3101A39B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0F35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تسريع المنصّة — الموجة الأولى</w:t>
            </w:r>
          </w:p>
        </w:tc>
        <w:tc>
          <w:tcPr>
            <w:tcW w:w="34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206B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تحسينات ملموسة على </w:t>
            </w:r>
            <w:r>
              <w:rPr>
                <w:b/>
                <w:bCs/>
                <w:sz w:val="21"/>
                <w:szCs w:val="21"/>
                <w:rtl/>
              </w:rPr>
              <w:t>سرعة فتح صفحات الإعداد والملف الشخصي للمورّد</w:t>
            </w:r>
            <w:r>
              <w:rPr>
                <w:sz w:val="21"/>
                <w:szCs w:val="21"/>
                <w:rtl/>
              </w:rPr>
              <w:t xml:space="preserve">، عبر تحميل المكتبات الثقيلة عند الحاجة فقط، تخزين مؤقّت للاستعلامات المتكرّرة، ورفع ملفّات PDF بالتوازي. كما أُضيفت </w:t>
            </w:r>
            <w:r>
              <w:rPr>
                <w:b/>
                <w:bCs/>
                <w:sz w:val="21"/>
                <w:szCs w:val="21"/>
                <w:rtl/>
              </w:rPr>
              <w:t>شاشات تحميل أنيقة</w:t>
            </w:r>
            <w:r>
              <w:rPr>
                <w:sz w:val="21"/>
                <w:szCs w:val="21"/>
                <w:rtl/>
              </w:rPr>
              <w:t xml:space="preserve"> عند إرسال الطلبات بدلًا من الانتظار الصامت.</w:t>
            </w:r>
          </w:p>
        </w:tc>
      </w:tr>
      <w:tr w:rsidR="00A077DF" w14:paraId="41BF55F3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392B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ضبط مسار الإعداد للمورّد</w:t>
            </w:r>
          </w:p>
        </w:tc>
        <w:tc>
          <w:tcPr>
            <w:tcW w:w="3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E184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دمج خيار </w:t>
            </w:r>
            <w:r>
              <w:rPr>
                <w:b/>
                <w:bCs/>
                <w:sz w:val="21"/>
                <w:szCs w:val="21"/>
                <w:rtl/>
              </w:rPr>
              <w:t>"جميع مناطق المملكة" داخل قائمة المدن</w:t>
            </w:r>
            <w:r>
              <w:rPr>
                <w:sz w:val="21"/>
                <w:szCs w:val="21"/>
                <w:rtl/>
              </w:rPr>
              <w:t xml:space="preserve"> بدلًا من إبرازه كشريحة منفصلة، استبدال وسم "(اختياري)" المتكرّر بـ</w:t>
            </w:r>
            <w:r>
              <w:rPr>
                <w:b/>
                <w:bCs/>
                <w:sz w:val="21"/>
                <w:szCs w:val="21"/>
                <w:rtl/>
              </w:rPr>
              <w:t>إشعار واحد "المرحلة التجريبية" أعلى النموذج</w:t>
            </w:r>
            <w:r>
              <w:rPr>
                <w:sz w:val="21"/>
                <w:szCs w:val="21"/>
                <w:rtl/>
              </w:rPr>
              <w:t>، وإضافة مؤشّر تحميل واضح على زر اختيار المسار.</w:t>
            </w:r>
          </w:p>
        </w:tc>
      </w:tr>
      <w:tr w:rsidR="00A077DF" w14:paraId="411CB5A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32AD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تحسين نموذج إنشاء الفعالية</w:t>
            </w:r>
          </w:p>
        </w:tc>
        <w:tc>
          <w:tcPr>
            <w:tcW w:w="34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0A2A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تلميع </w:t>
            </w:r>
            <w:r>
              <w:rPr>
                <w:b/>
                <w:bCs/>
                <w:sz w:val="21"/>
                <w:szCs w:val="21"/>
                <w:rtl/>
              </w:rPr>
              <w:t>منتقيات التاريخ والوقت والمدينة</w:t>
            </w:r>
            <w:r>
              <w:rPr>
                <w:sz w:val="21"/>
                <w:szCs w:val="21"/>
                <w:rtl/>
              </w:rPr>
              <w:t xml:space="preserve"> في نموذج المنظِّم لتكون أوضح وأسرع، وتقليل الأخطاء أثناء الإدخال.</w:t>
            </w:r>
          </w:p>
        </w:tc>
      </w:tr>
      <w:tr w:rsidR="00A077DF" w14:paraId="5C6EA7D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9E4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تركيز الإطلاق التجريبي</w:t>
            </w:r>
          </w:p>
        </w:tc>
        <w:tc>
          <w:tcPr>
            <w:tcW w:w="34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F3FA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 xml:space="preserve">إخفاء صفحة </w:t>
            </w:r>
            <w:r>
              <w:rPr>
                <w:b/>
                <w:bCs/>
                <w:sz w:val="21"/>
                <w:szCs w:val="21"/>
                <w:rtl/>
              </w:rPr>
              <w:t>الكتالوج خلف نافذة "قادم في النسخة 2"</w:t>
            </w:r>
            <w:r>
              <w:rPr>
                <w:sz w:val="21"/>
                <w:szCs w:val="21"/>
                <w:rtl/>
              </w:rPr>
              <w:t xml:space="preserve"> مؤقّتًا لتركيز اهتمام المورّد على مسار الحجز، وإتاحة إكمال </w:t>
            </w:r>
            <w:r>
              <w:rPr>
                <w:b/>
                <w:bCs/>
                <w:sz w:val="21"/>
                <w:szCs w:val="21"/>
                <w:rtl/>
              </w:rPr>
              <w:t>الخطوة الثالثة من الإعداد دون رفع وثائق</w:t>
            </w:r>
            <w:r>
              <w:rPr>
                <w:sz w:val="21"/>
                <w:szCs w:val="21"/>
                <w:rtl/>
              </w:rPr>
              <w:t xml:space="preserve"> خلال المرحلة التجريبية فقط، مع إضافة زرّ </w:t>
            </w:r>
            <w:r>
              <w:rPr>
                <w:b/>
                <w:bCs/>
                <w:sz w:val="21"/>
                <w:szCs w:val="21"/>
                <w:rtl/>
              </w:rPr>
              <w:t>"عرض الملف العام"</w:t>
            </w:r>
            <w:r>
              <w:rPr>
                <w:sz w:val="21"/>
                <w:szCs w:val="21"/>
                <w:rtl/>
              </w:rPr>
              <w:t xml:space="preserve"> داخل لوحة رحلة المورّد.</w:t>
            </w:r>
          </w:p>
        </w:tc>
      </w:tr>
      <w:tr w:rsidR="00A077DF" w14:paraId="3F80E5B3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E422" w14:textId="77777777" w:rsidR="00A077DF" w:rsidRDefault="00D879C4">
            <w:pPr>
              <w:bidi/>
              <w:spacing w:line="280" w:lineRule="auto"/>
            </w:pPr>
            <w:r>
              <w:rPr>
                <w:b/>
                <w:bCs/>
                <w:color w:val="1F3A5F"/>
                <w:rtl/>
              </w:rPr>
              <w:t>رسائل أوضح وإصلاحات صغيرة</w:t>
            </w:r>
          </w:p>
        </w:tc>
        <w:tc>
          <w:tcPr>
            <w:tcW w:w="3400" w:type="pct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BDF4" w14:textId="77777777" w:rsidR="00A077DF" w:rsidRDefault="00D879C4">
            <w:pPr>
              <w:bidi/>
              <w:spacing w:after="40" w:line="280" w:lineRule="auto"/>
            </w:pPr>
            <w:r>
              <w:rPr>
                <w:sz w:val="21"/>
                <w:szCs w:val="21"/>
                <w:rtl/>
              </w:rPr>
              <w:t>استبدال الرسائل التقنية في باني العرض السعري بـ</w:t>
            </w:r>
            <w:r>
              <w:rPr>
                <w:b/>
                <w:bCs/>
                <w:sz w:val="21"/>
                <w:szCs w:val="21"/>
                <w:rtl/>
              </w:rPr>
              <w:t>رسائل خطأ ودودة بالعربية</w:t>
            </w:r>
            <w:r>
              <w:rPr>
                <w:sz w:val="21"/>
                <w:szCs w:val="21"/>
                <w:rtl/>
              </w:rPr>
              <w:t xml:space="preserve">، إصلاح </w:t>
            </w:r>
            <w:r>
              <w:rPr>
                <w:b/>
                <w:bCs/>
                <w:sz w:val="21"/>
                <w:szCs w:val="21"/>
                <w:rtl/>
              </w:rPr>
              <w:t>خطأ 404 عند الرجوع للخلف</w:t>
            </w:r>
            <w:r>
              <w:rPr>
                <w:sz w:val="21"/>
                <w:szCs w:val="21"/>
                <w:rtl/>
              </w:rPr>
              <w:t xml:space="preserve"> بعد التقديم على فرصة، وإصلاح زرّ "العودة للوحة" في صفحة "بانتظار المراجعة".</w:t>
            </w:r>
          </w:p>
        </w:tc>
      </w:tr>
    </w:tbl>
    <w:p w14:paraId="3B44EC41" w14:textId="4F92011E" w:rsidR="00A077DF" w:rsidRDefault="00D879C4" w:rsidP="00916A31">
      <w:pPr>
        <w:spacing w:after="80" w:line="280" w:lineRule="auto"/>
      </w:pPr>
      <w:r>
        <w:rPr>
          <w:b/>
          <w:bCs/>
          <w:color w:val="1F5132"/>
          <w:rtl/>
        </w:rPr>
        <w:t>https</w:t>
      </w:r>
      <w:r w:rsidR="00916A31">
        <w:rPr>
          <w:b/>
          <w:bCs/>
          <w:color w:val="1F5132"/>
        </w:rPr>
        <w:t>: //www.seventsa.com</w:t>
      </w:r>
    </w:p>
    <w:p w14:paraId="5E28491C" w14:textId="77777777" w:rsidR="00A077DF" w:rsidRDefault="00D879C4">
      <w:pPr>
        <w:bidi/>
        <w:spacing w:after="100" w:line="280" w:lineRule="auto"/>
      </w:pPr>
      <w:r>
        <w:rPr>
          <w:b/>
          <w:bCs/>
          <w:sz w:val="21"/>
          <w:szCs w:val="21"/>
          <w:rtl/>
        </w:rPr>
        <w:t xml:space="preserve">الخطوات القادمة: </w:t>
      </w:r>
      <w:r>
        <w:rPr>
          <w:sz w:val="21"/>
          <w:szCs w:val="21"/>
          <w:rtl/>
        </w:rPr>
        <w:t>استكمال الموجة الثانية من تسريع المنصّة، ربط نظام الرسائل الجديد بالبريد الإلكتروني الرسمي، والبدء بمسار تأكيد الحجز وتوليد عقد PDF تلقائي.</w:t>
      </w:r>
    </w:p>
    <w:p w14:paraId="4A89ACA9" w14:textId="77777777" w:rsidR="00A077DF" w:rsidRDefault="00D879C4">
      <w:pPr>
        <w:bidi/>
        <w:spacing w:line="280" w:lineRule="auto"/>
      </w:pPr>
      <w:r>
        <w:rPr>
          <w:rtl/>
        </w:rPr>
        <w:t>وتفضّلوا بقبول وافر التقدير والاحترام،</w:t>
      </w:r>
    </w:p>
    <w:sectPr w:rsidR="00A077DF">
      <w:footerReference w:type="default" r:id="rId7"/>
      <w:pgSz w:w="11906" w:h="16838"/>
      <w:pgMar w:top="720" w:right="900" w:bottom="720" w:left="900" w:header="708" w:footer="708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D1F5" w14:textId="77777777" w:rsidR="00D879C4" w:rsidRDefault="00D879C4">
      <w:r>
        <w:separator/>
      </w:r>
    </w:p>
  </w:endnote>
  <w:endnote w:type="continuationSeparator" w:id="0">
    <w:p w14:paraId="0169DB5C" w14:textId="77777777" w:rsidR="00D879C4" w:rsidRDefault="00D87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E955" w14:textId="77777777" w:rsidR="00A077DF" w:rsidRDefault="00D879C4">
    <w:pPr>
      <w:jc w:val="center"/>
    </w:pPr>
    <w:proofErr w:type="spellStart"/>
    <w:r>
      <w:rPr>
        <w:color w:val="666666"/>
        <w:sz w:val="18"/>
        <w:szCs w:val="18"/>
      </w:rPr>
      <w:t>صفحة</w:t>
    </w:r>
    <w:proofErr w:type="spellEnd"/>
    <w:r>
      <w:rPr>
        <w:color w:val="666666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16A3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من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16A3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6348" w14:textId="77777777" w:rsidR="00D879C4" w:rsidRDefault="00D879C4">
      <w:r>
        <w:separator/>
      </w:r>
    </w:p>
  </w:footnote>
  <w:footnote w:type="continuationSeparator" w:id="0">
    <w:p w14:paraId="1273BD0B" w14:textId="77777777" w:rsidR="00D879C4" w:rsidRDefault="00D87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24D82"/>
    <w:multiLevelType w:val="hybridMultilevel"/>
    <w:tmpl w:val="0D1EB952"/>
    <w:lvl w:ilvl="0" w:tplc="1DBCF978">
      <w:start w:val="1"/>
      <w:numFmt w:val="bullet"/>
      <w:lvlText w:val="●"/>
      <w:lvlJc w:val="left"/>
      <w:pPr>
        <w:ind w:left="720" w:hanging="360"/>
      </w:pPr>
    </w:lvl>
    <w:lvl w:ilvl="1" w:tplc="0B82EFCC">
      <w:start w:val="1"/>
      <w:numFmt w:val="bullet"/>
      <w:lvlText w:val="○"/>
      <w:lvlJc w:val="left"/>
      <w:pPr>
        <w:ind w:left="1440" w:hanging="360"/>
      </w:pPr>
    </w:lvl>
    <w:lvl w:ilvl="2" w:tplc="136EB978">
      <w:start w:val="1"/>
      <w:numFmt w:val="bullet"/>
      <w:lvlText w:val="■"/>
      <w:lvlJc w:val="left"/>
      <w:pPr>
        <w:ind w:left="2160" w:hanging="360"/>
      </w:pPr>
    </w:lvl>
    <w:lvl w:ilvl="3" w:tplc="D196261E">
      <w:start w:val="1"/>
      <w:numFmt w:val="bullet"/>
      <w:lvlText w:val="●"/>
      <w:lvlJc w:val="left"/>
      <w:pPr>
        <w:ind w:left="2880" w:hanging="360"/>
      </w:pPr>
    </w:lvl>
    <w:lvl w:ilvl="4" w:tplc="D7489D92">
      <w:start w:val="1"/>
      <w:numFmt w:val="bullet"/>
      <w:lvlText w:val="○"/>
      <w:lvlJc w:val="left"/>
      <w:pPr>
        <w:ind w:left="3600" w:hanging="360"/>
      </w:pPr>
    </w:lvl>
    <w:lvl w:ilvl="5" w:tplc="6E4E1632">
      <w:start w:val="1"/>
      <w:numFmt w:val="bullet"/>
      <w:lvlText w:val="■"/>
      <w:lvlJc w:val="left"/>
      <w:pPr>
        <w:ind w:left="4320" w:hanging="360"/>
      </w:pPr>
    </w:lvl>
    <w:lvl w:ilvl="6" w:tplc="EA4AD0F2">
      <w:start w:val="1"/>
      <w:numFmt w:val="bullet"/>
      <w:lvlText w:val="●"/>
      <w:lvlJc w:val="left"/>
      <w:pPr>
        <w:ind w:left="5040" w:hanging="360"/>
      </w:pPr>
    </w:lvl>
    <w:lvl w:ilvl="7" w:tplc="6FCEA2B2">
      <w:start w:val="1"/>
      <w:numFmt w:val="bullet"/>
      <w:lvlText w:val="●"/>
      <w:lvlJc w:val="left"/>
      <w:pPr>
        <w:ind w:left="5760" w:hanging="360"/>
      </w:pPr>
    </w:lvl>
    <w:lvl w:ilvl="8" w:tplc="F9FCC6DC">
      <w:start w:val="1"/>
      <w:numFmt w:val="bullet"/>
      <w:lvlText w:val="●"/>
      <w:lvlJc w:val="left"/>
      <w:pPr>
        <w:ind w:left="6480" w:hanging="360"/>
      </w:pPr>
    </w:lvl>
  </w:abstractNum>
  <w:num w:numId="1" w16cid:durableId="1898592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7DF"/>
    <w:rsid w:val="00896B9D"/>
    <w:rsid w:val="00916A31"/>
    <w:rsid w:val="00A077DF"/>
    <w:rsid w:val="00D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E70A"/>
  <w15:docId w15:val="{D1B3EA10-39E9-49E6-8260-9840568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G</cp:lastModifiedBy>
  <cp:revision>2</cp:revision>
  <dcterms:created xsi:type="dcterms:W3CDTF">2026-05-07T16:14:00Z</dcterms:created>
  <dcterms:modified xsi:type="dcterms:W3CDTF">2026-05-07T16:28:00Z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2026-05-07T16:28:58Z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80c4bc4d-9c2c-4326-bd6d-cc3d01817ddc</vt:lpwstr>
  </property>
  <property fmtid="{D5CDD505-2E9C-101B-9397-08002B2CF9AE}" pid="7" name="MSIP_Label_defa4170-0d19-0005-0004-bc88714345d2_ActionId">
    <vt:lpwstr>6c70d445-1165-4b62-a51f-de7dbb84df2c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