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Deskripsi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source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https://www.kaggle.com/faressayah/predicting-heart-disease-using-machine-learning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age - age in years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sex - (1 = male; 0 = female)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cp - chest pain type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0: Typical angina: chest pain related decrease blood supply to the heart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1: Atypical angina: chest pain not related to heart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2: Non-anginal pain: typically esophageal spasms (non heart related)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3: Asymptomatic: chest pain not showing signs of disease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trestbps - resting blood pressure (in mm Hg on admission to the hospital) anything above 130-140 is typically cause for concern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chol - serum cholesterol in mg/dl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serum = LDL + HDL + .2 * triglycerides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above 200 is cause for concern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fbs - (fasting blood sugar &gt; 120 mg/dl) (1 = true; 0 = false)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'&gt;126' mg/dL signals diabetes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restecg - resting electrocardiographic results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0: Nothing to note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1: ST-T Wave abnormality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can range from mild symptoms to severe problems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signals non-normal heart beat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2: Possible or definite left ventricular hypertrophy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Enlarged heart's main pumping chamber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thalach - maximum heart rate achieved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exang - exercise induced angina (1 = yes; 0 = no)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oldpeak - ST depression induced by exercise relative to rest looks at stress of heart during exercise unhealthy heart will stress more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slope - the slope of the peak exercise ST segment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0: Upsloping: better heart rate with exercise (uncommon)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1: Flat Sloping: minimal change (typical healthy heart)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2: Downsloping: signs of unhealthy heart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ca - number of major vessels (0-3) colored by fluoroscopy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colored vessel means the doctor can see the blood passing through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the more blood movement the better (no clots)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thal - thallium stress result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1,3: normal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6: fixed defect: used to be defect but ok now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7: reversible defect: no proper blood movement when exercising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target - have disease or not (1=yes, 0=no) (= the predicted attribute)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faressayah/predicting-heart-disease-using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qvFVi/RhPv9hzSkpdcHx5OCZRw==">AMUW2mXCQJZ5OALABDpGszUKtYcejR4nJaz989DXwvKNx85cULYnhlLbWBJk0H4DjEJFzVPtKu/Nz1YXzgMhfo9ez2gbFBFV0Cc8tsOLg+oL5NFraXJyPhjLe8oVOrVguxj9NVPXJyZn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