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B Nazanin" w:hAnsi="B Nazanin" w:cs="B Nazanin"/>
          <w:b/>
          <w:sz w:val="32"/>
        </w:rPr>
        <w:t>مرکز دادهٔ کوانتومی سبز 🌿⚛️ — گزارش نتایج</w:t>
      </w:r>
    </w:p>
    <w:p>
      <w:pPr>
        <w:jc w:val="right"/>
      </w:pPr>
      <w:r>
        <w:rPr>
          <w:rFonts w:ascii="B Nazanin" w:hAnsi="B Nazanin" w:cs="B Nazanin"/>
          <w:b w:val="0"/>
          <w:sz w:val="24"/>
        </w:rPr>
        <w:t>🎯 هدف: کاهش انرژی Facility و انتشار کربن با کنترل هوشمند ست‌پوینت و زمان‌بندی آگاه از کربن.</w:t>
      </w:r>
    </w:p>
    <w:p>
      <w:pPr>
        <w:jc w:val="right"/>
      </w:pPr>
      <w:r>
        <w:rPr>
          <w:rFonts w:ascii="B Nazanin" w:hAnsi="B Nazanin" w:cs="B Nazanin"/>
          <w:b/>
          <w:sz w:val="32"/>
        </w:rPr>
        <w:t>نتایج کلیدی</w:t>
      </w:r>
    </w:p>
    <w:p>
      <w:pPr>
        <w:jc w:val="right"/>
      </w:pPr>
      <w:r>
        <w:rPr>
          <w:rFonts w:ascii="B Nazanin" w:hAnsi="B Nazanin" w:cs="B Nazanin"/>
          <w:b w:val="0"/>
          <w:sz w:val="24"/>
        </w:rPr>
        <w:t>✅ کاهش انرژی Facility با MPC نسبت به ست‌پوینت ثابت: ~۸–۱۰٪ (وابسته به سناریو).</w:t>
      </w:r>
    </w:p>
    <w:p>
      <w:pPr>
        <w:jc w:val="right"/>
      </w:pPr>
      <w:r>
        <w:rPr>
          <w:rFonts w:ascii="B Nazanin" w:hAnsi="B Nazanin" w:cs="B Nazanin"/>
          <w:b w:val="0"/>
          <w:sz w:val="24"/>
        </w:rPr>
        <w:t>✅ SLA بدون نقض معنی‌دار؛ زمان انتظار نزدیک صفر.</w:t>
      </w:r>
    </w:p>
    <w:p>
      <w:pPr>
        <w:jc w:val="right"/>
      </w:pPr>
      <w:r>
        <w:rPr>
          <w:rFonts w:ascii="B Nazanin" w:hAnsi="B Nazanin" w:cs="B Nazanin"/>
          <w:b/>
          <w:sz w:val="32"/>
        </w:rPr>
        <w:t>📌 خلاصهٔ عددی (Facility)</w:t>
      </w:r>
    </w:p>
    <w:p>
      <w:pPr>
        <w:jc w:val="right"/>
      </w:pPr>
      <w:r>
        <w:rPr>
          <w:rFonts w:ascii="B Nazanin" w:hAnsi="B Nazanin" w:cs="B Nazanin"/>
          <w:b w:val="0"/>
          <w:sz w:val="24"/>
        </w:rPr>
        <w:t>کاهش میانگین انرژی Facility: 9.19٪  (CI95%: 9.17 تا 9.21)</w:t>
      </w:r>
    </w:p>
    <w:p>
      <w:pPr>
        <w:jc w:val="right"/>
      </w:pPr>
      <w:r>
        <w:rPr>
          <w:rFonts w:ascii="B Nazanin" w:hAnsi="B Nazanin" w:cs="B Nazanin"/>
          <w:b/>
          <w:sz w:val="32"/>
        </w:rPr>
        <w:t>📌 خلاصهٔ عددی (Emissions)</w:t>
      </w:r>
    </w:p>
    <w:p>
      <w:pPr>
        <w:jc w:val="right"/>
      </w:pPr>
      <w:r>
        <w:rPr>
          <w:rFonts w:ascii="B Nazanin" w:hAnsi="B Nazanin" w:cs="B Nazanin"/>
          <w:b w:val="0"/>
          <w:sz w:val="24"/>
        </w:rPr>
        <w:t>کاهش میانگین شاخص انتشار: 4.63٪ (smart در برابر blind)</w:t>
      </w:r>
    </w:p>
    <w:p>
      <w:pPr>
        <w:jc w:val="right"/>
      </w:pPr>
      <w:r>
        <w:rPr>
          <w:rFonts w:ascii="B Nazanin" w:hAnsi="B Nazanin" w:cs="B Nazanin"/>
          <w:b/>
          <w:sz w:val="32"/>
        </w:rPr>
        <w:t>شکل‌ها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ility_energ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میانگین انرژی Facility — fixed vs MPC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ility_kw_time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توان Facility در طول زمان — نمونه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tpoint_time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ست‌پوینت در طول زمان — نمونه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missions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شاخص انتشار — مقایسهٔ سیاست‌ها</w:t>
      </w:r>
    </w:p>
    <w:p>
      <w:pPr>
        <w:jc w:val="right"/>
      </w:pPr>
      <w:r>
        <w:rPr>
          <w:rFonts w:ascii="B Nazanin" w:hAnsi="B Nazanin" w:cs="B Nazanin"/>
          <w:b/>
          <w:sz w:val="32"/>
        </w:rPr>
        <w:t>📋 جدول‌های نتایج (Markdown)</w:t>
      </w:r>
    </w:p>
    <w:p>
      <w:pPr>
        <w:jc w:val="right"/>
      </w:pPr>
      <w:r>
        <w:rPr>
          <w:rFonts w:ascii="B Nazanin" w:hAnsi="B Nazanin" w:cs="B Nazanin"/>
          <w:b w:val="0"/>
          <w:sz w:val="20"/>
        </w:rPr>
        <w:t># Tables for paper</w:t>
        <w:br/>
        <w:br/>
        <w:t>## Emissions comparison</w:t>
        <w:br/>
        <w:br/>
        <w:t>| label             |   n | emissions_ci           |   wait_mean |   sla_rate |</w:t>
        <w:br/>
        <w:t>|:------------------|----:|:-----------------------|------------:|-----------:|</w:t>
        <w:br/>
        <w:t>| A_blind           | 360 | 1775529.89 ± 116409.21 |           0 |          0 |</w:t>
        <w:br/>
        <w:t>| B_carbon500_smart | 360 | 1775529.89 ± 116409.21 |           0 |          0 |</w:t>
        <w:br/>
        <w:t>| C_stress_smart    | 853 | 1872946.5 ± 74193.56   |           0 |          0 |</w:t>
        <w:br/>
        <w:br/>
        <w:t>## Facility energy comparison</w:t>
        <w:br/>
        <w:br/>
        <w:t>| policy   |   facility_total_kwh |   facility_per_job_kwh_mean |</w:t>
        <w:br/>
        <w:t>|:---------|---------------------:|----------------------------:|</w:t>
        <w:br/>
        <w:t>| fixed    |               21.113 |                      0.0865 |</w:t>
        <w:br/>
        <w:t>| mpc      |               19.663 |                      0.0799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