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48"/>
        </w:rPr>
        <w:t>WISI GT34 Satellite TV Technical Monitoring System</w:t>
      </w:r>
    </w:p>
    <w:p>
      <w:pPr>
        <w:jc w:val="center"/>
      </w:pPr>
      <w:r>
        <w:rPr>
          <w:b/>
          <w:sz w:val="36"/>
        </w:rPr>
        <w:t>Complete Engineering, Discovery, Installation, Configuration &amp; Commissioning Runbook</w:t>
      </w:r>
    </w:p>
    <w:p>
      <w:pPr>
        <w:jc w:val="center"/>
      </w:pPr>
      <w:r>
        <w:rPr>
          <w:sz w:val="22"/>
        </w:rPr>
        <w:t>Production architecture checkpoint V11.3L | Windows / Python / PRTG / SQLite</w:t>
      </w:r>
    </w:p>
    <w:p/>
    <w:tbl>
      <w:tblPr>
        <w:tblStyle w:val="TableGrid"/>
        <w:tblW w:type="auto" w:w="0"/>
        <w:tblLook w:firstColumn="1" w:firstRow="1" w:lastColumn="0" w:lastRow="0" w:noHBand="0" w:noVBand="1" w:val="04A0"/>
      </w:tblPr>
      <w:tblGrid>
        <w:gridCol w:w="10080"/>
      </w:tblGrid>
      <w:tr>
        <w:tc>
          <w:tcPr>
            <w:tcW w:type="dxa" w:w="10080"/>
            <w:shd w:fill="FFF2CC"/>
          </w:tcPr>
          <w:p>
            <w:r>
              <w:rPr>
                <w:b/>
              </w:rPr>
              <w:t xml:space="preserve">Purpose: </w:t>
            </w:r>
            <w:r>
              <w:t>A from-scratch, evidence-driven procedure for an engineer who may begin with only a WISI Tangram/GT34, product documentation, and possibly vendor MIB files. It also documents the proven production architecture and the commands used by this project. It is not a vendor manual and does not invent undocumented OIDs, endpoints, enum meanings, thresholds, or device capabilities.</w:t>
            </w:r>
          </w:p>
        </w:tc>
      </w:tr>
    </w:tbl>
    <w:p/>
    <w:p>
      <w:pPr>
        <w:jc w:val="center"/>
      </w:pPr>
      <w:r>
        <w:rPr>
          <w:i/>
        </w:rPr>
        <w:t>Prepared from the validated V11.3L project documentation and production migration source tree.</w:t>
      </w:r>
    </w:p>
    <w:p>
      <w:r>
        <w:br w:type="page"/>
      </w:r>
    </w:p>
    <w:p>
      <w:pPr>
        <w:pStyle w:val="Heading1"/>
      </w:pPr>
      <w:r>
        <w:t>1. How to use this runbook</w:t>
      </w:r>
    </w:p>
    <w:p>
      <w:r>
        <w:t>Use this document in order. Do not jump directly to PRTG sensor creation. The authoritative chain is: establish device reachability -&gt; discover SNMP and structured web data -&gt; establish deterministic logical-input identity -&gt; prove service/ES scope -&gt; build a baseline -&gt; validate one carrier -&gt; deploy the bounded PRTG presentation -&gt; validate SQLite history -&gt; configure Python alarm/email -&gt; commission the fleet.</w:t>
      </w:r>
    </w:p>
    <w:p>
      <w:pPr>
        <w:pStyle w:val="ListBullet"/>
      </w:pPr>
      <w:r>
        <w:t>Evidence first: a parameter is supported only when the IRD exposes it through a verified interface or the project derives it from verified observations.</w:t>
      </w:r>
    </w:p>
    <w:p>
      <w:pPr>
        <w:pStyle w:val="ListBullet"/>
      </w:pPr>
      <w:r>
        <w:t>Fail closed: if a logical input cannot be mapped deterministically, do not assign an arbitrary tuner or service.</w:t>
      </w:r>
    </w:p>
    <w:p>
      <w:pPr>
        <w:pStyle w:val="ListBullet"/>
      </w:pPr>
      <w:r>
        <w:t>Separate identity domains: chassis/module identity, low-level tuner index, WISI GUI logical input, and DVB service SID are not interchangeable.</w:t>
      </w:r>
    </w:p>
    <w:p>
      <w:pPr>
        <w:pStyle w:val="ListBullet"/>
      </w:pPr>
      <w:r>
        <w:t>PRTG is a visualization/read-only layer. Python is authoritative for collection, service integrity, alarm state, duplicate suppression, recovery, and email.</w:t>
      </w:r>
    </w:p>
    <w:p>
      <w:pPr>
        <w:pStyle w:val="ListBullet"/>
      </w:pPr>
      <w:r>
        <w:t>SQLite is the historical system of record; TV43 carrier/service history retention is exactly 15 days.</w:t>
      </w:r>
    </w:p>
    <w:p>
      <w:pPr>
        <w:pStyle w:val="ListBullet"/>
      </w:pPr>
      <w:r>
        <w:t>Production PRTG schema is deliberately bounded at a maximum of 44 live channels per sensor even though EXE/Script Advanced has a 50-channel ceiling.</w:t>
      </w:r>
    </w:p>
    <w:p>
      <w:pPr>
        <w:pStyle w:val="Heading1"/>
      </w:pPr>
      <w:r>
        <w:t>2. Proven production architecture</w:t>
      </w:r>
    </w:p>
    <w:tbl>
      <w:tblPr>
        <w:tblStyle w:val="TableGrid"/>
        <w:tblW w:type="auto" w:w="0"/>
        <w:jc w:val="center"/>
        <w:tblLook w:firstColumn="1" w:firstRow="1" w:lastColumn="0" w:lastRow="0" w:noHBand="0" w:noVBand="1" w:val="04A0"/>
      </w:tblPr>
      <w:tblGrid>
        <w:gridCol w:w="3360"/>
        <w:gridCol w:w="3360"/>
        <w:gridCol w:w="3360"/>
      </w:tblGrid>
      <w:tr>
        <w:tc>
          <w:tcPr>
            <w:tcW w:type="dxa" w:w="2016"/>
            <w:vAlign w:val="center"/>
            <w:shd w:fill="D9EAF7"/>
          </w:tcPr>
          <w:p>
            <w:r/>
            <w:r>
              <w:rPr>
                <w:rFonts w:ascii="Aptos" w:hAnsi="Aptos"/>
                <w:b/>
                <w:sz w:val="16"/>
              </w:rPr>
              <w:t>Layer</w:t>
            </w:r>
          </w:p>
        </w:tc>
        <w:tc>
          <w:tcPr>
            <w:tcW w:type="dxa" w:w="5472"/>
            <w:vAlign w:val="center"/>
            <w:shd w:fill="D9EAF7"/>
          </w:tcPr>
          <w:p>
            <w:r/>
            <w:r>
              <w:rPr>
                <w:rFonts w:ascii="Aptos" w:hAnsi="Aptos"/>
                <w:b/>
                <w:sz w:val="16"/>
              </w:rPr>
              <w:t>Production role</w:t>
            </w:r>
          </w:p>
        </w:tc>
        <w:tc>
          <w:tcPr>
            <w:tcW w:type="dxa" w:w="2304"/>
            <w:vAlign w:val="center"/>
            <w:shd w:fill="D9EAF7"/>
          </w:tcPr>
          <w:p>
            <w:r/>
            <w:r>
              <w:rPr>
                <w:rFonts w:ascii="Aptos" w:hAnsi="Aptos"/>
                <w:b/>
                <w:sz w:val="16"/>
              </w:rPr>
              <w:t>Authority</w:t>
            </w:r>
          </w:p>
        </w:tc>
      </w:tr>
      <w:tr>
        <w:tc>
          <w:tcPr>
            <w:tcW w:type="dxa" w:w="2016"/>
            <w:vAlign w:val="center"/>
          </w:tcPr>
          <w:p>
            <w:r/>
            <w:r>
              <w:rPr>
                <w:rFonts w:ascii="Aptos" w:hAnsi="Aptos"/>
                <w:b w:val="0"/>
                <w:sz w:val="16"/>
              </w:rPr>
              <w:t>WISI GT34 / Tangram</w:t>
            </w:r>
          </w:p>
        </w:tc>
        <w:tc>
          <w:tcPr>
            <w:tcW w:type="dxa" w:w="5472"/>
            <w:vAlign w:val="center"/>
          </w:tcPr>
          <w:p>
            <w:r/>
            <w:r>
              <w:rPr>
                <w:rFonts w:ascii="Aptos" w:hAnsi="Aptos"/>
                <w:b w:val="0"/>
                <w:sz w:val="16"/>
              </w:rPr>
              <w:t>RF demodulation, TS/service state, structured device telemetry</w:t>
            </w:r>
          </w:p>
        </w:tc>
        <w:tc>
          <w:tcPr>
            <w:tcW w:type="dxa" w:w="2304"/>
            <w:vAlign w:val="center"/>
          </w:tcPr>
          <w:p>
            <w:r/>
            <w:r>
              <w:rPr>
                <w:rFonts w:ascii="Aptos" w:hAnsi="Aptos"/>
                <w:b w:val="0"/>
                <w:sz w:val="16"/>
              </w:rPr>
              <w:t>Source device</w:t>
            </w:r>
          </w:p>
        </w:tc>
      </w:tr>
      <w:tr>
        <w:tc>
          <w:tcPr>
            <w:tcW w:type="dxa" w:w="2016"/>
            <w:vAlign w:val="center"/>
          </w:tcPr>
          <w:p>
            <w:r/>
            <w:r>
              <w:rPr>
                <w:rFonts w:ascii="Aptos" w:hAnsi="Aptos"/>
                <w:b w:val="0"/>
                <w:sz w:val="16"/>
              </w:rPr>
              <w:t>Python acquisition</w:t>
            </w:r>
          </w:p>
        </w:tc>
        <w:tc>
          <w:tcPr>
            <w:tcW w:type="dxa" w:w="5472"/>
            <w:vAlign w:val="center"/>
          </w:tcPr>
          <w:p>
            <w:r/>
            <w:r>
              <w:rPr>
                <w:rFonts w:ascii="Aptos" w:hAnsi="Aptos"/>
                <w:b w:val="0"/>
                <w:sz w:val="16"/>
              </w:rPr>
              <w:t>SNMPv2c + structured WISI web/resource acquisition, deterministic correlation</w:t>
            </w:r>
          </w:p>
        </w:tc>
        <w:tc>
          <w:tcPr>
            <w:tcW w:type="dxa" w:w="2304"/>
            <w:vAlign w:val="center"/>
          </w:tcPr>
          <w:p>
            <w:r/>
            <w:r>
              <w:rPr>
                <w:rFonts w:ascii="Aptos" w:hAnsi="Aptos"/>
                <w:b w:val="0"/>
                <w:sz w:val="16"/>
              </w:rPr>
              <w:t>Authoritative acquisition</w:t>
            </w:r>
          </w:p>
        </w:tc>
      </w:tr>
      <w:tr>
        <w:tc>
          <w:tcPr>
            <w:tcW w:type="dxa" w:w="2016"/>
            <w:vAlign w:val="center"/>
          </w:tcPr>
          <w:p>
            <w:r/>
            <w:r>
              <w:rPr>
                <w:rFonts w:ascii="Aptos" w:hAnsi="Aptos"/>
                <w:b w:val="0"/>
                <w:sz w:val="16"/>
              </w:rPr>
              <w:t>Authoritative inventory</w:t>
            </w:r>
          </w:p>
        </w:tc>
        <w:tc>
          <w:tcPr>
            <w:tcW w:type="dxa" w:w="5472"/>
            <w:vAlign w:val="center"/>
          </w:tcPr>
          <w:p>
            <w:r/>
            <w:r>
              <w:rPr>
                <w:rFonts w:ascii="Aptos" w:hAnsi="Aptos"/>
                <w:b w:val="0"/>
                <w:sz w:val="16"/>
              </w:rPr>
              <w:t>Logical carrier and expected DVB service identity</w:t>
            </w:r>
          </w:p>
        </w:tc>
        <w:tc>
          <w:tcPr>
            <w:tcW w:type="dxa" w:w="2304"/>
            <w:vAlign w:val="center"/>
          </w:tcPr>
          <w:p>
            <w:r/>
            <w:r>
              <w:rPr>
                <w:rFonts w:ascii="Aptos" w:hAnsi="Aptos"/>
                <w:b w:val="0"/>
                <w:sz w:val="16"/>
              </w:rPr>
              <w:t>Authoritative identity</w:t>
            </w:r>
          </w:p>
        </w:tc>
      </w:tr>
      <w:tr>
        <w:tc>
          <w:tcPr>
            <w:tcW w:type="dxa" w:w="2016"/>
            <w:vAlign w:val="center"/>
          </w:tcPr>
          <w:p>
            <w:r/>
            <w:r>
              <w:rPr>
                <w:rFonts w:ascii="Aptos" w:hAnsi="Aptos"/>
                <w:b w:val="0"/>
                <w:sz w:val="16"/>
              </w:rPr>
              <w:t>SQLite</w:t>
            </w:r>
          </w:p>
        </w:tc>
        <w:tc>
          <w:tcPr>
            <w:tcW w:type="dxa" w:w="5472"/>
            <w:vAlign w:val="center"/>
          </w:tcPr>
          <w:p>
            <w:r/>
            <w:r>
              <w:rPr>
                <w:rFonts w:ascii="Aptos" w:hAnsi="Aptos"/>
                <w:b w:val="0"/>
                <w:sz w:val="16"/>
              </w:rPr>
              <w:t>Rich carrier/service observations and 15-day TV43 history</w:t>
            </w:r>
          </w:p>
        </w:tc>
        <w:tc>
          <w:tcPr>
            <w:tcW w:type="dxa" w:w="2304"/>
            <w:vAlign w:val="center"/>
          </w:tcPr>
          <w:p>
            <w:r/>
            <w:r>
              <w:rPr>
                <w:rFonts w:ascii="Aptos" w:hAnsi="Aptos"/>
                <w:b w:val="0"/>
                <w:sz w:val="16"/>
              </w:rPr>
              <w:t>Historical system of record</w:t>
            </w:r>
          </w:p>
        </w:tc>
      </w:tr>
      <w:tr>
        <w:tc>
          <w:tcPr>
            <w:tcW w:type="dxa" w:w="2016"/>
            <w:vAlign w:val="center"/>
          </w:tcPr>
          <w:p>
            <w:r/>
            <w:r>
              <w:rPr>
                <w:rFonts w:ascii="Aptos" w:hAnsi="Aptos"/>
                <w:b w:val="0"/>
                <w:sz w:val="16"/>
              </w:rPr>
              <w:t>PRTG EXE/Script Advanced</w:t>
            </w:r>
          </w:p>
        </w:tc>
        <w:tc>
          <w:tcPr>
            <w:tcW w:type="dxa" w:w="5472"/>
            <w:vAlign w:val="center"/>
          </w:tcPr>
          <w:p>
            <w:r/>
            <w:r>
              <w:rPr>
                <w:rFonts w:ascii="Aptos" w:hAnsi="Aptos"/>
                <w:b w:val="0"/>
                <w:sz w:val="16"/>
              </w:rPr>
              <w:t>Stable bounded channels + rich status/message</w:t>
            </w:r>
          </w:p>
        </w:tc>
        <w:tc>
          <w:tcPr>
            <w:tcW w:type="dxa" w:w="2304"/>
            <w:vAlign w:val="center"/>
          </w:tcPr>
          <w:p>
            <w:r/>
            <w:r>
              <w:rPr>
                <w:rFonts w:ascii="Aptos" w:hAnsi="Aptos"/>
                <w:b w:val="0"/>
                <w:sz w:val="16"/>
              </w:rPr>
              <w:t>Viewer/dashboard only</w:t>
            </w:r>
          </w:p>
        </w:tc>
      </w:tr>
      <w:tr>
        <w:tc>
          <w:tcPr>
            <w:tcW w:type="dxa" w:w="2016"/>
            <w:vAlign w:val="center"/>
          </w:tcPr>
          <w:p>
            <w:r/>
            <w:r>
              <w:rPr>
                <w:rFonts w:ascii="Aptos" w:hAnsi="Aptos"/>
                <w:b w:val="0"/>
                <w:sz w:val="16"/>
              </w:rPr>
              <w:t>Python alarm policy</w:t>
            </w:r>
          </w:p>
        </w:tc>
        <w:tc>
          <w:tcPr>
            <w:tcW w:type="dxa" w:w="5472"/>
            <w:vAlign w:val="center"/>
          </w:tcPr>
          <w:p>
            <w:r/>
            <w:r>
              <w:rPr>
                <w:rFonts w:ascii="Aptos" w:hAnsi="Aptos"/>
                <w:b w:val="0"/>
                <w:sz w:val="16"/>
              </w:rPr>
              <w:t>Carrier/TS/service-integrity episodes, suppression, recovery</w:t>
            </w:r>
          </w:p>
        </w:tc>
        <w:tc>
          <w:tcPr>
            <w:tcW w:type="dxa" w:w="2304"/>
            <w:vAlign w:val="center"/>
          </w:tcPr>
          <w:p>
            <w:r/>
            <w:r>
              <w:rPr>
                <w:rFonts w:ascii="Aptos" w:hAnsi="Aptos"/>
                <w:b w:val="0"/>
                <w:sz w:val="16"/>
              </w:rPr>
              <w:t>Authoritative alarm logic</w:t>
            </w:r>
          </w:p>
        </w:tc>
      </w:tr>
      <w:tr>
        <w:tc>
          <w:tcPr>
            <w:tcW w:type="dxa" w:w="2016"/>
            <w:vAlign w:val="center"/>
          </w:tcPr>
          <w:p>
            <w:r/>
            <w:r>
              <w:rPr>
                <w:rFonts w:ascii="Aptos" w:hAnsi="Aptos"/>
                <w:b w:val="0"/>
                <w:sz w:val="16"/>
              </w:rPr>
              <w:t>SMTP/email</w:t>
            </w:r>
          </w:p>
        </w:tc>
        <w:tc>
          <w:tcPr>
            <w:tcW w:type="dxa" w:w="5472"/>
            <w:vAlign w:val="center"/>
          </w:tcPr>
          <w:p>
            <w:r/>
            <w:r>
              <w:rPr>
                <w:rFonts w:ascii="Aptos" w:hAnsi="Aptos"/>
                <w:b w:val="0"/>
                <w:sz w:val="16"/>
              </w:rPr>
              <w:t>Transmission Alert DOWN/UP notifications</w:t>
            </w:r>
          </w:p>
        </w:tc>
        <w:tc>
          <w:tcPr>
            <w:tcW w:type="dxa" w:w="2304"/>
            <w:vAlign w:val="center"/>
          </w:tcPr>
          <w:p>
            <w:r/>
            <w:r>
              <w:rPr>
                <w:rFonts w:ascii="Aptos" w:hAnsi="Aptos"/>
                <w:b w:val="0"/>
                <w:sz w:val="16"/>
              </w:rPr>
              <w:t>Python-controlled; not PRTG triggers</w:t>
            </w:r>
          </w:p>
        </w:tc>
      </w:tr>
    </w:tbl>
    <w:p/>
    <w:p>
      <w:pPr>
        <w:pStyle w:val="Heading1"/>
      </w:pPr>
      <w:r>
        <w:t>3. Starting scenarios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rFonts w:ascii="Aptos" w:hAnsi="Aptos"/>
                <w:b/>
                <w:sz w:val="16"/>
              </w:rPr>
              <w:t>Starting material</w:t>
            </w:r>
          </w:p>
        </w:tc>
        <w:tc>
          <w:tcPr>
            <w:tcW w:type="dxa" w:w="3360"/>
            <w:vAlign w:val="center"/>
            <w:shd w:fill="D9EAF7"/>
          </w:tcPr>
          <w:p>
            <w:r/>
            <w:r>
              <w:rPr>
                <w:rFonts w:ascii="Aptos" w:hAnsi="Aptos"/>
                <w:b/>
                <w:sz w:val="16"/>
              </w:rPr>
              <w:t>First action</w:t>
            </w:r>
          </w:p>
        </w:tc>
        <w:tc>
          <w:tcPr>
            <w:tcW w:type="dxa" w:w="3360"/>
            <w:vAlign w:val="center"/>
            <w:shd w:fill="D9EAF7"/>
          </w:tcPr>
          <w:p>
            <w:r/>
            <w:r>
              <w:rPr>
                <w:rFonts w:ascii="Aptos" w:hAnsi="Aptos"/>
                <w:b/>
                <w:sz w:val="16"/>
              </w:rPr>
              <w:t>Rule</w:t>
            </w:r>
          </w:p>
        </w:tc>
      </w:tr>
      <w:tr>
        <w:tc>
          <w:tcPr>
            <w:tcW w:type="dxa" w:w="3360"/>
            <w:vAlign w:val="center"/>
          </w:tcPr>
          <w:p>
            <w:r/>
            <w:r>
              <w:rPr>
                <w:rFonts w:ascii="Aptos" w:hAnsi="Aptos"/>
                <w:b w:val="0"/>
                <w:sz w:val="16"/>
              </w:rPr>
              <w:t>Product documentation + MIB files</w:t>
            </w:r>
          </w:p>
        </w:tc>
        <w:tc>
          <w:tcPr>
            <w:tcW w:type="dxa" w:w="3360"/>
            <w:vAlign w:val="center"/>
          </w:tcPr>
          <w:p>
            <w:r/>
            <w:r>
              <w:rPr>
                <w:rFonts w:ascii="Aptos" w:hAnsi="Aptos"/>
                <w:b w:val="0"/>
                <w:sz w:val="16"/>
              </w:rPr>
              <w:t>Review documented SNMP capability, compile MIBs if useful, walk the live device, correlate numeric OIDs with known state.</w:t>
            </w:r>
          </w:p>
        </w:tc>
        <w:tc>
          <w:tcPr>
            <w:tcW w:type="dxa" w:w="3360"/>
            <w:vAlign w:val="center"/>
          </w:tcPr>
          <w:p>
            <w:r/>
            <w:r>
              <w:rPr>
                <w:rFonts w:ascii="Aptos" w:hAnsi="Aptos"/>
                <w:b w:val="0"/>
                <w:sz w:val="16"/>
              </w:rPr>
              <w:t>Do not assume a MIB object is operationally populated merely because it exists.</w:t>
            </w:r>
          </w:p>
        </w:tc>
      </w:tr>
      <w:tr>
        <w:tc>
          <w:tcPr>
            <w:tcW w:type="dxa" w:w="3360"/>
            <w:vAlign w:val="center"/>
          </w:tcPr>
          <w:p>
            <w:r/>
            <w:r>
              <w:rPr>
                <w:rFonts w:ascii="Aptos" w:hAnsi="Aptos"/>
                <w:b w:val="0"/>
                <w:sz w:val="16"/>
              </w:rPr>
              <w:t>Product documentation, no MIB files</w:t>
            </w:r>
          </w:p>
        </w:tc>
        <w:tc>
          <w:tcPr>
            <w:tcW w:type="dxa" w:w="3360"/>
            <w:vAlign w:val="center"/>
          </w:tcPr>
          <w:p>
            <w:r/>
            <w:r>
              <w:rPr>
                <w:rFonts w:ascii="Aptos" w:hAnsi="Aptos"/>
                <w:b w:val="0"/>
                <w:sz w:val="16"/>
              </w:rPr>
              <w:t>Use documentation to identify expected capabilities; inspect SNMP numerically if enabled; inspect structured web-interface traffic.</w:t>
            </w:r>
          </w:p>
        </w:tc>
        <w:tc>
          <w:tcPr>
            <w:tcW w:type="dxa" w:w="3360"/>
            <w:vAlign w:val="center"/>
          </w:tcPr>
          <w:p>
            <w:r/>
            <w:r>
              <w:rPr>
                <w:rFonts w:ascii="Aptos" w:hAnsi="Aptos"/>
                <w:b w:val="0"/>
                <w:sz w:val="16"/>
              </w:rPr>
              <w:t>Do not invent symbolic OIDs.</w:t>
            </w:r>
          </w:p>
        </w:tc>
      </w:tr>
      <w:tr>
        <w:tc>
          <w:tcPr>
            <w:tcW w:type="dxa" w:w="3360"/>
            <w:vAlign w:val="center"/>
          </w:tcPr>
          <w:p>
            <w:r/>
            <w:r>
              <w:rPr>
                <w:rFonts w:ascii="Aptos" w:hAnsi="Aptos"/>
                <w:b w:val="0"/>
                <w:sz w:val="16"/>
              </w:rPr>
              <w:t>MIBs are incomplete/unhelpful</w:t>
            </w:r>
          </w:p>
        </w:tc>
        <w:tc>
          <w:tcPr>
            <w:tcW w:type="dxa" w:w="3360"/>
            <w:vAlign w:val="center"/>
          </w:tcPr>
          <w:p>
            <w:r/>
            <w:r>
              <w:rPr>
                <w:rFonts w:ascii="Aptos" w:hAnsi="Aptos"/>
                <w:b w:val="0"/>
                <w:sz w:val="16"/>
              </w:rPr>
              <w:t>Treat GUI-visible state as evidence that the chassis can retrieve data; inspect browser Network traffic and machine-readable resources.</w:t>
            </w:r>
          </w:p>
        </w:tc>
        <w:tc>
          <w:tcPr>
            <w:tcW w:type="dxa" w:w="3360"/>
            <w:vAlign w:val="center"/>
          </w:tcPr>
          <w:p>
            <w:r/>
            <w:r>
              <w:rPr>
                <w:rFonts w:ascii="Aptos" w:hAnsi="Aptos"/>
                <w:b w:val="0"/>
                <w:sz w:val="16"/>
              </w:rPr>
              <w:t>Prefer structured responses, not screen-label scraping.</w:t>
            </w:r>
          </w:p>
        </w:tc>
      </w:tr>
      <w:tr>
        <w:tc>
          <w:tcPr>
            <w:tcW w:type="dxa" w:w="3360"/>
            <w:vAlign w:val="center"/>
          </w:tcPr>
          <w:p>
            <w:r/>
            <w:r>
              <w:rPr>
                <w:rFonts w:ascii="Aptos" w:hAnsi="Aptos"/>
                <w:b w:val="0"/>
                <w:sz w:val="16"/>
              </w:rPr>
              <w:t>Firmware/UI changed</w:t>
            </w:r>
          </w:p>
        </w:tc>
        <w:tc>
          <w:tcPr>
            <w:tcW w:type="dxa" w:w="3360"/>
            <w:vAlign w:val="center"/>
          </w:tcPr>
          <w:p>
            <w:r/>
            <w:r>
              <w:rPr>
                <w:rFonts w:ascii="Aptos" w:hAnsi="Aptos"/>
                <w:b w:val="0"/>
                <w:sz w:val="16"/>
              </w:rPr>
              <w:t>Repeat structured request observation and compare against known carrier fingerprints before changing production mappings.</w:t>
            </w:r>
          </w:p>
        </w:tc>
        <w:tc>
          <w:tcPr>
            <w:tcW w:type="dxa" w:w="3360"/>
            <w:vAlign w:val="center"/>
          </w:tcPr>
          <w:p>
            <w:r/>
            <w:r>
              <w:rPr>
                <w:rFonts w:ascii="Aptos" w:hAnsi="Aptos"/>
                <w:b w:val="0"/>
                <w:sz w:val="16"/>
              </w:rPr>
              <w:t>Never carry old endpoints/mappings forward without evidence.</w:t>
            </w:r>
          </w:p>
        </w:tc>
      </w:tr>
    </w:tbl>
    <w:p/>
    <w:p>
      <w:pPr>
        <w:pStyle w:val="Heading1"/>
      </w:pPr>
      <w:r>
        <w:t>4. Workstation/server prerequisites</w:t>
      </w:r>
    </w:p>
    <w:p>
      <w:r>
        <w:t>The validated working environment was Windows with Python 3.14.6. The project intentionally uses standard-library implementations for core runtime functions, including SQLite, SMTP/email, HTTP/XML and its internal SNMPv2c client. The GitHub project requirements file should remain the project dependency specification; a pip-freeze snapshot is reference material, not an instruction to install every package.</w:t>
      </w:r>
    </w:p>
    <w:p>
      <w:pPr>
        <w:pStyle w:val="CodeBlock"/>
      </w:pPr>
      <w:r>
        <w:t># PowerShell</w:t>
      </w:r>
    </w:p>
    <w:p>
      <w:pPr>
        <w:pStyle w:val="CodeBlock"/>
      </w:pPr>
      <w:r>
        <w:t>python --version</w:t>
      </w:r>
    </w:p>
    <w:p>
      <w:pPr>
        <w:pStyle w:val="CodeBlock"/>
      </w:pPr>
      <w:r>
        <w:t>python -m pip --version</w:t>
      </w:r>
    </w:p>
    <w:p>
      <w:pPr>
        <w:pStyle w:val="CodeBlock"/>
      </w:pPr>
      <w:r>
        <w:t>git --version</w:t>
      </w:r>
    </w:p>
    <w:p>
      <w:pPr>
        <w:pStyle w:val="CodeBlock"/>
      </w:pPr>
      <w:r>
        <w:t>Get-Service *PRTG* | Select-Object Name,DisplayName,Status</w:t>
      </w:r>
    </w:p>
    <w:p>
      <w:pPr>
        <w:pStyle w:val="CodeBlock"/>
      </w:pPr>
      <w:r/>
    </w:p>
    <w:p>
      <w:pPr>
        <w:pStyle w:val="CodeBlock"/>
      </w:pPr>
      <w:r>
        <w:t># From project root:</w:t>
      </w:r>
    </w:p>
    <w:p>
      <w:pPr>
        <w:pStyle w:val="CodeBlock"/>
      </w:pPr>
      <w:r>
        <w:t>python -m pip install -r .\requirements.txt</w:t>
      </w:r>
    </w:p>
    <w:p>
      <w:pPr>
        <w:pStyle w:val="CodeBlock"/>
      </w:pPr>
      <w:r>
        <w:t>python -c "import sqlite3, smtplib, json, xml.etree.ElementTree; print('STANDARD LIBRARY OK')"</w:t>
      </w:r>
    </w:p>
    <w:p>
      <w:pPr>
        <w:pStyle w:val="CodeBlock"/>
      </w:pPr>
      <w:r>
        <w:t>python -c "import gt34_monitor; print('GT34 PROJECT PACKAGE OK')"</w:t>
      </w:r>
    </w:p>
    <w:tbl>
      <w:tblPr>
        <w:tblStyle w:val="TableGrid"/>
        <w:tblW w:type="auto" w:w="0"/>
        <w:tblLook w:firstColumn="1" w:firstRow="1" w:lastColumn="0" w:lastRow="0" w:noHBand="0" w:noVBand="1" w:val="04A0"/>
      </w:tblPr>
      <w:tblGrid>
        <w:gridCol w:w="10080"/>
      </w:tblGrid>
      <w:tr>
        <w:tc>
          <w:tcPr>
            <w:tcW w:type="dxa" w:w="10080"/>
            <w:shd w:fill="FFF2CC"/>
          </w:tcPr>
          <w:p>
            <w:r>
              <w:rPr>
                <w:b/>
              </w:rPr>
              <w:t xml:space="preserve">Server path: </w:t>
            </w:r>
            <w:r>
              <w:t>For a clean server installation use a stable path such as C:\WISI\wisi-gt34-monitor. Do not retain old user Desktop paths in PRTG wrappers or Scheduled Tasks.</w:t>
            </w:r>
          </w:p>
        </w:tc>
      </w:tr>
    </w:tbl>
    <w:p/>
    <w:p>
      <w:pPr>
        <w:pStyle w:val="Heading1"/>
      </w:pPr>
      <w:r>
        <w:t>5. Phase A - establish physical and network identity</w:t>
      </w:r>
    </w:p>
    <w:p>
      <w:pPr>
        <w:pStyle w:val="Heading2"/>
      </w:pPr>
      <w:r>
        <w:t>5.1 Record the chassis before polling</w:t>
      </w:r>
    </w:p>
    <w:p>
      <w:pPr>
        <w:pStyle w:val="ListBullet"/>
      </w:pPr>
      <w:r>
        <w:t>Record chassis management IP, model, firmware/software version, installed physical slots, GT34 slots, and the known RF input/carrier configuration.</w:t>
      </w:r>
    </w:p>
    <w:p>
      <w:pPr>
        <w:pStyle w:val="ListBullet"/>
      </w:pPr>
      <w:r>
        <w:t>Confirm the browser GUI is reachable and that the GT34 module is shown as running.</w:t>
      </w:r>
    </w:p>
    <w:p>
      <w:pPr>
        <w:pStyle w:val="ListBullet"/>
      </w:pPr>
      <w:r>
        <w:t>Record at least one known carrier per GT34: frequency, polarization, symbol rate, and one known DVB service/SID if available. These become correlation fingerprints.</w:t>
      </w:r>
    </w:p>
    <w:p>
      <w:pPr>
        <w:pStyle w:val="Heading2"/>
      </w:pPr>
      <w:r>
        <w:t>5.2 Basic network tests</w:t>
      </w:r>
    </w:p>
    <w:p>
      <w:pPr>
        <w:pStyle w:val="CodeBlock"/>
      </w:pPr>
      <w:r>
        <w:t>Test-Connection &lt;CHASSIS_IP&gt; -Count 2</w:t>
      </w:r>
    </w:p>
    <w:p>
      <w:pPr>
        <w:pStyle w:val="CodeBlock"/>
      </w:pPr>
      <w:r>
        <w:t>Test-NetConnection &lt;CHASSIS_IP&gt; -Port 80</w:t>
      </w:r>
    </w:p>
    <w:p>
      <w:pPr>
        <w:pStyle w:val="CodeBlock"/>
      </w:pPr>
      <w:r>
        <w:t>Test-NetConnection &lt;CHASSIS_IP&gt; -Port 161</w:t>
      </w:r>
    </w:p>
    <w:tbl>
      <w:tblPr>
        <w:tblStyle w:val="TableGrid"/>
        <w:tblW w:type="auto" w:w="0"/>
        <w:tblLook w:firstColumn="1" w:firstRow="1" w:lastColumn="0" w:lastRow="0" w:noHBand="0" w:noVBand="1" w:val="04A0"/>
      </w:tblPr>
      <w:tblGrid>
        <w:gridCol w:w="10080"/>
      </w:tblGrid>
      <w:tr>
        <w:tc>
          <w:tcPr>
            <w:tcW w:type="dxa" w:w="10080"/>
            <w:shd w:fill="FFF2CC"/>
          </w:tcPr>
          <w:p>
            <w:r>
              <w:rPr>
                <w:b/>
              </w:rPr>
              <w:t xml:space="preserve">UDP caveat: </w:t>
            </w:r>
            <w:r>
              <w:t>Test-NetConnection is primarily useful for TCP. SNMP uses UDP/161, so the authoritative SNMP test is an actual SNMP GET/WALK or this project's SNMP client, not a successful TCP test.</w:t>
            </w:r>
          </w:p>
        </w:tc>
      </w:tr>
    </w:tbl>
    <w:p/>
    <w:p>
      <w:pPr>
        <w:pStyle w:val="Heading1"/>
      </w:pPr>
      <w:r>
        <w:t>6. Phase B - SNMP/MIB investigation from scratch</w:t>
      </w:r>
    </w:p>
    <w:p>
      <w:r>
        <w:t>The project began as a MIB/PRTG exercise. Importing the available WISI MIB material into PRTG did not automatically expose the complete regulator-facing parameter set. The final solution therefore uses SNMP where useful and structured WISI web resources for enrichment/service identity.</w:t>
      </w:r>
    </w:p>
    <w:p>
      <w:pPr>
        <w:pStyle w:val="Heading2"/>
      </w:pPr>
      <w:r>
        <w:t>6.1 If MIB files are available</w:t>
      </w:r>
    </w:p>
    <w:p>
      <w:pPr>
        <w:pStyle w:val="ListBullet"/>
      </w:pPr>
      <w:r>
        <w:t>Preserve the original vendor MIBs unchanged.</w:t>
      </w:r>
    </w:p>
    <w:p>
      <w:pPr>
        <w:pStyle w:val="ListBullet"/>
      </w:pPr>
      <w:r>
        <w:t>Load/compile them in an SNMP browser or PRTG MIB importer if desired, but treat this as a naming aid, not proof of live telemetry.</w:t>
      </w:r>
    </w:p>
    <w:p>
      <w:pPr>
        <w:pStyle w:val="ListBullet"/>
      </w:pPr>
      <w:r>
        <w:t>Perform a numeric walk and save the raw output. Numeric OIDs remain useful even if symbolic compilation fails.</w:t>
      </w:r>
    </w:p>
    <w:p>
      <w:pPr>
        <w:pStyle w:val="ListBullet"/>
      </w:pPr>
      <w:r>
        <w:t>Change one known device state at a time only when operationally safe; compare walk values to identify candidate objects.</w:t>
      </w:r>
    </w:p>
    <w:p>
      <w:pPr>
        <w:pStyle w:val="ListBullet"/>
      </w:pPr>
      <w:r>
        <w:t>Document OID, ASN.1 type, observed value, scaling/unit evidence, source MIB, and correlation confidence.</w:t>
      </w:r>
    </w:p>
    <w:p>
      <w:pPr>
        <w:pStyle w:val="Heading2"/>
      </w:pPr>
      <w:r>
        <w:t>6.2 If MIB files are absent or not useful</w:t>
      </w:r>
    </w:p>
    <w:p>
      <w:r>
        <w:t>Use the product documentation to understand the device, but do not convert a documented GUI field into an assumed OID. Continue with live numeric SNMP discovery and the structured web-interface workflow in Phase C.</w:t>
      </w:r>
    </w:p>
    <w:p>
      <w:pPr>
        <w:pStyle w:val="Heading2"/>
      </w:pPr>
      <w:r>
        <w:t>6.3 Project-native SNMP configuration</w:t>
      </w:r>
    </w:p>
    <w:p>
      <w:pPr>
        <w:pStyle w:val="CodeBlock"/>
      </w:pPr>
      <w:r>
        <w:t># config.toml template - replace placeholders locally</w:t>
      </w:r>
    </w:p>
    <w:p>
      <w:pPr>
        <w:pStyle w:val="CodeBlock"/>
      </w:pPr>
      <w:r>
        <w:t>[snmp]</w:t>
      </w:r>
    </w:p>
    <w:p>
      <w:pPr>
        <w:pStyle w:val="CodeBlock"/>
      </w:pPr>
      <w:r>
        <w:t>host = "&lt;CHASSIS_IP&gt;"</w:t>
      </w:r>
    </w:p>
    <w:p>
      <w:pPr>
        <w:pStyle w:val="CodeBlock"/>
      </w:pPr>
      <w:r>
        <w:t>community = "&lt;SNMP_COMMUNITY&gt;"</w:t>
      </w:r>
    </w:p>
    <w:p>
      <w:pPr>
        <w:pStyle w:val="CodeBlock"/>
      </w:pPr>
      <w:r>
        <w:t>port = 161</w:t>
      </w:r>
    </w:p>
    <w:p>
      <w:pPr>
        <w:pStyle w:val="CodeBlock"/>
      </w:pPr>
      <w:r>
        <w:t>timeout_seconds = 2.0</w:t>
      </w:r>
    </w:p>
    <w:p>
      <w:pPr>
        <w:pStyle w:val="CodeBlock"/>
      </w:pPr>
      <w:r>
        <w:t>retries = 1</w:t>
      </w:r>
    </w:p>
    <w:p>
      <w:pPr>
        <w:pStyle w:val="Heading2"/>
      </w:pPr>
      <w:r>
        <w:t>6.4 Project discovery commands</w:t>
      </w:r>
    </w:p>
    <w:p>
      <w:pPr>
        <w:pStyle w:val="CodeBlock"/>
      </w:pPr>
      <w:r>
        <w:t># Run from project root in PowerShell.</w:t>
      </w:r>
    </w:p>
    <w:p>
      <w:pPr>
        <w:pStyle w:val="CodeBlock"/>
      </w:pPr>
      <w:r/>
    </w:p>
    <w:p>
      <w:pPr>
        <w:pStyle w:val="CodeBlock"/>
      </w:pPr>
      <w:r>
        <w:t>python .\tools\discover.py --config .\config.toml</w:t>
      </w:r>
    </w:p>
    <w:p>
      <w:pPr>
        <w:pStyle w:val="CodeBlock"/>
      </w:pPr>
      <w:r/>
    </w:p>
    <w:p>
      <w:pPr>
        <w:pStyle w:val="CodeBlock"/>
      </w:pPr>
      <w:r>
        <w:t>python .\tools\discover_modules.py `</w:t>
      </w:r>
    </w:p>
    <w:p>
      <w:pPr>
        <w:pStyle w:val="CodeBlock"/>
      </w:pPr>
      <w:r>
        <w:t xml:space="preserve">  --config .\config.toml `</w:t>
      </w:r>
    </w:p>
    <w:p>
      <w:pPr>
        <w:pStyle w:val="CodeBlock"/>
      </w:pPr>
      <w:r>
        <w:t xml:space="preserve">  --host &lt;CHASSIS_IP&gt;</w:t>
      </w:r>
    </w:p>
    <w:p>
      <w:pPr>
        <w:pStyle w:val="CodeBlock"/>
      </w:pPr>
      <w:r/>
    </w:p>
    <w:p>
      <w:pPr>
        <w:pStyle w:val="CodeBlock"/>
      </w:pPr>
      <w:r>
        <w:t># Include controller/system rows if needed:</w:t>
      </w:r>
    </w:p>
    <w:p>
      <w:pPr>
        <w:pStyle w:val="CodeBlock"/>
      </w:pPr>
      <w:r>
        <w:t>python .\tools\discover_modules.py `</w:t>
      </w:r>
    </w:p>
    <w:p>
      <w:pPr>
        <w:pStyle w:val="CodeBlock"/>
      </w:pPr>
      <w:r>
        <w:t xml:space="preserve">  --config .\config.toml `</w:t>
      </w:r>
    </w:p>
    <w:p>
      <w:pPr>
        <w:pStyle w:val="CodeBlock"/>
      </w:pPr>
      <w:r>
        <w:t xml:space="preserve">  --host &lt;CHASSIS_IP&gt; `</w:t>
      </w:r>
    </w:p>
    <w:p>
      <w:pPr>
        <w:pStyle w:val="CodeBlock"/>
      </w:pPr>
      <w:r>
        <w:t xml:space="preserve">  --all-components</w:t>
      </w:r>
    </w:p>
    <w:p>
      <w:pPr>
        <w:pStyle w:val="CodeBlock"/>
      </w:pPr>
      <w:r/>
    </w:p>
    <w:p>
      <w:pPr>
        <w:pStyle w:val="CodeBlock"/>
      </w:pPr>
      <w:r>
        <w:t># Discover DVB services only on physical GT34 modules:</w:t>
      </w:r>
    </w:p>
    <w:p>
      <w:pPr>
        <w:pStyle w:val="CodeBlock"/>
      </w:pPr>
      <w:r>
        <w:t>python .\tools\discover_services.py `</w:t>
      </w:r>
    </w:p>
    <w:p>
      <w:pPr>
        <w:pStyle w:val="CodeBlock"/>
      </w:pPr>
      <w:r>
        <w:t xml:space="preserve">  --config .\config.toml `</w:t>
      </w:r>
    </w:p>
    <w:p>
      <w:pPr>
        <w:pStyle w:val="CodeBlock"/>
      </w:pPr>
      <w:r>
        <w:t xml:space="preserve">  --host &lt;CHASSIS_IP&gt;</w:t>
      </w:r>
    </w:p>
    <w:p>
      <w:pPr>
        <w:pStyle w:val="CodeBlock"/>
      </w:pPr>
      <w:r/>
    </w:p>
    <w:p>
      <w:pPr>
        <w:pStyle w:val="CodeBlock"/>
      </w:pPr>
      <w:r>
        <w:t># Limit to one physical GT34 slot:</w:t>
      </w:r>
    </w:p>
    <w:p>
      <w:pPr>
        <w:pStyle w:val="CodeBlock"/>
      </w:pPr>
      <w:r>
        <w:t>python .\tools\discover_services.py `</w:t>
      </w:r>
    </w:p>
    <w:p>
      <w:pPr>
        <w:pStyle w:val="CodeBlock"/>
      </w:pPr>
      <w:r>
        <w:t xml:space="preserve">  --config .\config.toml `</w:t>
      </w:r>
    </w:p>
    <w:p>
      <w:pPr>
        <w:pStyle w:val="CodeBlock"/>
      </w:pPr>
      <w:r>
        <w:t xml:space="preserve">  --host &lt;CHASSIS_IP&gt; `</w:t>
      </w:r>
    </w:p>
    <w:p>
      <w:pPr>
        <w:pStyle w:val="CodeBlock"/>
      </w:pPr>
      <w:r>
        <w:t xml:space="preserve">  --module 1</w:t>
      </w:r>
    </w:p>
    <w:p>
      <w:pPr>
        <w:pStyle w:val="CodeBlock"/>
      </w:pPr>
      <w:r/>
    </w:p>
    <w:p>
      <w:pPr>
        <w:pStyle w:val="CodeBlock"/>
      </w:pPr>
      <w:r>
        <w:t># Write a candidate expected-service baseline:</w:t>
      </w:r>
    </w:p>
    <w:p>
      <w:pPr>
        <w:pStyle w:val="CodeBlock"/>
      </w:pPr>
      <w:r>
        <w:t>python .\tools\discover_services.py `</w:t>
      </w:r>
    </w:p>
    <w:p>
      <w:pPr>
        <w:pStyle w:val="CodeBlock"/>
      </w:pPr>
      <w:r>
        <w:t xml:space="preserve">  --config .\config.toml `</w:t>
      </w:r>
    </w:p>
    <w:p>
      <w:pPr>
        <w:pStyle w:val="CodeBlock"/>
      </w:pPr>
      <w:r>
        <w:t xml:space="preserve">  --host &lt;CHASSIS_IP&gt; `</w:t>
      </w:r>
    </w:p>
    <w:p>
      <w:pPr>
        <w:pStyle w:val="CodeBlock"/>
      </w:pPr>
      <w:r>
        <w:t xml:space="preserve">  --write-toml .\baselines\candidate_&lt;CHASSIS&gt;.toml</w:t>
      </w:r>
    </w:p>
    <w:p>
      <w:pPr>
        <w:pStyle w:val="CodeBlock"/>
      </w:pPr>
      <w:r/>
    </w:p>
    <w:p>
      <w:pPr>
        <w:pStyle w:val="CodeBlock"/>
      </w:pPr>
      <w:r>
        <w:t># Complete ES/PID map for one logical input:</w:t>
      </w:r>
    </w:p>
    <w:p>
      <w:pPr>
        <w:pStyle w:val="CodeBlock"/>
      </w:pPr>
      <w:r>
        <w:t>python .\tools\discover_streams.py `</w:t>
      </w:r>
    </w:p>
    <w:p>
      <w:pPr>
        <w:pStyle w:val="CodeBlock"/>
      </w:pPr>
      <w:r>
        <w:t xml:space="preserve">  --config .\config.toml `</w:t>
      </w:r>
    </w:p>
    <w:p>
      <w:pPr>
        <w:pStyle w:val="CodeBlock"/>
      </w:pPr>
      <w:r>
        <w:t xml:space="preserve">  --host &lt;CHASSIS_IP&gt; `</w:t>
      </w:r>
    </w:p>
    <w:p>
      <w:pPr>
        <w:pStyle w:val="CodeBlock"/>
      </w:pPr>
      <w:r>
        <w:t xml:space="preserve">  --module 1 `</w:t>
      </w:r>
    </w:p>
    <w:p>
      <w:pPr>
        <w:pStyle w:val="CodeBlock"/>
      </w:pPr>
      <w:r>
        <w:t xml:space="preserve">  --channel 1</w:t>
      </w:r>
    </w:p>
    <w:tbl>
      <w:tblPr>
        <w:tblStyle w:val="TableGrid"/>
        <w:tblW w:type="auto" w:w="0"/>
        <w:tblLook w:firstColumn="1" w:firstRow="1" w:lastColumn="0" w:lastRow="0" w:noHBand="0" w:noVBand="1" w:val="04A0"/>
      </w:tblPr>
      <w:tblGrid>
        <w:gridCol w:w="10080"/>
      </w:tblGrid>
      <w:tr>
        <w:tc>
          <w:tcPr>
            <w:tcW w:type="dxa" w:w="10080"/>
            <w:shd w:fill="FFF2CC"/>
          </w:tcPr>
          <w:p>
            <w:r>
              <w:rPr>
                <w:b/>
              </w:rPr>
              <w:t xml:space="preserve">PYTHONPATH: </w:t>
            </w:r>
            <w:r>
              <w:t>When invoking scripts under tools from unusual shells or copied locations, the project root must be importable. Normally run from the project root. If Python cannot import gt34_monitor, set $env:PYTHONPATH=(Get-Location).Path for that PowerShell session and retry.</w:t>
            </w:r>
          </w:p>
        </w:tc>
      </w:tr>
    </w:tbl>
    <w:p/>
    <w:p>
      <w:pPr>
        <w:pStyle w:val="Heading1"/>
      </w:pPr>
      <w:r>
        <w:t>7. Phase C - discover the WISI web-interface data path</w:t>
      </w:r>
    </w:p>
    <w:p>
      <w:r>
        <w:t>This phase is foundational. The successful implementation did not rely on screen scraping. It observed the structured HTTP/XML/resources used behind the WISI/Tangram GUI's GT34 module/input/status/service views and correlated those responses with known tuning and SNMP observations.</w:t>
      </w:r>
    </w:p>
    <w:p>
      <w:pPr>
        <w:pStyle w:val="Heading2"/>
      </w:pPr>
      <w:r>
        <w:t>7.1 Browser procedure</w:t>
      </w:r>
    </w:p>
    <w:p>
      <w:pPr>
        <w:pStyle w:val="ListNumber"/>
      </w:pPr>
      <w:r>
        <w:t>Open the chassis web interface and authenticate using the site's normal administrative procedure.</w:t>
      </w:r>
    </w:p>
    <w:p>
      <w:pPr>
        <w:pStyle w:val="ListNumber"/>
      </w:pPr>
      <w:r>
        <w:t>Open browser Developer Tools -&gt; Network. Preserve the log while navigating.</w:t>
      </w:r>
    </w:p>
    <w:p>
      <w:pPr>
        <w:pStyle w:val="ListNumber"/>
      </w:pPr>
      <w:r>
        <w:t>Navigate to a known GT34 module, then a known logical input, status view, transport/service view, and any elementary-stream/PID view.</w:t>
      </w:r>
    </w:p>
    <w:p>
      <w:pPr>
        <w:pStyle w:val="ListNumber"/>
      </w:pPr>
      <w:r>
        <w:t>Filter Network traffic for XHR/fetch/XML/HTTP requests. Record request method, path, query/body, response content type, and a small redacted response sample.</w:t>
      </w:r>
    </w:p>
    <w:p>
      <w:pPr>
        <w:pStyle w:val="ListNumber"/>
      </w:pPr>
      <w:r>
        <w:t>Switch to another known logical input. Compare which request fields/path components change and which response fields track frequency, symbol rate, lock, RF/SNR, TS/service identity or ES/PID data.</w:t>
      </w:r>
    </w:p>
    <w:p>
      <w:pPr>
        <w:pStyle w:val="ListNumber"/>
      </w:pPr>
      <w:r>
        <w:t>Repeat on a second chassis/module before declaring a request pattern generic.</w:t>
      </w:r>
    </w:p>
    <w:p>
      <w:pPr>
        <w:pStyle w:val="ListNumber"/>
      </w:pPr>
      <w:r>
        <w:t>Correlate each candidate response to a known carrier fingerprint. Frequency + polarization + symbol rate + service identity is stronger evidence than a tuner index alone.</w:t>
      </w:r>
    </w:p>
    <w:p>
      <w:pPr>
        <w:pStyle w:val="ListNumber"/>
      </w:pPr>
      <w:r>
        <w:t>Preserve evidence in a discovery log. If the firmware/UI changes later, repeat this procedure rather than guessing old endpoints.</w:t>
      </w:r>
    </w:p>
    <w:tbl>
      <w:tblPr>
        <w:tblStyle w:val="TableGrid"/>
        <w:tblW w:type="auto" w:w="0"/>
        <w:tblLook w:firstColumn="1" w:firstRow="1" w:lastColumn="0" w:lastRow="0" w:noHBand="0" w:noVBand="1" w:val="04A0"/>
      </w:tblPr>
      <w:tblGrid>
        <w:gridCol w:w="10080"/>
      </w:tblGrid>
      <w:tr>
        <w:tc>
          <w:tcPr>
            <w:tcW w:type="dxa" w:w="10080"/>
            <w:shd w:fill="FFF2CC"/>
          </w:tcPr>
          <w:p>
            <w:r>
              <w:rPr>
                <w:b/>
              </w:rPr>
              <w:t xml:space="preserve">Known path form: </w:t>
            </w:r>
            <w:r>
              <w:t>Historical GUI-style logical paths included /remote/&lt;logical-remote&gt;/. A newer 169.254.x.x transport/module binding must not be substituted for a GUI logical remote without evidence. Exact undocumented endpoint names that were not preserved as evidence are deliberately not fabricated in this runbook.</w:t>
            </w:r>
          </w:p>
        </w:tc>
      </w:tr>
    </w:tbl>
    <w:p/>
    <w:p>
      <w:pPr>
        <w:pStyle w:val="Heading2"/>
      </w:pPr>
      <w:r>
        <w:t>7.2 Project modules implementing the correlation</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rFonts w:ascii="Aptos" w:hAnsi="Aptos"/>
                <w:b/>
                <w:sz w:val="16"/>
              </w:rPr>
              <w:t>Component</w:t>
            </w:r>
          </w:p>
        </w:tc>
        <w:tc>
          <w:tcPr>
            <w:tcW w:type="dxa" w:w="5040"/>
            <w:vAlign w:val="center"/>
            <w:shd w:fill="D9EAF7"/>
          </w:tcPr>
          <w:p>
            <w:r/>
            <w:r>
              <w:rPr>
                <w:rFonts w:ascii="Aptos" w:hAnsi="Aptos"/>
                <w:b/>
                <w:sz w:val="16"/>
              </w:rPr>
              <w:t>Role</w:t>
            </w:r>
          </w:p>
        </w:tc>
      </w:tr>
      <w:tr>
        <w:tc>
          <w:tcPr>
            <w:tcW w:type="dxa" w:w="5040"/>
            <w:vAlign w:val="center"/>
          </w:tcPr>
          <w:p>
            <w:r/>
            <w:r>
              <w:rPr>
                <w:rFonts w:ascii="Aptos" w:hAnsi="Aptos"/>
                <w:b w:val="0"/>
                <w:sz w:val="16"/>
              </w:rPr>
              <w:t>gt34_monitor/webstatus.py</w:t>
            </w:r>
          </w:p>
        </w:tc>
        <w:tc>
          <w:tcPr>
            <w:tcW w:type="dxa" w:w="5040"/>
            <w:vAlign w:val="center"/>
          </w:tcPr>
          <w:p>
            <w:r/>
            <w:r>
              <w:rPr>
                <w:rFonts w:ascii="Aptos" w:hAnsi="Aptos"/>
                <w:b w:val="0"/>
                <w:sz w:val="16"/>
              </w:rPr>
              <w:t>Structured WISI web-status acquisition and deterministic/fail-closed logical mapping.</w:t>
            </w:r>
          </w:p>
        </w:tc>
      </w:tr>
      <w:tr>
        <w:tc>
          <w:tcPr>
            <w:tcW w:type="dxa" w:w="5040"/>
            <w:vAlign w:val="center"/>
          </w:tcPr>
          <w:p>
            <w:r/>
            <w:r>
              <w:rPr>
                <w:rFonts w:ascii="Aptos" w:hAnsi="Aptos"/>
                <w:b w:val="0"/>
                <w:sz w:val="16"/>
              </w:rPr>
              <w:t>gt34_monitor/fastpath.py</w:t>
            </w:r>
          </w:p>
        </w:tc>
        <w:tc>
          <w:tcPr>
            <w:tcW w:type="dxa" w:w="5040"/>
            <w:vAlign w:val="center"/>
          </w:tcPr>
          <w:p>
            <w:r/>
            <w:r>
              <w:rPr>
                <w:rFonts w:ascii="Aptos" w:hAnsi="Aptos"/>
                <w:b w:val="0"/>
                <w:sz w:val="16"/>
              </w:rPr>
              <w:t>Fast polling/enrichment path combining device observations with web data.</w:t>
            </w:r>
          </w:p>
        </w:tc>
      </w:tr>
      <w:tr>
        <w:tc>
          <w:tcPr>
            <w:tcW w:type="dxa" w:w="5040"/>
            <w:vAlign w:val="center"/>
          </w:tcPr>
          <w:p>
            <w:r/>
            <w:r>
              <w:rPr>
                <w:rFonts w:ascii="Aptos" w:hAnsi="Aptos"/>
                <w:b w:val="0"/>
                <w:sz w:val="16"/>
              </w:rPr>
              <w:t>gt34_monitor/prtg.py</w:t>
            </w:r>
          </w:p>
        </w:tc>
        <w:tc>
          <w:tcPr>
            <w:tcW w:type="dxa" w:w="5040"/>
            <w:vAlign w:val="center"/>
          </w:tcPr>
          <w:p>
            <w:r/>
            <w:r>
              <w:rPr>
                <w:rFonts w:ascii="Aptos" w:hAnsi="Aptos"/>
                <w:b w:val="0"/>
                <w:sz w:val="16"/>
              </w:rPr>
              <w:t>PRTG-oriented presentation logic used by the older structured path.</w:t>
            </w:r>
          </w:p>
        </w:tc>
      </w:tr>
      <w:tr>
        <w:tc>
          <w:tcPr>
            <w:tcW w:type="dxa" w:w="5040"/>
            <w:vAlign w:val="center"/>
          </w:tcPr>
          <w:p>
            <w:r/>
            <w:r>
              <w:rPr>
                <w:rFonts w:ascii="Aptos" w:hAnsi="Aptos"/>
                <w:b w:val="0"/>
                <w:sz w:val="16"/>
              </w:rPr>
              <w:t>prtg_sensor.py</w:t>
            </w:r>
          </w:p>
        </w:tc>
        <w:tc>
          <w:tcPr>
            <w:tcW w:type="dxa" w:w="5040"/>
            <w:vAlign w:val="center"/>
          </w:tcPr>
          <w:p>
            <w:r/>
            <w:r>
              <w:rPr>
                <w:rFonts w:ascii="Aptos" w:hAnsi="Aptos"/>
                <w:b w:val="0"/>
                <w:sz w:val="16"/>
              </w:rPr>
              <w:t>One logical-input PRTG sensor interface; supports host/baseline overrides.</w:t>
            </w:r>
          </w:p>
        </w:tc>
      </w:tr>
      <w:tr>
        <w:tc>
          <w:tcPr>
            <w:tcW w:type="dxa" w:w="5040"/>
            <w:vAlign w:val="center"/>
          </w:tcPr>
          <w:p>
            <w:r/>
            <w:r>
              <w:rPr>
                <w:rFonts w:ascii="Aptos" w:hAnsi="Aptos"/>
                <w:b w:val="0"/>
                <w:sz w:val="16"/>
              </w:rPr>
              <w:t>tools/discover_services.py</w:t>
            </w:r>
          </w:p>
        </w:tc>
        <w:tc>
          <w:tcPr>
            <w:tcW w:type="dxa" w:w="5040"/>
            <w:vAlign w:val="center"/>
          </w:tcPr>
          <w:p>
            <w:r/>
            <w:r>
              <w:rPr>
                <w:rFonts w:ascii="Aptos" w:hAnsi="Aptos"/>
                <w:b w:val="0"/>
                <w:sz w:val="16"/>
              </w:rPr>
              <w:t>GT34 service discovery and candidate baseline generation.</w:t>
            </w:r>
          </w:p>
        </w:tc>
      </w:tr>
      <w:tr>
        <w:tc>
          <w:tcPr>
            <w:tcW w:type="dxa" w:w="5040"/>
            <w:vAlign w:val="center"/>
          </w:tcPr>
          <w:p>
            <w:r/>
            <w:r>
              <w:rPr>
                <w:rFonts w:ascii="Aptos" w:hAnsi="Aptos"/>
                <w:b w:val="0"/>
                <w:sz w:val="16"/>
              </w:rPr>
              <w:t>tools/discover_fleet.py</w:t>
            </w:r>
          </w:p>
        </w:tc>
        <w:tc>
          <w:tcPr>
            <w:tcW w:type="dxa" w:w="5040"/>
            <w:vAlign w:val="center"/>
          </w:tcPr>
          <w:p>
            <w:r/>
            <w:r>
              <w:rPr>
                <w:rFonts w:ascii="Aptos" w:hAnsi="Aptos"/>
                <w:b w:val="0"/>
                <w:sz w:val="16"/>
              </w:rPr>
              <w:t>Fleet-wide configured-IRD discovery.</w:t>
            </w:r>
          </w:p>
        </w:tc>
      </w:tr>
      <w:tr>
        <w:tc>
          <w:tcPr>
            <w:tcW w:type="dxa" w:w="5040"/>
            <w:vAlign w:val="center"/>
          </w:tcPr>
          <w:p>
            <w:r/>
            <w:r>
              <w:rPr>
                <w:rFonts w:ascii="Aptos" w:hAnsi="Aptos"/>
                <w:b w:val="0"/>
                <w:sz w:val="16"/>
              </w:rPr>
              <w:t>tools/discover_streams.py</w:t>
            </w:r>
          </w:p>
        </w:tc>
        <w:tc>
          <w:tcPr>
            <w:tcW w:type="dxa" w:w="5040"/>
            <w:vAlign w:val="center"/>
          </w:tcPr>
          <w:p>
            <w:r/>
            <w:r>
              <w:rPr>
                <w:rFonts w:ascii="Aptos" w:hAnsi="Aptos"/>
                <w:b w:val="0"/>
                <w:sz w:val="16"/>
              </w:rPr>
              <w:t>Service-level elementary-stream/PID mapping.</w:t>
            </w:r>
          </w:p>
        </w:tc>
      </w:tr>
      <w:tr>
        <w:tc>
          <w:tcPr>
            <w:tcW w:type="dxa" w:w="5040"/>
            <w:vAlign w:val="center"/>
          </w:tcPr>
          <w:p>
            <w:r/>
            <w:r>
              <w:rPr>
                <w:rFonts w:ascii="Aptos" w:hAnsi="Aptos"/>
                <w:b w:val="0"/>
                <w:sz w:val="16"/>
              </w:rPr>
              <w:t>baselines/baseline_&lt;host&gt;.toml</w:t>
            </w:r>
          </w:p>
        </w:tc>
        <w:tc>
          <w:tcPr>
            <w:tcW w:type="dxa" w:w="5040"/>
            <w:vAlign w:val="center"/>
          </w:tcPr>
          <w:p>
            <w:r/>
            <w:r>
              <w:rPr>
                <w:rFonts w:ascii="Aptos" w:hAnsi="Aptos"/>
                <w:b w:val="0"/>
                <w:sz w:val="16"/>
              </w:rPr>
              <w:t>Per-host approved logical/service expectation baseline.</w:t>
            </w:r>
          </w:p>
        </w:tc>
      </w:tr>
    </w:tbl>
    <w:p/>
    <w:p>
      <w:pPr>
        <w:pStyle w:val="Heading2"/>
      </w:pPr>
      <w:r>
        <w:t>7.3 Fail-closed mapping rule</w:t>
      </w:r>
    </w:p>
    <w:p>
      <w:r>
        <w:t>The mapping must not fall back to an arbitrary tuner when the web response cannot be correlated. The v1.3 logic specifically treats non-positive SNMP LO frequency as unavailable rather than as a literal 0 kHz LO; when LO is unavailable, matching still requires the nominal tuner/channel relationship, healthy web lock, SNR consistency, RF-level consistency, and exactly one matching internal remote.</w:t>
      </w:r>
    </w:p>
    <w:p>
      <w:pPr>
        <w:pStyle w:val="ListBullet"/>
      </w:pPr>
      <w:r>
        <w:t>A match is accepted only when the evidence uniquely identifies the intended logical input.</w:t>
      </w:r>
    </w:p>
    <w:p>
      <w:pPr>
        <w:pStyle w:val="ListBullet"/>
      </w:pPr>
      <w:r>
        <w:t>Ambiguous/no match -&gt; report unavailable/mapping failure; do not manufacture values.</w:t>
      </w:r>
    </w:p>
    <w:p>
      <w:pPr>
        <w:pStyle w:val="ListBullet"/>
      </w:pPr>
      <w:r>
        <w:t>Low-level tuner IDs 0-7 are not the authoritative logical catalogue; the proven GUI inventory contains logical channel numbers above 8.</w:t>
      </w:r>
    </w:p>
    <w:p>
      <w:pPr>
        <w:pStyle w:val="Heading1"/>
      </w:pPr>
      <w:r>
        <w:t>8. Phase D - build an authoritative logical inventory</w:t>
      </w:r>
    </w:p>
    <w:p>
      <w:r>
        <w:t>For a new deployment, discovery output must be converted into an approved inventory before PRTG deployment. In the validated production fleet, Inventory V6 proved 74 logical inputs, 43 active TV-bearing carrier inputs, 168 DVB service instances, and zero service-count mismatches. Those counts are deployment-specific examples, not universal GT34 limits.</w:t>
      </w:r>
    </w:p>
    <w:p>
      <w:pPr>
        <w:pStyle w:val="CodeBlock"/>
      </w:pPr>
      <w:r>
        <w:t># Fleet discovery</w:t>
      </w:r>
    </w:p>
    <w:p>
      <w:pPr>
        <w:pStyle w:val="CodeBlock"/>
      </w:pPr>
      <w:r>
        <w:t>python .\tools\discover_fleet.py --config .\config.toml --list-only</w:t>
      </w:r>
    </w:p>
    <w:p>
      <w:pPr>
        <w:pStyle w:val="CodeBlock"/>
      </w:pPr>
      <w:r>
        <w:t>python .\tools\discover_fleet.py --config .\config.toml</w:t>
      </w:r>
    </w:p>
    <w:p>
      <w:pPr>
        <w:pStyle w:val="CodeBlock"/>
      </w:pPr>
      <w:r/>
    </w:p>
    <w:p>
      <w:pPr>
        <w:pStyle w:val="CodeBlock"/>
      </w:pPr>
      <w:r>
        <w:t># Restrict discovery to one configured host during commissioning</w:t>
      </w:r>
    </w:p>
    <w:p>
      <w:pPr>
        <w:pStyle w:val="CodeBlock"/>
      </w:pPr>
      <w:r>
        <w:t>python .\tools\discover_fleet.py `</w:t>
      </w:r>
    </w:p>
    <w:p>
      <w:pPr>
        <w:pStyle w:val="CodeBlock"/>
      </w:pPr>
      <w:r>
        <w:t xml:space="preserve">  --config .\config.toml `</w:t>
      </w:r>
    </w:p>
    <w:p>
      <w:pPr>
        <w:pStyle w:val="CodeBlock"/>
      </w:pPr>
      <w:r>
        <w:t xml:space="preserve">  --host &lt;CHASSIS_IP&gt;</w:t>
      </w:r>
    </w:p>
    <w:p>
      <w:pPr>
        <w:pStyle w:val="Heading2"/>
      </w:pPr>
      <w:r>
        <w:t>8.1 Approval criteria for each logical carrier</w:t>
      </w:r>
    </w:p>
    <w:p>
      <w:pPr>
        <w:pStyle w:val="ListBullet"/>
      </w:pPr>
      <w:r>
        <w:t>Chassis and physical GT34 module are known.</w:t>
      </w:r>
    </w:p>
    <w:p>
      <w:pPr>
        <w:pStyle w:val="ListBullet"/>
      </w:pPr>
      <w:r>
        <w:t>Logical channel/input identity is deterministic.</w:t>
      </w:r>
    </w:p>
    <w:p>
      <w:pPr>
        <w:pStyle w:val="ListBullet"/>
      </w:pPr>
      <w:r>
        <w:t>Frequency, polarization and symbol rate agree with the intended carrier where exposed.</w:t>
      </w:r>
    </w:p>
    <w:p>
      <w:pPr>
        <w:pStyle w:val="ListBullet"/>
      </w:pPr>
      <w:r>
        <w:t>Current TS/service discovery is available.</w:t>
      </w:r>
    </w:p>
    <w:p>
      <w:pPr>
        <w:pStyle w:val="ListBullet"/>
      </w:pPr>
      <w:r>
        <w:t>Expected SIDs/service names are reviewed; service identity is SID-based, not name-only.</w:t>
      </w:r>
    </w:p>
    <w:p>
      <w:pPr>
        <w:pStyle w:val="ListBullet"/>
      </w:pPr>
      <w:r>
        <w:t>TV-bearing classification is evidence-based: at least one expected service has explicit video ES/PID evidence. Do not infer television versus radio from the service name.</w:t>
      </w:r>
    </w:p>
    <w:p>
      <w:pPr>
        <w:pStyle w:val="ListBullet"/>
      </w:pPr>
      <w:r>
        <w:t>If a service is present but ES metadata is unavailable, record ES-N/A; do not claim black/off-air decoded video.</w:t>
      </w:r>
    </w:p>
    <w:p>
      <w:pPr>
        <w:pStyle w:val="Heading1"/>
      </w:pPr>
      <w:r>
        <w:t>9. Phase E - parameter acquisition and presentation matrix</w:t>
      </w:r>
    </w:p>
    <w:p>
      <w:r>
        <w:t>The system intentionally separates acquisition from presentation. Not every acquired field becomes a PRTG channel. The bounded channel surface is for operational visualization; richer data remains in status text and SQLite.</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center"/>
            <w:shd w:fill="D9EAF7"/>
          </w:tcPr>
          <w:p>
            <w:r/>
            <w:r>
              <w:rPr>
                <w:rFonts w:ascii="Aptos" w:hAnsi="Aptos"/>
                <w:b/>
                <w:sz w:val="16"/>
              </w:rPr>
              <w:t>Parameter/family</w:t>
            </w:r>
          </w:p>
        </w:tc>
        <w:tc>
          <w:tcPr>
            <w:tcW w:type="dxa" w:w="2016"/>
            <w:vAlign w:val="center"/>
            <w:shd w:fill="D9EAF7"/>
          </w:tcPr>
          <w:p>
            <w:r/>
            <w:r>
              <w:rPr>
                <w:rFonts w:ascii="Aptos" w:hAnsi="Aptos"/>
                <w:b/>
                <w:sz w:val="16"/>
              </w:rPr>
              <w:t>Acquisition/derivation</w:t>
            </w:r>
          </w:p>
        </w:tc>
        <w:tc>
          <w:tcPr>
            <w:tcW w:type="dxa" w:w="2016"/>
            <w:vAlign w:val="center"/>
            <w:shd w:fill="D9EAF7"/>
          </w:tcPr>
          <w:p>
            <w:r/>
            <w:r>
              <w:rPr>
                <w:rFonts w:ascii="Aptos" w:hAnsi="Aptos"/>
                <w:b/>
                <w:sz w:val="16"/>
              </w:rPr>
              <w:t>PRTG</w:t>
            </w:r>
          </w:p>
        </w:tc>
        <w:tc>
          <w:tcPr>
            <w:tcW w:type="dxa" w:w="2016"/>
            <w:vAlign w:val="center"/>
            <w:shd w:fill="D9EAF7"/>
          </w:tcPr>
          <w:p>
            <w:r/>
            <w:r>
              <w:rPr>
                <w:rFonts w:ascii="Aptos" w:hAnsi="Aptos"/>
                <w:b/>
                <w:sz w:val="16"/>
              </w:rPr>
              <w:t>SQLite/history</w:t>
            </w:r>
          </w:p>
        </w:tc>
        <w:tc>
          <w:tcPr>
            <w:tcW w:type="dxa" w:w="2016"/>
            <w:vAlign w:val="center"/>
            <w:shd w:fill="D9EAF7"/>
          </w:tcPr>
          <w:p>
            <w:r/>
            <w:r>
              <w:rPr>
                <w:rFonts w:ascii="Aptos" w:hAnsi="Aptos"/>
                <w:b/>
                <w:sz w:val="16"/>
              </w:rPr>
              <w:t>Operational meaning</w:t>
            </w:r>
          </w:p>
        </w:tc>
      </w:tr>
      <w:tr>
        <w:tc>
          <w:tcPr>
            <w:tcW w:type="dxa" w:w="2016"/>
            <w:vAlign w:val="center"/>
          </w:tcPr>
          <w:p>
            <w:r/>
            <w:r>
              <w:rPr>
                <w:rFonts w:ascii="Aptos" w:hAnsi="Aptos"/>
                <w:b w:val="0"/>
                <w:sz w:val="16"/>
              </w:rPr>
              <w:t>Carrier / TS Health</w:t>
            </w:r>
          </w:p>
        </w:tc>
        <w:tc>
          <w:tcPr>
            <w:tcW w:type="dxa" w:w="2016"/>
            <w:vAlign w:val="center"/>
          </w:tcPr>
          <w:p>
            <w:r/>
            <w:r>
              <w:rPr>
                <w:rFonts w:ascii="Aptos" w:hAnsi="Aptos"/>
                <w:b w:val="0"/>
                <w:sz w:val="16"/>
              </w:rPr>
              <w:t>Derived from lock + TS state</w:t>
            </w:r>
          </w:p>
        </w:tc>
        <w:tc>
          <w:tcPr>
            <w:tcW w:type="dxa" w:w="2016"/>
            <w:vAlign w:val="center"/>
          </w:tcPr>
          <w:p>
            <w:r/>
            <w:r>
              <w:rPr>
                <w:rFonts w:ascii="Aptos" w:hAnsi="Aptos"/>
                <w:b w:val="0"/>
                <w:sz w:val="16"/>
              </w:rPr>
              <w:t>Core channel</w:t>
            </w:r>
          </w:p>
        </w:tc>
        <w:tc>
          <w:tcPr>
            <w:tcW w:type="dxa" w:w="2016"/>
            <w:vAlign w:val="center"/>
          </w:tcPr>
          <w:p>
            <w:r/>
            <w:r>
              <w:rPr>
                <w:rFonts w:ascii="Aptos" w:hAnsi="Aptos"/>
                <w:b w:val="0"/>
                <w:sz w:val="16"/>
              </w:rPr>
              <w:t>Yes</w:t>
            </w:r>
          </w:p>
        </w:tc>
        <w:tc>
          <w:tcPr>
            <w:tcW w:type="dxa" w:w="2016"/>
            <w:vAlign w:val="center"/>
          </w:tcPr>
          <w:p>
            <w:r/>
            <w:r>
              <w:rPr>
                <w:rFonts w:ascii="Aptos" w:hAnsi="Aptos"/>
                <w:b w:val="0"/>
                <w:sz w:val="16"/>
              </w:rPr>
              <w:t>Top-level carrier/TS state</w:t>
            </w:r>
          </w:p>
        </w:tc>
      </w:tr>
      <w:tr>
        <w:tc>
          <w:tcPr>
            <w:tcW w:type="dxa" w:w="2016"/>
            <w:vAlign w:val="center"/>
          </w:tcPr>
          <w:p>
            <w:r/>
            <w:r>
              <w:rPr>
                <w:rFonts w:ascii="Aptos" w:hAnsi="Aptos"/>
                <w:b w:val="0"/>
                <w:sz w:val="16"/>
              </w:rPr>
              <w:t>Demod Lock</w:t>
            </w:r>
          </w:p>
        </w:tc>
        <w:tc>
          <w:tcPr>
            <w:tcW w:type="dxa" w:w="2016"/>
            <w:vAlign w:val="center"/>
          </w:tcPr>
          <w:p>
            <w:r/>
            <w:r>
              <w:rPr>
                <w:rFonts w:ascii="Aptos" w:hAnsi="Aptos"/>
                <w:b w:val="0"/>
                <w:sz w:val="16"/>
              </w:rPr>
              <w:t>IRD structured observation</w:t>
            </w:r>
          </w:p>
        </w:tc>
        <w:tc>
          <w:tcPr>
            <w:tcW w:type="dxa" w:w="2016"/>
            <w:vAlign w:val="center"/>
          </w:tcPr>
          <w:p>
            <w:r/>
            <w:r>
              <w:rPr>
                <w:rFonts w:ascii="Aptos" w:hAnsi="Aptos"/>
                <w:b w:val="0"/>
                <w:sz w:val="16"/>
              </w:rPr>
              <w:t>Core channel</w:t>
            </w:r>
          </w:p>
        </w:tc>
        <w:tc>
          <w:tcPr>
            <w:tcW w:type="dxa" w:w="2016"/>
            <w:vAlign w:val="center"/>
          </w:tcPr>
          <w:p>
            <w:r/>
            <w:r>
              <w:rPr>
                <w:rFonts w:ascii="Aptos" w:hAnsi="Aptos"/>
                <w:b w:val="0"/>
                <w:sz w:val="16"/>
              </w:rPr>
              <w:t>Yes</w:t>
            </w:r>
          </w:p>
        </w:tc>
        <w:tc>
          <w:tcPr>
            <w:tcW w:type="dxa" w:w="2016"/>
            <w:vAlign w:val="center"/>
          </w:tcPr>
          <w:p>
            <w:r/>
            <w:r>
              <w:rPr>
                <w:rFonts w:ascii="Aptos" w:hAnsi="Aptos"/>
                <w:b w:val="0"/>
                <w:sz w:val="16"/>
              </w:rPr>
              <w:t>RF demodulator lock</w:t>
            </w:r>
          </w:p>
        </w:tc>
      </w:tr>
      <w:tr>
        <w:tc>
          <w:tcPr>
            <w:tcW w:type="dxa" w:w="2016"/>
            <w:vAlign w:val="center"/>
          </w:tcPr>
          <w:p>
            <w:r/>
            <w:r>
              <w:rPr>
                <w:rFonts w:ascii="Aptos" w:hAnsi="Aptos"/>
                <w:b w:val="0"/>
                <w:sz w:val="16"/>
              </w:rPr>
              <w:t>Transport Stream Present</w:t>
            </w:r>
          </w:p>
        </w:tc>
        <w:tc>
          <w:tcPr>
            <w:tcW w:type="dxa" w:w="2016"/>
            <w:vAlign w:val="center"/>
          </w:tcPr>
          <w:p>
            <w:r/>
            <w:r>
              <w:rPr>
                <w:rFonts w:ascii="Aptos" w:hAnsi="Aptos"/>
                <w:b w:val="0"/>
                <w:sz w:val="16"/>
              </w:rPr>
              <w:t>IRD structured observation</w:t>
            </w:r>
          </w:p>
        </w:tc>
        <w:tc>
          <w:tcPr>
            <w:tcW w:type="dxa" w:w="2016"/>
            <w:vAlign w:val="center"/>
          </w:tcPr>
          <w:p>
            <w:r/>
            <w:r>
              <w:rPr>
                <w:rFonts w:ascii="Aptos" w:hAnsi="Aptos"/>
                <w:b w:val="0"/>
                <w:sz w:val="16"/>
              </w:rPr>
              <w:t>Core channel</w:t>
            </w:r>
          </w:p>
        </w:tc>
        <w:tc>
          <w:tcPr>
            <w:tcW w:type="dxa" w:w="2016"/>
            <w:vAlign w:val="center"/>
          </w:tcPr>
          <w:p>
            <w:r/>
            <w:r>
              <w:rPr>
                <w:rFonts w:ascii="Aptos" w:hAnsi="Aptos"/>
                <w:b w:val="0"/>
                <w:sz w:val="16"/>
              </w:rPr>
              <w:t>Yes</w:t>
            </w:r>
          </w:p>
        </w:tc>
        <w:tc>
          <w:tcPr>
            <w:tcW w:type="dxa" w:w="2016"/>
            <w:vAlign w:val="center"/>
          </w:tcPr>
          <w:p>
            <w:r/>
            <w:r>
              <w:rPr>
                <w:rFonts w:ascii="Aptos" w:hAnsi="Aptos"/>
                <w:b w:val="0"/>
                <w:sz w:val="16"/>
              </w:rPr>
              <w:t>TS availability</w:t>
            </w:r>
          </w:p>
        </w:tc>
      </w:tr>
      <w:tr>
        <w:tc>
          <w:tcPr>
            <w:tcW w:type="dxa" w:w="2016"/>
            <w:vAlign w:val="center"/>
          </w:tcPr>
          <w:p>
            <w:r/>
            <w:r>
              <w:rPr>
                <w:rFonts w:ascii="Aptos" w:hAnsi="Aptos"/>
                <w:b w:val="0"/>
                <w:sz w:val="16"/>
              </w:rPr>
              <w:t>Video Present</w:t>
            </w:r>
          </w:p>
        </w:tc>
        <w:tc>
          <w:tcPr>
            <w:tcW w:type="dxa" w:w="2016"/>
            <w:vAlign w:val="center"/>
          </w:tcPr>
          <w:p>
            <w:r/>
            <w:r>
              <w:rPr>
                <w:rFonts w:ascii="Aptos" w:hAnsi="Aptos"/>
                <w:b w:val="0"/>
                <w:sz w:val="16"/>
              </w:rPr>
              <w:t>Derived from current ES evidence</w:t>
            </w:r>
          </w:p>
        </w:tc>
        <w:tc>
          <w:tcPr>
            <w:tcW w:type="dxa" w:w="2016"/>
            <w:vAlign w:val="center"/>
          </w:tcPr>
          <w:p>
            <w:r/>
            <w:r>
              <w:rPr>
                <w:rFonts w:ascii="Aptos" w:hAnsi="Aptos"/>
                <w:b w:val="0"/>
                <w:sz w:val="16"/>
              </w:rPr>
              <w:t>Core channel</w:t>
            </w:r>
          </w:p>
        </w:tc>
        <w:tc>
          <w:tcPr>
            <w:tcW w:type="dxa" w:w="2016"/>
            <w:vAlign w:val="center"/>
          </w:tcPr>
          <w:p>
            <w:r/>
            <w:r>
              <w:rPr>
                <w:rFonts w:ascii="Aptos" w:hAnsi="Aptos"/>
                <w:b w:val="0"/>
                <w:sz w:val="16"/>
              </w:rPr>
              <w:t>Yes</w:t>
            </w:r>
          </w:p>
        </w:tc>
        <w:tc>
          <w:tcPr>
            <w:tcW w:type="dxa" w:w="2016"/>
            <w:vAlign w:val="center"/>
          </w:tcPr>
          <w:p>
            <w:r/>
            <w:r>
              <w:rPr>
                <w:rFonts w:ascii="Aptos" w:hAnsi="Aptos"/>
                <w:b w:val="0"/>
                <w:sz w:val="16"/>
              </w:rPr>
              <w:t>At least one expected video service evidence</w:t>
            </w:r>
          </w:p>
        </w:tc>
      </w:tr>
      <w:tr>
        <w:tc>
          <w:tcPr>
            <w:tcW w:type="dxa" w:w="2016"/>
            <w:vAlign w:val="center"/>
          </w:tcPr>
          <w:p>
            <w:r/>
            <w:r>
              <w:rPr>
                <w:rFonts w:ascii="Aptos" w:hAnsi="Aptos"/>
                <w:b w:val="0"/>
                <w:sz w:val="16"/>
              </w:rPr>
              <w:t>Service Integrity Health</w:t>
            </w:r>
          </w:p>
        </w:tc>
        <w:tc>
          <w:tcPr>
            <w:tcW w:type="dxa" w:w="2016"/>
            <w:vAlign w:val="center"/>
          </w:tcPr>
          <w:p>
            <w:r/>
            <w:r>
              <w:rPr>
                <w:rFonts w:ascii="Aptos" w:hAnsi="Aptos"/>
                <w:b w:val="0"/>
                <w:sz w:val="16"/>
              </w:rPr>
              <w:t>Expected SID + ES checks</w:t>
            </w:r>
          </w:p>
        </w:tc>
        <w:tc>
          <w:tcPr>
            <w:tcW w:type="dxa" w:w="2016"/>
            <w:vAlign w:val="center"/>
          </w:tcPr>
          <w:p>
            <w:r/>
            <w:r>
              <w:rPr>
                <w:rFonts w:ascii="Aptos" w:hAnsi="Aptos"/>
                <w:b w:val="0"/>
                <w:sz w:val="16"/>
              </w:rPr>
              <w:t>Core channel</w:t>
            </w:r>
          </w:p>
        </w:tc>
        <w:tc>
          <w:tcPr>
            <w:tcW w:type="dxa" w:w="2016"/>
            <w:vAlign w:val="center"/>
          </w:tcPr>
          <w:p>
            <w:r/>
            <w:r>
              <w:rPr>
                <w:rFonts w:ascii="Aptos" w:hAnsi="Aptos"/>
                <w:b w:val="0"/>
                <w:sz w:val="16"/>
              </w:rPr>
              <w:t>Yes</w:t>
            </w:r>
          </w:p>
        </w:tc>
        <w:tc>
          <w:tcPr>
            <w:tcW w:type="dxa" w:w="2016"/>
            <w:vAlign w:val="center"/>
          </w:tcPr>
          <w:p>
            <w:r/>
            <w:r>
              <w:rPr>
                <w:rFonts w:ascii="Aptos" w:hAnsi="Aptos"/>
                <w:b w:val="0"/>
                <w:sz w:val="16"/>
              </w:rPr>
              <w:t>Expected-service state</w:t>
            </w:r>
          </w:p>
        </w:tc>
      </w:tr>
      <w:tr>
        <w:tc>
          <w:tcPr>
            <w:tcW w:type="dxa" w:w="2016"/>
            <w:vAlign w:val="center"/>
          </w:tcPr>
          <w:p>
            <w:r/>
            <w:r>
              <w:rPr>
                <w:rFonts w:ascii="Aptos" w:hAnsi="Aptos"/>
                <w:b w:val="0"/>
                <w:sz w:val="16"/>
              </w:rPr>
              <w:t>RF Level</w:t>
            </w:r>
          </w:p>
        </w:tc>
        <w:tc>
          <w:tcPr>
            <w:tcW w:type="dxa" w:w="2016"/>
            <w:vAlign w:val="center"/>
          </w:tcPr>
          <w:p>
            <w:r/>
            <w:r>
              <w:rPr>
                <w:rFonts w:ascii="Aptos" w:hAnsi="Aptos"/>
                <w:b w:val="0"/>
                <w:sz w:val="16"/>
              </w:rPr>
              <w:t>IRD observation where exposed</w:t>
            </w:r>
          </w:p>
        </w:tc>
        <w:tc>
          <w:tcPr>
            <w:tcW w:type="dxa" w:w="2016"/>
            <w:vAlign w:val="center"/>
          </w:tcPr>
          <w:p>
            <w:r/>
            <w:r>
              <w:rPr>
                <w:rFonts w:ascii="Aptos" w:hAnsi="Aptos"/>
                <w:b w:val="0"/>
                <w:sz w:val="16"/>
              </w:rPr>
              <w:t>Core channel</w:t>
            </w:r>
          </w:p>
        </w:tc>
        <w:tc>
          <w:tcPr>
            <w:tcW w:type="dxa" w:w="2016"/>
            <w:vAlign w:val="center"/>
          </w:tcPr>
          <w:p>
            <w:r/>
            <w:r>
              <w:rPr>
                <w:rFonts w:ascii="Aptos" w:hAnsi="Aptos"/>
                <w:b w:val="0"/>
                <w:sz w:val="16"/>
              </w:rPr>
              <w:t>Yes</w:t>
            </w:r>
          </w:p>
        </w:tc>
        <w:tc>
          <w:tcPr>
            <w:tcW w:type="dxa" w:w="2016"/>
            <w:vAlign w:val="center"/>
          </w:tcPr>
          <w:p>
            <w:r/>
            <w:r>
              <w:rPr>
                <w:rFonts w:ascii="Aptos" w:hAnsi="Aptos"/>
                <w:b w:val="0"/>
                <w:sz w:val="16"/>
              </w:rPr>
              <w:t>Received RF level</w:t>
            </w:r>
          </w:p>
        </w:tc>
      </w:tr>
      <w:tr>
        <w:tc>
          <w:tcPr>
            <w:tcW w:type="dxa" w:w="2016"/>
            <w:vAlign w:val="center"/>
          </w:tcPr>
          <w:p>
            <w:r/>
            <w:r>
              <w:rPr>
                <w:rFonts w:ascii="Aptos" w:hAnsi="Aptos"/>
                <w:b w:val="0"/>
                <w:sz w:val="16"/>
              </w:rPr>
              <w:t>SNR / C/N</w:t>
            </w:r>
          </w:p>
        </w:tc>
        <w:tc>
          <w:tcPr>
            <w:tcW w:type="dxa" w:w="2016"/>
            <w:vAlign w:val="center"/>
          </w:tcPr>
          <w:p>
            <w:r/>
            <w:r>
              <w:rPr>
                <w:rFonts w:ascii="Aptos" w:hAnsi="Aptos"/>
                <w:b w:val="0"/>
                <w:sz w:val="16"/>
              </w:rPr>
              <w:t>IRD observation where exposed</w:t>
            </w:r>
          </w:p>
        </w:tc>
        <w:tc>
          <w:tcPr>
            <w:tcW w:type="dxa" w:w="2016"/>
            <w:vAlign w:val="center"/>
          </w:tcPr>
          <w:p>
            <w:r/>
            <w:r>
              <w:rPr>
                <w:rFonts w:ascii="Aptos" w:hAnsi="Aptos"/>
                <w:b w:val="0"/>
                <w:sz w:val="16"/>
              </w:rPr>
              <w:t>Core channel</w:t>
            </w:r>
          </w:p>
        </w:tc>
        <w:tc>
          <w:tcPr>
            <w:tcW w:type="dxa" w:w="2016"/>
            <w:vAlign w:val="center"/>
          </w:tcPr>
          <w:p>
            <w:r/>
            <w:r>
              <w:rPr>
                <w:rFonts w:ascii="Aptos" w:hAnsi="Aptos"/>
                <w:b w:val="0"/>
                <w:sz w:val="16"/>
              </w:rPr>
              <w:t>Yes</w:t>
            </w:r>
          </w:p>
        </w:tc>
        <w:tc>
          <w:tcPr>
            <w:tcW w:type="dxa" w:w="2016"/>
            <w:vAlign w:val="center"/>
          </w:tcPr>
          <w:p>
            <w:r/>
            <w:r>
              <w:rPr>
                <w:rFonts w:ascii="Aptos" w:hAnsi="Aptos"/>
                <w:b w:val="0"/>
                <w:sz w:val="16"/>
              </w:rPr>
              <w:t>Signal quality</w:t>
            </w:r>
          </w:p>
        </w:tc>
      </w:tr>
      <w:tr>
        <w:tc>
          <w:tcPr>
            <w:tcW w:type="dxa" w:w="2016"/>
            <w:vAlign w:val="center"/>
          </w:tcPr>
          <w:p>
            <w:r/>
            <w:r>
              <w:rPr>
                <w:rFonts w:ascii="Aptos" w:hAnsi="Aptos"/>
                <w:b w:val="0"/>
                <w:sz w:val="16"/>
              </w:rPr>
              <w:t>BER</w:t>
            </w:r>
          </w:p>
        </w:tc>
        <w:tc>
          <w:tcPr>
            <w:tcW w:type="dxa" w:w="2016"/>
            <w:vAlign w:val="center"/>
          </w:tcPr>
          <w:p>
            <w:r/>
            <w:r>
              <w:rPr>
                <w:rFonts w:ascii="Aptos" w:hAnsi="Aptos"/>
                <w:b w:val="0"/>
                <w:sz w:val="16"/>
              </w:rPr>
              <w:t>IRD observation where exposed</w:t>
            </w:r>
          </w:p>
        </w:tc>
        <w:tc>
          <w:tcPr>
            <w:tcW w:type="dxa" w:w="2016"/>
            <w:vAlign w:val="center"/>
          </w:tcPr>
          <w:p>
            <w:r/>
            <w:r>
              <w:rPr>
                <w:rFonts w:ascii="Aptos" w:hAnsi="Aptos"/>
                <w:b w:val="0"/>
                <w:sz w:val="16"/>
              </w:rPr>
              <w:t>Core channel</w:t>
            </w:r>
          </w:p>
        </w:tc>
        <w:tc>
          <w:tcPr>
            <w:tcW w:type="dxa" w:w="2016"/>
            <w:vAlign w:val="center"/>
          </w:tcPr>
          <w:p>
            <w:r/>
            <w:r>
              <w:rPr>
                <w:rFonts w:ascii="Aptos" w:hAnsi="Aptos"/>
                <w:b w:val="0"/>
                <w:sz w:val="16"/>
              </w:rPr>
              <w:t>Yes</w:t>
            </w:r>
          </w:p>
        </w:tc>
        <w:tc>
          <w:tcPr>
            <w:tcW w:type="dxa" w:w="2016"/>
            <w:vAlign w:val="center"/>
          </w:tcPr>
          <w:p>
            <w:r/>
            <w:r>
              <w:rPr>
                <w:rFonts w:ascii="Aptos" w:hAnsi="Aptos"/>
                <w:b w:val="0"/>
                <w:sz w:val="16"/>
              </w:rPr>
              <w:t>Bit error metric as exposed</w:t>
            </w:r>
          </w:p>
        </w:tc>
      </w:tr>
      <w:tr>
        <w:tc>
          <w:tcPr>
            <w:tcW w:type="dxa" w:w="2016"/>
            <w:vAlign w:val="center"/>
          </w:tcPr>
          <w:p>
            <w:r/>
            <w:r>
              <w:rPr>
                <w:rFonts w:ascii="Aptos" w:hAnsi="Aptos"/>
                <w:b w:val="0"/>
                <w:sz w:val="16"/>
              </w:rPr>
              <w:t>Frequency</w:t>
            </w:r>
          </w:p>
        </w:tc>
        <w:tc>
          <w:tcPr>
            <w:tcW w:type="dxa" w:w="2016"/>
            <w:vAlign w:val="center"/>
          </w:tcPr>
          <w:p>
            <w:r/>
            <w:r>
              <w:rPr>
                <w:rFonts w:ascii="Aptos" w:hAnsi="Aptos"/>
                <w:b w:val="0"/>
                <w:sz w:val="16"/>
              </w:rPr>
              <w:t>Config/device/web correlation</w:t>
            </w:r>
          </w:p>
        </w:tc>
        <w:tc>
          <w:tcPr>
            <w:tcW w:type="dxa" w:w="2016"/>
            <w:vAlign w:val="center"/>
          </w:tcPr>
          <w:p>
            <w:r/>
            <w:r>
              <w:rPr>
                <w:rFonts w:ascii="Aptos" w:hAnsi="Aptos"/>
                <w:b w:val="0"/>
                <w:sz w:val="16"/>
              </w:rPr>
              <w:t>Core channel</w:t>
            </w:r>
          </w:p>
        </w:tc>
        <w:tc>
          <w:tcPr>
            <w:tcW w:type="dxa" w:w="2016"/>
            <w:vAlign w:val="center"/>
          </w:tcPr>
          <w:p>
            <w:r/>
            <w:r>
              <w:rPr>
                <w:rFonts w:ascii="Aptos" w:hAnsi="Aptos"/>
                <w:b w:val="0"/>
                <w:sz w:val="16"/>
              </w:rPr>
              <w:t>Yes</w:t>
            </w:r>
          </w:p>
        </w:tc>
        <w:tc>
          <w:tcPr>
            <w:tcW w:type="dxa" w:w="2016"/>
            <w:vAlign w:val="center"/>
          </w:tcPr>
          <w:p>
            <w:r/>
            <w:r>
              <w:rPr>
                <w:rFonts w:ascii="Aptos" w:hAnsi="Aptos"/>
                <w:b w:val="0"/>
                <w:sz w:val="16"/>
              </w:rPr>
              <w:t>Carrier identity</w:t>
            </w:r>
          </w:p>
        </w:tc>
      </w:tr>
      <w:tr>
        <w:tc>
          <w:tcPr>
            <w:tcW w:type="dxa" w:w="2016"/>
            <w:vAlign w:val="center"/>
          </w:tcPr>
          <w:p>
            <w:r/>
            <w:r>
              <w:rPr>
                <w:rFonts w:ascii="Aptos" w:hAnsi="Aptos"/>
                <w:b w:val="0"/>
                <w:sz w:val="16"/>
              </w:rPr>
              <w:t>Symbol Rate</w:t>
            </w:r>
          </w:p>
        </w:tc>
        <w:tc>
          <w:tcPr>
            <w:tcW w:type="dxa" w:w="2016"/>
            <w:vAlign w:val="center"/>
          </w:tcPr>
          <w:p>
            <w:r/>
            <w:r>
              <w:rPr>
                <w:rFonts w:ascii="Aptos" w:hAnsi="Aptos"/>
                <w:b w:val="0"/>
                <w:sz w:val="16"/>
              </w:rPr>
              <w:t>Config/device/web correlation</w:t>
            </w:r>
          </w:p>
        </w:tc>
        <w:tc>
          <w:tcPr>
            <w:tcW w:type="dxa" w:w="2016"/>
            <w:vAlign w:val="center"/>
          </w:tcPr>
          <w:p>
            <w:r/>
            <w:r>
              <w:rPr>
                <w:rFonts w:ascii="Aptos" w:hAnsi="Aptos"/>
                <w:b w:val="0"/>
                <w:sz w:val="16"/>
              </w:rPr>
              <w:t>Core channel</w:t>
            </w:r>
          </w:p>
        </w:tc>
        <w:tc>
          <w:tcPr>
            <w:tcW w:type="dxa" w:w="2016"/>
            <w:vAlign w:val="center"/>
          </w:tcPr>
          <w:p>
            <w:r/>
            <w:r>
              <w:rPr>
                <w:rFonts w:ascii="Aptos" w:hAnsi="Aptos"/>
                <w:b w:val="0"/>
                <w:sz w:val="16"/>
              </w:rPr>
              <w:t>Yes</w:t>
            </w:r>
          </w:p>
        </w:tc>
        <w:tc>
          <w:tcPr>
            <w:tcW w:type="dxa" w:w="2016"/>
            <w:vAlign w:val="center"/>
          </w:tcPr>
          <w:p>
            <w:r/>
            <w:r>
              <w:rPr>
                <w:rFonts w:ascii="Aptos" w:hAnsi="Aptos"/>
                <w:b w:val="0"/>
                <w:sz w:val="16"/>
              </w:rPr>
              <w:t>Carrier identity</w:t>
            </w:r>
          </w:p>
        </w:tc>
      </w:tr>
      <w:tr>
        <w:tc>
          <w:tcPr>
            <w:tcW w:type="dxa" w:w="2016"/>
            <w:vAlign w:val="center"/>
          </w:tcPr>
          <w:p>
            <w:r/>
            <w:r>
              <w:rPr>
                <w:rFonts w:ascii="Aptos" w:hAnsi="Aptos"/>
                <w:b w:val="0"/>
                <w:sz w:val="16"/>
              </w:rPr>
              <w:t>TS Bitrate</w:t>
            </w:r>
          </w:p>
        </w:tc>
        <w:tc>
          <w:tcPr>
            <w:tcW w:type="dxa" w:w="2016"/>
            <w:vAlign w:val="center"/>
          </w:tcPr>
          <w:p>
            <w:r/>
            <w:r>
              <w:rPr>
                <w:rFonts w:ascii="Aptos" w:hAnsi="Aptos"/>
                <w:b w:val="0"/>
                <w:sz w:val="16"/>
              </w:rPr>
              <w:t>IRD observation where exposed</w:t>
            </w:r>
          </w:p>
        </w:tc>
        <w:tc>
          <w:tcPr>
            <w:tcW w:type="dxa" w:w="2016"/>
            <w:vAlign w:val="center"/>
          </w:tcPr>
          <w:p>
            <w:r/>
            <w:r>
              <w:rPr>
                <w:rFonts w:ascii="Aptos" w:hAnsi="Aptos"/>
                <w:b w:val="0"/>
                <w:sz w:val="16"/>
              </w:rPr>
              <w:t>Core channel</w:t>
            </w:r>
          </w:p>
        </w:tc>
        <w:tc>
          <w:tcPr>
            <w:tcW w:type="dxa" w:w="2016"/>
            <w:vAlign w:val="center"/>
          </w:tcPr>
          <w:p>
            <w:r/>
            <w:r>
              <w:rPr>
                <w:rFonts w:ascii="Aptos" w:hAnsi="Aptos"/>
                <w:b w:val="0"/>
                <w:sz w:val="16"/>
              </w:rPr>
              <w:t>Yes</w:t>
            </w:r>
          </w:p>
        </w:tc>
        <w:tc>
          <w:tcPr>
            <w:tcW w:type="dxa" w:w="2016"/>
            <w:vAlign w:val="center"/>
          </w:tcPr>
          <w:p>
            <w:r/>
            <w:r>
              <w:rPr>
                <w:rFonts w:ascii="Aptos" w:hAnsi="Aptos"/>
                <w:b w:val="0"/>
                <w:sz w:val="16"/>
              </w:rPr>
              <w:t>Transport bitrate</w:t>
            </w:r>
          </w:p>
        </w:tc>
      </w:tr>
      <w:tr>
        <w:tc>
          <w:tcPr>
            <w:tcW w:type="dxa" w:w="2016"/>
            <w:vAlign w:val="center"/>
          </w:tcPr>
          <w:p>
            <w:r/>
            <w:r>
              <w:rPr>
                <w:rFonts w:ascii="Aptos" w:hAnsi="Aptos"/>
                <w:b w:val="0"/>
                <w:sz w:val="16"/>
              </w:rPr>
              <w:t>TSID / NID / ONID</w:t>
            </w:r>
          </w:p>
        </w:tc>
        <w:tc>
          <w:tcPr>
            <w:tcW w:type="dxa" w:w="2016"/>
            <w:vAlign w:val="center"/>
          </w:tcPr>
          <w:p>
            <w:r/>
            <w:r>
              <w:rPr>
                <w:rFonts w:ascii="Aptos" w:hAnsi="Aptos"/>
                <w:b w:val="0"/>
                <w:sz w:val="16"/>
              </w:rPr>
              <w:t>PSI/SI/device data</w:t>
            </w:r>
          </w:p>
        </w:tc>
        <w:tc>
          <w:tcPr>
            <w:tcW w:type="dxa" w:w="2016"/>
            <w:vAlign w:val="center"/>
          </w:tcPr>
          <w:p>
            <w:r/>
            <w:r>
              <w:rPr>
                <w:rFonts w:ascii="Aptos" w:hAnsi="Aptos"/>
                <w:b w:val="0"/>
                <w:sz w:val="16"/>
              </w:rPr>
              <w:t>Core channels</w:t>
            </w:r>
          </w:p>
        </w:tc>
        <w:tc>
          <w:tcPr>
            <w:tcW w:type="dxa" w:w="2016"/>
            <w:vAlign w:val="center"/>
          </w:tcPr>
          <w:p>
            <w:r/>
            <w:r>
              <w:rPr>
                <w:rFonts w:ascii="Aptos" w:hAnsi="Aptos"/>
                <w:b w:val="0"/>
                <w:sz w:val="16"/>
              </w:rPr>
              <w:t>Yes</w:t>
            </w:r>
          </w:p>
        </w:tc>
        <w:tc>
          <w:tcPr>
            <w:tcW w:type="dxa" w:w="2016"/>
            <w:vAlign w:val="center"/>
          </w:tcPr>
          <w:p>
            <w:r/>
            <w:r>
              <w:rPr>
                <w:rFonts w:ascii="Aptos" w:hAnsi="Aptos"/>
                <w:b w:val="0"/>
                <w:sz w:val="16"/>
              </w:rPr>
              <w:t>Transport/network identity</w:t>
            </w:r>
          </w:p>
        </w:tc>
      </w:tr>
      <w:tr>
        <w:tc>
          <w:tcPr>
            <w:tcW w:type="dxa" w:w="2016"/>
            <w:vAlign w:val="center"/>
          </w:tcPr>
          <w:p>
            <w:r/>
            <w:r>
              <w:rPr>
                <w:rFonts w:ascii="Aptos" w:hAnsi="Aptos"/>
                <w:b w:val="0"/>
                <w:sz w:val="16"/>
              </w:rPr>
              <w:t>Missing Services</w:t>
            </w:r>
          </w:p>
        </w:tc>
        <w:tc>
          <w:tcPr>
            <w:tcW w:type="dxa" w:w="2016"/>
            <w:vAlign w:val="center"/>
          </w:tcPr>
          <w:p>
            <w:r/>
            <w:r>
              <w:rPr>
                <w:rFonts w:ascii="Aptos" w:hAnsi="Aptos"/>
                <w:b w:val="0"/>
                <w:sz w:val="16"/>
              </w:rPr>
              <w:t>Expected vs observed SIDs</w:t>
            </w:r>
          </w:p>
        </w:tc>
        <w:tc>
          <w:tcPr>
            <w:tcW w:type="dxa" w:w="2016"/>
            <w:vAlign w:val="center"/>
          </w:tcPr>
          <w:p>
            <w:r/>
            <w:r>
              <w:rPr>
                <w:rFonts w:ascii="Aptos" w:hAnsi="Aptos"/>
                <w:b w:val="0"/>
                <w:sz w:val="16"/>
              </w:rPr>
              <w:t>Core channel</w:t>
            </w:r>
          </w:p>
        </w:tc>
        <w:tc>
          <w:tcPr>
            <w:tcW w:type="dxa" w:w="2016"/>
            <w:vAlign w:val="center"/>
          </w:tcPr>
          <w:p>
            <w:r/>
            <w:r>
              <w:rPr>
                <w:rFonts w:ascii="Aptos" w:hAnsi="Aptos"/>
                <w:b w:val="0"/>
                <w:sz w:val="16"/>
              </w:rPr>
              <w:t>Yes</w:t>
            </w:r>
          </w:p>
        </w:tc>
        <w:tc>
          <w:tcPr>
            <w:tcW w:type="dxa" w:w="2016"/>
            <w:vAlign w:val="center"/>
          </w:tcPr>
          <w:p>
            <w:r/>
            <w:r>
              <w:rPr>
                <w:rFonts w:ascii="Aptos" w:hAnsi="Aptos"/>
                <w:b w:val="0"/>
                <w:sz w:val="16"/>
              </w:rPr>
              <w:t>Expected SID absent</w:t>
            </w:r>
          </w:p>
        </w:tc>
      </w:tr>
      <w:tr>
        <w:tc>
          <w:tcPr>
            <w:tcW w:type="dxa" w:w="2016"/>
            <w:vAlign w:val="center"/>
          </w:tcPr>
          <w:p>
            <w:r/>
            <w:r>
              <w:rPr>
                <w:rFonts w:ascii="Aptos" w:hAnsi="Aptos"/>
                <w:b w:val="0"/>
                <w:sz w:val="16"/>
              </w:rPr>
              <w:t>Unexpected Services</w:t>
            </w:r>
          </w:p>
        </w:tc>
        <w:tc>
          <w:tcPr>
            <w:tcW w:type="dxa" w:w="2016"/>
            <w:vAlign w:val="center"/>
          </w:tcPr>
          <w:p>
            <w:r/>
            <w:r>
              <w:rPr>
                <w:rFonts w:ascii="Aptos" w:hAnsi="Aptos"/>
                <w:b w:val="0"/>
                <w:sz w:val="16"/>
              </w:rPr>
              <w:t>Observed vs expected SIDs</w:t>
            </w:r>
          </w:p>
        </w:tc>
        <w:tc>
          <w:tcPr>
            <w:tcW w:type="dxa" w:w="2016"/>
            <w:vAlign w:val="center"/>
          </w:tcPr>
          <w:p>
            <w:r/>
            <w:r>
              <w:rPr>
                <w:rFonts w:ascii="Aptos" w:hAnsi="Aptos"/>
                <w:b w:val="0"/>
                <w:sz w:val="16"/>
              </w:rPr>
              <w:t>Core channel</w:t>
            </w:r>
          </w:p>
        </w:tc>
        <w:tc>
          <w:tcPr>
            <w:tcW w:type="dxa" w:w="2016"/>
            <w:vAlign w:val="center"/>
          </w:tcPr>
          <w:p>
            <w:r/>
            <w:r>
              <w:rPr>
                <w:rFonts w:ascii="Aptos" w:hAnsi="Aptos"/>
                <w:b w:val="0"/>
                <w:sz w:val="16"/>
              </w:rPr>
              <w:t>Yes</w:t>
            </w:r>
          </w:p>
        </w:tc>
        <w:tc>
          <w:tcPr>
            <w:tcW w:type="dxa" w:w="2016"/>
            <w:vAlign w:val="center"/>
          </w:tcPr>
          <w:p>
            <w:r/>
            <w:r>
              <w:rPr>
                <w:rFonts w:ascii="Aptos" w:hAnsi="Aptos"/>
                <w:b w:val="0"/>
                <w:sz w:val="16"/>
              </w:rPr>
              <w:t>Warning/inventory drift</w:t>
            </w:r>
          </w:p>
        </w:tc>
      </w:tr>
      <w:tr>
        <w:tc>
          <w:tcPr>
            <w:tcW w:type="dxa" w:w="2016"/>
            <w:vAlign w:val="center"/>
          </w:tcPr>
          <w:p>
            <w:r/>
            <w:r>
              <w:rPr>
                <w:rFonts w:ascii="Aptos" w:hAnsi="Aptos"/>
                <w:b w:val="0"/>
                <w:sz w:val="16"/>
              </w:rPr>
              <w:t>ES Metadata Unavailable</w:t>
            </w:r>
          </w:p>
        </w:tc>
        <w:tc>
          <w:tcPr>
            <w:tcW w:type="dxa" w:w="2016"/>
            <w:vAlign w:val="center"/>
          </w:tcPr>
          <w:p>
            <w:r/>
            <w:r>
              <w:rPr>
                <w:rFonts w:ascii="Aptos" w:hAnsi="Aptos"/>
                <w:b w:val="0"/>
                <w:sz w:val="16"/>
              </w:rPr>
              <w:t>Expected service ES check</w:t>
            </w:r>
          </w:p>
        </w:tc>
        <w:tc>
          <w:tcPr>
            <w:tcW w:type="dxa" w:w="2016"/>
            <w:vAlign w:val="center"/>
          </w:tcPr>
          <w:p>
            <w:r/>
            <w:r>
              <w:rPr>
                <w:rFonts w:ascii="Aptos" w:hAnsi="Aptos"/>
                <w:b w:val="0"/>
                <w:sz w:val="16"/>
              </w:rPr>
              <w:t>Core channel</w:t>
            </w:r>
          </w:p>
        </w:tc>
        <w:tc>
          <w:tcPr>
            <w:tcW w:type="dxa" w:w="2016"/>
            <w:vAlign w:val="center"/>
          </w:tcPr>
          <w:p>
            <w:r/>
            <w:r>
              <w:rPr>
                <w:rFonts w:ascii="Aptos" w:hAnsi="Aptos"/>
                <w:b w:val="0"/>
                <w:sz w:val="16"/>
              </w:rPr>
              <w:t>Yes</w:t>
            </w:r>
          </w:p>
        </w:tc>
        <w:tc>
          <w:tcPr>
            <w:tcW w:type="dxa" w:w="2016"/>
            <w:vAlign w:val="center"/>
          </w:tcPr>
          <w:p>
            <w:r/>
            <w:r>
              <w:rPr>
                <w:rFonts w:ascii="Aptos" w:hAnsi="Aptos"/>
                <w:b w:val="0"/>
                <w:sz w:val="16"/>
              </w:rPr>
              <w:t>Service metadata integrity fault</w:t>
            </w:r>
          </w:p>
        </w:tc>
      </w:tr>
      <w:tr>
        <w:tc>
          <w:tcPr>
            <w:tcW w:type="dxa" w:w="2016"/>
            <w:vAlign w:val="center"/>
          </w:tcPr>
          <w:p>
            <w:r/>
            <w:r>
              <w:rPr>
                <w:rFonts w:ascii="Aptos" w:hAnsi="Aptos"/>
                <w:b w:val="0"/>
                <w:sz w:val="16"/>
              </w:rPr>
              <w:t>Modulation / FEC</w:t>
            </w:r>
          </w:p>
        </w:tc>
        <w:tc>
          <w:tcPr>
            <w:tcW w:type="dxa" w:w="2016"/>
            <w:vAlign w:val="center"/>
          </w:tcPr>
          <w:p>
            <w:r/>
            <w:r>
              <w:rPr>
                <w:rFonts w:ascii="Aptos" w:hAnsi="Aptos"/>
                <w:b w:val="0"/>
                <w:sz w:val="16"/>
              </w:rPr>
              <w:t>Structured device/web data where exposed</w:t>
            </w:r>
          </w:p>
        </w:tc>
        <w:tc>
          <w:tcPr>
            <w:tcW w:type="dxa" w:w="2016"/>
            <w:vAlign w:val="center"/>
          </w:tcPr>
          <w:p>
            <w:r/>
            <w:r>
              <w:rPr>
                <w:rFonts w:ascii="Aptos" w:hAnsi="Aptos"/>
                <w:b w:val="0"/>
                <w:sz w:val="16"/>
              </w:rPr>
              <w:t>Status text</w:t>
            </w:r>
          </w:p>
        </w:tc>
        <w:tc>
          <w:tcPr>
            <w:tcW w:type="dxa" w:w="2016"/>
            <w:vAlign w:val="center"/>
          </w:tcPr>
          <w:p>
            <w:r/>
            <w:r>
              <w:rPr>
                <w:rFonts w:ascii="Aptos" w:hAnsi="Aptos"/>
                <w:b w:val="0"/>
                <w:sz w:val="16"/>
              </w:rPr>
              <w:t>Yes</w:t>
            </w:r>
          </w:p>
        </w:tc>
        <w:tc>
          <w:tcPr>
            <w:tcW w:type="dxa" w:w="2016"/>
            <w:vAlign w:val="center"/>
          </w:tcPr>
          <w:p>
            <w:r/>
            <w:r>
              <w:rPr>
                <w:rFonts w:ascii="Aptos" w:hAnsi="Aptos"/>
                <w:b w:val="0"/>
                <w:sz w:val="16"/>
              </w:rPr>
              <w:t>Configured/detected RF mode</w:t>
            </w:r>
          </w:p>
        </w:tc>
      </w:tr>
      <w:tr>
        <w:tc>
          <w:tcPr>
            <w:tcW w:type="dxa" w:w="2016"/>
            <w:vAlign w:val="center"/>
          </w:tcPr>
          <w:p>
            <w:r/>
            <w:r>
              <w:rPr>
                <w:rFonts w:ascii="Aptos" w:hAnsi="Aptos"/>
                <w:b w:val="0"/>
                <w:sz w:val="16"/>
              </w:rPr>
              <w:t>ISI/MIS / PLS</w:t>
            </w:r>
          </w:p>
        </w:tc>
        <w:tc>
          <w:tcPr>
            <w:tcW w:type="dxa" w:w="2016"/>
            <w:vAlign w:val="center"/>
          </w:tcPr>
          <w:p>
            <w:r/>
            <w:r>
              <w:rPr>
                <w:rFonts w:ascii="Aptos" w:hAnsi="Aptos"/>
                <w:b w:val="0"/>
                <w:sz w:val="16"/>
              </w:rPr>
              <w:t>Structured device/web data where exposed</w:t>
            </w:r>
          </w:p>
        </w:tc>
        <w:tc>
          <w:tcPr>
            <w:tcW w:type="dxa" w:w="2016"/>
            <w:vAlign w:val="center"/>
          </w:tcPr>
          <w:p>
            <w:r/>
            <w:r>
              <w:rPr>
                <w:rFonts w:ascii="Aptos" w:hAnsi="Aptos"/>
                <w:b w:val="0"/>
                <w:sz w:val="16"/>
              </w:rPr>
              <w:t>Status text</w:t>
            </w:r>
          </w:p>
        </w:tc>
        <w:tc>
          <w:tcPr>
            <w:tcW w:type="dxa" w:w="2016"/>
            <w:vAlign w:val="center"/>
          </w:tcPr>
          <w:p>
            <w:r/>
            <w:r>
              <w:rPr>
                <w:rFonts w:ascii="Aptos" w:hAnsi="Aptos"/>
                <w:b w:val="0"/>
                <w:sz w:val="16"/>
              </w:rPr>
              <w:t>Yes</w:t>
            </w:r>
          </w:p>
        </w:tc>
        <w:tc>
          <w:tcPr>
            <w:tcW w:type="dxa" w:w="2016"/>
            <w:vAlign w:val="center"/>
          </w:tcPr>
          <w:p>
            <w:r/>
            <w:r>
              <w:rPr>
                <w:rFonts w:ascii="Aptos" w:hAnsi="Aptos"/>
                <w:b w:val="0"/>
                <w:sz w:val="16"/>
              </w:rPr>
              <w:t>Multistream/PLS detail</w:t>
            </w:r>
          </w:p>
        </w:tc>
      </w:tr>
      <w:tr>
        <w:tc>
          <w:tcPr>
            <w:tcW w:type="dxa" w:w="2016"/>
            <w:vAlign w:val="center"/>
          </w:tcPr>
          <w:p>
            <w:r/>
            <w:r>
              <w:rPr>
                <w:rFonts w:ascii="Aptos" w:hAnsi="Aptos"/>
                <w:b w:val="0"/>
                <w:sz w:val="16"/>
              </w:rPr>
              <w:t>LNB / IF</w:t>
            </w:r>
          </w:p>
        </w:tc>
        <w:tc>
          <w:tcPr>
            <w:tcW w:type="dxa" w:w="2016"/>
            <w:vAlign w:val="center"/>
          </w:tcPr>
          <w:p>
            <w:r/>
            <w:r>
              <w:rPr>
                <w:rFonts w:ascii="Aptos" w:hAnsi="Aptos"/>
                <w:b w:val="0"/>
                <w:sz w:val="16"/>
              </w:rPr>
              <w:t>Structured configuration where exposed</w:t>
            </w:r>
          </w:p>
        </w:tc>
        <w:tc>
          <w:tcPr>
            <w:tcW w:type="dxa" w:w="2016"/>
            <w:vAlign w:val="center"/>
          </w:tcPr>
          <w:p>
            <w:r/>
            <w:r>
              <w:rPr>
                <w:rFonts w:ascii="Aptos" w:hAnsi="Aptos"/>
                <w:b w:val="0"/>
                <w:sz w:val="16"/>
              </w:rPr>
              <w:t>Status text</w:t>
            </w:r>
          </w:p>
        </w:tc>
        <w:tc>
          <w:tcPr>
            <w:tcW w:type="dxa" w:w="2016"/>
            <w:vAlign w:val="center"/>
          </w:tcPr>
          <w:p>
            <w:r/>
            <w:r>
              <w:rPr>
                <w:rFonts w:ascii="Aptos" w:hAnsi="Aptos"/>
                <w:b w:val="0"/>
                <w:sz w:val="16"/>
              </w:rPr>
              <w:t>Yes</w:t>
            </w:r>
          </w:p>
        </w:tc>
        <w:tc>
          <w:tcPr>
            <w:tcW w:type="dxa" w:w="2016"/>
            <w:vAlign w:val="center"/>
          </w:tcPr>
          <w:p>
            <w:r/>
            <w:r>
              <w:rPr>
                <w:rFonts w:ascii="Aptos" w:hAnsi="Aptos"/>
                <w:b w:val="0"/>
                <w:sz w:val="16"/>
              </w:rPr>
              <w:t>RF conversion context</w:t>
            </w:r>
          </w:p>
        </w:tc>
      </w:tr>
      <w:tr>
        <w:tc>
          <w:tcPr>
            <w:tcW w:type="dxa" w:w="2016"/>
            <w:vAlign w:val="center"/>
          </w:tcPr>
          <w:p>
            <w:r/>
            <w:r>
              <w:rPr>
                <w:rFonts w:ascii="Aptos" w:hAnsi="Aptos"/>
                <w:b w:val="0"/>
                <w:sz w:val="16"/>
              </w:rPr>
              <w:t>Provider/network names</w:t>
            </w:r>
          </w:p>
        </w:tc>
        <w:tc>
          <w:tcPr>
            <w:tcW w:type="dxa" w:w="2016"/>
            <w:vAlign w:val="center"/>
          </w:tcPr>
          <w:p>
            <w:r/>
            <w:r>
              <w:rPr>
                <w:rFonts w:ascii="Aptos" w:hAnsi="Aptos"/>
                <w:b w:val="0"/>
                <w:sz w:val="16"/>
              </w:rPr>
              <w:t>DVB/service metadata</w:t>
            </w:r>
          </w:p>
        </w:tc>
        <w:tc>
          <w:tcPr>
            <w:tcW w:type="dxa" w:w="2016"/>
            <w:vAlign w:val="center"/>
          </w:tcPr>
          <w:p>
            <w:r/>
            <w:r>
              <w:rPr>
                <w:rFonts w:ascii="Aptos" w:hAnsi="Aptos"/>
                <w:b w:val="0"/>
                <w:sz w:val="16"/>
              </w:rPr>
              <w:t>Status text</w:t>
            </w:r>
          </w:p>
        </w:tc>
        <w:tc>
          <w:tcPr>
            <w:tcW w:type="dxa" w:w="2016"/>
            <w:vAlign w:val="center"/>
          </w:tcPr>
          <w:p>
            <w:r/>
            <w:r>
              <w:rPr>
                <w:rFonts w:ascii="Aptos" w:hAnsi="Aptos"/>
                <w:b w:val="0"/>
                <w:sz w:val="16"/>
              </w:rPr>
              <w:t>Yes</w:t>
            </w:r>
          </w:p>
        </w:tc>
        <w:tc>
          <w:tcPr>
            <w:tcW w:type="dxa" w:w="2016"/>
            <w:vAlign w:val="center"/>
          </w:tcPr>
          <w:p>
            <w:r/>
            <w:r>
              <w:rPr>
                <w:rFonts w:ascii="Aptos" w:hAnsi="Aptos"/>
                <w:b w:val="0"/>
                <w:sz w:val="16"/>
              </w:rPr>
              <w:t>Service/network context</w:t>
            </w:r>
          </w:p>
        </w:tc>
      </w:tr>
      <w:tr>
        <w:tc>
          <w:tcPr>
            <w:tcW w:type="dxa" w:w="2016"/>
            <w:vAlign w:val="center"/>
          </w:tcPr>
          <w:p>
            <w:r/>
            <w:r>
              <w:rPr>
                <w:rFonts w:ascii="Aptos" w:hAnsi="Aptos"/>
                <w:b w:val="0"/>
                <w:sz w:val="16"/>
              </w:rPr>
              <w:t>Per-service SID/status/PID/stream type</w:t>
            </w:r>
          </w:p>
        </w:tc>
        <w:tc>
          <w:tcPr>
            <w:tcW w:type="dxa" w:w="2016"/>
            <w:vAlign w:val="center"/>
          </w:tcPr>
          <w:p>
            <w:r/>
            <w:r>
              <w:rPr>
                <w:rFonts w:ascii="Aptos" w:hAnsi="Aptos"/>
                <w:b w:val="0"/>
                <w:sz w:val="16"/>
              </w:rPr>
              <w:t>Service/PMT/ES discovery</w:t>
            </w:r>
          </w:p>
        </w:tc>
        <w:tc>
          <w:tcPr>
            <w:tcW w:type="dxa" w:w="2016"/>
            <w:vAlign w:val="center"/>
          </w:tcPr>
          <w:p>
            <w:r/>
            <w:r>
              <w:rPr>
                <w:rFonts w:ascii="Aptos" w:hAnsi="Aptos"/>
                <w:b w:val="0"/>
                <w:sz w:val="16"/>
              </w:rPr>
              <w:t>Selected service channels + status</w:t>
            </w:r>
          </w:p>
        </w:tc>
        <w:tc>
          <w:tcPr>
            <w:tcW w:type="dxa" w:w="2016"/>
            <w:vAlign w:val="center"/>
          </w:tcPr>
          <w:p>
            <w:r/>
            <w:r>
              <w:rPr>
                <w:rFonts w:ascii="Aptos" w:hAnsi="Aptos"/>
                <w:b w:val="0"/>
                <w:sz w:val="16"/>
              </w:rPr>
              <w:t>Yes</w:t>
            </w:r>
          </w:p>
        </w:tc>
        <w:tc>
          <w:tcPr>
            <w:tcW w:type="dxa" w:w="2016"/>
            <w:vAlign w:val="center"/>
          </w:tcPr>
          <w:p>
            <w:r/>
            <w:r>
              <w:rPr>
                <w:rFonts w:ascii="Aptos" w:hAnsi="Aptos"/>
                <w:b w:val="0"/>
                <w:sz w:val="16"/>
              </w:rPr>
              <w:t>Detailed service integrity</w:t>
            </w:r>
          </w:p>
        </w:tc>
      </w:tr>
    </w:tbl>
    <w:p/>
    <w:tbl>
      <w:tblPr>
        <w:tblStyle w:val="TableGrid"/>
        <w:tblW w:type="auto" w:w="0"/>
        <w:tblLook w:firstColumn="1" w:firstRow="1" w:lastColumn="0" w:lastRow="0" w:noHBand="0" w:noVBand="1" w:val="04A0"/>
      </w:tblPr>
      <w:tblGrid>
        <w:gridCol w:w="10080"/>
      </w:tblGrid>
      <w:tr>
        <w:tc>
          <w:tcPr>
            <w:tcW w:type="dxa" w:w="10080"/>
            <w:shd w:fill="FFF2CC"/>
          </w:tcPr>
          <w:p>
            <w:r>
              <w:rPr>
                <w:b/>
              </w:rPr>
              <w:t xml:space="preserve">No fabricated thresholds: </w:t>
            </w:r>
            <w:r>
              <w:t>This runbook does not assign universal RF, SNR or BER warning thresholds. Thresholds must be defined from link engineering, vendor specification and regulator policy. The project config template intentionally leaves such thresholds commented until operationally defined.</w:t>
            </w:r>
          </w:p>
        </w:tc>
      </w:tr>
    </w:tbl>
    <w:p/>
    <w:p>
      <w:pPr>
        <w:pStyle w:val="Heading1"/>
      </w:pPr>
      <w:r>
        <w:t>10. Phase F - SQLite persistence and 15-day history</w:t>
      </w:r>
    </w:p>
    <w:p>
      <w:r>
        <w:t>The main production database is database\wisi_monitor.db. Core tables include chassis, modules, tuners, tuner_samples, ts_samples, pids, pid_samples, pcr_input_samples, pcr_pid_samples, transport_streams, services, service_streams, counter_state, monitoring_events and poll_runs. The services table uses service_id, not sid.</w:t>
      </w:r>
    </w:p>
    <w:p>
      <w:pPr>
        <w:pStyle w:val="Heading2"/>
      </w:pPr>
      <w:r>
        <w:t>10.1 Dedicated TV43 history</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rFonts w:ascii="Aptos" w:hAnsi="Aptos"/>
                <w:b/>
                <w:sz w:val="16"/>
              </w:rPr>
              <w:t>Table</w:t>
            </w:r>
          </w:p>
        </w:tc>
        <w:tc>
          <w:tcPr>
            <w:tcW w:type="dxa" w:w="5040"/>
            <w:vAlign w:val="center"/>
            <w:shd w:fill="D9EAF7"/>
          </w:tcPr>
          <w:p>
            <w:r/>
            <w:r>
              <w:rPr>
                <w:rFonts w:ascii="Aptos" w:hAnsi="Aptos"/>
                <w:b/>
                <w:sz w:val="16"/>
              </w:rPr>
              <w:t>Purpose</w:t>
            </w:r>
          </w:p>
        </w:tc>
      </w:tr>
      <w:tr>
        <w:tc>
          <w:tcPr>
            <w:tcW w:type="dxa" w:w="5040"/>
            <w:vAlign w:val="center"/>
          </w:tcPr>
          <w:p>
            <w:r/>
            <w:r>
              <w:rPr>
                <w:rFonts w:ascii="Aptos" w:hAnsi="Aptos"/>
                <w:b w:val="0"/>
                <w:sz w:val="16"/>
              </w:rPr>
              <w:t>tv43_carrier_history</w:t>
            </w:r>
          </w:p>
        </w:tc>
        <w:tc>
          <w:tcPr>
            <w:tcW w:type="dxa" w:w="5040"/>
            <w:vAlign w:val="center"/>
          </w:tcPr>
          <w:p>
            <w:r/>
            <w:r>
              <w:rPr>
                <w:rFonts w:ascii="Aptos" w:hAnsi="Aptos"/>
                <w:b w:val="0"/>
                <w:sz w:val="16"/>
              </w:rPr>
              <w:t>Rich per-carrier technical observation including lock, TS, integrity, RF/SNR/BER, tuning, IDs, bitrate, modulation/FEC, ISI/MIS, PLS, LNB/IF, counts and diagnostic text.</w:t>
            </w:r>
          </w:p>
        </w:tc>
      </w:tr>
      <w:tr>
        <w:tc>
          <w:tcPr>
            <w:tcW w:type="dxa" w:w="5040"/>
            <w:vAlign w:val="center"/>
          </w:tcPr>
          <w:p>
            <w:r/>
            <w:r>
              <w:rPr>
                <w:rFonts w:ascii="Aptos" w:hAnsi="Aptos"/>
                <w:b w:val="0"/>
                <w:sz w:val="16"/>
              </w:rPr>
              <w:t>tv43_service_history</w:t>
            </w:r>
          </w:p>
        </w:tc>
        <w:tc>
          <w:tcPr>
            <w:tcW w:type="dxa" w:w="5040"/>
            <w:vAlign w:val="center"/>
          </w:tcPr>
          <w:p>
            <w:r/>
            <w:r>
              <w:rPr>
                <w:rFonts w:ascii="Aptos" w:hAnsi="Aptos"/>
                <w:b w:val="0"/>
                <w:sz w:val="16"/>
              </w:rPr>
              <w:t>Per expected SID: name, present/running, ES/video availability, ES count, provider/status/detail.</w:t>
            </w:r>
          </w:p>
        </w:tc>
      </w:tr>
      <w:tr>
        <w:tc>
          <w:tcPr>
            <w:tcW w:type="dxa" w:w="5040"/>
            <w:vAlign w:val="center"/>
          </w:tcPr>
          <w:p>
            <w:r/>
            <w:r>
              <w:rPr>
                <w:rFonts w:ascii="Aptos" w:hAnsi="Aptos"/>
                <w:b w:val="0"/>
                <w:sz w:val="16"/>
              </w:rPr>
              <w:t>tv43_history_meta</w:t>
            </w:r>
          </w:p>
        </w:tc>
        <w:tc>
          <w:tcPr>
            <w:tcW w:type="dxa" w:w="5040"/>
            <w:vAlign w:val="center"/>
          </w:tcPr>
          <w:p>
            <w:r/>
            <w:r>
              <w:rPr>
                <w:rFonts w:ascii="Aptos" w:hAnsi="Aptos"/>
                <w:b w:val="0"/>
                <w:sz w:val="16"/>
              </w:rPr>
              <w:t>Retention/maintenance metadata.</w:t>
            </w:r>
          </w:p>
        </w:tc>
      </w:tr>
    </w:tbl>
    <w:p/>
    <w:p>
      <w:r>
        <w:t>Retention is exactly 15 days; cleanup runs no more than once per day.</w:t>
      </w:r>
    </w:p>
    <w:p>
      <w:pPr>
        <w:pStyle w:val="CodeBlock"/>
      </w:pPr>
      <w:r>
        <w:t>python .\validate_database.py</w:t>
      </w:r>
    </w:p>
    <w:p>
      <w:pPr>
        <w:pStyle w:val="CodeBlock"/>
      </w:pPr>
      <w:r>
        <w:t>python .\validate_tv43_history.py</w:t>
      </w:r>
    </w:p>
    <w:p>
      <w:pPr>
        <w:pStyle w:val="CodeBlock"/>
      </w:pPr>
      <w:r>
        <w:t># Or point the validator at an explicit database:</w:t>
      </w:r>
    </w:p>
    <w:p>
      <w:pPr>
        <w:pStyle w:val="CodeBlock"/>
      </w:pPr>
      <w:r>
        <w:t>python .\validate_tv43_history.py --database .\database\wisi_monitor.db</w:t>
      </w:r>
    </w:p>
    <w:tbl>
      <w:tblPr>
        <w:tblStyle w:val="TableGrid"/>
        <w:tblW w:type="auto" w:w="0"/>
        <w:tblLook w:firstColumn="1" w:firstRow="1" w:lastColumn="0" w:lastRow="0" w:noHBand="0" w:noVBand="1" w:val="04A0"/>
      </w:tblPr>
      <w:tblGrid>
        <w:gridCol w:w="10080"/>
      </w:tblGrid>
      <w:tr>
        <w:tc>
          <w:tcPr>
            <w:tcW w:type="dxa" w:w="10080"/>
            <w:shd w:fill="FFF2CC"/>
          </w:tcPr>
          <w:p>
            <w:r>
              <w:rPr>
                <w:b/>
              </w:rPr>
              <w:t xml:space="preserve">SQLite lock behavior: </w:t>
            </w:r>
            <w:r>
              <w:t>Concurrent PRTG sensor calls can contend for SQLite writes. V11.3J retries transient locks. If history persistence remains locked, a valid live PRTG payload is returned and the history-write failure is logged. Database lock contention is not a broadcast outage.</w:t>
            </w:r>
          </w:p>
        </w:tc>
      </w:tr>
    </w:tbl>
    <w:p/>
    <w:p>
      <w:pPr>
        <w:pStyle w:val="Heading1"/>
      </w:pPr>
      <w:r>
        <w:t>11. Phase G - PRTG integration</w:t>
      </w:r>
    </w:p>
    <w:p>
      <w:pPr>
        <w:pStyle w:val="Heading2"/>
      </w:pPr>
      <w:r>
        <w:t>11.1 Why PRTG is viewer-only</w:t>
      </w:r>
    </w:p>
    <w:p>
      <w:r>
        <w:t>PRTG displays the operational surface and historical channel graphs. It does not own the production transmission alarm state and it does not send production transmission email. This prevents PRTG channel-object quirks, stale limits or schema changes from redefining the regulatory alarm policy.</w:t>
      </w:r>
    </w:p>
    <w:p>
      <w:pPr>
        <w:pStyle w:val="Heading2"/>
      </w:pPr>
      <w:r>
        <w:t>11.2 Wrapper installation</w:t>
      </w:r>
    </w:p>
    <w:p>
      <w:r>
        <w:t>Production wrapper location on a standard PRTG installation:</w:t>
      </w:r>
    </w:p>
    <w:p>
      <w:pPr>
        <w:pStyle w:val="CodeBlock"/>
      </w:pPr>
      <w:r>
        <w:t>C:\Program Files (x86)\PRTG Network Monitor\Custom Sensors\EXEXML\wisi_gt34_carrier.bat</w:t>
      </w:r>
    </w:p>
    <w:p>
      <w:r>
        <w:t>The wrapper must invoke the server's actual Python executable and the permanent project copy of prtg_tv43_sensor.py. Never copy the old workstation's user-specific Python/Desktop paths unchanged.</w:t>
      </w:r>
    </w:p>
    <w:p>
      <w:pPr>
        <w:pStyle w:val="CodeBlock"/>
      </w:pPr>
      <w:r>
        <w:t># Direct sensor test from the project root</w:t>
      </w:r>
    </w:p>
    <w:p>
      <w:pPr>
        <w:pStyle w:val="CodeBlock"/>
      </w:pPr>
      <w:r>
        <w:t>python .\prtg_tv43_sensor.py `</w:t>
      </w:r>
    </w:p>
    <w:p>
      <w:pPr>
        <w:pStyle w:val="CodeBlock"/>
      </w:pPr>
      <w:r>
        <w:t xml:space="preserve">  --host &lt;CHASSIS_IP&gt; `</w:t>
      </w:r>
    </w:p>
    <w:p>
      <w:pPr>
        <w:pStyle w:val="CodeBlock"/>
      </w:pPr>
      <w:r>
        <w:t xml:space="preserve">  --module &lt;MODULE_NUMBER&gt; `</w:t>
      </w:r>
    </w:p>
    <w:p>
      <w:pPr>
        <w:pStyle w:val="CodeBlock"/>
      </w:pPr>
      <w:r>
        <w:t xml:space="preserve">  --channel &lt;LOGICAL_CHANNEL_NUMBER&gt;</w:t>
      </w:r>
    </w:p>
    <w:p>
      <w:pPr>
        <w:pStyle w:val="CodeBlock"/>
      </w:pPr>
      <w:r/>
    </w:p>
    <w:p>
      <w:pPr>
        <w:pStyle w:val="CodeBlock"/>
      </w:pPr>
      <w:r>
        <w:t># Older logical-input sensor interface, useful for discovery validation</w:t>
      </w:r>
    </w:p>
    <w:p>
      <w:pPr>
        <w:pStyle w:val="CodeBlock"/>
      </w:pPr>
      <w:r>
        <w:t>python .\prtg_sensor.py `</w:t>
      </w:r>
    </w:p>
    <w:p>
      <w:pPr>
        <w:pStyle w:val="CodeBlock"/>
      </w:pPr>
      <w:r>
        <w:t xml:space="preserve">  --config .\config.toml `</w:t>
      </w:r>
    </w:p>
    <w:p>
      <w:pPr>
        <w:pStyle w:val="CodeBlock"/>
      </w:pPr>
      <w:r>
        <w:t xml:space="preserve">  --host &lt;CHASSIS_IP&gt; `</w:t>
      </w:r>
    </w:p>
    <w:p>
      <w:pPr>
        <w:pStyle w:val="CodeBlock"/>
      </w:pPr>
      <w:r>
        <w:t xml:space="preserve">  --baseline .\baselines\baseline_&lt;host&gt;.toml `</w:t>
      </w:r>
    </w:p>
    <w:p>
      <w:pPr>
        <w:pStyle w:val="CodeBlock"/>
      </w:pPr>
      <w:r>
        <w:t xml:space="preserve">  --module &lt;MODULE_NUMBER&gt; `</w:t>
      </w:r>
    </w:p>
    <w:p>
      <w:pPr>
        <w:pStyle w:val="CodeBlock"/>
      </w:pPr>
      <w:r>
        <w:t xml:space="preserve">  --channel &lt;LOGICAL_CHANNEL_NUMBER&gt;</w:t>
      </w:r>
    </w:p>
    <w:p>
      <w:pPr>
        <w:pStyle w:val="Heading2"/>
      </w:pPr>
      <w:r>
        <w:t>11.3 The 50-channel limit and the frozen 44-channel design</w:t>
      </w:r>
    </w:p>
    <w:p>
      <w:r>
        <w:t>PRTG EXE/Script Advanced has a 50-channel maximum. PRTG also persists channel objects over time. Earlier dynamic schemas accumulated stale/duplicate channels; one historical sensor reached 58 registered channel objects, and stale channels could retain limits or become No Data/0. The production solution therefore returns a stable schema capped at 44 channels, leaving headroom below 50.</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rFonts w:ascii="Aptos" w:hAnsi="Aptos"/>
                <w:b/>
                <w:sz w:val="16"/>
              </w:rPr>
              <w:t>Priority</w:t>
            </w:r>
          </w:p>
        </w:tc>
        <w:tc>
          <w:tcPr>
            <w:tcW w:type="dxa" w:w="5040"/>
            <w:vAlign w:val="center"/>
            <w:shd w:fill="D9EAF7"/>
          </w:tcPr>
          <w:p>
            <w:r/>
            <w:r>
              <w:rPr>
                <w:rFonts w:ascii="Aptos" w:hAnsi="Aptos"/>
                <w:b/>
                <w:sz w:val="16"/>
              </w:rPr>
              <w:t>Always-present core channels</w:t>
            </w:r>
          </w:p>
        </w:tc>
      </w:tr>
      <w:tr>
        <w:tc>
          <w:tcPr>
            <w:tcW w:type="dxa" w:w="5040"/>
            <w:vAlign w:val="center"/>
          </w:tcPr>
          <w:p>
            <w:r/>
            <w:r>
              <w:rPr>
                <w:rFonts w:ascii="Aptos" w:hAnsi="Aptos"/>
                <w:b w:val="0"/>
                <w:sz w:val="16"/>
              </w:rPr>
              <w:t>1-5</w:t>
            </w:r>
          </w:p>
        </w:tc>
        <w:tc>
          <w:tcPr>
            <w:tcW w:type="dxa" w:w="5040"/>
            <w:vAlign w:val="center"/>
          </w:tcPr>
          <w:p>
            <w:r/>
            <w:r>
              <w:rPr>
                <w:rFonts w:ascii="Aptos" w:hAnsi="Aptos"/>
                <w:b w:val="0"/>
                <w:sz w:val="16"/>
              </w:rPr>
              <w:t>Carrier / TS Health; Demod Lock; Transport Stream Present; Video Present; Service Integrity Health</w:t>
            </w:r>
          </w:p>
        </w:tc>
      </w:tr>
      <w:tr>
        <w:tc>
          <w:tcPr>
            <w:tcW w:type="dxa" w:w="5040"/>
            <w:vAlign w:val="center"/>
          </w:tcPr>
          <w:p>
            <w:r/>
            <w:r>
              <w:rPr>
                <w:rFonts w:ascii="Aptos" w:hAnsi="Aptos"/>
                <w:b w:val="0"/>
                <w:sz w:val="16"/>
              </w:rPr>
              <w:t>6-11</w:t>
            </w:r>
          </w:p>
        </w:tc>
        <w:tc>
          <w:tcPr>
            <w:tcW w:type="dxa" w:w="5040"/>
            <w:vAlign w:val="center"/>
          </w:tcPr>
          <w:p>
            <w:r/>
            <w:r>
              <w:rPr>
                <w:rFonts w:ascii="Aptos" w:hAnsi="Aptos"/>
                <w:b w:val="0"/>
                <w:sz w:val="16"/>
              </w:rPr>
              <w:t>RF Level; SNR; BER; Frequency; Symbol Rate; TS Bitrate</w:t>
            </w:r>
          </w:p>
        </w:tc>
      </w:tr>
      <w:tr>
        <w:tc>
          <w:tcPr>
            <w:tcW w:type="dxa" w:w="5040"/>
            <w:vAlign w:val="center"/>
          </w:tcPr>
          <w:p>
            <w:r/>
            <w:r>
              <w:rPr>
                <w:rFonts w:ascii="Aptos" w:hAnsi="Aptos"/>
                <w:b w:val="0"/>
                <w:sz w:val="16"/>
              </w:rPr>
              <w:t>12-17</w:t>
            </w:r>
          </w:p>
        </w:tc>
        <w:tc>
          <w:tcPr>
            <w:tcW w:type="dxa" w:w="5040"/>
            <w:vAlign w:val="center"/>
          </w:tcPr>
          <w:p>
            <w:r/>
            <w:r>
              <w:rPr>
                <w:rFonts w:ascii="Aptos" w:hAnsi="Aptos"/>
                <w:b w:val="0"/>
                <w:sz w:val="16"/>
              </w:rPr>
              <w:t>TSID; NID; ONID; Missing Services; Unexpected Services; ES Metadata Unavailable</w:t>
            </w:r>
          </w:p>
        </w:tc>
      </w:tr>
      <w:tr>
        <w:tc>
          <w:tcPr>
            <w:tcW w:type="dxa" w:w="5040"/>
            <w:vAlign w:val="center"/>
          </w:tcPr>
          <w:p>
            <w:r/>
            <w:r>
              <w:rPr>
                <w:rFonts w:ascii="Aptos" w:hAnsi="Aptos"/>
                <w:b w:val="0"/>
                <w:sz w:val="16"/>
              </w:rPr>
              <w:t>After 17</w:t>
            </w:r>
          </w:p>
        </w:tc>
        <w:tc>
          <w:tcPr>
            <w:tcW w:type="dxa" w:w="5040"/>
            <w:vAlign w:val="center"/>
          </w:tcPr>
          <w:p>
            <w:r/>
            <w:r>
              <w:rPr>
                <w:rFonts w:ascii="Aptos" w:hAnsi="Aptos"/>
                <w:b w:val="0"/>
                <w:sz w:val="16"/>
              </w:rPr>
              <w:t>One service-health channel per authoritative SID where the frozen/historical PRTG schema includes it; then optional aggregates only while total remains &lt;=44.</w:t>
            </w:r>
          </w:p>
        </w:tc>
      </w:tr>
    </w:tbl>
    <w:p/>
    <w:p>
      <w:r>
        <w:t>All authoritative services remain covered by service-integrity logic even when a service does not receive its own PRTG channel. Extra detail is carried in the PRTG status/message and SQLite.</w:t>
      </w:r>
    </w:p>
    <w:p>
      <w:pPr>
        <w:pStyle w:val="Heading2"/>
      </w:pPr>
      <w:r>
        <w:t>11.4 Rich status text</w:t>
      </w:r>
    </w:p>
    <w:p>
      <w:pPr>
        <w:pStyle w:val="ListBullet"/>
      </w:pPr>
      <w:r>
        <w:t>Full transponder information.</w:t>
      </w:r>
    </w:p>
    <w:p>
      <w:pPr>
        <w:pStyle w:val="ListBullet"/>
      </w:pPr>
      <w:r>
        <w:t>Configured/detected modulation and FEC.</w:t>
      </w:r>
    </w:p>
    <w:p>
      <w:pPr>
        <w:pStyle w:val="ListBullet"/>
      </w:pPr>
      <w:r>
        <w:t>PLS/ISI and LNB/IF where exposed.</w:t>
      </w:r>
    </w:p>
    <w:p>
      <w:pPr>
        <w:pStyle w:val="ListBullet"/>
      </w:pPr>
      <w:r>
        <w:t>Bitrate, RF level, SNR and BER.</w:t>
      </w:r>
    </w:p>
    <w:p>
      <w:pPr>
        <w:pStyle w:val="ListBullet"/>
      </w:pPr>
      <w:r>
        <w:t>Network/provider metadata.</w:t>
      </w:r>
    </w:p>
    <w:p>
      <w:pPr>
        <w:pStyle w:val="ListBullet"/>
      </w:pPr>
      <w:r>
        <w:t>Per-service SID, status, PID and stream-type detail.</w:t>
      </w:r>
    </w:p>
    <w:tbl>
      <w:tblPr>
        <w:tblStyle w:val="TableGrid"/>
        <w:tblW w:type="auto" w:w="0"/>
        <w:tblLook w:firstColumn="1" w:firstRow="1" w:lastColumn="0" w:lastRow="0" w:noHBand="0" w:noVBand="1" w:val="04A0"/>
      </w:tblPr>
      <w:tblGrid>
        <w:gridCol w:w="10080"/>
      </w:tblGrid>
      <w:tr>
        <w:tc>
          <w:tcPr>
            <w:tcW w:type="dxa" w:w="10080"/>
            <w:shd w:fill="FFF2CC"/>
          </w:tcPr>
          <w:p>
            <w:r>
              <w:rPr>
                <w:b/>
              </w:rPr>
              <w:t xml:space="preserve">Schema freeze: </w:t>
            </w:r>
            <w:r>
              <w:t>Do not dynamically add/remove PRTG channels during normal operation. If the authoritative service inventory changes, perform a controlled schema migration and keep the total &lt;=44.</w:t>
            </w:r>
          </w:p>
        </w:tc>
      </w:tr>
    </w:tbl>
    <w:p/>
    <w:p>
      <w:pPr>
        <w:pStyle w:val="Heading1"/>
      </w:pPr>
      <w:r>
        <w:t>12. Phase H - service-integrity state model</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rFonts w:ascii="Aptos" w:hAnsi="Aptos"/>
                <w:b/>
                <w:sz w:val="16"/>
              </w:rPr>
              <w:t>Observed condition</w:t>
            </w:r>
          </w:p>
        </w:tc>
        <w:tc>
          <w:tcPr>
            <w:tcW w:type="dxa" w:w="3360"/>
            <w:vAlign w:val="center"/>
            <w:shd w:fill="D9EAF7"/>
          </w:tcPr>
          <w:p>
            <w:r/>
            <w:r>
              <w:rPr>
                <w:rFonts w:ascii="Aptos" w:hAnsi="Aptos"/>
                <w:b/>
                <w:sz w:val="16"/>
              </w:rPr>
              <w:t>Result</w:t>
            </w:r>
          </w:p>
        </w:tc>
        <w:tc>
          <w:tcPr>
            <w:tcW w:type="dxa" w:w="3360"/>
            <w:vAlign w:val="center"/>
            <w:shd w:fill="D9EAF7"/>
          </w:tcPr>
          <w:p>
            <w:r/>
            <w:r>
              <w:rPr>
                <w:rFonts w:ascii="Aptos" w:hAnsi="Aptos"/>
                <w:b/>
                <w:sz w:val="16"/>
              </w:rPr>
              <w:t>Notification scope</w:t>
            </w:r>
          </w:p>
        </w:tc>
      </w:tr>
      <w:tr>
        <w:tc>
          <w:tcPr>
            <w:tcW w:type="dxa" w:w="3360"/>
            <w:vAlign w:val="center"/>
          </w:tcPr>
          <w:p>
            <w:r/>
            <w:r>
              <w:rPr>
                <w:rFonts w:ascii="Aptos" w:hAnsi="Aptos"/>
                <w:b w:val="0"/>
                <w:sz w:val="16"/>
              </w:rPr>
              <w:t>Carrier unlocked</w:t>
            </w:r>
          </w:p>
        </w:tc>
        <w:tc>
          <w:tcPr>
            <w:tcW w:type="dxa" w:w="3360"/>
            <w:vAlign w:val="center"/>
          </w:tcPr>
          <w:p>
            <w:r/>
            <w:r>
              <w:rPr>
                <w:rFonts w:ascii="Aptos" w:hAnsi="Aptos"/>
                <w:b w:val="0"/>
                <w:sz w:val="16"/>
              </w:rPr>
              <w:t>FAULT</w:t>
            </w:r>
          </w:p>
        </w:tc>
        <w:tc>
          <w:tcPr>
            <w:tcW w:type="dxa" w:w="3360"/>
            <w:vAlign w:val="center"/>
          </w:tcPr>
          <w:p>
            <w:r/>
            <w:r>
              <w:rPr>
                <w:rFonts w:ascii="Aptos" w:hAnsi="Aptos"/>
                <w:b w:val="0"/>
                <w:sz w:val="16"/>
              </w:rPr>
              <w:t>One immediate carrier-level email listing all expected multiplex services DOWN.</w:t>
            </w:r>
          </w:p>
        </w:tc>
      </w:tr>
      <w:tr>
        <w:tc>
          <w:tcPr>
            <w:tcW w:type="dxa" w:w="3360"/>
            <w:vAlign w:val="center"/>
          </w:tcPr>
          <w:p>
            <w:r/>
            <w:r>
              <w:rPr>
                <w:rFonts w:ascii="Aptos" w:hAnsi="Aptos"/>
                <w:b w:val="0"/>
                <w:sz w:val="16"/>
              </w:rPr>
              <w:t>Carrier locked, TS absent</w:t>
            </w:r>
          </w:p>
        </w:tc>
        <w:tc>
          <w:tcPr>
            <w:tcW w:type="dxa" w:w="3360"/>
            <w:vAlign w:val="center"/>
          </w:tcPr>
          <w:p>
            <w:r/>
            <w:r>
              <w:rPr>
                <w:rFonts w:ascii="Aptos" w:hAnsi="Aptos"/>
                <w:b w:val="0"/>
                <w:sz w:val="16"/>
              </w:rPr>
              <w:t>FAULT</w:t>
            </w:r>
          </w:p>
        </w:tc>
        <w:tc>
          <w:tcPr>
            <w:tcW w:type="dxa" w:w="3360"/>
            <w:vAlign w:val="center"/>
          </w:tcPr>
          <w:p>
            <w:r/>
            <w:r>
              <w:rPr>
                <w:rFonts w:ascii="Aptos" w:hAnsi="Aptos"/>
                <w:b w:val="0"/>
                <w:sz w:val="16"/>
              </w:rPr>
              <w:t>One immediate carrier/TS email listing all expected multiplex services DOWN.</w:t>
            </w:r>
          </w:p>
        </w:tc>
      </w:tr>
      <w:tr>
        <w:tc>
          <w:tcPr>
            <w:tcW w:type="dxa" w:w="3360"/>
            <w:vAlign w:val="center"/>
          </w:tcPr>
          <w:p>
            <w:r/>
            <w:r>
              <w:rPr>
                <w:rFonts w:ascii="Aptos" w:hAnsi="Aptos"/>
                <w:b w:val="0"/>
                <w:sz w:val="16"/>
              </w:rPr>
              <w:t>Carrier + TS healthy, expected SID missing</w:t>
            </w:r>
          </w:p>
        </w:tc>
        <w:tc>
          <w:tcPr>
            <w:tcW w:type="dxa" w:w="3360"/>
            <w:vAlign w:val="center"/>
          </w:tcPr>
          <w:p>
            <w:r/>
            <w:r>
              <w:rPr>
                <w:rFonts w:ascii="Aptos" w:hAnsi="Aptos"/>
                <w:b w:val="0"/>
                <w:sz w:val="16"/>
              </w:rPr>
              <w:t>FAULT</w:t>
            </w:r>
          </w:p>
        </w:tc>
        <w:tc>
          <w:tcPr>
            <w:tcW w:type="dxa" w:w="3360"/>
            <w:vAlign w:val="center"/>
          </w:tcPr>
          <w:p>
            <w:r/>
            <w:r>
              <w:rPr>
                <w:rFonts w:ascii="Aptos" w:hAnsi="Aptos"/>
                <w:b w:val="0"/>
                <w:sz w:val="16"/>
              </w:rPr>
              <w:t>Immediate email for only that failed expected service.</w:t>
            </w:r>
          </w:p>
        </w:tc>
      </w:tr>
      <w:tr>
        <w:tc>
          <w:tcPr>
            <w:tcW w:type="dxa" w:w="3360"/>
            <w:vAlign w:val="center"/>
          </w:tcPr>
          <w:p>
            <w:r/>
            <w:r>
              <w:rPr>
                <w:rFonts w:ascii="Aptos" w:hAnsi="Aptos"/>
                <w:b w:val="0"/>
                <w:sz w:val="16"/>
              </w:rPr>
              <w:t>Carrier + TS healthy, expected SID present but ES metadata unavailable</w:t>
            </w:r>
          </w:p>
        </w:tc>
        <w:tc>
          <w:tcPr>
            <w:tcW w:type="dxa" w:w="3360"/>
            <w:vAlign w:val="center"/>
          </w:tcPr>
          <w:p>
            <w:r/>
            <w:r>
              <w:rPr>
                <w:rFonts w:ascii="Aptos" w:hAnsi="Aptos"/>
                <w:b w:val="0"/>
                <w:sz w:val="16"/>
              </w:rPr>
              <w:t>FAULT</w:t>
            </w:r>
          </w:p>
        </w:tc>
        <w:tc>
          <w:tcPr>
            <w:tcW w:type="dxa" w:w="3360"/>
            <w:vAlign w:val="center"/>
          </w:tcPr>
          <w:p>
            <w:r/>
            <w:r>
              <w:rPr>
                <w:rFonts w:ascii="Aptos" w:hAnsi="Aptos"/>
                <w:b w:val="0"/>
                <w:sz w:val="16"/>
              </w:rPr>
              <w:t>Immediate email for only that failed expected service.</w:t>
            </w:r>
          </w:p>
        </w:tc>
      </w:tr>
      <w:tr>
        <w:tc>
          <w:tcPr>
            <w:tcW w:type="dxa" w:w="3360"/>
            <w:vAlign w:val="center"/>
          </w:tcPr>
          <w:p>
            <w:r/>
            <w:r>
              <w:rPr>
                <w:rFonts w:ascii="Aptos" w:hAnsi="Aptos"/>
                <w:b w:val="0"/>
                <w:sz w:val="16"/>
              </w:rPr>
              <w:t>Unexpected SID</w:t>
            </w:r>
          </w:p>
        </w:tc>
        <w:tc>
          <w:tcPr>
            <w:tcW w:type="dxa" w:w="3360"/>
            <w:vAlign w:val="center"/>
          </w:tcPr>
          <w:p>
            <w:r/>
            <w:r>
              <w:rPr>
                <w:rFonts w:ascii="Aptos" w:hAnsi="Aptos"/>
                <w:b w:val="0"/>
                <w:sz w:val="16"/>
              </w:rPr>
              <w:t>WARNING/information</w:t>
            </w:r>
          </w:p>
        </w:tc>
        <w:tc>
          <w:tcPr>
            <w:tcW w:type="dxa" w:w="3360"/>
            <w:vAlign w:val="center"/>
          </w:tcPr>
          <w:p>
            <w:r/>
            <w:r>
              <w:rPr>
                <w:rFonts w:ascii="Aptos" w:hAnsi="Aptos"/>
                <w:b w:val="0"/>
                <w:sz w:val="16"/>
              </w:rPr>
              <w:t>Not equivalent to expected-service failure.</w:t>
            </w:r>
          </w:p>
        </w:tc>
      </w:tr>
      <w:tr>
        <w:tc>
          <w:tcPr>
            <w:tcW w:type="dxa" w:w="3360"/>
            <w:vAlign w:val="center"/>
          </w:tcPr>
          <w:p>
            <w:r/>
            <w:r>
              <w:rPr>
                <w:rFonts w:ascii="Aptos" w:hAnsi="Aptos"/>
                <w:b w:val="0"/>
                <w:sz w:val="16"/>
              </w:rPr>
              <w:t>Radio-only expected service with valid audio ES</w:t>
            </w:r>
          </w:p>
        </w:tc>
        <w:tc>
          <w:tcPr>
            <w:tcW w:type="dxa" w:w="3360"/>
            <w:vAlign w:val="center"/>
          </w:tcPr>
          <w:p>
            <w:r/>
            <w:r>
              <w:rPr>
                <w:rFonts w:ascii="Aptos" w:hAnsi="Aptos"/>
                <w:b w:val="0"/>
                <w:sz w:val="16"/>
              </w:rPr>
              <w:t>May pass</w:t>
            </w:r>
          </w:p>
        </w:tc>
        <w:tc>
          <w:tcPr>
            <w:tcW w:type="dxa" w:w="3360"/>
            <w:vAlign w:val="center"/>
          </w:tcPr>
          <w:p>
            <w:r/>
            <w:r>
              <w:rPr>
                <w:rFonts w:ascii="Aptos" w:hAnsi="Aptos"/>
                <w:b w:val="0"/>
                <w:sz w:val="16"/>
              </w:rPr>
              <w:t>Do not require every service to contain video.</w:t>
            </w:r>
          </w:p>
        </w:tc>
      </w:tr>
      <w:tr>
        <w:tc>
          <w:tcPr>
            <w:tcW w:type="dxa" w:w="3360"/>
            <w:vAlign w:val="center"/>
          </w:tcPr>
          <w:p>
            <w:r/>
            <w:r>
              <w:rPr>
                <w:rFonts w:ascii="Aptos" w:hAnsi="Aptos"/>
                <w:b w:val="0"/>
                <w:sz w:val="16"/>
              </w:rPr>
              <w:t>Same fault remains active</w:t>
            </w:r>
          </w:p>
        </w:tc>
        <w:tc>
          <w:tcPr>
            <w:tcW w:type="dxa" w:w="3360"/>
            <w:vAlign w:val="center"/>
          </w:tcPr>
          <w:p>
            <w:r/>
            <w:r>
              <w:rPr>
                <w:rFonts w:ascii="Aptos" w:hAnsi="Aptos"/>
                <w:b w:val="0"/>
                <w:sz w:val="16"/>
              </w:rPr>
              <w:t>Same episode</w:t>
            </w:r>
          </w:p>
        </w:tc>
        <w:tc>
          <w:tcPr>
            <w:tcW w:type="dxa" w:w="3360"/>
            <w:vAlign w:val="center"/>
          </w:tcPr>
          <w:p>
            <w:r/>
            <w:r>
              <w:rPr>
                <w:rFonts w:ascii="Aptos" w:hAnsi="Aptos"/>
                <w:b w:val="0"/>
                <w:sz w:val="16"/>
              </w:rPr>
              <w:t>No repeated email.</w:t>
            </w:r>
          </w:p>
        </w:tc>
      </w:tr>
      <w:tr>
        <w:tc>
          <w:tcPr>
            <w:tcW w:type="dxa" w:w="3360"/>
            <w:vAlign w:val="center"/>
          </w:tcPr>
          <w:p>
            <w:r/>
            <w:r>
              <w:rPr>
                <w:rFonts w:ascii="Aptos" w:hAnsi="Aptos"/>
                <w:b w:val="0"/>
                <w:sz w:val="16"/>
              </w:rPr>
              <w:t>Notified carrier/TS episode clears</w:t>
            </w:r>
          </w:p>
        </w:tc>
        <w:tc>
          <w:tcPr>
            <w:tcW w:type="dxa" w:w="3360"/>
            <w:vAlign w:val="center"/>
          </w:tcPr>
          <w:p>
            <w:r/>
            <w:r>
              <w:rPr>
                <w:rFonts w:ascii="Aptos" w:hAnsi="Aptos"/>
                <w:b w:val="0"/>
                <w:sz w:val="16"/>
              </w:rPr>
              <w:t>RECOVERY</w:t>
            </w:r>
          </w:p>
        </w:tc>
        <w:tc>
          <w:tcPr>
            <w:tcW w:type="dxa" w:w="3360"/>
            <w:vAlign w:val="center"/>
          </w:tcPr>
          <w:p>
            <w:r/>
            <w:r>
              <w:rPr>
                <w:rFonts w:ascii="Aptos" w:hAnsi="Aptos"/>
                <w:b w:val="0"/>
                <w:sz w:val="16"/>
              </w:rPr>
              <w:t>One email listing all recovered expected services UP.</w:t>
            </w:r>
          </w:p>
        </w:tc>
      </w:tr>
      <w:tr>
        <w:tc>
          <w:tcPr>
            <w:tcW w:type="dxa" w:w="3360"/>
            <w:vAlign w:val="center"/>
          </w:tcPr>
          <w:p>
            <w:r/>
            <w:r>
              <w:rPr>
                <w:rFonts w:ascii="Aptos" w:hAnsi="Aptos"/>
                <w:b w:val="0"/>
                <w:sz w:val="16"/>
              </w:rPr>
              <w:t>Notified individual service episode clears</w:t>
            </w:r>
          </w:p>
        </w:tc>
        <w:tc>
          <w:tcPr>
            <w:tcW w:type="dxa" w:w="3360"/>
            <w:vAlign w:val="center"/>
          </w:tcPr>
          <w:p>
            <w:r/>
            <w:r>
              <w:rPr>
                <w:rFonts w:ascii="Aptos" w:hAnsi="Aptos"/>
                <w:b w:val="0"/>
                <w:sz w:val="16"/>
              </w:rPr>
              <w:t>RECOVERY</w:t>
            </w:r>
          </w:p>
        </w:tc>
        <w:tc>
          <w:tcPr>
            <w:tcW w:type="dxa" w:w="3360"/>
            <w:vAlign w:val="center"/>
          </w:tcPr>
          <w:p>
            <w:r/>
            <w:r>
              <w:rPr>
                <w:rFonts w:ascii="Aptos" w:hAnsi="Aptos"/>
                <w:b w:val="0"/>
                <w:sz w:val="16"/>
              </w:rPr>
              <w:t>One email for that service UP.</w:t>
            </w:r>
          </w:p>
        </w:tc>
      </w:tr>
    </w:tbl>
    <w:p/>
    <w:p>
      <w:r>
        <w:t>For a TV-bearing carrier, at least one expected service currently has video evidence. This does not mean every service in the multiplex must have video.</w:t>
      </w:r>
    </w:p>
    <w:p>
      <w:pPr>
        <w:pStyle w:val="Heading1"/>
      </w:pPr>
      <w:r>
        <w:t>13. Phase I - SMTP and approved email presentation</w:t>
      </w:r>
    </w:p>
    <w:p>
      <w:pPr>
        <w:pStyle w:val="Heading2"/>
      </w:pPr>
      <w:r>
        <w:t>13.1 Secret handling</w:t>
      </w:r>
    </w:p>
    <w:p>
      <w:r>
        <w:t>The sanitized project uses environment variables. Never place the SMTP password, PRTG passhash or other credentials in source control, documentation, screenshots or command transcripts.</w:t>
      </w:r>
    </w:p>
    <w:p>
      <w:pPr>
        <w:pStyle w:val="CodeBlock"/>
      </w:pPr>
      <w:r>
        <w:t># Example variable names only - enter real values locally on the server.</w:t>
      </w:r>
    </w:p>
    <w:p>
      <w:pPr>
        <w:pStyle w:val="CodeBlock"/>
      </w:pPr>
      <w:r>
        <w:t>WISI_SMTP_HOST</w:t>
      </w:r>
    </w:p>
    <w:p>
      <w:pPr>
        <w:pStyle w:val="CodeBlock"/>
      </w:pPr>
      <w:r>
        <w:t>WISI_SMTP_PORT</w:t>
      </w:r>
    </w:p>
    <w:p>
      <w:pPr>
        <w:pStyle w:val="CodeBlock"/>
      </w:pPr>
      <w:r>
        <w:t>WISI_SMTP_USERNAME</w:t>
      </w:r>
    </w:p>
    <w:p>
      <w:pPr>
        <w:pStyle w:val="CodeBlock"/>
      </w:pPr>
      <w:r>
        <w:t>WISI_SMTP_PASSWORD</w:t>
      </w:r>
    </w:p>
    <w:p>
      <w:pPr>
        <w:pStyle w:val="CodeBlock"/>
      </w:pPr>
      <w:r>
        <w:t>WISI_EMAIL_FROM</w:t>
      </w:r>
    </w:p>
    <w:p>
      <w:pPr>
        <w:pStyle w:val="CodeBlock"/>
      </w:pPr>
      <w:r>
        <w:t>WISI_EMAIL_TO</w:t>
      </w:r>
    </w:p>
    <w:p>
      <w:pPr>
        <w:pStyle w:val="Heading2"/>
      </w:pPr>
      <w:r>
        <w:t>13.2 Trigger rules</w:t>
      </w:r>
    </w:p>
    <w:p>
      <w:pPr>
        <w:pStyle w:val="ListBullet"/>
      </w:pPr>
      <w:r>
        <w:t>No 60-second debounce. Alarm email is immediate at detection.</w:t>
      </w:r>
    </w:p>
    <w:p>
      <w:pPr>
        <w:pStyle w:val="ListBullet"/>
      </w:pPr>
      <w:r>
        <w:t>No repeated email while the same alarm episode remains active.</w:t>
      </w:r>
    </w:p>
    <w:p>
      <w:pPr>
        <w:pStyle w:val="ListBullet"/>
      </w:pPr>
      <w:r>
        <w:t>Recovery is immediate when a notified episode clears.</w:t>
      </w:r>
    </w:p>
    <w:p>
      <w:pPr>
        <w:pStyle w:val="ListBullet"/>
      </w:pPr>
      <w:r>
        <w:t>No severity field.</w:t>
      </w:r>
    </w:p>
    <w:p>
      <w:pPr>
        <w:pStyle w:val="ListBullet"/>
      </w:pPr>
      <w:r>
        <w:t>Email subject: Transmission Alert.</w:t>
      </w:r>
    </w:p>
    <w:p>
      <w:pPr>
        <w:pStyle w:val="ListBullet"/>
      </w:pPr>
      <w:r>
        <w:t>PRTG notification triggers are not used for production transmission email.</w:t>
      </w:r>
    </w:p>
    <w:p>
      <w:pPr>
        <w:pStyle w:val="Heading2"/>
      </w:pPr>
      <w:r>
        <w:t>13.3 Approved V11.3L visual format</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rFonts w:ascii="Aptos" w:hAnsi="Aptos"/>
                <w:b/>
                <w:sz w:val="16"/>
              </w:rPr>
              <w:t>DOWN email</w:t>
            </w:r>
          </w:p>
        </w:tc>
        <w:tc>
          <w:tcPr>
            <w:tcW w:type="dxa" w:w="5040"/>
            <w:vAlign w:val="center"/>
            <w:shd w:fill="D9EAF7"/>
          </w:tcPr>
          <w:p>
            <w:r/>
            <w:r>
              <w:rPr>
                <w:rFonts w:ascii="Aptos" w:hAnsi="Aptos"/>
                <w:b/>
                <w:sz w:val="16"/>
              </w:rPr>
              <w:t>Recovery email</w:t>
            </w:r>
          </w:p>
        </w:tc>
      </w:tr>
      <w:tr>
        <w:tc>
          <w:tcPr>
            <w:tcW w:type="dxa" w:w="5040"/>
            <w:vAlign w:val="center"/>
          </w:tcPr>
          <w:p>
            <w:r/>
            <w:r>
              <w:rPr>
                <w:rFonts w:ascii="Aptos" w:hAnsi="Aptos"/>
                <w:b w:val="0"/>
                <w:sz w:val="16"/>
              </w:rPr>
              <w:t>Heading: Transmission Alert</w:t>
            </w:r>
          </w:p>
        </w:tc>
        <w:tc>
          <w:tcPr>
            <w:tcW w:type="dxa" w:w="5040"/>
            <w:vAlign w:val="center"/>
          </w:tcPr>
          <w:p>
            <w:r/>
            <w:r>
              <w:rPr>
                <w:rFonts w:ascii="Aptos" w:hAnsi="Aptos"/>
                <w:b w:val="0"/>
                <w:sz w:val="16"/>
              </w:rPr>
              <w:t>Heading: Transmission Alert</w:t>
            </w:r>
          </w:p>
        </w:tc>
      </w:tr>
      <w:tr>
        <w:tc>
          <w:tcPr>
            <w:tcW w:type="dxa" w:w="5040"/>
            <w:vAlign w:val="center"/>
          </w:tcPr>
          <w:p>
            <w:r/>
            <w:r>
              <w:rPr>
                <w:rFonts w:ascii="Aptos" w:hAnsi="Aptos"/>
                <w:b w:val="0"/>
                <w:sz w:val="16"/>
              </w:rPr>
              <w:t>Date/time stamp + separate PKT line</w:t>
            </w:r>
          </w:p>
        </w:tc>
        <w:tc>
          <w:tcPr>
            <w:tcW w:type="dxa" w:w="5040"/>
            <w:vAlign w:val="center"/>
          </w:tcPr>
          <w:p>
            <w:r/>
            <w:r>
              <w:rPr>
                <w:rFonts w:ascii="Aptos" w:hAnsi="Aptos"/>
                <w:b w:val="0"/>
                <w:sz w:val="16"/>
              </w:rPr>
              <w:t>Date/time stamp + separate PKT line</w:t>
            </w:r>
          </w:p>
        </w:tc>
      </w:tr>
      <w:tr>
        <w:tc>
          <w:tcPr>
            <w:tcW w:type="dxa" w:w="5040"/>
            <w:vAlign w:val="center"/>
          </w:tcPr>
          <w:p>
            <w:r/>
            <w:r>
              <w:rPr>
                <w:rFonts w:ascii="Aptos" w:hAnsi="Aptos"/>
                <w:b w:val="0"/>
                <w:sz w:val="16"/>
              </w:rPr>
              <w:t>Channel name</w:t>
            </w:r>
          </w:p>
        </w:tc>
        <w:tc>
          <w:tcPr>
            <w:tcW w:type="dxa" w:w="5040"/>
            <w:vAlign w:val="center"/>
          </w:tcPr>
          <w:p>
            <w:r/>
            <w:r>
              <w:rPr>
                <w:rFonts w:ascii="Aptos" w:hAnsi="Aptos"/>
                <w:b w:val="0"/>
                <w:sz w:val="16"/>
              </w:rPr>
              <w:t>Channel name</w:t>
            </w:r>
          </w:p>
        </w:tc>
      </w:tr>
      <w:tr>
        <w:tc>
          <w:tcPr>
            <w:tcW w:type="dxa" w:w="5040"/>
            <w:vAlign w:val="center"/>
          </w:tcPr>
          <w:p>
            <w:r/>
            <w:r>
              <w:rPr>
                <w:rFonts w:ascii="Aptos" w:hAnsi="Aptos"/>
                <w:b w:val="0"/>
                <w:sz w:val="16"/>
              </w:rPr>
              <w:t>Satellite name: Paksat MM1</w:t>
            </w:r>
          </w:p>
        </w:tc>
        <w:tc>
          <w:tcPr>
            <w:tcW w:type="dxa" w:w="5040"/>
            <w:vAlign w:val="center"/>
          </w:tcPr>
          <w:p>
            <w:r/>
            <w:r>
              <w:rPr>
                <w:rFonts w:ascii="Aptos" w:hAnsi="Aptos"/>
                <w:b w:val="0"/>
                <w:sz w:val="16"/>
              </w:rPr>
              <w:t>Satellite name: Paksat MM1</w:t>
            </w:r>
          </w:p>
        </w:tc>
      </w:tr>
      <w:tr>
        <w:tc>
          <w:tcPr>
            <w:tcW w:type="dxa" w:w="5040"/>
            <w:vAlign w:val="center"/>
          </w:tcPr>
          <w:p>
            <w:r/>
            <w:r>
              <w:rPr>
                <w:rFonts w:ascii="Aptos" w:hAnsi="Aptos"/>
                <w:b w:val="0"/>
                <w:sz w:val="16"/>
              </w:rPr>
              <w:t>Frequency band: C-band</w:t>
            </w:r>
          </w:p>
        </w:tc>
        <w:tc>
          <w:tcPr>
            <w:tcW w:type="dxa" w:w="5040"/>
            <w:vAlign w:val="center"/>
          </w:tcPr>
          <w:p>
            <w:r/>
            <w:r>
              <w:rPr>
                <w:rFonts w:ascii="Aptos" w:hAnsi="Aptos"/>
                <w:b w:val="0"/>
                <w:sz w:val="16"/>
              </w:rPr>
              <w:t>Frequency band: C-band</w:t>
            </w:r>
          </w:p>
        </w:tc>
      </w:tr>
      <w:tr>
        <w:tc>
          <w:tcPr>
            <w:tcW w:type="dxa" w:w="5040"/>
            <w:vAlign w:val="center"/>
          </w:tcPr>
          <w:p>
            <w:r/>
            <w:r>
              <w:rPr>
                <w:rFonts w:ascii="Aptos" w:hAnsi="Aptos"/>
                <w:b w:val="0"/>
                <w:sz w:val="16"/>
              </w:rPr>
              <w:t>Channel status: ❌ DOWN</w:t>
            </w:r>
          </w:p>
        </w:tc>
        <w:tc>
          <w:tcPr>
            <w:tcW w:type="dxa" w:w="5040"/>
            <w:vAlign w:val="center"/>
          </w:tcPr>
          <w:p>
            <w:r/>
            <w:r>
              <w:rPr>
                <w:rFonts w:ascii="Aptos" w:hAnsi="Aptos"/>
                <w:b w:val="0"/>
                <w:sz w:val="16"/>
              </w:rPr>
              <w:t>Channel status: ✅ UP</w:t>
            </w:r>
          </w:p>
        </w:tc>
      </w:tr>
      <w:tr>
        <w:tc>
          <w:tcPr>
            <w:tcW w:type="dxa" w:w="5040"/>
            <w:vAlign w:val="center"/>
          </w:tcPr>
          <w:p>
            <w:r/>
            <w:r>
              <w:rPr>
                <w:rFonts w:ascii="Aptos" w:hAnsi="Aptos"/>
                <w:b w:val="0"/>
                <w:sz w:val="16"/>
              </w:rPr>
              <w:t>No downtime row</w:t>
            </w:r>
          </w:p>
        </w:tc>
        <w:tc>
          <w:tcPr>
            <w:tcW w:type="dxa" w:w="5040"/>
            <w:vAlign w:val="center"/>
          </w:tcPr>
          <w:p>
            <w:r/>
            <w:r>
              <w:rPr>
                <w:rFonts w:ascii="Aptos" w:hAnsi="Aptos"/>
                <w:b w:val="0"/>
                <w:sz w:val="16"/>
              </w:rPr>
              <w:t>Total downtime: HH:MM:SS</w:t>
            </w:r>
          </w:p>
        </w:tc>
      </w:tr>
      <w:tr>
        <w:tc>
          <w:tcPr>
            <w:tcW w:type="dxa" w:w="5040"/>
            <w:vAlign w:val="center"/>
          </w:tcPr>
          <w:p>
            <w:r/>
            <w:r>
              <w:rPr>
                <w:rFonts w:ascii="Aptos" w:hAnsi="Aptos"/>
                <w:b w:val="0"/>
                <w:sz w:val="16"/>
              </w:rPr>
              <w:t>Emoji-sized PEMRA logo inline before italic automated-notification footer</w:t>
            </w:r>
          </w:p>
        </w:tc>
        <w:tc>
          <w:tcPr>
            <w:tcW w:type="dxa" w:w="5040"/>
            <w:vAlign w:val="center"/>
          </w:tcPr>
          <w:p>
            <w:r/>
            <w:r>
              <w:rPr>
                <w:rFonts w:ascii="Aptos" w:hAnsi="Aptos"/>
                <w:b w:val="0"/>
                <w:sz w:val="16"/>
              </w:rPr>
              <w:t>Same footer</w:t>
            </w:r>
          </w:p>
        </w:tc>
      </w:tr>
    </w:tbl>
    <w:p/>
    <w:p>
      <w:r>
        <w:t>The approved recovery layout does not add separate alarm-start/recovery-clear rows, a centered large logo, a separator line, or a severity field.</w:t>
      </w:r>
    </w:p>
    <w:p>
      <w:pPr>
        <w:pStyle w:val="Heading2"/>
      </w:pPr>
      <w:r>
        <w:t>13.4 Safe presentation-only tests</w:t>
      </w:r>
    </w:p>
    <w:p>
      <w:pPr>
        <w:pStyle w:val="CodeBlock"/>
      </w:pPr>
      <w:r>
        <w:t>python .\send_tv43_format_test.py</w:t>
      </w:r>
    </w:p>
    <w:p>
      <w:pPr>
        <w:pStyle w:val="CodeBlock"/>
      </w:pPr>
      <w:r>
        <w:t>python .\send_tv43_format_test.py --recovery</w:t>
      </w:r>
    </w:p>
    <w:p>
      <w:pPr>
        <w:pStyle w:val="CodeBlock"/>
      </w:pPr>
      <w:r/>
    </w:p>
    <w:p>
      <w:pPr>
        <w:pStyle w:val="CodeBlock"/>
      </w:pPr>
      <w:r>
        <w:t># Optional test label:</w:t>
      </w:r>
    </w:p>
    <w:p>
      <w:pPr>
        <w:pStyle w:val="CodeBlock"/>
      </w:pPr>
      <w:r>
        <w:t>python .\send_tv43_format_test.py --channel-name "TEST CHANNEL"</w:t>
      </w:r>
    </w:p>
    <w:tbl>
      <w:tblPr>
        <w:tblStyle w:val="TableGrid"/>
        <w:tblW w:type="auto" w:w="0"/>
        <w:tblLook w:firstColumn="1" w:firstRow="1" w:lastColumn="0" w:lastRow="0" w:noHBand="0" w:noVBand="1" w:val="04A0"/>
      </w:tblPr>
      <w:tblGrid>
        <w:gridCol w:w="10080"/>
      </w:tblGrid>
      <w:tr>
        <w:tc>
          <w:tcPr>
            <w:tcW w:type="dxa" w:w="10080"/>
            <w:shd w:fill="FFF2CC"/>
          </w:tcPr>
          <w:p>
            <w:r>
              <w:rPr>
                <w:b/>
              </w:rPr>
              <w:t xml:space="preserve">Do not use legacy stateful test: </w:t>
            </w:r>
            <w:r>
              <w:t>The old send_alarm_email_test.py depends on the legacy alarm_state model and is not the normal TV43 presentation test. The synthetic TV43 test must not create, clear, rearm or commission real alarm episodes.</w:t>
            </w:r>
          </w:p>
        </w:tc>
      </w:tr>
    </w:tbl>
    <w:p/>
    <w:p>
      <w:pPr>
        <w:pStyle w:val="Heading1"/>
      </w:pPr>
      <w:r>
        <w:t>14. Phase J - Windows production operation</w:t>
      </w:r>
    </w:p>
    <w:p>
      <w:r>
        <w:t>Normal operation is Scheduled-Task driven. The two production tasks are WISI GT34 Monitor and WISI GT34 TV43 Alarm Policy. The alarm-policy task runs as SYSTEM at startup and evaluates snapshots at a 5-second interval; PRTG's final scan interval is 30 seconds.</w:t>
      </w:r>
    </w:p>
    <w:p>
      <w:pPr>
        <w:pStyle w:val="Heading2"/>
      </w:pPr>
      <w:r>
        <w:t>14.1 Start/stop order</w:t>
      </w:r>
    </w:p>
    <w:p>
      <w:pPr>
        <w:pStyle w:val="CodeBlock"/>
      </w:pPr>
      <w:r>
        <w:t># Start: monitor first, alarm policy second</w:t>
      </w:r>
    </w:p>
    <w:p>
      <w:pPr>
        <w:pStyle w:val="CodeBlock"/>
      </w:pPr>
      <w:r>
        <w:t>Start-ScheduledTask -TaskName "WISI GT34 Monitor"</w:t>
      </w:r>
    </w:p>
    <w:p>
      <w:pPr>
        <w:pStyle w:val="CodeBlock"/>
      </w:pPr>
      <w:r>
        <w:t>Start-ScheduledTask -TaskName "WISI GT34 TV43 Alarm Policy"</w:t>
      </w:r>
    </w:p>
    <w:p>
      <w:pPr>
        <w:pStyle w:val="CodeBlock"/>
      </w:pPr>
      <w:r/>
    </w:p>
    <w:p>
      <w:pPr>
        <w:pStyle w:val="CodeBlock"/>
      </w:pPr>
      <w:r>
        <w:t># Stop: alarm policy first, monitor second</w:t>
      </w:r>
    </w:p>
    <w:p>
      <w:pPr>
        <w:pStyle w:val="CodeBlock"/>
      </w:pPr>
      <w:r>
        <w:t>Stop-ScheduledTask -TaskName "WISI GT34 TV43 Alarm Policy"</w:t>
      </w:r>
    </w:p>
    <w:p>
      <w:pPr>
        <w:pStyle w:val="CodeBlock"/>
      </w:pPr>
      <w:r>
        <w:t>Stop-ScheduledTask -TaskName "WISI GT34 Monitor"</w:t>
      </w:r>
    </w:p>
    <w:p>
      <w:pPr>
        <w:pStyle w:val="CodeBlock"/>
      </w:pPr>
      <w:r/>
    </w:p>
    <w:p>
      <w:pPr>
        <w:pStyle w:val="CodeBlock"/>
      </w:pPr>
      <w:r>
        <w:t># Check</w:t>
      </w:r>
    </w:p>
    <w:p>
      <w:pPr>
        <w:pStyle w:val="CodeBlock"/>
      </w:pPr>
      <w:r>
        <w:t>Get-ScheduledTask -TaskName "WISI GT34 Monitor","WISI GT34 TV43 Alarm Policy" |</w:t>
      </w:r>
    </w:p>
    <w:p>
      <w:pPr>
        <w:pStyle w:val="CodeBlock"/>
      </w:pPr>
      <w:r>
        <w:t xml:space="preserve">    Select-Object TaskName,State</w:t>
      </w:r>
    </w:p>
    <w:p>
      <w:pPr>
        <w:pStyle w:val="Heading2"/>
      </w:pPr>
      <w:r>
        <w:t>14.2 Planned maintenance</w:t>
      </w:r>
    </w:p>
    <w:p>
      <w:pPr>
        <w:pStyle w:val="CodeBlock"/>
      </w:pPr>
      <w:r>
        <w:t>Disable-ScheduledTask -TaskName "WISI GT34 TV43 Alarm Policy"</w:t>
      </w:r>
    </w:p>
    <w:p>
      <w:pPr>
        <w:pStyle w:val="CodeBlock"/>
      </w:pPr>
      <w:r>
        <w:t>Disable-ScheduledTask -TaskName "WISI GT34 Monitor"</w:t>
      </w:r>
    </w:p>
    <w:p>
      <w:pPr>
        <w:pStyle w:val="CodeBlock"/>
      </w:pPr>
      <w:r>
        <w:t>Stop-ScheduledTask -TaskName "WISI GT34 TV43 Alarm Policy"</w:t>
      </w:r>
    </w:p>
    <w:p>
      <w:pPr>
        <w:pStyle w:val="CodeBlock"/>
      </w:pPr>
      <w:r>
        <w:t>Stop-ScheduledTask -TaskName "WISI GT34 Monitor"</w:t>
      </w:r>
    </w:p>
    <w:p>
      <w:pPr>
        <w:pStyle w:val="CodeBlock"/>
      </w:pPr>
      <w:r/>
    </w:p>
    <w:p>
      <w:pPr>
        <w:pStyle w:val="CodeBlock"/>
      </w:pPr>
      <w:r>
        <w:t># Return to service</w:t>
      </w:r>
    </w:p>
    <w:p>
      <w:pPr>
        <w:pStyle w:val="CodeBlock"/>
      </w:pPr>
      <w:r>
        <w:t>Enable-ScheduledTask -TaskName "WISI GT34 Monitor"</w:t>
      </w:r>
    </w:p>
    <w:p>
      <w:pPr>
        <w:pStyle w:val="CodeBlock"/>
      </w:pPr>
      <w:r>
        <w:t>Enable-ScheduledTask -TaskName "WISI GT34 TV43 Alarm Policy"</w:t>
      </w:r>
    </w:p>
    <w:p>
      <w:pPr>
        <w:pStyle w:val="CodeBlock"/>
      </w:pPr>
      <w:r>
        <w:t>Start-ScheduledTask -TaskName "WISI GT34 Monitor"</w:t>
      </w:r>
    </w:p>
    <w:p>
      <w:pPr>
        <w:pStyle w:val="CodeBlock"/>
      </w:pPr>
      <w:r>
        <w:t>Start-ScheduledTask -TaskName "WISI GT34 TV43 Alarm Policy"</w:t>
      </w:r>
    </w:p>
    <w:p>
      <w:pPr>
        <w:pStyle w:val="Heading1"/>
      </w:pPr>
      <w:r>
        <w:t>15. From-scratch commissioning procedure</w:t>
      </w:r>
    </w:p>
    <w:p>
      <w:r>
        <w:rPr>
          <w:b/>
        </w:rPr>
        <w:t xml:space="preserve">1. Freeze evidence: </w:t>
      </w:r>
      <w:r>
        <w:t>Save product documentation/MIB versions, firmware version, screenshots of module inventory and known carrier settings.</w:t>
      </w:r>
    </w:p>
    <w:p>
      <w:r>
        <w:rPr>
          <w:b/>
        </w:rPr>
        <w:t xml:space="preserve">2. Network: </w:t>
      </w:r>
      <w:r>
        <w:t>Confirm chassis GUI reachability and actual SNMP response.</w:t>
      </w:r>
    </w:p>
    <w:p>
      <w:r>
        <w:rPr>
          <w:b/>
        </w:rPr>
        <w:t xml:space="preserve">3. SNMP: </w:t>
      </w:r>
      <w:r>
        <w:t>Run module/service discovery; preserve raw/numeric evidence; do not invent unsupported OIDs.</w:t>
      </w:r>
    </w:p>
    <w:p>
      <w:r>
        <w:rPr>
          <w:b/>
        </w:rPr>
        <w:t xml:space="preserve">4. Web structured data: </w:t>
      </w:r>
      <w:r>
        <w:t>Observe browser Network traffic for a known module/input/service and identify machine-readable resources.</w:t>
      </w:r>
    </w:p>
    <w:p>
      <w:r>
        <w:rPr>
          <w:b/>
        </w:rPr>
        <w:t xml:space="preserve">5. Correlation: </w:t>
      </w:r>
      <w:r>
        <w:t>Prove one logical input using frequency/polarization/symbol-rate/service fingerprints and fail closed if ambiguous.</w:t>
      </w:r>
    </w:p>
    <w:p>
      <w:r>
        <w:rPr>
          <w:b/>
        </w:rPr>
        <w:t xml:space="preserve">6. ES/PID: </w:t>
      </w:r>
      <w:r>
        <w:t>Run discover_streams on the known input and confirm expected SID/ES evidence.</w:t>
      </w:r>
    </w:p>
    <w:p>
      <w:r>
        <w:rPr>
          <w:b/>
        </w:rPr>
        <w:t xml:space="preserve">7. Baseline: </w:t>
      </w:r>
      <w:r>
        <w:t>Generate a candidate baseline; review it manually against known operational configuration before approving.</w:t>
      </w:r>
    </w:p>
    <w:p>
      <w:r>
        <w:rPr>
          <w:b/>
        </w:rPr>
        <w:t xml:space="preserve">8. One-carrier PRTG test: </w:t>
      </w:r>
      <w:r>
        <w:t>Run prtg_tv43_sensor.py directly; verify &lt;=44 channels and rich status text.</w:t>
      </w:r>
    </w:p>
    <w:p>
      <w:r>
        <w:rPr>
          <w:b/>
        </w:rPr>
        <w:t xml:space="preserve">9. SQLite: </w:t>
      </w:r>
      <w:r>
        <w:t>Run the sensor repeatedly and validate tv43 carrier/service history writes.</w:t>
      </w:r>
    </w:p>
    <w:p>
      <w:r>
        <w:rPr>
          <w:b/>
        </w:rPr>
        <w:t xml:space="preserve">10. Service integrity: </w:t>
      </w:r>
      <w:r>
        <w:t>Verify expected SID missing/ES-N/A semantics without creating a real outage merely for testing.</w:t>
      </w:r>
    </w:p>
    <w:p>
      <w:r>
        <w:rPr>
          <w:b/>
        </w:rPr>
        <w:t xml:space="preserve">11. Email presentation: </w:t>
      </w:r>
      <w:r>
        <w:t>Configure SMTP locally and use the synthetic TV43 DOWN/recovery format tests.</w:t>
      </w:r>
    </w:p>
    <w:p>
      <w:r>
        <w:rPr>
          <w:b/>
        </w:rPr>
        <w:t xml:space="preserve">12. PRTG deployment: </w:t>
      </w:r>
      <w:r>
        <w:t>Deploy one stable sensor, then scale programmatically from the approved authoritative manifest. Do not manually create dozens of sensors.</w:t>
      </w:r>
    </w:p>
    <w:p>
      <w:r>
        <w:rPr>
          <w:b/>
        </w:rPr>
        <w:t xml:space="preserve">13. Fleet validation: </w:t>
      </w:r>
      <w:r>
        <w:t>Run discovery/check tooling across configured IRDs and compare with the approved manifest.</w:t>
      </w:r>
    </w:p>
    <w:p>
      <w:r>
        <w:rPr>
          <w:b/>
        </w:rPr>
        <w:t xml:space="preserve">14. Scheduled tasks: </w:t>
      </w:r>
      <w:r>
        <w:t>Create tasks with permanent server paths but keep alarm email suppressed until commissioning is complete.</w:t>
      </w:r>
    </w:p>
    <w:p>
      <w:r>
        <w:rPr>
          <w:b/>
        </w:rPr>
        <w:t xml:space="preserve">15. Cutover: </w:t>
      </w:r>
      <w:r>
        <w:t>Start monitor first; validate snapshots/DB/PRTG; then enable alarm policy. When migrating from an existing system, stop old alarm policy first and transfer final state before new alarm policy starts.</w:t>
      </w:r>
    </w:p>
    <w:p>
      <w:pPr>
        <w:pStyle w:val="Heading1"/>
      </w:pPr>
      <w:r>
        <w:t>16. Fleet validation commands</w:t>
      </w:r>
    </w:p>
    <w:p>
      <w:pPr>
        <w:pStyle w:val="CodeBlock"/>
      </w:pPr>
      <w:r>
        <w:t># Compare live fleet against approved service baselines.</w:t>
      </w:r>
    </w:p>
    <w:p>
      <w:pPr>
        <w:pStyle w:val="CodeBlock"/>
      </w:pPr>
      <w:r>
        <w:t>python .\tools\check_fleet.py --config .\config.toml</w:t>
      </w:r>
    </w:p>
    <w:p>
      <w:pPr>
        <w:pStyle w:val="CodeBlock"/>
      </w:pPr>
      <w:r/>
    </w:p>
    <w:p>
      <w:pPr>
        <w:pStyle w:val="CodeBlock"/>
      </w:pPr>
      <w:r>
        <w:t># JSON output for machine inspection.</w:t>
      </w:r>
    </w:p>
    <w:p>
      <w:pPr>
        <w:pStyle w:val="CodeBlock"/>
      </w:pPr>
      <w:r>
        <w:t>python .\tools\check_fleet.py --config .\config.toml --json</w:t>
      </w:r>
    </w:p>
    <w:p>
      <w:pPr>
        <w:pStyle w:val="CodeBlock"/>
      </w:pPr>
      <w:r/>
    </w:p>
    <w:p>
      <w:pPr>
        <w:pStyle w:val="CodeBlock"/>
      </w:pPr>
      <w:r>
        <w:t># Include informational findings.</w:t>
      </w:r>
    </w:p>
    <w:p>
      <w:pPr>
        <w:pStyle w:val="CodeBlock"/>
      </w:pPr>
      <w:r>
        <w:t>python .\tools\check_fleet.py --config .\config.toml --include-info</w:t>
      </w:r>
    </w:p>
    <w:p>
      <w:pPr>
        <w:pStyle w:val="CodeBlock"/>
      </w:pPr>
      <w:r/>
    </w:p>
    <w:p>
      <w:pPr>
        <w:pStyle w:val="CodeBlock"/>
      </w:pPr>
      <w:r>
        <w:t># Read-only service-scope classification.</w:t>
      </w:r>
    </w:p>
    <w:p>
      <w:pPr>
        <w:pStyle w:val="CodeBlock"/>
      </w:pPr>
      <w:r>
        <w:t>python .\tools\service_scope_report.py `</w:t>
      </w:r>
    </w:p>
    <w:p>
      <w:pPr>
        <w:pStyle w:val="CodeBlock"/>
      </w:pPr>
      <w:r>
        <w:t xml:space="preserve">  --config .\config.toml `</w:t>
      </w:r>
    </w:p>
    <w:p>
      <w:pPr>
        <w:pStyle w:val="CodeBlock"/>
      </w:pPr>
      <w:r>
        <w:t xml:space="preserve">  --manifest .\&lt;APPROVED_MANIFEST.csv&gt; `</w:t>
      </w:r>
    </w:p>
    <w:p>
      <w:pPr>
        <w:pStyle w:val="CodeBlock"/>
      </w:pPr>
      <w:r>
        <w:t xml:space="preserve">  --csv .\service_scope_report.csv</w:t>
      </w:r>
    </w:p>
    <w:p>
      <w:r>
        <w:t>The fleet checker supports independent retries and concurrent IRD workers. Do not interpret a transient collection exception as a transmission outage; separate runtime/collection failure from broadcast state.</w:t>
      </w:r>
    </w:p>
    <w:p>
      <w:pPr>
        <w:pStyle w:val="Heading1"/>
      </w:pPr>
      <w:r>
        <w:t>17. Troubleshooting decision tree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rFonts w:ascii="Aptos" w:hAnsi="Aptos"/>
                <w:b/>
                <w:sz w:val="16"/>
              </w:rPr>
              <w:t>Symptom</w:t>
            </w:r>
          </w:p>
        </w:tc>
        <w:tc>
          <w:tcPr>
            <w:tcW w:type="dxa" w:w="3360"/>
            <w:vAlign w:val="center"/>
            <w:shd w:fill="D9EAF7"/>
          </w:tcPr>
          <w:p>
            <w:r/>
            <w:r>
              <w:rPr>
                <w:rFonts w:ascii="Aptos" w:hAnsi="Aptos"/>
                <w:b/>
                <w:sz w:val="16"/>
              </w:rPr>
              <w:t>Check</w:t>
            </w:r>
          </w:p>
        </w:tc>
        <w:tc>
          <w:tcPr>
            <w:tcW w:type="dxa" w:w="3360"/>
            <w:vAlign w:val="center"/>
            <w:shd w:fill="D9EAF7"/>
          </w:tcPr>
          <w:p>
            <w:r/>
            <w:r>
              <w:rPr>
                <w:rFonts w:ascii="Aptos" w:hAnsi="Aptos"/>
                <w:b/>
                <w:sz w:val="16"/>
              </w:rPr>
              <w:t>Do not do</w:t>
            </w:r>
          </w:p>
        </w:tc>
      </w:tr>
      <w:tr>
        <w:tc>
          <w:tcPr>
            <w:tcW w:type="dxa" w:w="3360"/>
            <w:vAlign w:val="center"/>
          </w:tcPr>
          <w:p>
            <w:r/>
            <w:r>
              <w:rPr>
                <w:rFonts w:ascii="Aptos" w:hAnsi="Aptos"/>
                <w:b w:val="0"/>
                <w:sz w:val="16"/>
              </w:rPr>
              <w:t>MIB imports but useful fields are absent</w:t>
            </w:r>
          </w:p>
        </w:tc>
        <w:tc>
          <w:tcPr>
            <w:tcW w:type="dxa" w:w="3360"/>
            <w:vAlign w:val="center"/>
          </w:tcPr>
          <w:p>
            <w:r/>
            <w:r>
              <w:rPr>
                <w:rFonts w:ascii="Aptos" w:hAnsi="Aptos"/>
                <w:b w:val="0"/>
                <w:sz w:val="16"/>
              </w:rPr>
              <w:t>Numeric walk; live values; GUI structured resources; product documentation.</w:t>
            </w:r>
          </w:p>
        </w:tc>
        <w:tc>
          <w:tcPr>
            <w:tcW w:type="dxa" w:w="3360"/>
            <w:vAlign w:val="center"/>
          </w:tcPr>
          <w:p>
            <w:r/>
            <w:r>
              <w:rPr>
                <w:rFonts w:ascii="Aptos" w:hAnsi="Aptos"/>
                <w:b w:val="0"/>
                <w:sz w:val="16"/>
              </w:rPr>
              <w:t>Do not invent an OID from a GUI label.</w:t>
            </w:r>
          </w:p>
        </w:tc>
      </w:tr>
      <w:tr>
        <w:tc>
          <w:tcPr>
            <w:tcW w:type="dxa" w:w="3360"/>
            <w:vAlign w:val="center"/>
          </w:tcPr>
          <w:p>
            <w:r/>
            <w:r>
              <w:rPr>
                <w:rFonts w:ascii="Aptos" w:hAnsi="Aptos"/>
                <w:b w:val="0"/>
                <w:sz w:val="16"/>
              </w:rPr>
              <w:t>GUI shows a value but SNMP does not</w:t>
            </w:r>
          </w:p>
        </w:tc>
        <w:tc>
          <w:tcPr>
            <w:tcW w:type="dxa" w:w="3360"/>
            <w:vAlign w:val="center"/>
          </w:tcPr>
          <w:p>
            <w:r/>
            <w:r>
              <w:rPr>
                <w:rFonts w:ascii="Aptos" w:hAnsi="Aptos"/>
                <w:b w:val="0"/>
                <w:sz w:val="16"/>
              </w:rPr>
              <w:t>Inspect Network traffic and structured response; correlate to known input.</w:t>
            </w:r>
          </w:p>
        </w:tc>
        <w:tc>
          <w:tcPr>
            <w:tcW w:type="dxa" w:w="3360"/>
            <w:vAlign w:val="center"/>
          </w:tcPr>
          <w:p>
            <w:r/>
            <w:r>
              <w:rPr>
                <w:rFonts w:ascii="Aptos" w:hAnsi="Aptos"/>
                <w:b w:val="0"/>
                <w:sz w:val="16"/>
              </w:rPr>
              <w:t>Do not screen-scrape the label as the authoritative model if structured data exists.</w:t>
            </w:r>
          </w:p>
        </w:tc>
      </w:tr>
      <w:tr>
        <w:tc>
          <w:tcPr>
            <w:tcW w:type="dxa" w:w="3360"/>
            <w:vAlign w:val="center"/>
          </w:tcPr>
          <w:p>
            <w:r/>
            <w:r>
              <w:rPr>
                <w:rFonts w:ascii="Aptos" w:hAnsi="Aptos"/>
                <w:b w:val="0"/>
                <w:sz w:val="16"/>
              </w:rPr>
              <w:t>Logical input maps to wrong tuner</w:t>
            </w:r>
          </w:p>
        </w:tc>
        <w:tc>
          <w:tcPr>
            <w:tcW w:type="dxa" w:w="3360"/>
            <w:vAlign w:val="center"/>
          </w:tcPr>
          <w:p>
            <w:r/>
            <w:r>
              <w:rPr>
                <w:rFonts w:ascii="Aptos" w:hAnsi="Aptos"/>
                <w:b w:val="0"/>
                <w:sz w:val="16"/>
              </w:rPr>
              <w:t>Check frequency/SR/SNR/RF/remote correlation and GUI logical identity.</w:t>
            </w:r>
          </w:p>
        </w:tc>
        <w:tc>
          <w:tcPr>
            <w:tcW w:type="dxa" w:w="3360"/>
            <w:vAlign w:val="center"/>
          </w:tcPr>
          <w:p>
            <w:r/>
            <w:r>
              <w:rPr>
                <w:rFonts w:ascii="Aptos" w:hAnsi="Aptos"/>
                <w:b w:val="0"/>
                <w:sz w:val="16"/>
              </w:rPr>
              <w:t>Do not fall back to tuner_id = channel-1 unless the complete mapping criteria are satisfied.</w:t>
            </w:r>
          </w:p>
        </w:tc>
      </w:tr>
      <w:tr>
        <w:tc>
          <w:tcPr>
            <w:tcW w:type="dxa" w:w="3360"/>
            <w:vAlign w:val="center"/>
          </w:tcPr>
          <w:p>
            <w:r/>
            <w:r>
              <w:rPr>
                <w:rFonts w:ascii="Aptos" w:hAnsi="Aptos"/>
                <w:b w:val="0"/>
                <w:sz w:val="16"/>
              </w:rPr>
              <w:t>Only tuner IDs 0-7 appear</w:t>
            </w:r>
          </w:p>
        </w:tc>
        <w:tc>
          <w:tcPr>
            <w:tcW w:type="dxa" w:w="3360"/>
            <w:vAlign w:val="center"/>
          </w:tcPr>
          <w:p>
            <w:r/>
            <w:r>
              <w:rPr>
                <w:rFonts w:ascii="Aptos" w:hAnsi="Aptos"/>
                <w:b w:val="0"/>
                <w:sz w:val="16"/>
              </w:rPr>
              <w:t>Use the authoritative GUI/logical discovery path.</w:t>
            </w:r>
          </w:p>
        </w:tc>
        <w:tc>
          <w:tcPr>
            <w:tcW w:type="dxa" w:w="3360"/>
            <w:vAlign w:val="center"/>
          </w:tcPr>
          <w:p>
            <w:r/>
            <w:r>
              <w:rPr>
                <w:rFonts w:ascii="Aptos" w:hAnsi="Aptos"/>
                <w:b w:val="0"/>
                <w:sz w:val="16"/>
              </w:rPr>
              <w:t>Do not assume eight is the logical-channel limit.</w:t>
            </w:r>
          </w:p>
        </w:tc>
      </w:tr>
      <w:tr>
        <w:tc>
          <w:tcPr>
            <w:tcW w:type="dxa" w:w="3360"/>
            <w:vAlign w:val="center"/>
          </w:tcPr>
          <w:p>
            <w:r/>
            <w:r>
              <w:rPr>
                <w:rFonts w:ascii="Aptos" w:hAnsi="Aptos"/>
                <w:b w:val="0"/>
                <w:sz w:val="16"/>
              </w:rPr>
              <w:t>PRTG has &gt;50/stale channels</w:t>
            </w:r>
          </w:p>
        </w:tc>
        <w:tc>
          <w:tcPr>
            <w:tcW w:type="dxa" w:w="3360"/>
            <w:vAlign w:val="center"/>
          </w:tcPr>
          <w:p>
            <w:r/>
            <w:r>
              <w:rPr>
                <w:rFonts w:ascii="Aptos" w:hAnsi="Aptos"/>
                <w:b w:val="0"/>
                <w:sz w:val="16"/>
              </w:rPr>
              <w:t>Freeze schema; retire/rebuild under controlled migration; keep returned schema &lt;=44.</w:t>
            </w:r>
          </w:p>
        </w:tc>
        <w:tc>
          <w:tcPr>
            <w:tcW w:type="dxa" w:w="3360"/>
            <w:vAlign w:val="center"/>
          </w:tcPr>
          <w:p>
            <w:r/>
            <w:r>
              <w:rPr>
                <w:rFonts w:ascii="Aptos" w:hAnsi="Aptos"/>
                <w:b w:val="0"/>
                <w:sz w:val="16"/>
              </w:rPr>
              <w:t>Do not dynamically churn channels.</w:t>
            </w:r>
          </w:p>
        </w:tc>
      </w:tr>
      <w:tr>
        <w:tc>
          <w:tcPr>
            <w:tcW w:type="dxa" w:w="3360"/>
            <w:vAlign w:val="center"/>
          </w:tcPr>
          <w:p>
            <w:r/>
            <w:r>
              <w:rPr>
                <w:rFonts w:ascii="Aptos" w:hAnsi="Aptos"/>
                <w:b w:val="0"/>
                <w:sz w:val="16"/>
              </w:rPr>
              <w:t>PRTG sensor Down after DB lock</w:t>
            </w:r>
          </w:p>
        </w:tc>
        <w:tc>
          <w:tcPr>
            <w:tcW w:type="dxa" w:w="3360"/>
            <w:vAlign w:val="center"/>
          </w:tcPr>
          <w:p>
            <w:r/>
            <w:r>
              <w:rPr>
                <w:rFonts w:ascii="Aptos" w:hAnsi="Aptos"/>
                <w:b w:val="0"/>
                <w:sz w:val="16"/>
              </w:rPr>
              <w:t>Check live wrapper result and history-write diagnostic.</w:t>
            </w:r>
          </w:p>
        </w:tc>
        <w:tc>
          <w:tcPr>
            <w:tcW w:type="dxa" w:w="3360"/>
            <w:vAlign w:val="center"/>
          </w:tcPr>
          <w:p>
            <w:r/>
            <w:r>
              <w:rPr>
                <w:rFonts w:ascii="Aptos" w:hAnsi="Aptos"/>
                <w:b w:val="0"/>
                <w:sz w:val="16"/>
              </w:rPr>
              <w:t>Do not classify SQLite contention as transmission failure.</w:t>
            </w:r>
          </w:p>
        </w:tc>
      </w:tr>
      <w:tr>
        <w:tc>
          <w:tcPr>
            <w:tcW w:type="dxa" w:w="3360"/>
            <w:vAlign w:val="center"/>
          </w:tcPr>
          <w:p>
            <w:r/>
            <w:r>
              <w:rPr>
                <w:rFonts w:ascii="Aptos" w:hAnsi="Aptos"/>
                <w:b w:val="0"/>
                <w:sz w:val="16"/>
              </w:rPr>
              <w:t>Expected service present but ES-N/A</w:t>
            </w:r>
          </w:p>
        </w:tc>
        <w:tc>
          <w:tcPr>
            <w:tcW w:type="dxa" w:w="3360"/>
            <w:vAlign w:val="center"/>
          </w:tcPr>
          <w:p>
            <w:r/>
            <w:r>
              <w:rPr>
                <w:rFonts w:ascii="Aptos" w:hAnsi="Aptos"/>
                <w:b w:val="0"/>
                <w:sz w:val="16"/>
              </w:rPr>
              <w:t>Treat as service-integrity metadata fault under current policy.</w:t>
            </w:r>
          </w:p>
        </w:tc>
        <w:tc>
          <w:tcPr>
            <w:tcW w:type="dxa" w:w="3360"/>
            <w:vAlign w:val="center"/>
          </w:tcPr>
          <w:p>
            <w:r/>
            <w:r>
              <w:rPr>
                <w:rFonts w:ascii="Aptos" w:hAnsi="Aptos"/>
                <w:b w:val="0"/>
                <w:sz w:val="16"/>
              </w:rPr>
              <w:t>Do not claim decoded picture is black/off-air.</w:t>
            </w:r>
          </w:p>
        </w:tc>
      </w:tr>
      <w:tr>
        <w:tc>
          <w:tcPr>
            <w:tcW w:type="dxa" w:w="3360"/>
            <w:vAlign w:val="center"/>
          </w:tcPr>
          <w:p>
            <w:r/>
            <w:r>
              <w:rPr>
                <w:rFonts w:ascii="Aptos" w:hAnsi="Aptos"/>
                <w:b w:val="0"/>
                <w:sz w:val="16"/>
              </w:rPr>
              <w:t>Unexpected SID appears</w:t>
            </w:r>
          </w:p>
        </w:tc>
        <w:tc>
          <w:tcPr>
            <w:tcW w:type="dxa" w:w="3360"/>
            <w:vAlign w:val="center"/>
          </w:tcPr>
          <w:p>
            <w:r/>
            <w:r>
              <w:rPr>
                <w:rFonts w:ascii="Aptos" w:hAnsi="Aptos"/>
                <w:b w:val="0"/>
                <w:sz w:val="16"/>
              </w:rPr>
              <w:t>Record warning/inventory drift and investigate.</w:t>
            </w:r>
          </w:p>
        </w:tc>
        <w:tc>
          <w:tcPr>
            <w:tcW w:type="dxa" w:w="3360"/>
            <w:vAlign w:val="center"/>
          </w:tcPr>
          <w:p>
            <w:r/>
            <w:r>
              <w:rPr>
                <w:rFonts w:ascii="Aptos" w:hAnsi="Aptos"/>
                <w:b w:val="0"/>
                <w:sz w:val="16"/>
              </w:rPr>
              <w:t>Do not automatically classify expected services as failed.</w:t>
            </w:r>
          </w:p>
        </w:tc>
      </w:tr>
      <w:tr>
        <w:tc>
          <w:tcPr>
            <w:tcW w:type="dxa" w:w="3360"/>
            <w:vAlign w:val="center"/>
          </w:tcPr>
          <w:p>
            <w:r/>
            <w:r>
              <w:rPr>
                <w:rFonts w:ascii="Aptos" w:hAnsi="Aptos"/>
                <w:b w:val="0"/>
                <w:sz w:val="16"/>
              </w:rPr>
              <w:t>SMTP test fails</w:t>
            </w:r>
          </w:p>
        </w:tc>
        <w:tc>
          <w:tcPr>
            <w:tcW w:type="dxa" w:w="3360"/>
            <w:vAlign w:val="center"/>
          </w:tcPr>
          <w:p>
            <w:r/>
            <w:r>
              <w:rPr>
                <w:rFonts w:ascii="Aptos" w:hAnsi="Aptos"/>
                <w:b w:val="0"/>
                <w:sz w:val="16"/>
              </w:rPr>
              <w:t>Check env vars, DNS/port/TLS/auth and recipient locally.</w:t>
            </w:r>
          </w:p>
        </w:tc>
        <w:tc>
          <w:tcPr>
            <w:tcW w:type="dxa" w:w="3360"/>
            <w:vAlign w:val="center"/>
          </w:tcPr>
          <w:p>
            <w:r/>
            <w:r>
              <w:rPr>
                <w:rFonts w:ascii="Aptos" w:hAnsi="Aptos"/>
                <w:b w:val="0"/>
                <w:sz w:val="16"/>
              </w:rPr>
              <w:t>Do not print secrets into logs/chat.</w:t>
            </w:r>
          </w:p>
        </w:tc>
      </w:tr>
      <w:tr>
        <w:tc>
          <w:tcPr>
            <w:tcW w:type="dxa" w:w="3360"/>
            <w:vAlign w:val="center"/>
          </w:tcPr>
          <w:p>
            <w:r/>
            <w:r>
              <w:rPr>
                <w:rFonts w:ascii="Aptos" w:hAnsi="Aptos"/>
                <w:b w:val="0"/>
                <w:sz w:val="16"/>
              </w:rPr>
              <w:t>Firmware/UI update breaks enrichment</w:t>
            </w:r>
          </w:p>
        </w:tc>
        <w:tc>
          <w:tcPr>
            <w:tcW w:type="dxa" w:w="3360"/>
            <w:vAlign w:val="center"/>
          </w:tcPr>
          <w:p>
            <w:r/>
            <w:r>
              <w:rPr>
                <w:rFonts w:ascii="Aptos" w:hAnsi="Aptos"/>
                <w:b w:val="0"/>
                <w:sz w:val="16"/>
              </w:rPr>
              <w:t>Re-observe structured GUI requests and compare against known fingerprints.</w:t>
            </w:r>
          </w:p>
        </w:tc>
        <w:tc>
          <w:tcPr>
            <w:tcW w:type="dxa" w:w="3360"/>
            <w:vAlign w:val="center"/>
          </w:tcPr>
          <w:p>
            <w:r/>
            <w:r>
              <w:rPr>
                <w:rFonts w:ascii="Aptos" w:hAnsi="Aptos"/>
                <w:b w:val="0"/>
                <w:sz w:val="16"/>
              </w:rPr>
              <w:t>Do not guess replacement endpoints/tags.</w:t>
            </w:r>
          </w:p>
        </w:tc>
      </w:tr>
    </w:tbl>
    <w:p/>
    <w:p>
      <w:pPr>
        <w:pStyle w:val="Heading1"/>
      </w:pPr>
      <w:r>
        <w:t>18. Production-specific reference checkpoint</w:t>
      </w:r>
    </w:p>
    <w:p>
      <w:r>
        <w:t>The following values describe the validated production fleet at V11.3L and are included so an engineer can distinguish a reproducible method from this particular deployment's inventory.</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rFonts w:ascii="Aptos" w:hAnsi="Aptos"/>
                <w:b/>
                <w:sz w:val="16"/>
              </w:rPr>
              <w:t>Metric</w:t>
            </w:r>
          </w:p>
        </w:tc>
        <w:tc>
          <w:tcPr>
            <w:tcW w:type="dxa" w:w="5040"/>
            <w:vAlign w:val="center"/>
            <w:shd w:fill="D9EAF7"/>
          </w:tcPr>
          <w:p>
            <w:r/>
            <w:r>
              <w:rPr>
                <w:rFonts w:ascii="Aptos" w:hAnsi="Aptos"/>
                <w:b/>
                <w:sz w:val="16"/>
              </w:rPr>
              <w:t>Validated production value</w:t>
            </w:r>
          </w:p>
        </w:tc>
      </w:tr>
      <w:tr>
        <w:tc>
          <w:tcPr>
            <w:tcW w:type="dxa" w:w="5040"/>
            <w:vAlign w:val="center"/>
          </w:tcPr>
          <w:p>
            <w:r/>
            <w:r>
              <w:rPr>
                <w:rFonts w:ascii="Aptos" w:hAnsi="Aptos"/>
                <w:b w:val="0"/>
                <w:sz w:val="16"/>
              </w:rPr>
              <w:t>WISI chassis</w:t>
            </w:r>
          </w:p>
        </w:tc>
        <w:tc>
          <w:tcPr>
            <w:tcW w:type="dxa" w:w="5040"/>
            <w:vAlign w:val="center"/>
          </w:tcPr>
          <w:p>
            <w:r/>
            <w:r>
              <w:rPr>
                <w:rFonts w:ascii="Aptos" w:hAnsi="Aptos"/>
                <w:b w:val="0"/>
                <w:sz w:val="16"/>
              </w:rPr>
              <w:t>4</w:t>
            </w:r>
          </w:p>
        </w:tc>
      </w:tr>
      <w:tr>
        <w:tc>
          <w:tcPr>
            <w:tcW w:type="dxa" w:w="5040"/>
            <w:vAlign w:val="center"/>
          </w:tcPr>
          <w:p>
            <w:r/>
            <w:r>
              <w:rPr>
                <w:rFonts w:ascii="Aptos" w:hAnsi="Aptos"/>
                <w:b w:val="0"/>
                <w:sz w:val="16"/>
              </w:rPr>
              <w:t>GT34 modules</w:t>
            </w:r>
          </w:p>
        </w:tc>
        <w:tc>
          <w:tcPr>
            <w:tcW w:type="dxa" w:w="5040"/>
            <w:vAlign w:val="center"/>
          </w:tcPr>
          <w:p>
            <w:r/>
            <w:r>
              <w:rPr>
                <w:rFonts w:ascii="Aptos" w:hAnsi="Aptos"/>
                <w:b w:val="0"/>
                <w:sz w:val="16"/>
              </w:rPr>
              <w:t>8 (physical slots M1 and M5 on each chassis)</w:t>
            </w:r>
          </w:p>
        </w:tc>
      </w:tr>
      <w:tr>
        <w:tc>
          <w:tcPr>
            <w:tcW w:type="dxa" w:w="5040"/>
            <w:vAlign w:val="center"/>
          </w:tcPr>
          <w:p>
            <w:r/>
            <w:r>
              <w:rPr>
                <w:rFonts w:ascii="Aptos" w:hAnsi="Aptos"/>
                <w:b w:val="0"/>
                <w:sz w:val="16"/>
              </w:rPr>
              <w:t>Authoritative logical inputs discovered</w:t>
            </w:r>
          </w:p>
        </w:tc>
        <w:tc>
          <w:tcPr>
            <w:tcW w:type="dxa" w:w="5040"/>
            <w:vAlign w:val="center"/>
          </w:tcPr>
          <w:p>
            <w:r/>
            <w:r>
              <w:rPr>
                <w:rFonts w:ascii="Aptos" w:hAnsi="Aptos"/>
                <w:b w:val="0"/>
                <w:sz w:val="16"/>
              </w:rPr>
              <w:t>74</w:t>
            </w:r>
          </w:p>
        </w:tc>
      </w:tr>
      <w:tr>
        <w:tc>
          <w:tcPr>
            <w:tcW w:type="dxa" w:w="5040"/>
            <w:vAlign w:val="center"/>
          </w:tcPr>
          <w:p>
            <w:r/>
            <w:r>
              <w:rPr>
                <w:rFonts w:ascii="Aptos" w:hAnsi="Aptos"/>
                <w:b w:val="0"/>
                <w:sz w:val="16"/>
              </w:rPr>
              <w:t>Active TV-bearing carrier/multiplex inputs</w:t>
            </w:r>
          </w:p>
        </w:tc>
        <w:tc>
          <w:tcPr>
            <w:tcW w:type="dxa" w:w="5040"/>
            <w:vAlign w:val="center"/>
          </w:tcPr>
          <w:p>
            <w:r/>
            <w:r>
              <w:rPr>
                <w:rFonts w:ascii="Aptos" w:hAnsi="Aptos"/>
                <w:b w:val="0"/>
                <w:sz w:val="16"/>
              </w:rPr>
              <w:t>43</w:t>
            </w:r>
          </w:p>
        </w:tc>
      </w:tr>
      <w:tr>
        <w:tc>
          <w:tcPr>
            <w:tcW w:type="dxa" w:w="5040"/>
            <w:vAlign w:val="center"/>
          </w:tcPr>
          <w:p>
            <w:r/>
            <w:r>
              <w:rPr>
                <w:rFonts w:ascii="Aptos" w:hAnsi="Aptos"/>
                <w:b w:val="0"/>
                <w:sz w:val="16"/>
              </w:rPr>
              <w:t>DVB service instances in authoritative V6</w:t>
            </w:r>
          </w:p>
        </w:tc>
        <w:tc>
          <w:tcPr>
            <w:tcW w:type="dxa" w:w="5040"/>
            <w:vAlign w:val="center"/>
          </w:tcPr>
          <w:p>
            <w:r/>
            <w:r>
              <w:rPr>
                <w:rFonts w:ascii="Aptos" w:hAnsi="Aptos"/>
                <w:b w:val="0"/>
                <w:sz w:val="16"/>
              </w:rPr>
              <w:t>168</w:t>
            </w:r>
          </w:p>
        </w:tc>
      </w:tr>
      <w:tr>
        <w:tc>
          <w:tcPr>
            <w:tcW w:type="dxa" w:w="5040"/>
            <w:vAlign w:val="center"/>
          </w:tcPr>
          <w:p>
            <w:r/>
            <w:r>
              <w:rPr>
                <w:rFonts w:ascii="Aptos" w:hAnsi="Aptos"/>
                <w:b w:val="0"/>
                <w:sz w:val="16"/>
              </w:rPr>
              <w:t>Final PRTG carrier sensors</w:t>
            </w:r>
          </w:p>
        </w:tc>
        <w:tc>
          <w:tcPr>
            <w:tcW w:type="dxa" w:w="5040"/>
            <w:vAlign w:val="center"/>
          </w:tcPr>
          <w:p>
            <w:r/>
            <w:r>
              <w:rPr>
                <w:rFonts w:ascii="Aptos" w:hAnsi="Aptos"/>
                <w:b w:val="0"/>
                <w:sz w:val="16"/>
              </w:rPr>
              <w:t>43</w:t>
            </w:r>
          </w:p>
        </w:tc>
      </w:tr>
      <w:tr>
        <w:tc>
          <w:tcPr>
            <w:tcW w:type="dxa" w:w="5040"/>
            <w:vAlign w:val="center"/>
          </w:tcPr>
          <w:p>
            <w:r/>
            <w:r>
              <w:rPr>
                <w:rFonts w:ascii="Aptos" w:hAnsi="Aptos"/>
                <w:b w:val="0"/>
                <w:sz w:val="16"/>
              </w:rPr>
              <w:t>PRTG returned-channel ceiling</w:t>
            </w:r>
          </w:p>
        </w:tc>
        <w:tc>
          <w:tcPr>
            <w:tcW w:type="dxa" w:w="5040"/>
            <w:vAlign w:val="center"/>
          </w:tcPr>
          <w:p>
            <w:r/>
            <w:r>
              <w:rPr>
                <w:rFonts w:ascii="Aptos" w:hAnsi="Aptos"/>
                <w:b w:val="0"/>
                <w:sz w:val="16"/>
              </w:rPr>
              <w:t>44 per sensor</w:t>
            </w:r>
          </w:p>
        </w:tc>
      </w:tr>
      <w:tr>
        <w:tc>
          <w:tcPr>
            <w:tcW w:type="dxa" w:w="5040"/>
            <w:vAlign w:val="center"/>
          </w:tcPr>
          <w:p>
            <w:r/>
            <w:r>
              <w:rPr>
                <w:rFonts w:ascii="Aptos" w:hAnsi="Aptos"/>
                <w:b w:val="0"/>
                <w:sz w:val="16"/>
              </w:rPr>
              <w:t>PRTG scan interval</w:t>
            </w:r>
          </w:p>
        </w:tc>
        <w:tc>
          <w:tcPr>
            <w:tcW w:type="dxa" w:w="5040"/>
            <w:vAlign w:val="center"/>
          </w:tcPr>
          <w:p>
            <w:r/>
            <w:r>
              <w:rPr>
                <w:rFonts w:ascii="Aptos" w:hAnsi="Aptos"/>
                <w:b w:val="0"/>
                <w:sz w:val="16"/>
              </w:rPr>
              <w:t>30 seconds</w:t>
            </w:r>
          </w:p>
        </w:tc>
      </w:tr>
      <w:tr>
        <w:tc>
          <w:tcPr>
            <w:tcW w:type="dxa" w:w="5040"/>
            <w:vAlign w:val="center"/>
          </w:tcPr>
          <w:p>
            <w:r/>
            <w:r>
              <w:rPr>
                <w:rFonts w:ascii="Aptos" w:hAnsi="Aptos"/>
                <w:b w:val="0"/>
                <w:sz w:val="16"/>
              </w:rPr>
              <w:t>TV43 SQLite retention</w:t>
            </w:r>
          </w:p>
        </w:tc>
        <w:tc>
          <w:tcPr>
            <w:tcW w:type="dxa" w:w="5040"/>
            <w:vAlign w:val="center"/>
          </w:tcPr>
          <w:p>
            <w:r/>
            <w:r>
              <w:rPr>
                <w:rFonts w:ascii="Aptos" w:hAnsi="Aptos"/>
                <w:b w:val="0"/>
                <w:sz w:val="16"/>
              </w:rPr>
              <w:t>15 days</w:t>
            </w:r>
          </w:p>
        </w:tc>
      </w:tr>
      <w:tr>
        <w:tc>
          <w:tcPr>
            <w:tcW w:type="dxa" w:w="5040"/>
            <w:vAlign w:val="center"/>
          </w:tcPr>
          <w:p>
            <w:r/>
            <w:r>
              <w:rPr>
                <w:rFonts w:ascii="Aptos" w:hAnsi="Aptos"/>
                <w:b w:val="0"/>
                <w:sz w:val="16"/>
              </w:rPr>
              <w:t>Alarm-policy evaluation interval</w:t>
            </w:r>
          </w:p>
        </w:tc>
        <w:tc>
          <w:tcPr>
            <w:tcW w:type="dxa" w:w="5040"/>
            <w:vAlign w:val="center"/>
          </w:tcPr>
          <w:p>
            <w:r/>
            <w:r>
              <w:rPr>
                <w:rFonts w:ascii="Aptos" w:hAnsi="Aptos"/>
                <w:b w:val="0"/>
                <w:sz w:val="16"/>
              </w:rPr>
              <w:t>5 seconds</w:t>
            </w:r>
          </w:p>
        </w:tc>
      </w:tr>
    </w:tbl>
    <w:p/>
    <w:p>
      <w:r>
        <w:t>Current production labels were WISI-IRD-01 through WISI-IRD-04. The production sensor IDs and IP addresses are installation-specific and must not be assumed on a fresh PRTG server.</w:t>
      </w:r>
    </w:p>
    <w:p>
      <w:pPr>
        <w:pStyle w:val="Heading1"/>
      </w:pPr>
      <w:r>
        <w:t>19. Parameter evidence worksheet for a new IRD</w:t>
      </w:r>
    </w:p>
    <w:p>
      <w:r>
        <w:t>Complete one row per parameter before declaring it production-supported.</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584"/>
            <w:vAlign w:val="center"/>
            <w:shd w:fill="D9EAF7"/>
          </w:tcPr>
          <w:p>
            <w:r/>
            <w:r>
              <w:rPr>
                <w:rFonts w:ascii="Aptos" w:hAnsi="Aptos"/>
                <w:b/>
                <w:sz w:val="16"/>
              </w:rPr>
              <w:t>Parameter</w:t>
            </w:r>
          </w:p>
        </w:tc>
        <w:tc>
          <w:tcPr>
            <w:tcW w:type="dxa" w:w="1440"/>
            <w:vAlign w:val="center"/>
            <w:shd w:fill="D9EAF7"/>
          </w:tcPr>
          <w:p>
            <w:r/>
            <w:r>
              <w:rPr>
                <w:rFonts w:ascii="Aptos" w:hAnsi="Aptos"/>
                <w:b/>
                <w:sz w:val="16"/>
              </w:rPr>
              <w:t>Observed source</w:t>
            </w:r>
          </w:p>
        </w:tc>
        <w:tc>
          <w:tcPr>
            <w:tcW w:type="dxa" w:w="2880"/>
            <w:vAlign w:val="center"/>
            <w:shd w:fill="D9EAF7"/>
          </w:tcPr>
          <w:p>
            <w:r/>
            <w:r>
              <w:rPr>
                <w:rFonts w:ascii="Aptos" w:hAnsi="Aptos"/>
                <w:b/>
                <w:sz w:val="16"/>
              </w:rPr>
              <w:t>Raw field/OID/resource evidence</w:t>
            </w:r>
          </w:p>
        </w:tc>
        <w:tc>
          <w:tcPr>
            <w:tcW w:type="dxa" w:w="1440"/>
            <w:vAlign w:val="center"/>
            <w:shd w:fill="D9EAF7"/>
          </w:tcPr>
          <w:p>
            <w:r/>
            <w:r>
              <w:rPr>
                <w:rFonts w:ascii="Aptos" w:hAnsi="Aptos"/>
                <w:b/>
                <w:sz w:val="16"/>
              </w:rPr>
              <w:t>Unit/scaling proven?</w:t>
            </w:r>
          </w:p>
        </w:tc>
        <w:tc>
          <w:tcPr>
            <w:tcW w:type="dxa" w:w="1440"/>
            <w:vAlign w:val="center"/>
            <w:shd w:fill="D9EAF7"/>
          </w:tcPr>
          <w:p>
            <w:r/>
            <w:r>
              <w:rPr>
                <w:rFonts w:ascii="Aptos" w:hAnsi="Aptos"/>
                <w:b/>
                <w:sz w:val="16"/>
              </w:rPr>
              <w:t>Logical mapping proven?</w:t>
            </w:r>
          </w:p>
        </w:tc>
        <w:tc>
          <w:tcPr>
            <w:tcW w:type="dxa" w:w="1872"/>
            <w:vAlign w:val="center"/>
            <w:shd w:fill="D9EAF7"/>
          </w:tcPr>
          <w:p>
            <w:r/>
            <w:r>
              <w:rPr>
                <w:rFonts w:ascii="Aptos" w:hAnsi="Aptos"/>
                <w:b/>
                <w:sz w:val="16"/>
              </w:rPr>
              <w:t>PRTG/Status/DB decision</w:t>
            </w:r>
          </w:p>
        </w:tc>
      </w:tr>
      <w:tr>
        <w:tc>
          <w:tcPr>
            <w:tcW w:type="dxa" w:w="1584"/>
            <w:vAlign w:val="center"/>
          </w:tcPr>
          <w:p>
            <w:r/>
            <w:r>
              <w:rPr>
                <w:rFonts w:ascii="Aptos" w:hAnsi="Aptos"/>
                <w:b w:val="0"/>
                <w:sz w:val="16"/>
              </w:rPr>
              <w:t>Demod lock</w:t>
            </w:r>
          </w:p>
        </w:tc>
        <w:tc>
          <w:tcPr>
            <w:tcW w:type="dxa" w:w="1440"/>
            <w:vAlign w:val="center"/>
          </w:tcPr>
          <w:p>
            <w:r/>
            <w:r>
              <w:rPr>
                <w:rFonts w:ascii="Aptos" w:hAnsi="Aptos"/>
                <w:b w:val="0"/>
                <w:sz w:val="16"/>
              </w:rPr>
            </w:r>
          </w:p>
        </w:tc>
        <w:tc>
          <w:tcPr>
            <w:tcW w:type="dxa" w:w="2880"/>
            <w:vAlign w:val="center"/>
          </w:tcPr>
          <w:p>
            <w:r/>
            <w:r>
              <w:rPr>
                <w:rFonts w:ascii="Aptos" w:hAnsi="Aptos"/>
                <w:b w:val="0"/>
                <w:sz w:val="16"/>
              </w:rPr>
            </w:r>
          </w:p>
        </w:tc>
        <w:tc>
          <w:tcPr>
            <w:tcW w:type="dxa" w:w="1440"/>
            <w:vAlign w:val="center"/>
          </w:tcPr>
          <w:p>
            <w:r/>
            <w:r>
              <w:rPr>
                <w:rFonts w:ascii="Aptos" w:hAnsi="Aptos"/>
                <w:b w:val="0"/>
                <w:sz w:val="16"/>
              </w:rPr>
            </w:r>
          </w:p>
        </w:tc>
        <w:tc>
          <w:tcPr>
            <w:tcW w:type="dxa" w:w="1440"/>
            <w:vAlign w:val="center"/>
          </w:tcPr>
          <w:p>
            <w:r/>
            <w:r>
              <w:rPr>
                <w:rFonts w:ascii="Aptos" w:hAnsi="Aptos"/>
                <w:b w:val="0"/>
                <w:sz w:val="16"/>
              </w:rPr>
            </w:r>
          </w:p>
        </w:tc>
        <w:tc>
          <w:tcPr>
            <w:tcW w:type="dxa" w:w="1872"/>
            <w:vAlign w:val="center"/>
          </w:tcPr>
          <w:p>
            <w:r/>
            <w:r>
              <w:rPr>
                <w:rFonts w:ascii="Aptos" w:hAnsi="Aptos"/>
                <w:b w:val="0"/>
                <w:sz w:val="16"/>
              </w:rPr>
            </w:r>
          </w:p>
        </w:tc>
      </w:tr>
      <w:tr>
        <w:tc>
          <w:tcPr>
            <w:tcW w:type="dxa" w:w="1584"/>
            <w:vAlign w:val="center"/>
          </w:tcPr>
          <w:p>
            <w:r/>
            <w:r>
              <w:rPr>
                <w:rFonts w:ascii="Aptos" w:hAnsi="Aptos"/>
                <w:b w:val="0"/>
                <w:sz w:val="16"/>
              </w:rPr>
              <w:t>RF level</w:t>
            </w:r>
          </w:p>
        </w:tc>
        <w:tc>
          <w:tcPr>
            <w:tcW w:type="dxa" w:w="1440"/>
            <w:vAlign w:val="center"/>
          </w:tcPr>
          <w:p>
            <w:r/>
            <w:r>
              <w:rPr>
                <w:rFonts w:ascii="Aptos" w:hAnsi="Aptos"/>
                <w:b w:val="0"/>
                <w:sz w:val="16"/>
              </w:rPr>
            </w:r>
          </w:p>
        </w:tc>
        <w:tc>
          <w:tcPr>
            <w:tcW w:type="dxa" w:w="2880"/>
            <w:vAlign w:val="center"/>
          </w:tcPr>
          <w:p>
            <w:r/>
            <w:r>
              <w:rPr>
                <w:rFonts w:ascii="Aptos" w:hAnsi="Aptos"/>
                <w:b w:val="0"/>
                <w:sz w:val="16"/>
              </w:rPr>
            </w:r>
          </w:p>
        </w:tc>
        <w:tc>
          <w:tcPr>
            <w:tcW w:type="dxa" w:w="1440"/>
            <w:vAlign w:val="center"/>
          </w:tcPr>
          <w:p>
            <w:r/>
            <w:r>
              <w:rPr>
                <w:rFonts w:ascii="Aptos" w:hAnsi="Aptos"/>
                <w:b w:val="0"/>
                <w:sz w:val="16"/>
              </w:rPr>
            </w:r>
          </w:p>
        </w:tc>
        <w:tc>
          <w:tcPr>
            <w:tcW w:type="dxa" w:w="1440"/>
            <w:vAlign w:val="center"/>
          </w:tcPr>
          <w:p>
            <w:r/>
            <w:r>
              <w:rPr>
                <w:rFonts w:ascii="Aptos" w:hAnsi="Aptos"/>
                <w:b w:val="0"/>
                <w:sz w:val="16"/>
              </w:rPr>
            </w:r>
          </w:p>
        </w:tc>
        <w:tc>
          <w:tcPr>
            <w:tcW w:type="dxa" w:w="1872"/>
            <w:vAlign w:val="center"/>
          </w:tcPr>
          <w:p>
            <w:r/>
            <w:r>
              <w:rPr>
                <w:rFonts w:ascii="Aptos" w:hAnsi="Aptos"/>
                <w:b w:val="0"/>
                <w:sz w:val="16"/>
              </w:rPr>
            </w:r>
          </w:p>
        </w:tc>
      </w:tr>
      <w:tr>
        <w:tc>
          <w:tcPr>
            <w:tcW w:type="dxa" w:w="1584"/>
            <w:vAlign w:val="center"/>
          </w:tcPr>
          <w:p>
            <w:r/>
            <w:r>
              <w:rPr>
                <w:rFonts w:ascii="Aptos" w:hAnsi="Aptos"/>
                <w:b w:val="0"/>
                <w:sz w:val="16"/>
              </w:rPr>
              <w:t>SNR/CN</w:t>
            </w:r>
          </w:p>
        </w:tc>
        <w:tc>
          <w:tcPr>
            <w:tcW w:type="dxa" w:w="1440"/>
            <w:vAlign w:val="center"/>
          </w:tcPr>
          <w:p>
            <w:r/>
            <w:r>
              <w:rPr>
                <w:rFonts w:ascii="Aptos" w:hAnsi="Aptos"/>
                <w:b w:val="0"/>
                <w:sz w:val="16"/>
              </w:rPr>
            </w:r>
          </w:p>
        </w:tc>
        <w:tc>
          <w:tcPr>
            <w:tcW w:type="dxa" w:w="2880"/>
            <w:vAlign w:val="center"/>
          </w:tcPr>
          <w:p>
            <w:r/>
            <w:r>
              <w:rPr>
                <w:rFonts w:ascii="Aptos" w:hAnsi="Aptos"/>
                <w:b w:val="0"/>
                <w:sz w:val="16"/>
              </w:rPr>
            </w:r>
          </w:p>
        </w:tc>
        <w:tc>
          <w:tcPr>
            <w:tcW w:type="dxa" w:w="1440"/>
            <w:vAlign w:val="center"/>
          </w:tcPr>
          <w:p>
            <w:r/>
            <w:r>
              <w:rPr>
                <w:rFonts w:ascii="Aptos" w:hAnsi="Aptos"/>
                <w:b w:val="0"/>
                <w:sz w:val="16"/>
              </w:rPr>
            </w:r>
          </w:p>
        </w:tc>
        <w:tc>
          <w:tcPr>
            <w:tcW w:type="dxa" w:w="1440"/>
            <w:vAlign w:val="center"/>
          </w:tcPr>
          <w:p>
            <w:r/>
            <w:r>
              <w:rPr>
                <w:rFonts w:ascii="Aptos" w:hAnsi="Aptos"/>
                <w:b w:val="0"/>
                <w:sz w:val="16"/>
              </w:rPr>
            </w:r>
          </w:p>
        </w:tc>
        <w:tc>
          <w:tcPr>
            <w:tcW w:type="dxa" w:w="1872"/>
            <w:vAlign w:val="center"/>
          </w:tcPr>
          <w:p>
            <w:r/>
            <w:r>
              <w:rPr>
                <w:rFonts w:ascii="Aptos" w:hAnsi="Aptos"/>
                <w:b w:val="0"/>
                <w:sz w:val="16"/>
              </w:rPr>
            </w:r>
          </w:p>
        </w:tc>
      </w:tr>
      <w:tr>
        <w:tc>
          <w:tcPr>
            <w:tcW w:type="dxa" w:w="1584"/>
            <w:vAlign w:val="center"/>
          </w:tcPr>
          <w:p>
            <w:r/>
            <w:r>
              <w:rPr>
                <w:rFonts w:ascii="Aptos" w:hAnsi="Aptos"/>
                <w:b w:val="0"/>
                <w:sz w:val="16"/>
              </w:rPr>
              <w:t>BER</w:t>
            </w:r>
          </w:p>
        </w:tc>
        <w:tc>
          <w:tcPr>
            <w:tcW w:type="dxa" w:w="1440"/>
            <w:vAlign w:val="center"/>
          </w:tcPr>
          <w:p>
            <w:r/>
            <w:r>
              <w:rPr>
                <w:rFonts w:ascii="Aptos" w:hAnsi="Aptos"/>
                <w:b w:val="0"/>
                <w:sz w:val="16"/>
              </w:rPr>
            </w:r>
          </w:p>
        </w:tc>
        <w:tc>
          <w:tcPr>
            <w:tcW w:type="dxa" w:w="2880"/>
            <w:vAlign w:val="center"/>
          </w:tcPr>
          <w:p>
            <w:r/>
            <w:r>
              <w:rPr>
                <w:rFonts w:ascii="Aptos" w:hAnsi="Aptos"/>
                <w:b w:val="0"/>
                <w:sz w:val="16"/>
              </w:rPr>
            </w:r>
          </w:p>
        </w:tc>
        <w:tc>
          <w:tcPr>
            <w:tcW w:type="dxa" w:w="1440"/>
            <w:vAlign w:val="center"/>
          </w:tcPr>
          <w:p>
            <w:r/>
            <w:r>
              <w:rPr>
                <w:rFonts w:ascii="Aptos" w:hAnsi="Aptos"/>
                <w:b w:val="0"/>
                <w:sz w:val="16"/>
              </w:rPr>
            </w:r>
          </w:p>
        </w:tc>
        <w:tc>
          <w:tcPr>
            <w:tcW w:type="dxa" w:w="1440"/>
            <w:vAlign w:val="center"/>
          </w:tcPr>
          <w:p>
            <w:r/>
            <w:r>
              <w:rPr>
                <w:rFonts w:ascii="Aptos" w:hAnsi="Aptos"/>
                <w:b w:val="0"/>
                <w:sz w:val="16"/>
              </w:rPr>
            </w:r>
          </w:p>
        </w:tc>
        <w:tc>
          <w:tcPr>
            <w:tcW w:type="dxa" w:w="1872"/>
            <w:vAlign w:val="center"/>
          </w:tcPr>
          <w:p>
            <w:r/>
            <w:r>
              <w:rPr>
                <w:rFonts w:ascii="Aptos" w:hAnsi="Aptos"/>
                <w:b w:val="0"/>
                <w:sz w:val="16"/>
              </w:rPr>
            </w:r>
          </w:p>
        </w:tc>
      </w:tr>
      <w:tr>
        <w:tc>
          <w:tcPr>
            <w:tcW w:type="dxa" w:w="1584"/>
            <w:vAlign w:val="center"/>
          </w:tcPr>
          <w:p>
            <w:r/>
            <w:r>
              <w:rPr>
                <w:rFonts w:ascii="Aptos" w:hAnsi="Aptos"/>
                <w:b w:val="0"/>
                <w:sz w:val="16"/>
              </w:rPr>
              <w:t>Frequency</w:t>
            </w:r>
          </w:p>
        </w:tc>
        <w:tc>
          <w:tcPr>
            <w:tcW w:type="dxa" w:w="1440"/>
            <w:vAlign w:val="center"/>
          </w:tcPr>
          <w:p>
            <w:r/>
            <w:r>
              <w:rPr>
                <w:rFonts w:ascii="Aptos" w:hAnsi="Aptos"/>
                <w:b w:val="0"/>
                <w:sz w:val="16"/>
              </w:rPr>
            </w:r>
          </w:p>
        </w:tc>
        <w:tc>
          <w:tcPr>
            <w:tcW w:type="dxa" w:w="2880"/>
            <w:vAlign w:val="center"/>
          </w:tcPr>
          <w:p>
            <w:r/>
            <w:r>
              <w:rPr>
                <w:rFonts w:ascii="Aptos" w:hAnsi="Aptos"/>
                <w:b w:val="0"/>
                <w:sz w:val="16"/>
              </w:rPr>
            </w:r>
          </w:p>
        </w:tc>
        <w:tc>
          <w:tcPr>
            <w:tcW w:type="dxa" w:w="1440"/>
            <w:vAlign w:val="center"/>
          </w:tcPr>
          <w:p>
            <w:r/>
            <w:r>
              <w:rPr>
                <w:rFonts w:ascii="Aptos" w:hAnsi="Aptos"/>
                <w:b w:val="0"/>
                <w:sz w:val="16"/>
              </w:rPr>
            </w:r>
          </w:p>
        </w:tc>
        <w:tc>
          <w:tcPr>
            <w:tcW w:type="dxa" w:w="1440"/>
            <w:vAlign w:val="center"/>
          </w:tcPr>
          <w:p>
            <w:r/>
            <w:r>
              <w:rPr>
                <w:rFonts w:ascii="Aptos" w:hAnsi="Aptos"/>
                <w:b w:val="0"/>
                <w:sz w:val="16"/>
              </w:rPr>
            </w:r>
          </w:p>
        </w:tc>
        <w:tc>
          <w:tcPr>
            <w:tcW w:type="dxa" w:w="1872"/>
            <w:vAlign w:val="center"/>
          </w:tcPr>
          <w:p>
            <w:r/>
            <w:r>
              <w:rPr>
                <w:rFonts w:ascii="Aptos" w:hAnsi="Aptos"/>
                <w:b w:val="0"/>
                <w:sz w:val="16"/>
              </w:rPr>
            </w:r>
          </w:p>
        </w:tc>
      </w:tr>
      <w:tr>
        <w:tc>
          <w:tcPr>
            <w:tcW w:type="dxa" w:w="1584"/>
            <w:vAlign w:val="center"/>
          </w:tcPr>
          <w:p>
            <w:r/>
            <w:r>
              <w:rPr>
                <w:rFonts w:ascii="Aptos" w:hAnsi="Aptos"/>
                <w:b w:val="0"/>
                <w:sz w:val="16"/>
              </w:rPr>
              <w:t>Symbol rate</w:t>
            </w:r>
          </w:p>
        </w:tc>
        <w:tc>
          <w:tcPr>
            <w:tcW w:type="dxa" w:w="1440"/>
            <w:vAlign w:val="center"/>
          </w:tcPr>
          <w:p>
            <w:r/>
            <w:r>
              <w:rPr>
                <w:rFonts w:ascii="Aptos" w:hAnsi="Aptos"/>
                <w:b w:val="0"/>
                <w:sz w:val="16"/>
              </w:rPr>
            </w:r>
          </w:p>
        </w:tc>
        <w:tc>
          <w:tcPr>
            <w:tcW w:type="dxa" w:w="2880"/>
            <w:vAlign w:val="center"/>
          </w:tcPr>
          <w:p>
            <w:r/>
            <w:r>
              <w:rPr>
                <w:rFonts w:ascii="Aptos" w:hAnsi="Aptos"/>
                <w:b w:val="0"/>
                <w:sz w:val="16"/>
              </w:rPr>
            </w:r>
          </w:p>
        </w:tc>
        <w:tc>
          <w:tcPr>
            <w:tcW w:type="dxa" w:w="1440"/>
            <w:vAlign w:val="center"/>
          </w:tcPr>
          <w:p>
            <w:r/>
            <w:r>
              <w:rPr>
                <w:rFonts w:ascii="Aptos" w:hAnsi="Aptos"/>
                <w:b w:val="0"/>
                <w:sz w:val="16"/>
              </w:rPr>
            </w:r>
          </w:p>
        </w:tc>
        <w:tc>
          <w:tcPr>
            <w:tcW w:type="dxa" w:w="1440"/>
            <w:vAlign w:val="center"/>
          </w:tcPr>
          <w:p>
            <w:r/>
            <w:r>
              <w:rPr>
                <w:rFonts w:ascii="Aptos" w:hAnsi="Aptos"/>
                <w:b w:val="0"/>
                <w:sz w:val="16"/>
              </w:rPr>
            </w:r>
          </w:p>
        </w:tc>
        <w:tc>
          <w:tcPr>
            <w:tcW w:type="dxa" w:w="1872"/>
            <w:vAlign w:val="center"/>
          </w:tcPr>
          <w:p>
            <w:r/>
            <w:r>
              <w:rPr>
                <w:rFonts w:ascii="Aptos" w:hAnsi="Aptos"/>
                <w:b w:val="0"/>
                <w:sz w:val="16"/>
              </w:rPr>
            </w:r>
          </w:p>
        </w:tc>
      </w:tr>
      <w:tr>
        <w:tc>
          <w:tcPr>
            <w:tcW w:type="dxa" w:w="1584"/>
            <w:vAlign w:val="center"/>
          </w:tcPr>
          <w:p>
            <w:r/>
            <w:r>
              <w:rPr>
                <w:rFonts w:ascii="Aptos" w:hAnsi="Aptos"/>
                <w:b w:val="0"/>
                <w:sz w:val="16"/>
              </w:rPr>
              <w:t>Modulation/FEC</w:t>
            </w:r>
          </w:p>
        </w:tc>
        <w:tc>
          <w:tcPr>
            <w:tcW w:type="dxa" w:w="1440"/>
            <w:vAlign w:val="center"/>
          </w:tcPr>
          <w:p>
            <w:r/>
            <w:r>
              <w:rPr>
                <w:rFonts w:ascii="Aptos" w:hAnsi="Aptos"/>
                <w:b w:val="0"/>
                <w:sz w:val="16"/>
              </w:rPr>
            </w:r>
          </w:p>
        </w:tc>
        <w:tc>
          <w:tcPr>
            <w:tcW w:type="dxa" w:w="2880"/>
            <w:vAlign w:val="center"/>
          </w:tcPr>
          <w:p>
            <w:r/>
            <w:r>
              <w:rPr>
                <w:rFonts w:ascii="Aptos" w:hAnsi="Aptos"/>
                <w:b w:val="0"/>
                <w:sz w:val="16"/>
              </w:rPr>
            </w:r>
          </w:p>
        </w:tc>
        <w:tc>
          <w:tcPr>
            <w:tcW w:type="dxa" w:w="1440"/>
            <w:vAlign w:val="center"/>
          </w:tcPr>
          <w:p>
            <w:r/>
            <w:r>
              <w:rPr>
                <w:rFonts w:ascii="Aptos" w:hAnsi="Aptos"/>
                <w:b w:val="0"/>
                <w:sz w:val="16"/>
              </w:rPr>
            </w:r>
          </w:p>
        </w:tc>
        <w:tc>
          <w:tcPr>
            <w:tcW w:type="dxa" w:w="1440"/>
            <w:vAlign w:val="center"/>
          </w:tcPr>
          <w:p>
            <w:r/>
            <w:r>
              <w:rPr>
                <w:rFonts w:ascii="Aptos" w:hAnsi="Aptos"/>
                <w:b w:val="0"/>
                <w:sz w:val="16"/>
              </w:rPr>
            </w:r>
          </w:p>
        </w:tc>
        <w:tc>
          <w:tcPr>
            <w:tcW w:type="dxa" w:w="1872"/>
            <w:vAlign w:val="center"/>
          </w:tcPr>
          <w:p>
            <w:r/>
            <w:r>
              <w:rPr>
                <w:rFonts w:ascii="Aptos" w:hAnsi="Aptos"/>
                <w:b w:val="0"/>
                <w:sz w:val="16"/>
              </w:rPr>
            </w:r>
          </w:p>
        </w:tc>
      </w:tr>
      <w:tr>
        <w:tc>
          <w:tcPr>
            <w:tcW w:type="dxa" w:w="1584"/>
            <w:vAlign w:val="center"/>
          </w:tcPr>
          <w:p>
            <w:r/>
            <w:r>
              <w:rPr>
                <w:rFonts w:ascii="Aptos" w:hAnsi="Aptos"/>
                <w:b w:val="0"/>
                <w:sz w:val="16"/>
              </w:rPr>
              <w:t>ISI/MIS/PLS</w:t>
            </w:r>
          </w:p>
        </w:tc>
        <w:tc>
          <w:tcPr>
            <w:tcW w:type="dxa" w:w="1440"/>
            <w:vAlign w:val="center"/>
          </w:tcPr>
          <w:p>
            <w:r/>
            <w:r>
              <w:rPr>
                <w:rFonts w:ascii="Aptos" w:hAnsi="Aptos"/>
                <w:b w:val="0"/>
                <w:sz w:val="16"/>
              </w:rPr>
            </w:r>
          </w:p>
        </w:tc>
        <w:tc>
          <w:tcPr>
            <w:tcW w:type="dxa" w:w="2880"/>
            <w:vAlign w:val="center"/>
          </w:tcPr>
          <w:p>
            <w:r/>
            <w:r>
              <w:rPr>
                <w:rFonts w:ascii="Aptos" w:hAnsi="Aptos"/>
                <w:b w:val="0"/>
                <w:sz w:val="16"/>
              </w:rPr>
            </w:r>
          </w:p>
        </w:tc>
        <w:tc>
          <w:tcPr>
            <w:tcW w:type="dxa" w:w="1440"/>
            <w:vAlign w:val="center"/>
          </w:tcPr>
          <w:p>
            <w:r/>
            <w:r>
              <w:rPr>
                <w:rFonts w:ascii="Aptos" w:hAnsi="Aptos"/>
                <w:b w:val="0"/>
                <w:sz w:val="16"/>
              </w:rPr>
            </w:r>
          </w:p>
        </w:tc>
        <w:tc>
          <w:tcPr>
            <w:tcW w:type="dxa" w:w="1440"/>
            <w:vAlign w:val="center"/>
          </w:tcPr>
          <w:p>
            <w:r/>
            <w:r>
              <w:rPr>
                <w:rFonts w:ascii="Aptos" w:hAnsi="Aptos"/>
                <w:b w:val="0"/>
                <w:sz w:val="16"/>
              </w:rPr>
            </w:r>
          </w:p>
        </w:tc>
        <w:tc>
          <w:tcPr>
            <w:tcW w:type="dxa" w:w="1872"/>
            <w:vAlign w:val="center"/>
          </w:tcPr>
          <w:p>
            <w:r/>
            <w:r>
              <w:rPr>
                <w:rFonts w:ascii="Aptos" w:hAnsi="Aptos"/>
                <w:b w:val="0"/>
                <w:sz w:val="16"/>
              </w:rPr>
            </w:r>
          </w:p>
        </w:tc>
      </w:tr>
      <w:tr>
        <w:tc>
          <w:tcPr>
            <w:tcW w:type="dxa" w:w="1584"/>
            <w:vAlign w:val="center"/>
          </w:tcPr>
          <w:p>
            <w:r/>
            <w:r>
              <w:rPr>
                <w:rFonts w:ascii="Aptos" w:hAnsi="Aptos"/>
                <w:b w:val="0"/>
                <w:sz w:val="16"/>
              </w:rPr>
              <w:t>TS presence/bitrate</w:t>
            </w:r>
          </w:p>
        </w:tc>
        <w:tc>
          <w:tcPr>
            <w:tcW w:type="dxa" w:w="1440"/>
            <w:vAlign w:val="center"/>
          </w:tcPr>
          <w:p>
            <w:r/>
            <w:r>
              <w:rPr>
                <w:rFonts w:ascii="Aptos" w:hAnsi="Aptos"/>
                <w:b w:val="0"/>
                <w:sz w:val="16"/>
              </w:rPr>
            </w:r>
          </w:p>
        </w:tc>
        <w:tc>
          <w:tcPr>
            <w:tcW w:type="dxa" w:w="2880"/>
            <w:vAlign w:val="center"/>
          </w:tcPr>
          <w:p>
            <w:r/>
            <w:r>
              <w:rPr>
                <w:rFonts w:ascii="Aptos" w:hAnsi="Aptos"/>
                <w:b w:val="0"/>
                <w:sz w:val="16"/>
              </w:rPr>
            </w:r>
          </w:p>
        </w:tc>
        <w:tc>
          <w:tcPr>
            <w:tcW w:type="dxa" w:w="1440"/>
            <w:vAlign w:val="center"/>
          </w:tcPr>
          <w:p>
            <w:r/>
            <w:r>
              <w:rPr>
                <w:rFonts w:ascii="Aptos" w:hAnsi="Aptos"/>
                <w:b w:val="0"/>
                <w:sz w:val="16"/>
              </w:rPr>
            </w:r>
          </w:p>
        </w:tc>
        <w:tc>
          <w:tcPr>
            <w:tcW w:type="dxa" w:w="1440"/>
            <w:vAlign w:val="center"/>
          </w:tcPr>
          <w:p>
            <w:r/>
            <w:r>
              <w:rPr>
                <w:rFonts w:ascii="Aptos" w:hAnsi="Aptos"/>
                <w:b w:val="0"/>
                <w:sz w:val="16"/>
              </w:rPr>
            </w:r>
          </w:p>
        </w:tc>
        <w:tc>
          <w:tcPr>
            <w:tcW w:type="dxa" w:w="1872"/>
            <w:vAlign w:val="center"/>
          </w:tcPr>
          <w:p>
            <w:r/>
            <w:r>
              <w:rPr>
                <w:rFonts w:ascii="Aptos" w:hAnsi="Aptos"/>
                <w:b w:val="0"/>
                <w:sz w:val="16"/>
              </w:rPr>
            </w:r>
          </w:p>
        </w:tc>
      </w:tr>
      <w:tr>
        <w:tc>
          <w:tcPr>
            <w:tcW w:type="dxa" w:w="1584"/>
            <w:vAlign w:val="center"/>
          </w:tcPr>
          <w:p>
            <w:r/>
            <w:r>
              <w:rPr>
                <w:rFonts w:ascii="Aptos" w:hAnsi="Aptos"/>
                <w:b w:val="0"/>
                <w:sz w:val="16"/>
              </w:rPr>
              <w:t>TSID/NID/ONID</w:t>
            </w:r>
          </w:p>
        </w:tc>
        <w:tc>
          <w:tcPr>
            <w:tcW w:type="dxa" w:w="1440"/>
            <w:vAlign w:val="center"/>
          </w:tcPr>
          <w:p>
            <w:r/>
            <w:r>
              <w:rPr>
                <w:rFonts w:ascii="Aptos" w:hAnsi="Aptos"/>
                <w:b w:val="0"/>
                <w:sz w:val="16"/>
              </w:rPr>
            </w:r>
          </w:p>
        </w:tc>
        <w:tc>
          <w:tcPr>
            <w:tcW w:type="dxa" w:w="2880"/>
            <w:vAlign w:val="center"/>
          </w:tcPr>
          <w:p>
            <w:r/>
            <w:r>
              <w:rPr>
                <w:rFonts w:ascii="Aptos" w:hAnsi="Aptos"/>
                <w:b w:val="0"/>
                <w:sz w:val="16"/>
              </w:rPr>
            </w:r>
          </w:p>
        </w:tc>
        <w:tc>
          <w:tcPr>
            <w:tcW w:type="dxa" w:w="1440"/>
            <w:vAlign w:val="center"/>
          </w:tcPr>
          <w:p>
            <w:r/>
            <w:r>
              <w:rPr>
                <w:rFonts w:ascii="Aptos" w:hAnsi="Aptos"/>
                <w:b w:val="0"/>
                <w:sz w:val="16"/>
              </w:rPr>
            </w:r>
          </w:p>
        </w:tc>
        <w:tc>
          <w:tcPr>
            <w:tcW w:type="dxa" w:w="1440"/>
            <w:vAlign w:val="center"/>
          </w:tcPr>
          <w:p>
            <w:r/>
            <w:r>
              <w:rPr>
                <w:rFonts w:ascii="Aptos" w:hAnsi="Aptos"/>
                <w:b w:val="0"/>
                <w:sz w:val="16"/>
              </w:rPr>
            </w:r>
          </w:p>
        </w:tc>
        <w:tc>
          <w:tcPr>
            <w:tcW w:type="dxa" w:w="1872"/>
            <w:vAlign w:val="center"/>
          </w:tcPr>
          <w:p>
            <w:r/>
            <w:r>
              <w:rPr>
                <w:rFonts w:ascii="Aptos" w:hAnsi="Aptos"/>
                <w:b w:val="0"/>
                <w:sz w:val="16"/>
              </w:rPr>
            </w:r>
          </w:p>
        </w:tc>
      </w:tr>
      <w:tr>
        <w:tc>
          <w:tcPr>
            <w:tcW w:type="dxa" w:w="1584"/>
            <w:vAlign w:val="center"/>
          </w:tcPr>
          <w:p>
            <w:r/>
            <w:r>
              <w:rPr>
                <w:rFonts w:ascii="Aptos" w:hAnsi="Aptos"/>
                <w:b w:val="0"/>
                <w:sz w:val="16"/>
              </w:rPr>
              <w:t>SID/service name</w:t>
            </w:r>
          </w:p>
        </w:tc>
        <w:tc>
          <w:tcPr>
            <w:tcW w:type="dxa" w:w="1440"/>
            <w:vAlign w:val="center"/>
          </w:tcPr>
          <w:p>
            <w:r/>
            <w:r>
              <w:rPr>
                <w:rFonts w:ascii="Aptos" w:hAnsi="Aptos"/>
                <w:b w:val="0"/>
                <w:sz w:val="16"/>
              </w:rPr>
            </w:r>
          </w:p>
        </w:tc>
        <w:tc>
          <w:tcPr>
            <w:tcW w:type="dxa" w:w="2880"/>
            <w:vAlign w:val="center"/>
          </w:tcPr>
          <w:p>
            <w:r/>
            <w:r>
              <w:rPr>
                <w:rFonts w:ascii="Aptos" w:hAnsi="Aptos"/>
                <w:b w:val="0"/>
                <w:sz w:val="16"/>
              </w:rPr>
            </w:r>
          </w:p>
        </w:tc>
        <w:tc>
          <w:tcPr>
            <w:tcW w:type="dxa" w:w="1440"/>
            <w:vAlign w:val="center"/>
          </w:tcPr>
          <w:p>
            <w:r/>
            <w:r>
              <w:rPr>
                <w:rFonts w:ascii="Aptos" w:hAnsi="Aptos"/>
                <w:b w:val="0"/>
                <w:sz w:val="16"/>
              </w:rPr>
            </w:r>
          </w:p>
        </w:tc>
        <w:tc>
          <w:tcPr>
            <w:tcW w:type="dxa" w:w="1440"/>
            <w:vAlign w:val="center"/>
          </w:tcPr>
          <w:p>
            <w:r/>
            <w:r>
              <w:rPr>
                <w:rFonts w:ascii="Aptos" w:hAnsi="Aptos"/>
                <w:b w:val="0"/>
                <w:sz w:val="16"/>
              </w:rPr>
            </w:r>
          </w:p>
        </w:tc>
        <w:tc>
          <w:tcPr>
            <w:tcW w:type="dxa" w:w="1872"/>
            <w:vAlign w:val="center"/>
          </w:tcPr>
          <w:p>
            <w:r/>
            <w:r>
              <w:rPr>
                <w:rFonts w:ascii="Aptos" w:hAnsi="Aptos"/>
                <w:b w:val="0"/>
                <w:sz w:val="16"/>
              </w:rPr>
            </w:r>
          </w:p>
        </w:tc>
      </w:tr>
      <w:tr>
        <w:tc>
          <w:tcPr>
            <w:tcW w:type="dxa" w:w="1584"/>
            <w:vAlign w:val="center"/>
          </w:tcPr>
          <w:p>
            <w:r/>
            <w:r>
              <w:rPr>
                <w:rFonts w:ascii="Aptos" w:hAnsi="Aptos"/>
                <w:b w:val="0"/>
                <w:sz w:val="16"/>
              </w:rPr>
              <w:t>PID/ES stream type</w:t>
            </w:r>
          </w:p>
        </w:tc>
        <w:tc>
          <w:tcPr>
            <w:tcW w:type="dxa" w:w="1440"/>
            <w:vAlign w:val="center"/>
          </w:tcPr>
          <w:p>
            <w:r/>
            <w:r>
              <w:rPr>
                <w:rFonts w:ascii="Aptos" w:hAnsi="Aptos"/>
                <w:b w:val="0"/>
                <w:sz w:val="16"/>
              </w:rPr>
            </w:r>
          </w:p>
        </w:tc>
        <w:tc>
          <w:tcPr>
            <w:tcW w:type="dxa" w:w="2880"/>
            <w:vAlign w:val="center"/>
          </w:tcPr>
          <w:p>
            <w:r/>
            <w:r>
              <w:rPr>
                <w:rFonts w:ascii="Aptos" w:hAnsi="Aptos"/>
                <w:b w:val="0"/>
                <w:sz w:val="16"/>
              </w:rPr>
            </w:r>
          </w:p>
        </w:tc>
        <w:tc>
          <w:tcPr>
            <w:tcW w:type="dxa" w:w="1440"/>
            <w:vAlign w:val="center"/>
          </w:tcPr>
          <w:p>
            <w:r/>
            <w:r>
              <w:rPr>
                <w:rFonts w:ascii="Aptos" w:hAnsi="Aptos"/>
                <w:b w:val="0"/>
                <w:sz w:val="16"/>
              </w:rPr>
            </w:r>
          </w:p>
        </w:tc>
        <w:tc>
          <w:tcPr>
            <w:tcW w:type="dxa" w:w="1440"/>
            <w:vAlign w:val="center"/>
          </w:tcPr>
          <w:p>
            <w:r/>
            <w:r>
              <w:rPr>
                <w:rFonts w:ascii="Aptos" w:hAnsi="Aptos"/>
                <w:b w:val="0"/>
                <w:sz w:val="16"/>
              </w:rPr>
            </w:r>
          </w:p>
        </w:tc>
        <w:tc>
          <w:tcPr>
            <w:tcW w:type="dxa" w:w="1872"/>
            <w:vAlign w:val="center"/>
          </w:tcPr>
          <w:p>
            <w:r/>
            <w:r>
              <w:rPr>
                <w:rFonts w:ascii="Aptos" w:hAnsi="Aptos"/>
                <w:b w:val="0"/>
                <w:sz w:val="16"/>
              </w:rPr>
            </w:r>
          </w:p>
        </w:tc>
      </w:tr>
    </w:tbl>
    <w:p/>
    <w:p>
      <w:pPr>
        <w:pStyle w:val="Heading1"/>
      </w:pPr>
      <w:r>
        <w:t>20. Evidence log for web-command/resource discovery</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vAlign w:val="center"/>
            <w:shd w:fill="D9EAF7"/>
          </w:tcPr>
          <w:p>
            <w:r/>
            <w:r>
              <w:rPr>
                <w:rFonts w:ascii="Aptos" w:hAnsi="Aptos"/>
                <w:b/>
                <w:sz w:val="16"/>
              </w:rPr>
              <w:t>Date/firmware</w:t>
            </w:r>
          </w:p>
        </w:tc>
        <w:tc>
          <w:tcPr>
            <w:tcW w:type="dxa" w:w="1680"/>
            <w:vAlign w:val="center"/>
            <w:shd w:fill="D9EAF7"/>
          </w:tcPr>
          <w:p>
            <w:r/>
            <w:r>
              <w:rPr>
                <w:rFonts w:ascii="Aptos" w:hAnsi="Aptos"/>
                <w:b/>
                <w:sz w:val="16"/>
              </w:rPr>
              <w:t>GUI action</w:t>
            </w:r>
          </w:p>
        </w:tc>
        <w:tc>
          <w:tcPr>
            <w:tcW w:type="dxa" w:w="1680"/>
            <w:vAlign w:val="center"/>
            <w:shd w:fill="D9EAF7"/>
          </w:tcPr>
          <w:p>
            <w:r/>
            <w:r>
              <w:rPr>
                <w:rFonts w:ascii="Aptos" w:hAnsi="Aptos"/>
                <w:b/>
                <w:sz w:val="16"/>
              </w:rPr>
              <w:t>Request method/path (redacted)</w:t>
            </w:r>
          </w:p>
        </w:tc>
        <w:tc>
          <w:tcPr>
            <w:tcW w:type="dxa" w:w="1680"/>
            <w:vAlign w:val="center"/>
            <w:shd w:fill="D9EAF7"/>
          </w:tcPr>
          <w:p>
            <w:r/>
            <w:r>
              <w:rPr>
                <w:rFonts w:ascii="Aptos" w:hAnsi="Aptos"/>
                <w:b/>
                <w:sz w:val="16"/>
              </w:rPr>
              <w:t>Response field(s)</w:t>
            </w:r>
          </w:p>
        </w:tc>
        <w:tc>
          <w:tcPr>
            <w:tcW w:type="dxa" w:w="1680"/>
            <w:vAlign w:val="center"/>
            <w:shd w:fill="D9EAF7"/>
          </w:tcPr>
          <w:p>
            <w:r/>
            <w:r>
              <w:rPr>
                <w:rFonts w:ascii="Aptos" w:hAnsi="Aptos"/>
                <w:b/>
                <w:sz w:val="16"/>
              </w:rPr>
              <w:t>Known carrier fingerprint</w:t>
            </w:r>
          </w:p>
        </w:tc>
        <w:tc>
          <w:tcPr>
            <w:tcW w:type="dxa" w:w="1680"/>
            <w:vAlign w:val="center"/>
            <w:shd w:fill="D9EAF7"/>
          </w:tcPr>
          <w:p>
            <w:r/>
            <w:r>
              <w:rPr>
                <w:rFonts w:ascii="Aptos" w:hAnsi="Aptos"/>
                <w:b/>
                <w:sz w:val="16"/>
              </w:rPr>
              <w:t>Conclusion/confidence</w:t>
            </w:r>
          </w:p>
        </w:tc>
      </w:tr>
      <w:tr>
        <w:tc>
          <w:tcPr>
            <w:tcW w:type="dxa" w:w="1680"/>
            <w:vAlign w:val="center"/>
          </w:tcPr>
          <w:p>
            <w:r/>
            <w:r>
              <w:rPr>
                <w:rFonts w:ascii="Aptos" w:hAnsi="Aptos"/>
                <w:b w:val="0"/>
                <w:sz w:val="16"/>
              </w:rPr>
            </w:r>
          </w:p>
        </w:tc>
        <w:tc>
          <w:tcPr>
            <w:tcW w:type="dxa" w:w="1680"/>
            <w:vAlign w:val="center"/>
          </w:tcPr>
          <w:p>
            <w:r/>
            <w:r>
              <w:rPr>
                <w:rFonts w:ascii="Aptos" w:hAnsi="Aptos"/>
                <w:b w:val="0"/>
                <w:sz w:val="16"/>
              </w:rPr>
            </w:r>
          </w:p>
        </w:tc>
        <w:tc>
          <w:tcPr>
            <w:tcW w:type="dxa" w:w="1680"/>
            <w:vAlign w:val="center"/>
          </w:tcPr>
          <w:p>
            <w:r/>
            <w:r>
              <w:rPr>
                <w:rFonts w:ascii="Aptos" w:hAnsi="Aptos"/>
                <w:b w:val="0"/>
                <w:sz w:val="16"/>
              </w:rPr>
            </w:r>
          </w:p>
        </w:tc>
        <w:tc>
          <w:tcPr>
            <w:tcW w:type="dxa" w:w="1680"/>
            <w:vAlign w:val="center"/>
          </w:tcPr>
          <w:p>
            <w:r/>
            <w:r>
              <w:rPr>
                <w:rFonts w:ascii="Aptos" w:hAnsi="Aptos"/>
                <w:b w:val="0"/>
                <w:sz w:val="16"/>
              </w:rPr>
            </w:r>
          </w:p>
        </w:tc>
        <w:tc>
          <w:tcPr>
            <w:tcW w:type="dxa" w:w="1680"/>
            <w:vAlign w:val="center"/>
          </w:tcPr>
          <w:p>
            <w:r/>
            <w:r>
              <w:rPr>
                <w:rFonts w:ascii="Aptos" w:hAnsi="Aptos"/>
                <w:b w:val="0"/>
                <w:sz w:val="16"/>
              </w:rPr>
            </w:r>
          </w:p>
        </w:tc>
        <w:tc>
          <w:tcPr>
            <w:tcW w:type="dxa" w:w="1680"/>
            <w:vAlign w:val="center"/>
          </w:tcPr>
          <w:p>
            <w:r/>
            <w:r>
              <w:rPr>
                <w:rFonts w:ascii="Aptos" w:hAnsi="Aptos"/>
                <w:b w:val="0"/>
                <w:sz w:val="16"/>
              </w:rPr>
            </w:r>
          </w:p>
        </w:tc>
      </w:tr>
      <w:tr>
        <w:tc>
          <w:tcPr>
            <w:tcW w:type="dxa" w:w="1680"/>
            <w:vAlign w:val="center"/>
          </w:tcPr>
          <w:p>
            <w:r/>
            <w:r>
              <w:rPr>
                <w:rFonts w:ascii="Aptos" w:hAnsi="Aptos"/>
                <w:b w:val="0"/>
                <w:sz w:val="16"/>
              </w:rPr>
            </w:r>
          </w:p>
        </w:tc>
        <w:tc>
          <w:tcPr>
            <w:tcW w:type="dxa" w:w="1680"/>
            <w:vAlign w:val="center"/>
          </w:tcPr>
          <w:p>
            <w:r/>
            <w:r>
              <w:rPr>
                <w:rFonts w:ascii="Aptos" w:hAnsi="Aptos"/>
                <w:b w:val="0"/>
                <w:sz w:val="16"/>
              </w:rPr>
            </w:r>
          </w:p>
        </w:tc>
        <w:tc>
          <w:tcPr>
            <w:tcW w:type="dxa" w:w="1680"/>
            <w:vAlign w:val="center"/>
          </w:tcPr>
          <w:p>
            <w:r/>
            <w:r>
              <w:rPr>
                <w:rFonts w:ascii="Aptos" w:hAnsi="Aptos"/>
                <w:b w:val="0"/>
                <w:sz w:val="16"/>
              </w:rPr>
            </w:r>
          </w:p>
        </w:tc>
        <w:tc>
          <w:tcPr>
            <w:tcW w:type="dxa" w:w="1680"/>
            <w:vAlign w:val="center"/>
          </w:tcPr>
          <w:p>
            <w:r/>
            <w:r>
              <w:rPr>
                <w:rFonts w:ascii="Aptos" w:hAnsi="Aptos"/>
                <w:b w:val="0"/>
                <w:sz w:val="16"/>
              </w:rPr>
            </w:r>
          </w:p>
        </w:tc>
        <w:tc>
          <w:tcPr>
            <w:tcW w:type="dxa" w:w="1680"/>
            <w:vAlign w:val="center"/>
          </w:tcPr>
          <w:p>
            <w:r/>
            <w:r>
              <w:rPr>
                <w:rFonts w:ascii="Aptos" w:hAnsi="Aptos"/>
                <w:b w:val="0"/>
                <w:sz w:val="16"/>
              </w:rPr>
            </w:r>
          </w:p>
        </w:tc>
        <w:tc>
          <w:tcPr>
            <w:tcW w:type="dxa" w:w="1680"/>
            <w:vAlign w:val="center"/>
          </w:tcPr>
          <w:p>
            <w:r/>
            <w:r>
              <w:rPr>
                <w:rFonts w:ascii="Aptos" w:hAnsi="Aptos"/>
                <w:b w:val="0"/>
                <w:sz w:val="16"/>
              </w:rPr>
            </w:r>
          </w:p>
        </w:tc>
      </w:tr>
      <w:tr>
        <w:tc>
          <w:tcPr>
            <w:tcW w:type="dxa" w:w="1680"/>
            <w:vAlign w:val="center"/>
          </w:tcPr>
          <w:p>
            <w:r/>
            <w:r>
              <w:rPr>
                <w:rFonts w:ascii="Aptos" w:hAnsi="Aptos"/>
                <w:b w:val="0"/>
                <w:sz w:val="16"/>
              </w:rPr>
            </w:r>
          </w:p>
        </w:tc>
        <w:tc>
          <w:tcPr>
            <w:tcW w:type="dxa" w:w="1680"/>
            <w:vAlign w:val="center"/>
          </w:tcPr>
          <w:p>
            <w:r/>
            <w:r>
              <w:rPr>
                <w:rFonts w:ascii="Aptos" w:hAnsi="Aptos"/>
                <w:b w:val="0"/>
                <w:sz w:val="16"/>
              </w:rPr>
            </w:r>
          </w:p>
        </w:tc>
        <w:tc>
          <w:tcPr>
            <w:tcW w:type="dxa" w:w="1680"/>
            <w:vAlign w:val="center"/>
          </w:tcPr>
          <w:p>
            <w:r/>
            <w:r>
              <w:rPr>
                <w:rFonts w:ascii="Aptos" w:hAnsi="Aptos"/>
                <w:b w:val="0"/>
                <w:sz w:val="16"/>
              </w:rPr>
            </w:r>
          </w:p>
        </w:tc>
        <w:tc>
          <w:tcPr>
            <w:tcW w:type="dxa" w:w="1680"/>
            <w:vAlign w:val="center"/>
          </w:tcPr>
          <w:p>
            <w:r/>
            <w:r>
              <w:rPr>
                <w:rFonts w:ascii="Aptos" w:hAnsi="Aptos"/>
                <w:b w:val="0"/>
                <w:sz w:val="16"/>
              </w:rPr>
            </w:r>
          </w:p>
        </w:tc>
        <w:tc>
          <w:tcPr>
            <w:tcW w:type="dxa" w:w="1680"/>
            <w:vAlign w:val="center"/>
          </w:tcPr>
          <w:p>
            <w:r/>
            <w:r>
              <w:rPr>
                <w:rFonts w:ascii="Aptos" w:hAnsi="Aptos"/>
                <w:b w:val="0"/>
                <w:sz w:val="16"/>
              </w:rPr>
            </w:r>
          </w:p>
        </w:tc>
        <w:tc>
          <w:tcPr>
            <w:tcW w:type="dxa" w:w="1680"/>
            <w:vAlign w:val="center"/>
          </w:tcPr>
          <w:p>
            <w:r/>
            <w:r>
              <w:rPr>
                <w:rFonts w:ascii="Aptos" w:hAnsi="Aptos"/>
                <w:b w:val="0"/>
                <w:sz w:val="16"/>
              </w:rPr>
            </w:r>
          </w:p>
        </w:tc>
      </w:tr>
      <w:tr>
        <w:tc>
          <w:tcPr>
            <w:tcW w:type="dxa" w:w="1680"/>
            <w:vAlign w:val="center"/>
          </w:tcPr>
          <w:p>
            <w:r/>
            <w:r>
              <w:rPr>
                <w:rFonts w:ascii="Aptos" w:hAnsi="Aptos"/>
                <w:b w:val="0"/>
                <w:sz w:val="16"/>
              </w:rPr>
            </w:r>
          </w:p>
        </w:tc>
        <w:tc>
          <w:tcPr>
            <w:tcW w:type="dxa" w:w="1680"/>
            <w:vAlign w:val="center"/>
          </w:tcPr>
          <w:p>
            <w:r/>
            <w:r>
              <w:rPr>
                <w:rFonts w:ascii="Aptos" w:hAnsi="Aptos"/>
                <w:b w:val="0"/>
                <w:sz w:val="16"/>
              </w:rPr>
            </w:r>
          </w:p>
        </w:tc>
        <w:tc>
          <w:tcPr>
            <w:tcW w:type="dxa" w:w="1680"/>
            <w:vAlign w:val="center"/>
          </w:tcPr>
          <w:p>
            <w:r/>
            <w:r>
              <w:rPr>
                <w:rFonts w:ascii="Aptos" w:hAnsi="Aptos"/>
                <w:b w:val="0"/>
                <w:sz w:val="16"/>
              </w:rPr>
            </w:r>
          </w:p>
        </w:tc>
        <w:tc>
          <w:tcPr>
            <w:tcW w:type="dxa" w:w="1680"/>
            <w:vAlign w:val="center"/>
          </w:tcPr>
          <w:p>
            <w:r/>
            <w:r>
              <w:rPr>
                <w:rFonts w:ascii="Aptos" w:hAnsi="Aptos"/>
                <w:b w:val="0"/>
                <w:sz w:val="16"/>
              </w:rPr>
            </w:r>
          </w:p>
        </w:tc>
        <w:tc>
          <w:tcPr>
            <w:tcW w:type="dxa" w:w="1680"/>
            <w:vAlign w:val="center"/>
          </w:tcPr>
          <w:p>
            <w:r/>
            <w:r>
              <w:rPr>
                <w:rFonts w:ascii="Aptos" w:hAnsi="Aptos"/>
                <w:b w:val="0"/>
                <w:sz w:val="16"/>
              </w:rPr>
            </w:r>
          </w:p>
        </w:tc>
        <w:tc>
          <w:tcPr>
            <w:tcW w:type="dxa" w:w="1680"/>
            <w:vAlign w:val="center"/>
          </w:tcPr>
          <w:p>
            <w:r/>
            <w:r>
              <w:rPr>
                <w:rFonts w:ascii="Aptos" w:hAnsi="Aptos"/>
                <w:b w:val="0"/>
                <w:sz w:val="16"/>
              </w:rPr>
            </w:r>
          </w:p>
        </w:tc>
      </w:tr>
    </w:tbl>
    <w:p/>
    <w:tbl>
      <w:tblPr>
        <w:tblStyle w:val="TableGrid"/>
        <w:tblW w:type="auto" w:w="0"/>
        <w:tblLook w:firstColumn="1" w:firstRow="1" w:lastColumn="0" w:lastRow="0" w:noHBand="0" w:noVBand="1" w:val="04A0"/>
      </w:tblPr>
      <w:tblGrid>
        <w:gridCol w:w="10080"/>
      </w:tblGrid>
      <w:tr>
        <w:tc>
          <w:tcPr>
            <w:tcW w:type="dxa" w:w="10080"/>
            <w:shd w:fill="FFF2CC"/>
          </w:tcPr>
          <w:p>
            <w:r>
              <w:rPr>
                <w:b/>
              </w:rPr>
              <w:t xml:space="preserve">Security: </w:t>
            </w:r>
            <w:r>
              <w:t>Do not place passwords, session cookies, authorization headers, SNMP community strings, SMTP secrets, or PRTG passhashes in this worksheet.</w:t>
            </w:r>
          </w:p>
        </w:tc>
      </w:tr>
    </w:tbl>
    <w:p/>
    <w:p>
      <w:pPr>
        <w:pStyle w:val="Heading1"/>
      </w:pPr>
      <w:r>
        <w:t>21. Acceptance checklist</w:t>
      </w:r>
    </w:p>
    <w:p>
      <w:pPr>
        <w:pStyle w:val="ListBullet"/>
      </w:pPr>
      <w:r>
        <w:t>☐ All chassis/GT34 modules are identified and reachable.</w:t>
      </w:r>
    </w:p>
    <w:p>
      <w:pPr>
        <w:pStyle w:val="ListBullet"/>
      </w:pPr>
      <w:r>
        <w:t>☐ SNMP behavior is evidenced; MIB limitations are recorded.</w:t>
      </w:r>
    </w:p>
    <w:p>
      <w:pPr>
        <w:pStyle w:val="ListBullet"/>
      </w:pPr>
      <w:r>
        <w:t>☐ Structured web acquisition is evidenced for the deployed firmware.</w:t>
      </w:r>
    </w:p>
    <w:p>
      <w:pPr>
        <w:pStyle w:val="ListBullet"/>
      </w:pPr>
      <w:r>
        <w:t>☐ Every production logical carrier is deterministically mapped.</w:t>
      </w:r>
    </w:p>
    <w:p>
      <w:pPr>
        <w:pStyle w:val="ListBullet"/>
      </w:pPr>
      <w:r>
        <w:t>☐ Every expected service is SID-based and reviewed.</w:t>
      </w:r>
    </w:p>
    <w:p>
      <w:pPr>
        <w:pStyle w:val="ListBullet"/>
      </w:pPr>
      <w:r>
        <w:t>☐ TV-bearing classification uses explicit ES/video evidence, not names.</w:t>
      </w:r>
    </w:p>
    <w:p>
      <w:pPr>
        <w:pStyle w:val="ListBullet"/>
      </w:pPr>
      <w:r>
        <w:t>☐ PRTG sensor output is stable and never exceeds 44 live channels.</w:t>
      </w:r>
    </w:p>
    <w:p>
      <w:pPr>
        <w:pStyle w:val="ListBullet"/>
      </w:pPr>
      <w:r>
        <w:t>☐ 17 core PRTG channels are present where the underlying data is available.</w:t>
      </w:r>
    </w:p>
    <w:p>
      <w:pPr>
        <w:pStyle w:val="ListBullet"/>
      </w:pPr>
      <w:r>
        <w:t>☐ Overflow technical/service detail is visible in status text and retained in SQLite.</w:t>
      </w:r>
    </w:p>
    <w:p>
      <w:pPr>
        <w:pStyle w:val="ListBullet"/>
      </w:pPr>
      <w:r>
        <w:t>☐ TV43 carrier and service history validates and 15-day retention is configured.</w:t>
      </w:r>
    </w:p>
    <w:p>
      <w:pPr>
        <w:pStyle w:val="ListBullet"/>
      </w:pPr>
      <w:r>
        <w:t>☐ SQLite contention does not create false transmission alarms.</w:t>
      </w:r>
    </w:p>
    <w:p>
      <w:pPr>
        <w:pStyle w:val="ListBullet"/>
      </w:pPr>
      <w:r>
        <w:t>☐ PRTG notification triggers are not used for production transmission email.</w:t>
      </w:r>
    </w:p>
    <w:p>
      <w:pPr>
        <w:pStyle w:val="ListBullet"/>
      </w:pPr>
      <w:r>
        <w:t>☐ SMTP secrets are stored outside source/documentation.</w:t>
      </w:r>
    </w:p>
    <w:p>
      <w:pPr>
        <w:pStyle w:val="ListBullet"/>
      </w:pPr>
      <w:r>
        <w:t>☐ Synthetic DOWN and recovery email formats match the approved V11.3L presentation.</w:t>
      </w:r>
    </w:p>
    <w:p>
      <w:pPr>
        <w:pStyle w:val="ListBullet"/>
      </w:pPr>
      <w:r>
        <w:t>☐ Alarm state machine performs immediate notification, duplicate suppression and immediate recovery.</w:t>
      </w:r>
    </w:p>
    <w:p>
      <w:pPr>
        <w:pStyle w:val="ListBullet"/>
      </w:pPr>
      <w:r>
        <w:t>☐ Scheduled Tasks use permanent server paths and correct start/stop order.</w:t>
      </w:r>
    </w:p>
    <w:p>
      <w:pPr>
        <w:pStyle w:val="ListBullet"/>
      </w:pPr>
      <w:r>
        <w:t>☐ A final commissioning record captures versions, manifests, validation outputs and known limitations.</w:t>
      </w:r>
    </w:p>
    <w:p>
      <w:pPr>
        <w:pStyle w:val="Heading1"/>
      </w:pPr>
      <w:r>
        <w:t>22. Non-negotiable engineering rules</w:t>
      </w:r>
    </w:p>
    <w:p>
      <w:pPr>
        <w:pStyle w:val="ListBullet"/>
      </w:pPr>
      <w:r>
        <w:t>Do not fabricate OIDs, endpoints, tags, enum meanings, units, thresholds, logical mappings or service states.</w:t>
      </w:r>
    </w:p>
    <w:p>
      <w:pPr>
        <w:pStyle w:val="ListBullet"/>
      </w:pPr>
      <w:r>
        <w:t>Do not equate a GUI logical input with a low-level tuner index without deterministic evidence.</w:t>
      </w:r>
    </w:p>
    <w:p>
      <w:pPr>
        <w:pStyle w:val="ListBullet"/>
      </w:pPr>
      <w:r>
        <w:t>Do not infer TV/radio from a service name.</w:t>
      </w:r>
    </w:p>
    <w:p>
      <w:pPr>
        <w:pStyle w:val="ListBullet"/>
      </w:pPr>
      <w:r>
        <w:t>Do not require every DVB service in a multiplex to contain video.</w:t>
      </w:r>
    </w:p>
    <w:p>
      <w:pPr>
        <w:pStyle w:val="ListBullet"/>
      </w:pPr>
      <w:r>
        <w:t>Do not state that ES-N/A proves black/off-air decoded video.</w:t>
      </w:r>
    </w:p>
    <w:p>
      <w:pPr>
        <w:pStyle w:val="ListBullet"/>
      </w:pPr>
      <w:r>
        <w:t>Do not exceed 44 live PRTG channels in the frozen production presentation.</w:t>
      </w:r>
    </w:p>
    <w:p>
      <w:pPr>
        <w:pStyle w:val="ListBullet"/>
      </w:pPr>
      <w:r>
        <w:t>Do not use PRTG notification triggers for production transmission email.</w:t>
      </w:r>
    </w:p>
    <w:p>
      <w:pPr>
        <w:pStyle w:val="ListBullet"/>
      </w:pPr>
      <w:r>
        <w:t>Do not treat application/database errors as broadcast outages.</w:t>
      </w:r>
    </w:p>
    <w:p>
      <w:pPr>
        <w:pStyle w:val="ListBullet"/>
      </w:pPr>
      <w:r>
        <w:t>Do not expose SMTP secrets, SNMP communities or PRTG passhashes.</w:t>
      </w:r>
    </w:p>
    <w:p>
      <w:pPr>
        <w:pStyle w:val="ListBullet"/>
      </w:pPr>
      <w:r>
        <w:t>Do not silently change the frozen alarm semantics: immediate detection, no debounce, episode suppression, immediate recovery, no severity field.</w:t>
      </w:r>
    </w:p>
    <w:p>
      <w:pPr>
        <w:pStyle w:val="Heading1"/>
      </w:pPr>
      <w:r>
        <w:t>23. Source-of-truth files in the project</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rFonts w:ascii="Aptos" w:hAnsi="Aptos"/>
                <w:b/>
                <w:sz w:val="16"/>
              </w:rPr>
              <w:t>File/folder</w:t>
            </w:r>
          </w:p>
        </w:tc>
        <w:tc>
          <w:tcPr>
            <w:tcW w:type="dxa" w:w="5040"/>
            <w:vAlign w:val="center"/>
            <w:shd w:fill="D9EAF7"/>
          </w:tcPr>
          <w:p>
            <w:r/>
            <w:r>
              <w:rPr>
                <w:rFonts w:ascii="Aptos" w:hAnsi="Aptos"/>
                <w:b/>
                <w:sz w:val="16"/>
              </w:rPr>
              <w:t>Use</w:t>
            </w:r>
          </w:p>
        </w:tc>
      </w:tr>
      <w:tr>
        <w:tc>
          <w:tcPr>
            <w:tcW w:type="dxa" w:w="5040"/>
            <w:vAlign w:val="center"/>
          </w:tcPr>
          <w:p>
            <w:r/>
            <w:r>
              <w:rPr>
                <w:rFonts w:ascii="Aptos" w:hAnsi="Aptos"/>
                <w:b w:val="0"/>
                <w:sz w:val="16"/>
              </w:rPr>
              <w:t>gt34_monitor/</w:t>
            </w:r>
          </w:p>
        </w:tc>
        <w:tc>
          <w:tcPr>
            <w:tcW w:type="dxa" w:w="5040"/>
            <w:vAlign w:val="center"/>
          </w:tcPr>
          <w:p>
            <w:r/>
            <w:r>
              <w:rPr>
                <w:rFonts w:ascii="Aptos" w:hAnsi="Aptos"/>
                <w:b w:val="0"/>
                <w:sz w:val="16"/>
              </w:rPr>
              <w:t>Core structured SNMP/web discovery and polling package.</w:t>
            </w:r>
          </w:p>
        </w:tc>
      </w:tr>
      <w:tr>
        <w:tc>
          <w:tcPr>
            <w:tcW w:type="dxa" w:w="5040"/>
            <w:vAlign w:val="center"/>
          </w:tcPr>
          <w:p>
            <w:r/>
            <w:r>
              <w:rPr>
                <w:rFonts w:ascii="Aptos" w:hAnsi="Aptos"/>
                <w:b w:val="0"/>
                <w:sz w:val="16"/>
              </w:rPr>
              <w:t>tools/discover_modules.py</w:t>
            </w:r>
          </w:p>
        </w:tc>
        <w:tc>
          <w:tcPr>
            <w:tcW w:type="dxa" w:w="5040"/>
            <w:vAlign w:val="center"/>
          </w:tcPr>
          <w:p>
            <w:r/>
            <w:r>
              <w:rPr>
                <w:rFonts w:ascii="Aptos" w:hAnsi="Aptos"/>
                <w:b w:val="0"/>
                <w:sz w:val="16"/>
              </w:rPr>
              <w:t>Physical module inventory.</w:t>
            </w:r>
          </w:p>
        </w:tc>
      </w:tr>
      <w:tr>
        <w:tc>
          <w:tcPr>
            <w:tcW w:type="dxa" w:w="5040"/>
            <w:vAlign w:val="center"/>
          </w:tcPr>
          <w:p>
            <w:r/>
            <w:r>
              <w:rPr>
                <w:rFonts w:ascii="Aptos" w:hAnsi="Aptos"/>
                <w:b w:val="0"/>
                <w:sz w:val="16"/>
              </w:rPr>
              <w:t>tools/discover_services.py</w:t>
            </w:r>
          </w:p>
        </w:tc>
        <w:tc>
          <w:tcPr>
            <w:tcW w:type="dxa" w:w="5040"/>
            <w:vAlign w:val="center"/>
          </w:tcPr>
          <w:p>
            <w:r/>
            <w:r>
              <w:rPr>
                <w:rFonts w:ascii="Aptos" w:hAnsi="Aptos"/>
                <w:b w:val="0"/>
                <w:sz w:val="16"/>
              </w:rPr>
              <w:t>GT34 service discovery and candidate baseline.</w:t>
            </w:r>
          </w:p>
        </w:tc>
      </w:tr>
      <w:tr>
        <w:tc>
          <w:tcPr>
            <w:tcW w:type="dxa" w:w="5040"/>
            <w:vAlign w:val="center"/>
          </w:tcPr>
          <w:p>
            <w:r/>
            <w:r>
              <w:rPr>
                <w:rFonts w:ascii="Aptos" w:hAnsi="Aptos"/>
                <w:b w:val="0"/>
                <w:sz w:val="16"/>
              </w:rPr>
              <w:t>tools/discover_streams.py</w:t>
            </w:r>
          </w:p>
        </w:tc>
        <w:tc>
          <w:tcPr>
            <w:tcW w:type="dxa" w:w="5040"/>
            <w:vAlign w:val="center"/>
          </w:tcPr>
          <w:p>
            <w:r/>
            <w:r>
              <w:rPr>
                <w:rFonts w:ascii="Aptos" w:hAnsi="Aptos"/>
                <w:b w:val="0"/>
                <w:sz w:val="16"/>
              </w:rPr>
              <w:t>Service ES/PID discovery.</w:t>
            </w:r>
          </w:p>
        </w:tc>
      </w:tr>
      <w:tr>
        <w:tc>
          <w:tcPr>
            <w:tcW w:type="dxa" w:w="5040"/>
            <w:vAlign w:val="center"/>
          </w:tcPr>
          <w:p>
            <w:r/>
            <w:r>
              <w:rPr>
                <w:rFonts w:ascii="Aptos" w:hAnsi="Aptos"/>
                <w:b w:val="0"/>
                <w:sz w:val="16"/>
              </w:rPr>
              <w:t>tools/discover_fleet.py</w:t>
            </w:r>
          </w:p>
        </w:tc>
        <w:tc>
          <w:tcPr>
            <w:tcW w:type="dxa" w:w="5040"/>
            <w:vAlign w:val="center"/>
          </w:tcPr>
          <w:p>
            <w:r/>
            <w:r>
              <w:rPr>
                <w:rFonts w:ascii="Aptos" w:hAnsi="Aptos"/>
                <w:b w:val="0"/>
                <w:sz w:val="16"/>
              </w:rPr>
              <w:t>Configured fleet discovery.</w:t>
            </w:r>
          </w:p>
        </w:tc>
      </w:tr>
      <w:tr>
        <w:tc>
          <w:tcPr>
            <w:tcW w:type="dxa" w:w="5040"/>
            <w:vAlign w:val="center"/>
          </w:tcPr>
          <w:p>
            <w:r/>
            <w:r>
              <w:rPr>
                <w:rFonts w:ascii="Aptos" w:hAnsi="Aptos"/>
                <w:b w:val="0"/>
                <w:sz w:val="16"/>
              </w:rPr>
              <w:t>tools/check_fleet.py</w:t>
            </w:r>
          </w:p>
        </w:tc>
        <w:tc>
          <w:tcPr>
            <w:tcW w:type="dxa" w:w="5040"/>
            <w:vAlign w:val="center"/>
          </w:tcPr>
          <w:p>
            <w:r/>
            <w:r>
              <w:rPr>
                <w:rFonts w:ascii="Aptos" w:hAnsi="Aptos"/>
                <w:b w:val="0"/>
                <w:sz w:val="16"/>
              </w:rPr>
              <w:t>Live fleet versus approved baseline.</w:t>
            </w:r>
          </w:p>
        </w:tc>
      </w:tr>
      <w:tr>
        <w:tc>
          <w:tcPr>
            <w:tcW w:type="dxa" w:w="5040"/>
            <w:vAlign w:val="center"/>
          </w:tcPr>
          <w:p>
            <w:r/>
            <w:r>
              <w:rPr>
                <w:rFonts w:ascii="Aptos" w:hAnsi="Aptos"/>
                <w:b w:val="0"/>
                <w:sz w:val="16"/>
              </w:rPr>
              <w:t>gt34_monitor/webstatus.py</w:t>
            </w:r>
          </w:p>
        </w:tc>
        <w:tc>
          <w:tcPr>
            <w:tcW w:type="dxa" w:w="5040"/>
            <w:vAlign w:val="center"/>
          </w:tcPr>
          <w:p>
            <w:r/>
            <w:r>
              <w:rPr>
                <w:rFonts w:ascii="Aptos" w:hAnsi="Aptos"/>
                <w:b w:val="0"/>
                <w:sz w:val="16"/>
              </w:rPr>
              <w:t>Fail-closed web enrichment/mapping.</w:t>
            </w:r>
          </w:p>
        </w:tc>
      </w:tr>
      <w:tr>
        <w:tc>
          <w:tcPr>
            <w:tcW w:type="dxa" w:w="5040"/>
            <w:vAlign w:val="center"/>
          </w:tcPr>
          <w:p>
            <w:r/>
            <w:r>
              <w:rPr>
                <w:rFonts w:ascii="Aptos" w:hAnsi="Aptos"/>
                <w:b w:val="0"/>
                <w:sz w:val="16"/>
              </w:rPr>
              <w:t>gt34_monitor/fastpath.py</w:t>
            </w:r>
          </w:p>
        </w:tc>
        <w:tc>
          <w:tcPr>
            <w:tcW w:type="dxa" w:w="5040"/>
            <w:vAlign w:val="center"/>
          </w:tcPr>
          <w:p>
            <w:r/>
            <w:r>
              <w:rPr>
                <w:rFonts w:ascii="Aptos" w:hAnsi="Aptos"/>
                <w:b w:val="0"/>
                <w:sz w:val="16"/>
              </w:rPr>
              <w:t>Fast live acquisition/enrichment.</w:t>
            </w:r>
          </w:p>
        </w:tc>
      </w:tr>
      <w:tr>
        <w:tc>
          <w:tcPr>
            <w:tcW w:type="dxa" w:w="5040"/>
            <w:vAlign w:val="center"/>
          </w:tcPr>
          <w:p>
            <w:r/>
            <w:r>
              <w:rPr>
                <w:rFonts w:ascii="Aptos" w:hAnsi="Aptos"/>
                <w:b w:val="0"/>
                <w:sz w:val="16"/>
              </w:rPr>
              <w:t>prtg_tv43_sensor.py</w:t>
            </w:r>
          </w:p>
        </w:tc>
        <w:tc>
          <w:tcPr>
            <w:tcW w:type="dxa" w:w="5040"/>
            <w:vAlign w:val="center"/>
          </w:tcPr>
          <w:p>
            <w:r/>
            <w:r>
              <w:rPr>
                <w:rFonts w:ascii="Aptos" w:hAnsi="Aptos"/>
                <w:b w:val="0"/>
                <w:sz w:val="16"/>
              </w:rPr>
              <w:t>Final bounded authoritative carrier sensor.</w:t>
            </w:r>
          </w:p>
        </w:tc>
      </w:tr>
      <w:tr>
        <w:tc>
          <w:tcPr>
            <w:tcW w:type="dxa" w:w="5040"/>
            <w:vAlign w:val="center"/>
          </w:tcPr>
          <w:p>
            <w:r/>
            <w:r>
              <w:rPr>
                <w:rFonts w:ascii="Aptos" w:hAnsi="Aptos"/>
                <w:b w:val="0"/>
                <w:sz w:val="16"/>
              </w:rPr>
              <w:t>tv43_history.py / validate_tv43_history.py</w:t>
            </w:r>
          </w:p>
        </w:tc>
        <w:tc>
          <w:tcPr>
            <w:tcW w:type="dxa" w:w="5040"/>
            <w:vAlign w:val="center"/>
          </w:tcPr>
          <w:p>
            <w:r/>
            <w:r>
              <w:rPr>
                <w:rFonts w:ascii="Aptos" w:hAnsi="Aptos"/>
                <w:b w:val="0"/>
                <w:sz w:val="16"/>
              </w:rPr>
              <w:t>15-day carrier/service persistence and validation.</w:t>
            </w:r>
          </w:p>
        </w:tc>
      </w:tr>
      <w:tr>
        <w:tc>
          <w:tcPr>
            <w:tcW w:type="dxa" w:w="5040"/>
            <w:vAlign w:val="center"/>
          </w:tcPr>
          <w:p>
            <w:r/>
            <w:r>
              <w:rPr>
                <w:rFonts w:ascii="Aptos" w:hAnsi="Aptos"/>
                <w:b w:val="0"/>
                <w:sz w:val="16"/>
              </w:rPr>
              <w:t>tv43_alarm_policy_final.py</w:t>
            </w:r>
          </w:p>
        </w:tc>
        <w:tc>
          <w:tcPr>
            <w:tcW w:type="dxa" w:w="5040"/>
            <w:vAlign w:val="center"/>
          </w:tcPr>
          <w:p>
            <w:r/>
            <w:r>
              <w:rPr>
                <w:rFonts w:ascii="Aptos" w:hAnsi="Aptos"/>
                <w:b w:val="0"/>
                <w:sz w:val="16"/>
              </w:rPr>
              <w:t>Final episode-based alarm/recovery policy and approved renderer.</w:t>
            </w:r>
          </w:p>
        </w:tc>
      </w:tr>
      <w:tr>
        <w:tc>
          <w:tcPr>
            <w:tcW w:type="dxa" w:w="5040"/>
            <w:vAlign w:val="center"/>
          </w:tcPr>
          <w:p>
            <w:r/>
            <w:r>
              <w:rPr>
                <w:rFonts w:ascii="Aptos" w:hAnsi="Aptos"/>
                <w:b w:val="0"/>
                <w:sz w:val="16"/>
              </w:rPr>
              <w:t>email_notifier.py</w:t>
            </w:r>
          </w:p>
        </w:tc>
        <w:tc>
          <w:tcPr>
            <w:tcW w:type="dxa" w:w="5040"/>
            <w:vAlign w:val="center"/>
          </w:tcPr>
          <w:p>
            <w:r/>
            <w:r>
              <w:rPr>
                <w:rFonts w:ascii="Aptos" w:hAnsi="Aptos"/>
                <w:b w:val="0"/>
                <w:sz w:val="16"/>
              </w:rPr>
              <w:t>SMTP sending layer.</w:t>
            </w:r>
          </w:p>
        </w:tc>
      </w:tr>
      <w:tr>
        <w:tc>
          <w:tcPr>
            <w:tcW w:type="dxa" w:w="5040"/>
            <w:vAlign w:val="center"/>
          </w:tcPr>
          <w:p>
            <w:r/>
            <w:r>
              <w:rPr>
                <w:rFonts w:ascii="Aptos" w:hAnsi="Aptos"/>
                <w:b w:val="0"/>
                <w:sz w:val="16"/>
              </w:rPr>
              <w:t>send_tv43_format_test.py</w:t>
            </w:r>
          </w:p>
        </w:tc>
        <w:tc>
          <w:tcPr>
            <w:tcW w:type="dxa" w:w="5040"/>
            <w:vAlign w:val="center"/>
          </w:tcPr>
          <w:p>
            <w:r/>
            <w:r>
              <w:rPr>
                <w:rFonts w:ascii="Aptos" w:hAnsi="Aptos"/>
                <w:b w:val="0"/>
                <w:sz w:val="16"/>
              </w:rPr>
              <w:t>Safe synthetic presentation test.</w:t>
            </w:r>
          </w:p>
        </w:tc>
      </w:tr>
      <w:tr>
        <w:tc>
          <w:tcPr>
            <w:tcW w:type="dxa" w:w="5040"/>
            <w:vAlign w:val="center"/>
          </w:tcPr>
          <w:p>
            <w:r/>
            <w:r>
              <w:rPr>
                <w:rFonts w:ascii="Aptos" w:hAnsi="Aptos"/>
                <w:b w:val="0"/>
                <w:sz w:val="16"/>
              </w:rPr>
              <w:t>authoritative_inventory_v6/</w:t>
            </w:r>
          </w:p>
        </w:tc>
        <w:tc>
          <w:tcPr>
            <w:tcW w:type="dxa" w:w="5040"/>
            <w:vAlign w:val="center"/>
          </w:tcPr>
          <w:p>
            <w:r/>
            <w:r>
              <w:rPr>
                <w:rFonts w:ascii="Aptos" w:hAnsi="Aptos"/>
                <w:b w:val="0"/>
                <w:sz w:val="16"/>
              </w:rPr>
              <w:t>Validated production logical/service inventory.</w:t>
            </w:r>
          </w:p>
        </w:tc>
      </w:tr>
      <w:tr>
        <w:tc>
          <w:tcPr>
            <w:tcW w:type="dxa" w:w="5040"/>
            <w:vAlign w:val="center"/>
          </w:tcPr>
          <w:p>
            <w:r/>
            <w:r>
              <w:rPr>
                <w:rFonts w:ascii="Aptos" w:hAnsi="Aptos"/>
                <w:b w:val="0"/>
                <w:sz w:val="16"/>
              </w:rPr>
              <w:t>state/tv43_alarm_snapshots/</w:t>
            </w:r>
          </w:p>
        </w:tc>
        <w:tc>
          <w:tcPr>
            <w:tcW w:type="dxa" w:w="5040"/>
            <w:vAlign w:val="center"/>
          </w:tcPr>
          <w:p>
            <w:r/>
            <w:r>
              <w:rPr>
                <w:rFonts w:ascii="Aptos" w:hAnsi="Aptos"/>
                <w:b w:val="0"/>
                <w:sz w:val="16"/>
              </w:rPr>
              <w:t>Current TV43 snapshots consumed by alarm policy.</w:t>
            </w:r>
          </w:p>
        </w:tc>
      </w:tr>
      <w:tr>
        <w:tc>
          <w:tcPr>
            <w:tcW w:type="dxa" w:w="5040"/>
            <w:vAlign w:val="center"/>
          </w:tcPr>
          <w:p>
            <w:r/>
            <w:r>
              <w:rPr>
                <w:rFonts w:ascii="Aptos" w:hAnsi="Aptos"/>
                <w:b w:val="0"/>
                <w:sz w:val="16"/>
              </w:rPr>
              <w:t>database/tv43_alarm_policy.sqlite3</w:t>
            </w:r>
          </w:p>
        </w:tc>
        <w:tc>
          <w:tcPr>
            <w:tcW w:type="dxa" w:w="5040"/>
            <w:vAlign w:val="center"/>
          </w:tcPr>
          <w:p>
            <w:r/>
            <w:r>
              <w:rPr>
                <w:rFonts w:ascii="Aptos" w:hAnsi="Aptos"/>
                <w:b w:val="0"/>
                <w:sz w:val="16"/>
              </w:rPr>
              <w:t>Alarm episode/suppression/recovery state.</w:t>
            </w:r>
          </w:p>
        </w:tc>
      </w:tr>
      <w:tr>
        <w:tc>
          <w:tcPr>
            <w:tcW w:type="dxa" w:w="5040"/>
            <w:vAlign w:val="center"/>
          </w:tcPr>
          <w:p>
            <w:r/>
            <w:r>
              <w:rPr>
                <w:rFonts w:ascii="Aptos" w:hAnsi="Aptos"/>
                <w:b w:val="0"/>
                <w:sz w:val="16"/>
              </w:rPr>
              <w:t>database/wisi_monitor.db</w:t>
            </w:r>
          </w:p>
        </w:tc>
        <w:tc>
          <w:tcPr>
            <w:tcW w:type="dxa" w:w="5040"/>
            <w:vAlign w:val="center"/>
          </w:tcPr>
          <w:p>
            <w:r/>
            <w:r>
              <w:rPr>
                <w:rFonts w:ascii="Aptos" w:hAnsi="Aptos"/>
                <w:b w:val="0"/>
                <w:sz w:val="16"/>
              </w:rPr>
              <w:t>Main telemetry/history database.</w:t>
            </w:r>
          </w:p>
        </w:tc>
      </w:tr>
    </w:tbl>
    <w:p/>
    <w:p>
      <w:pPr>
        <w:pStyle w:val="Heading1"/>
      </w:pPr>
      <w:r>
        <w:t>24. Final engineering principle</w:t>
      </w:r>
    </w:p>
    <w:p>
      <w:r>
        <w:t>A new engineer should be able to reproduce the method without reproducing undocumented assumptions. The correct result of a discovery step can be 'not exposed', 'ambiguous', or 'metadata unavailable'. Those are valid engineering outcomes. A fabricated OID, guessed endpoint, arbitrary tuner assignment, inferred service type, or invented threshold is not.</w:t>
      </w:r>
    </w:p>
    <w:p>
      <w:r>
        <w:t>The deployment is considered reproducible only when each production parameter has a traceable evidence source, each logical carrier/service identity is deterministic, the PRTG surface is bounded and stable, SQLite history is validated, and alarm/email behavior is independently controlled by Python.</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WISI GT34 Engineering Runbook V11.3L  |  Evidence-driven / fail-closed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00"/>
      <w:ind w:left="259"/>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