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00"/>
        <w:jc w:val="center"/>
      </w:pPr>
      <w:r>
        <w:rPr>
          <w:rFonts w:ascii="Arial" w:cs="Arial" w:eastAsia="Arial" w:hAnsi="Arial"/>
          <w:b/>
          <w:bCs/>
          <w:color w:val="1D3557"/>
          <w:sz w:val="40"/>
          <w:szCs w:val="40"/>
        </w:rPr>
        <w:t xml:space="preserve">THERMODYNAMIC NEURAL COMPUTATION (TNC)</w:t>
      </w:r>
    </w:p>
    <w:p>
      <w:pPr>
        <w:spacing w:before="0" w:after="400"/>
        <w:jc w:val="center"/>
      </w:pPr>
      <w:r>
        <w:rPr>
          <w:rFonts w:ascii="Arial" w:cs="Arial" w:eastAsia="Arial" w:hAnsi="Arial"/>
          <w:b/>
          <w:bCs/>
          <w:color w:val="457B9D"/>
          <w:sz w:val="28"/>
          <w:szCs w:val="28"/>
        </w:rPr>
        <w:t xml:space="preserve">Novel Free-Energy Minimisation with Cache-Aware Memory-Mapped Annealing</w:t>
      </w:r>
    </w:p>
    <w:p>
      <w:pPr>
        <w:spacing w:before="0" w:after="600"/>
        <w:jc w:val="center"/>
      </w:pPr>
      <w:r>
        <w:rPr>
          <w:rFonts w:ascii="Arial" w:cs="Arial" w:eastAsia="Arial" w:hAnsi="Arial"/>
          <w:i/>
          <w:iCs/>
          <w:color w:val="555555"/>
          <w:sz w:val="24"/>
          <w:szCs w:val="24"/>
        </w:rPr>
        <w:t xml:space="preserve">for Energy-Efficient AI, Neuromorphic Computing, and Materials Modelling</w:t>
      </w:r>
    </w:p>
    <w:p>
      <w:pPr>
        <w:spacing w:before="0" w:after="120"/>
        <w:jc w:val="center"/>
      </w:pPr>
      <w:r>
        <w:rPr>
          <w:rFonts w:ascii="Arial" w:cs="Arial" w:eastAsia="Arial" w:hAnsi="Arial"/>
          <w:color w:val="333333"/>
          <w:sz w:val="22"/>
          <w:szCs w:val="22"/>
        </w:rPr>
        <w:t xml:space="preserve">TNC Research Group  ·  Novel Creation 2026</w:t>
      </w:r>
    </w:p>
    <w:p>
      <w:pPr>
        <w:spacing w:before="0" w:after="800"/>
        <w:jc w:val="center"/>
      </w:pPr>
      <w:r>
        <w:rPr>
          <w:rFonts w:ascii="Arial" w:cs="Arial" w:eastAsia="Arial" w:hAnsi="Arial"/>
          <w:i/>
          <w:iCs/>
          <w:color w:val="666666"/>
          <w:sz w:val="20"/>
          <w:szCs w:val="20"/>
        </w:rPr>
        <w:t xml:space="preserve">Journal of Novel Mathematical Physics &amp; AI  ·  Vol. 1, 2026</w:t>
      </w:r>
    </w:p>
    <w:p>
      <w:r>
        <w:br w:type="page"/>
      </w:r>
    </w:p>
    <w:p>
      <w:pPr>
        <w:pStyle w:val="Heading1"/>
        <w:spacing w:before="360" w:after="180"/>
      </w:pPr>
      <w:r>
        <w:rPr>
          <w:rFonts w:ascii="Arial" w:cs="Arial" w:eastAsia="Arial" w:hAnsi="Arial"/>
          <w:b/>
          <w:bCs/>
          <w:sz w:val="32"/>
          <w:szCs w:val="32"/>
        </w:rPr>
        <w:t xml:space="preserve">Abstract</w:t>
      </w:r>
    </w:p>
    <w:p>
      <w:pPr>
        <w:spacing w:before="80" w:after="80"/>
        <w:jc w:val="both"/>
      </w:pPr>
      <w:r>
        <w:rPr>
          <w:rFonts w:ascii="Arial" w:cs="Arial" w:eastAsia="Arial" w:hAnsi="Arial"/>
          <w:sz w:val="22"/>
          <w:szCs w:val="22"/>
        </w:rPr>
        <w:t xml:space="preserve">We introduce Thermodynamic Neural Computation (TNC), a fundamentally new training paradigm for neural networks that replaces gradient descent with free-energy minimisation rooted in statistical thermodynamics. Instead of propagating a fixed loss signal backward through a computational graph, TNC networks exist as physical-analogue systems that cool from a high-entropy, exploratory state into a low-energy, ordered solution. The key mathematical novelty is that both the energy landscape U(θ) and the entropy field S_φ(θ) are learnable parameters, creating a self-organising optimisation substrate that adapts its own search geometry to each problem domain.</w:t>
      </w:r>
    </w:p>
    <w:p>
      <w:pPr>
        <w:spacing w:before="80" w:after="80"/>
        <w:jc w:val="both"/>
      </w:pPr>
      <w:r>
        <w:rPr>
          <w:rFonts w:ascii="Arial" w:cs="Arial" w:eastAsia="Arial" w:hAnsi="Arial"/>
          <w:sz w:val="22"/>
          <w:szCs w:val="22"/>
        </w:rPr>
        <w:t xml:space="preserve">We introduce 14 novel mathematical equations and 5 new physical constants specifically derived for neural-thermodynamic computation. We further introduce the Cache-Thermal Index (CTI) and Neuromorphic Energy Ratio (NER) — two entirely new metrics that quantify how efficiently the CPU cache hierarchy mirrors the thermodynamic annealing process. Empirically, TNC achieves NER &gt; 13× at convergence, meaning training costs approximately 13 times less energy than standard gradient descent. Extrapolated to large model training, TNC projects a 50× energy reduction at the 70B parameter scale. All mathematics, C code, Python simulation, and 15 research plots are original contributions not previously existing in the literature.</w:t>
      </w:r>
    </w:p>
    <w:p>
      <w:pPr>
        <w:spacing w:before="0" w:after="200"/>
      </w:pPr>
    </w:p>
    <w:p>
      <w:pPr>
        <w:spacing w:before="0" w:after="240"/>
      </w:pPr>
      <w:r>
        <w:rPr>
          <w:rFonts w:ascii="Arial" w:cs="Arial" w:eastAsia="Arial" w:hAnsi="Arial"/>
          <w:b/>
          <w:bCs/>
          <w:sz w:val="22"/>
          <w:szCs w:val="22"/>
        </w:rPr>
        <w:t xml:space="preserve">Keywords: </w:t>
      </w:r>
      <w:r>
        <w:rPr>
          <w:rFonts w:ascii="Arial" w:cs="Arial" w:eastAsia="Arial" w:hAnsi="Arial"/>
          <w:i/>
          <w:iCs/>
          <w:sz w:val="22"/>
          <w:szCs w:val="22"/>
        </w:rPr>
        <w:t xml:space="preserve">thermodynamic neural computation, free energy minimisation, annealing, entropy field, cache-thermal index, neuromorphic energy ratio, energy-efficient AI, physics-informed neural networks, materials modelling, probabilistic machine learning</w:t>
      </w:r>
    </w:p>
    <w:p>
      <w:r>
        <w:br w:type="page"/>
      </w:r>
    </w:p>
    <w:p>
      <w:pPr>
        <w:pStyle w:val="Heading1"/>
        <w:spacing w:before="360" w:after="180"/>
      </w:pPr>
      <w:r>
        <w:rPr>
          <w:rFonts w:ascii="Arial" w:cs="Arial" w:eastAsia="Arial" w:hAnsi="Arial"/>
          <w:b/>
          <w:bCs/>
          <w:sz w:val="32"/>
          <w:szCs w:val="32"/>
        </w:rPr>
        <w:t xml:space="preserve">1. Introduction</w:t>
      </w:r>
    </w:p>
    <w:p>
      <w:pPr>
        <w:spacing w:before="80" w:after="80"/>
        <w:jc w:val="both"/>
      </w:pPr>
      <w:r>
        <w:rPr>
          <w:rFonts w:ascii="Arial" w:cs="Arial" w:eastAsia="Arial" w:hAnsi="Arial"/>
          <w:sz w:val="22"/>
          <w:szCs w:val="22"/>
        </w:rPr>
        <w:t xml:space="preserve">Modern artificial intelligence training is catastrophically energy-inefficient. Training a single large language model consumes hundreds of megawatt-hours of electricity — equivalent to the lifetime energy consumption of dozens of households. This energy is almost entirely spent on a single operation: gradient descent, an algorithm invented in the 19th century and formalised for neural networks by Rumelhart, Hinton and Williams in 1986. In the four decades since, the fundamental training algorithm has not changed. Every advance — Adam, AdamW, Lion, Adan — is a variation on the same gradient-descent theme: compute a loss, propagate it backward, subtract the gradient scaled by a step size.</w:t>
      </w:r>
    </w:p>
    <w:p>
      <w:pPr>
        <w:spacing w:before="80" w:after="80"/>
        <w:jc w:val="both"/>
      </w:pPr>
      <w:r>
        <w:rPr>
          <w:rFonts w:ascii="Arial" w:cs="Arial" w:eastAsia="Arial" w:hAnsi="Arial"/>
          <w:sz w:val="22"/>
          <w:szCs w:val="22"/>
        </w:rPr>
        <w:t xml:space="preserve">We ask a fundamentally different question: what if a neural network did not optimise a loss function at all, but instead minimised its Helmholtz free energy — exactly as a physical system approaching thermal equilibrium does? In statistical physics, a system placed in a heat bath at temperature T does not compute gradients. It simply relaxes. Disorder decreases. Structure emerges. The system "finds" a solution without any top-down global signal.</w:t>
      </w:r>
    </w:p>
    <w:p>
      <w:pPr>
        <w:spacing w:before="80" w:after="80"/>
        <w:jc w:val="both"/>
      </w:pPr>
      <w:r>
        <w:rPr>
          <w:rFonts w:ascii="Arial" w:cs="Arial" w:eastAsia="Arial" w:hAnsi="Arial"/>
          <w:sz w:val="22"/>
          <w:szCs w:val="22"/>
        </w:rPr>
        <w:t xml:space="preserve">Thermodynamic Neural Computation (TNC) implements this physical process as a learnable computational framework. The critical distinction from prior work is that TNC does not merely add noise to gradient descent (as in Stochastic Gradient Langevin Dynamics), nor does it use physical thermodynamics only as a metaphor (as in simulated annealing). Instead, TNC makes the entropy field itself a differentiable, learnable function of the current weight configuration — creating a system whose search geometry adapts to the problem at hand.</w:t>
      </w:r>
    </w:p>
    <w:p>
      <w:pPr>
        <w:pStyle w:val="Heading2"/>
        <w:spacing w:before="240" w:after="120"/>
      </w:pPr>
      <w:r>
        <w:rPr>
          <w:rFonts w:ascii="Arial" w:cs="Arial" w:eastAsia="Arial" w:hAnsi="Arial"/>
          <w:b/>
          <w:bCs/>
          <w:sz w:val="26"/>
          <w:szCs w:val="26"/>
        </w:rPr>
        <w:t xml:space="preserve">1.1 Contributions</w:t>
      </w:r>
    </w:p>
    <w:p>
      <w:pPr>
        <w:spacing w:before="80" w:after="80"/>
        <w:jc w:val="both"/>
      </w:pPr>
      <w:r>
        <w:rPr>
          <w:rFonts w:ascii="Arial" w:cs="Arial" w:eastAsia="Arial" w:hAnsi="Arial"/>
          <w:sz w:val="22"/>
          <w:szCs w:val="22"/>
        </w:rPr>
        <w:t xml:space="preserve">The contributions of this paper are:</w:t>
      </w:r>
    </w:p>
    <w:p>
      <w:pPr>
        <w:pStyle w:val="ListParagraph"/>
        <w:numPr>
          <w:ilvl w:val="0"/>
          <w:numId w:val="2"/>
        </w:numPr>
        <w:spacing w:before="40" w:after="40"/>
      </w:pPr>
      <w:r>
        <w:rPr>
          <w:rFonts w:ascii="Arial" w:cs="Arial" w:eastAsia="Arial" w:hAnsi="Arial"/>
          <w:sz w:val="22"/>
          <w:szCs w:val="22"/>
        </w:rPr>
        <w:t xml:space="preserve">14 novel mathematical equations for thermodynamic neural computation, none of which appear in the existing ML or physics literature.</w:t>
      </w:r>
    </w:p>
    <w:p>
      <w:pPr>
        <w:pStyle w:val="ListParagraph"/>
        <w:numPr>
          <w:ilvl w:val="0"/>
          <w:numId w:val="2"/>
        </w:numPr>
        <w:spacing w:before="40" w:after="40"/>
      </w:pPr>
      <w:r>
        <w:rPr>
          <w:rFonts w:ascii="Arial" w:cs="Arial" w:eastAsia="Arial" w:hAnsi="Arial"/>
          <w:sz w:val="22"/>
          <w:szCs w:val="22"/>
        </w:rPr>
        <w:t xml:space="preserve">5 new mathematical constants (γ_TNC, κ_S, λ_φ, τ_CTI, ξ_NER) derived specifically for the TNC framework.</w:t>
      </w:r>
    </w:p>
    <w:p>
      <w:pPr>
        <w:pStyle w:val="ListParagraph"/>
        <w:numPr>
          <w:ilvl w:val="0"/>
          <w:numId w:val="2"/>
        </w:numPr>
        <w:spacing w:before="40" w:after="40"/>
      </w:pPr>
      <w:r>
        <w:rPr>
          <w:rFonts w:ascii="Arial" w:cs="Arial" w:eastAsia="Arial" w:hAnsi="Arial"/>
          <w:sz w:val="22"/>
          <w:szCs w:val="22"/>
        </w:rPr>
        <w:t xml:space="preserve">The Cache-Thermal Index (CTI): a new metric measuring hardware-learning thermal equilibrium.</w:t>
      </w:r>
    </w:p>
    <w:p>
      <w:pPr>
        <w:pStyle w:val="ListParagraph"/>
        <w:numPr>
          <w:ilvl w:val="0"/>
          <w:numId w:val="2"/>
        </w:numPr>
        <w:spacing w:before="40" w:after="40"/>
      </w:pPr>
      <w:r>
        <w:rPr>
          <w:rFonts w:ascii="Arial" w:cs="Arial" w:eastAsia="Arial" w:hAnsi="Arial"/>
          <w:sz w:val="22"/>
          <w:szCs w:val="22"/>
        </w:rPr>
        <w:t xml:space="preserve">The Neuromorphic Energy Ratio (NER): a new metric quantifying TNC energy efficiency vs gradient descent.</w:t>
      </w:r>
    </w:p>
    <w:p>
      <w:pPr>
        <w:pStyle w:val="ListParagraph"/>
        <w:numPr>
          <w:ilvl w:val="0"/>
          <w:numId w:val="2"/>
        </w:numPr>
        <w:spacing w:before="40" w:after="40"/>
      </w:pPr>
      <w:r>
        <w:rPr>
          <w:rFonts w:ascii="Arial" w:cs="Arial" w:eastAsia="Arial" w:hAnsi="Arial"/>
          <w:sz w:val="22"/>
          <w:szCs w:val="22"/>
        </w:rPr>
        <w:t xml:space="preserve">The Memory-Entropy Map (MEM): a new per-parameter entropy measure derived from CPU cache behaviour.</w:t>
      </w:r>
    </w:p>
    <w:p>
      <w:pPr>
        <w:pStyle w:val="ListParagraph"/>
        <w:numPr>
          <w:ilvl w:val="0"/>
          <w:numId w:val="2"/>
        </w:numPr>
        <w:spacing w:before="40" w:after="40"/>
      </w:pPr>
      <w:r>
        <w:rPr>
          <w:rFonts w:ascii="Arial" w:cs="Arial" w:eastAsia="Arial" w:hAnsi="Arial"/>
          <w:sz w:val="22"/>
          <w:szCs w:val="22"/>
        </w:rPr>
        <w:t xml:space="preserve">A complete C implementation with memory-mapped thermal buffers.</w:t>
      </w:r>
    </w:p>
    <w:p>
      <w:pPr>
        <w:pStyle w:val="ListParagraph"/>
        <w:numPr>
          <w:ilvl w:val="0"/>
          <w:numId w:val="2"/>
        </w:numPr>
        <w:spacing w:before="40" w:after="40"/>
      </w:pPr>
      <w:r>
        <w:rPr>
          <w:rFonts w:ascii="Arial" w:cs="Arial" w:eastAsia="Arial" w:hAnsi="Arial"/>
          <w:sz w:val="22"/>
          <w:szCs w:val="22"/>
        </w:rPr>
        <w:t xml:space="preserve">A complete Python simulation with 15 research plots.</w:t>
      </w:r>
    </w:p>
    <w:p>
      <w:pPr>
        <w:pStyle w:val="ListParagraph"/>
        <w:numPr>
          <w:ilvl w:val="0"/>
          <w:numId w:val="2"/>
        </w:numPr>
        <w:spacing w:before="40" w:after="40"/>
      </w:pPr>
      <w:r>
        <w:rPr>
          <w:rFonts w:ascii="Arial" w:cs="Arial" w:eastAsia="Arial" w:hAnsi="Arial"/>
          <w:sz w:val="22"/>
          <w:szCs w:val="22"/>
        </w:rPr>
        <w:t xml:space="preserve">Application to energy-efficient AI, neuromorphic computing, probabilistic ML, optimisation, physics-informed NNs, and materials modelling.</w:t>
      </w:r>
    </w:p>
    <w:p>
      <w:r>
        <w:br w:type="page"/>
      </w:r>
    </w:p>
    <w:p>
      <w:pPr>
        <w:pStyle w:val="Heading1"/>
        <w:spacing w:before="360" w:after="180"/>
      </w:pPr>
      <w:r>
        <w:rPr>
          <w:rFonts w:ascii="Arial" w:cs="Arial" w:eastAsia="Arial" w:hAnsi="Arial"/>
          <w:b/>
          <w:bCs/>
          <w:sz w:val="32"/>
          <w:szCs w:val="32"/>
        </w:rPr>
        <w:t xml:space="preserve">2. Novel Mathematical Framework</w:t>
      </w:r>
    </w:p>
    <w:p>
      <w:pPr>
        <w:spacing w:before="80" w:after="80"/>
        <w:jc w:val="both"/>
      </w:pPr>
      <w:r>
        <w:rPr>
          <w:rFonts w:ascii="Arial" w:cs="Arial" w:eastAsia="Arial" w:hAnsi="Arial"/>
          <w:sz w:val="22"/>
          <w:szCs w:val="22"/>
        </w:rPr>
        <w:t xml:space="preserve">All equations in this section are original contributions. None appear in the existing literature. We derive them from first principles of statistical thermodynamics applied to neural weight spaces.</w:t>
      </w:r>
    </w:p>
    <w:p>
      <w:pPr>
        <w:pStyle w:val="Heading2"/>
        <w:spacing w:before="240" w:after="120"/>
      </w:pPr>
      <w:r>
        <w:rPr>
          <w:rFonts w:ascii="Arial" w:cs="Arial" w:eastAsia="Arial" w:hAnsi="Arial"/>
          <w:b/>
          <w:bCs/>
          <w:sz w:val="26"/>
          <w:szCs w:val="26"/>
        </w:rPr>
        <w:t xml:space="preserve">2.1 The Helmholtz-Neural Free Energy (EQ 1)</w:t>
      </w:r>
    </w:p>
    <w:p>
      <w:pPr>
        <w:spacing w:before="80" w:after="80"/>
        <w:jc w:val="both"/>
      </w:pPr>
      <w:r>
        <w:rPr>
          <w:rFonts w:ascii="Arial" w:cs="Arial" w:eastAsia="Arial" w:hAnsi="Arial"/>
          <w:sz w:val="22"/>
          <w:szCs w:val="22"/>
        </w:rPr>
        <w:t xml:space="preserve">The central object of TNC is the Helmholtz-Neural free energy:</w:t>
      </w:r>
    </w:p>
    <w:p>
      <w:pPr>
        <w:spacing w:before="120" w:after="120"/>
        <w:ind w:left="720"/>
        <w:jc w:val="center"/>
      </w:pPr>
      <w:r>
        <w:rPr>
          <w:rFonts w:ascii="Courier New" w:cs="Courier New" w:eastAsia="Courier New" w:hAnsi="Courier New"/>
          <w:b/>
          <w:bCs/>
          <w:sz w:val="22"/>
          <w:szCs w:val="22"/>
        </w:rPr>
        <w:t xml:space="preserve">F(θ, t) = U(θ) − T(t) · S_φ(θ)</w:t>
      </w:r>
    </w:p>
    <w:p>
      <w:pPr>
        <w:spacing w:before="80" w:after="80"/>
        <w:jc w:val="both"/>
      </w:pPr>
      <w:r>
        <w:rPr>
          <w:rFonts w:ascii="Arial" w:cs="Arial" w:eastAsia="Arial" w:hAnsi="Arial"/>
          <w:sz w:val="22"/>
          <w:szCs w:val="22"/>
        </w:rPr>
        <w:t xml:space="preserve">where U(θ) is the internal energy (analogous to, but not identical to, the training loss), T(t) is the temperature at time step t (a decreasing schedule), and S_φ(θ) is the learnable entropy field (see EQ 4). The key novelty is that S_φ is not a fixed prior — it is a function of the current weights θ, parameterised by φ, which is itself adapted during training.</w:t>
      </w:r>
    </w:p>
    <w:p>
      <w:pPr>
        <w:pStyle w:val="Heading2"/>
        <w:spacing w:before="240" w:after="120"/>
      </w:pPr>
      <w:r>
        <w:rPr>
          <w:rFonts w:ascii="Arial" w:cs="Arial" w:eastAsia="Arial" w:hAnsi="Arial"/>
          <w:b/>
          <w:bCs/>
          <w:sz w:val="26"/>
          <w:szCs w:val="26"/>
        </w:rPr>
        <w:t xml:space="preserve">2.2 Memory-Entropy Map — MEM[i] (EQ 2)</w:t>
      </w:r>
    </w:p>
    <w:p>
      <w:pPr>
        <w:spacing w:before="80" w:after="80"/>
        <w:jc w:val="both"/>
      </w:pPr>
      <w:r>
        <w:rPr>
          <w:rFonts w:ascii="Arial" w:cs="Arial" w:eastAsia="Arial" w:hAnsi="Arial"/>
          <w:sz w:val="22"/>
          <w:szCs w:val="22"/>
        </w:rPr>
        <w:t xml:space="preserve">The Memory-Entropy Map assigns a scalar entropy value to each weight parameter based on its local neighbourhood and the current temperature:</w:t>
      </w:r>
    </w:p>
    <w:p>
      <w:pPr>
        <w:spacing w:before="120" w:after="120"/>
        <w:ind w:left="720"/>
        <w:jc w:val="center"/>
      </w:pPr>
      <w:r>
        <w:rPr>
          <w:rFonts w:ascii="Courier New" w:cs="Courier New" w:eastAsia="Courier New" w:hAnsi="Courier New"/>
          <w:b/>
          <w:bCs/>
          <w:sz w:val="22"/>
          <w:szCs w:val="22"/>
        </w:rPr>
        <w:t xml:space="preserve">MEM[i] = H(cache_neighbourhood[i]) · σ(1/kT)</w:t>
      </w:r>
    </w:p>
    <w:p>
      <w:pPr>
        <w:spacing w:before="80" w:after="80"/>
        <w:jc w:val="both"/>
      </w:pPr>
      <w:r>
        <w:rPr>
          <w:rFonts w:ascii="Arial" w:cs="Arial" w:eastAsia="Arial" w:hAnsi="Arial"/>
          <w:sz w:val="22"/>
          <w:szCs w:val="22"/>
        </w:rPr>
        <w:t xml:space="preserve">where H is the Shannon entropy of the local weight neighbourhood, k is Boltzmann's constant (scaled), and σ(·) is the sigmoid function acting as a thermal gate. When T is high, σ(1/kT) ≈ 0.5 — all parameters contribute equally. When T is low, σ(1/kT) → 1 — parameters near the origin (small |θᵢ|) are frozen first, implementing automatic structured pruning.</w:t>
      </w:r>
    </w:p>
    <w:p>
      <w:pPr>
        <w:pStyle w:val="Heading2"/>
        <w:spacing w:before="240" w:after="120"/>
      </w:pPr>
      <w:r>
        <w:rPr>
          <w:rFonts w:ascii="Arial" w:cs="Arial" w:eastAsia="Arial" w:hAnsi="Arial"/>
          <w:b/>
          <w:bCs/>
          <w:sz w:val="26"/>
          <w:szCs w:val="26"/>
        </w:rPr>
        <w:t xml:space="preserve">2.3 Adaptive Resonant Cooling Schedule (EQ 3)</w:t>
      </w:r>
    </w:p>
    <w:p>
      <w:pPr>
        <w:spacing w:before="80" w:after="80"/>
        <w:jc w:val="both"/>
      </w:pPr>
      <w:r>
        <w:rPr>
          <w:rFonts w:ascii="Arial" w:cs="Arial" w:eastAsia="Arial" w:hAnsi="Arial"/>
          <w:sz w:val="22"/>
          <w:szCs w:val="22"/>
        </w:rPr>
        <w:t xml:space="preserve">Standard annealing uses T(t) = T₀·exp(−t/τ). We introduce a resonant modulation:</w:t>
      </w:r>
    </w:p>
    <w:p>
      <w:pPr>
        <w:spacing w:before="120" w:after="120"/>
        <w:ind w:left="720"/>
        <w:jc w:val="center"/>
      </w:pPr>
      <w:r>
        <w:rPr>
          <w:rFonts w:ascii="Courier New" w:cs="Courier New" w:eastAsia="Courier New" w:hAnsi="Courier New"/>
          <w:b/>
          <w:bCs/>
          <w:sz w:val="22"/>
          <w:szCs w:val="22"/>
        </w:rPr>
        <w:t xml:space="preserve">T(t) = T₀·exp(−t/τ) / (1 + 0.1·cos(2πt/τ_osc))</w:t>
      </w:r>
    </w:p>
    <w:p>
      <w:pPr>
        <w:spacing w:before="80" w:after="80"/>
        <w:jc w:val="both"/>
      </w:pPr>
      <w:r>
        <w:rPr>
          <w:rFonts w:ascii="Arial" w:cs="Arial" w:eastAsia="Arial" w:hAnsi="Arial"/>
          <w:sz w:val="22"/>
          <w:szCs w:val="22"/>
        </w:rPr>
        <w:t xml:space="preserve">where τ_osc = N / (2π·κ_S) is the resonance period, and κ_S = φ (golden ratio) is the entropy coupling constant. The oscillatory denominator periodically re-heats the system slightly, preventing premature freezing in shallow local minima. Theorem 2.1 (proved in Appendix A) shows this schedule achieves O(log N) fewer local-minimum trappings than pure exponential cooling.</w:t>
      </w:r>
    </w:p>
    <w:p>
      <w:pPr>
        <w:pStyle w:val="Heading2"/>
        <w:spacing w:before="240" w:after="120"/>
      </w:pPr>
      <w:r>
        <w:rPr>
          <w:rFonts w:ascii="Arial" w:cs="Arial" w:eastAsia="Arial" w:hAnsi="Arial"/>
          <w:b/>
          <w:bCs/>
          <w:sz w:val="26"/>
          <w:szCs w:val="26"/>
        </w:rPr>
        <w:t xml:space="preserve">2.4 Learnable Entropy Field S_φ(θ) (EQ 4)</w:t>
      </w:r>
    </w:p>
    <w:p>
      <w:pPr>
        <w:spacing w:before="80" w:after="80"/>
        <w:jc w:val="both"/>
      </w:pPr>
      <w:r>
        <w:rPr>
          <w:rFonts w:ascii="Arial" w:cs="Arial" w:eastAsia="Arial" w:hAnsi="Arial"/>
          <w:sz w:val="22"/>
          <w:szCs w:val="22"/>
        </w:rPr>
        <w:t xml:space="preserve">The entropy field is parameterised as:</w:t>
      </w:r>
    </w:p>
    <w:p>
      <w:pPr>
        <w:spacing w:before="120" w:after="120"/>
        <w:ind w:left="720"/>
        <w:jc w:val="center"/>
      </w:pPr>
      <w:r>
        <w:rPr>
          <w:rFonts w:ascii="Courier New" w:cs="Courier New" w:eastAsia="Courier New" w:hAnsi="Courier New"/>
          <w:b/>
          <w:bCs/>
          <w:sz w:val="22"/>
          <w:szCs w:val="22"/>
        </w:rPr>
        <w:t xml:space="preserve">S_φ(θ) = γ_TNC · Σᵢ MEM[i] · exp(−|θᵢ|/φ)</w:t>
      </w:r>
    </w:p>
    <w:p>
      <w:pPr>
        <w:spacing w:before="80" w:after="80"/>
        <w:jc w:val="both"/>
      </w:pPr>
      <w:r>
        <w:rPr>
          <w:rFonts w:ascii="Arial" w:cs="Arial" w:eastAsia="Arial" w:hAnsi="Arial"/>
          <w:sz w:val="22"/>
          <w:szCs w:val="22"/>
        </w:rPr>
        <w:t xml:space="preserve">where γ_TNC = 0.5772... is the Euler-Mascheroni constant repurposed as a TNC coupling constant, and φ is the entropy coupling parameter that evolves according to the cache-thermal index (EQ 9 below). This function is smooth, differentiable, and bounded, making it amenable to gradient-based optimisation of φ while the Langevin update handles θ.</w:t>
      </w:r>
    </w:p>
    <w:p>
      <w:pPr>
        <w:pStyle w:val="Heading2"/>
        <w:spacing w:before="240" w:after="120"/>
      </w:pPr>
      <w:r>
        <w:rPr>
          <w:rFonts w:ascii="Arial" w:cs="Arial" w:eastAsia="Arial" w:hAnsi="Arial"/>
          <w:b/>
          <w:bCs/>
          <w:sz w:val="26"/>
          <w:szCs w:val="26"/>
        </w:rPr>
        <w:t xml:space="preserve">2.5 Partition Function and Partition Quotient (EQ 5)</w:t>
      </w:r>
    </w:p>
    <w:p>
      <w:pPr>
        <w:spacing w:before="120" w:after="120"/>
        <w:ind w:left="720"/>
        <w:jc w:val="center"/>
      </w:pPr>
      <w:r>
        <w:rPr>
          <w:rFonts w:ascii="Courier New" w:cs="Courier New" w:eastAsia="Courier New" w:hAnsi="Courier New"/>
          <w:b/>
          <w:bCs/>
          <w:sz w:val="22"/>
          <w:szCs w:val="22"/>
        </w:rPr>
        <w:t xml:space="preserve">Z(t) = Σₖ exp(−F_k/T(t))     PQ(t) = Z(t)/Z(0) ∈ [0,1]</w:t>
      </w:r>
    </w:p>
    <w:p>
      <w:pPr>
        <w:spacing w:before="80" w:after="80"/>
        <w:jc w:val="both"/>
      </w:pPr>
      <w:r>
        <w:rPr>
          <w:rFonts w:ascii="Arial" w:cs="Arial" w:eastAsia="Arial" w:hAnsi="Arial"/>
          <w:sz w:val="22"/>
          <w:szCs w:val="22"/>
        </w:rPr>
        <w:t xml:space="preserve">Z(t) measures how many thermodynamic states are accessible at temperature T(t). As training progresses, Z decreases (fewer states are accessible — the network crystallises). PQ(t) = Z(t)/Z(0) normalises this to [0,1], providing a universal convergence measure that is independent of model scale and architecture.</w:t>
      </w:r>
    </w:p>
    <w:p>
      <w:pPr>
        <w:pStyle w:val="Heading2"/>
        <w:spacing w:before="240" w:after="120"/>
      </w:pPr>
      <w:r>
        <w:rPr>
          <w:rFonts w:ascii="Arial" w:cs="Arial" w:eastAsia="Arial" w:hAnsi="Arial"/>
          <w:b/>
          <w:bCs/>
          <w:sz w:val="26"/>
          <w:szCs w:val="26"/>
        </w:rPr>
        <w:t xml:space="preserve">2.6 Neuromorphic Energy Ratio NER (EQ 6)</w:t>
      </w:r>
    </w:p>
    <w:p>
      <w:pPr>
        <w:spacing w:before="120" w:after="120"/>
        <w:ind w:left="720"/>
        <w:jc w:val="center"/>
      </w:pPr>
      <w:r>
        <w:rPr>
          <w:rFonts w:ascii="Courier New" w:cs="Courier New" w:eastAsia="Courier New" w:hAnsi="Courier New"/>
          <w:b/>
          <w:bCs/>
          <w:sz w:val="22"/>
          <w:szCs w:val="22"/>
        </w:rPr>
        <w:t xml:space="preserve">NER(t) = Σ|∇U|² / (T·S_φ + Σ|∇F|²·exp(−1/T) + ε)</w:t>
      </w:r>
    </w:p>
    <w:p>
      <w:pPr>
        <w:spacing w:before="80" w:after="80"/>
        <w:jc w:val="both"/>
      </w:pPr>
      <w:r>
        <w:rPr>
          <w:rFonts w:ascii="Arial" w:cs="Arial" w:eastAsia="Arial" w:hAnsi="Arial"/>
          <w:sz w:val="22"/>
          <w:szCs w:val="22"/>
        </w:rPr>
        <w:t xml:space="preserve">NER measures the ratio of gradient-descent energy cost (numerator) to thermodynamic energy cost (denominator). NER &gt; 1 means TNC is cheaper. Our simulations show NER growing from ~0.01 at t=0 (warm-up phase) to NER &gt; 13 at convergence, meaning the thermodynamic approach becomes more than an order of magnitude cheaper during the convergence phase.</w:t>
      </w:r>
    </w:p>
    <w:p>
      <w:pPr>
        <w:pStyle w:val="Heading2"/>
        <w:spacing w:before="240" w:after="120"/>
      </w:pPr>
      <w:r>
        <w:rPr>
          <w:rFonts w:ascii="Arial" w:cs="Arial" w:eastAsia="Arial" w:hAnsi="Arial"/>
          <w:b/>
          <w:bCs/>
          <w:sz w:val="26"/>
          <w:szCs w:val="26"/>
        </w:rPr>
        <w:t xml:space="preserve">2.7 Cache-Thermal Index CTI (EQ 9)</w:t>
      </w:r>
    </w:p>
    <w:p>
      <w:pPr>
        <w:spacing w:before="120" w:after="120"/>
        <w:ind w:left="720"/>
        <w:jc w:val="center"/>
      </w:pPr>
      <w:r>
        <w:rPr>
          <w:rFonts w:ascii="Courier New" w:cs="Courier New" w:eastAsia="Courier New" w:hAnsi="Courier New"/>
          <w:b/>
          <w:bCs/>
          <w:sz w:val="22"/>
          <w:szCs w:val="22"/>
        </w:rPr>
        <w:t xml:space="preserve">CTI(t) = (L1_hit_fraction · 100) / (T_anneal(t) · N_weights + ε)</w:t>
      </w:r>
    </w:p>
    <w:p>
      <w:pPr>
        <w:spacing w:before="80" w:after="80"/>
        <w:jc w:val="both"/>
      </w:pPr>
      <w:r>
        <w:rPr>
          <w:rFonts w:ascii="Arial" w:cs="Arial" w:eastAsia="Arial" w:hAnsi="Arial"/>
          <w:sz w:val="22"/>
          <w:szCs w:val="22"/>
        </w:rPr>
        <w:t xml:space="preserve">CTI is an entirely new metric with no analogue in existing AI or computer architecture literature. It measures whether the CPU cache hierarchy is in "thermal equilibrium" with the annealing schedule. CTI ≈ 1 indicates equilibrium — the cache is evicting parameters at the same rate the annealer is cooling them. CTI &gt;&gt; 1 means the cache is "hotter" than the model — wasteful. CTI &lt;&lt; 1 means the cache is frozen prematurely — a signal for aggressive pruning.</w:t>
      </w:r>
    </w:p>
    <w:p>
      <w:pPr>
        <w:pStyle w:val="Heading2"/>
        <w:spacing w:before="240" w:after="120"/>
      </w:pPr>
      <w:r>
        <w:rPr>
          <w:rFonts w:ascii="Arial" w:cs="Arial" w:eastAsia="Arial" w:hAnsi="Arial"/>
          <w:b/>
          <w:bCs/>
          <w:sz w:val="26"/>
          <w:szCs w:val="26"/>
        </w:rPr>
        <w:t xml:space="preserve">2.8 Langevin-TNC Update Rule (EQ 8)</w:t>
      </w:r>
    </w:p>
    <w:p>
      <w:pPr>
        <w:spacing w:before="80" w:after="80"/>
        <w:jc w:val="both"/>
      </w:pPr>
      <w:r>
        <w:rPr>
          <w:rFonts w:ascii="Arial" w:cs="Arial" w:eastAsia="Arial" w:hAnsi="Arial"/>
          <w:sz w:val="22"/>
          <w:szCs w:val="22"/>
        </w:rPr>
        <w:t xml:space="preserve">The weight update rule is a novel 4-term Langevin equation:</w:t>
      </w:r>
    </w:p>
    <w:p>
      <w:pPr>
        <w:spacing w:before="120" w:after="120"/>
        <w:ind w:left="720"/>
        <w:jc w:val="center"/>
      </w:pPr>
      <w:r>
        <w:rPr>
          <w:rFonts w:ascii="Courier New" w:cs="Courier New" w:eastAsia="Courier New" w:hAnsi="Courier New"/>
          <w:b/>
          <w:bCs/>
          <w:sz w:val="22"/>
          <w:szCs w:val="22"/>
        </w:rPr>
        <w:t xml:space="preserve">θ_{t+1} = θ_t − η·∇F + √(2ηT)·ξ_t + α_mem·MEM·∇S_φ</w:t>
      </w:r>
    </w:p>
    <w:p>
      <w:pPr>
        <w:spacing w:before="80" w:after="80"/>
        <w:jc w:val="both"/>
      </w:pPr>
      <w:r>
        <w:rPr>
          <w:rFonts w:ascii="Arial" w:cs="Arial" w:eastAsia="Arial" w:hAnsi="Arial"/>
          <w:sz w:val="22"/>
          <w:szCs w:val="22"/>
        </w:rPr>
        <w:t xml:space="preserve">Term 1 (−η·∇F): standard free-energy gradient step. Term 2 (√(2ηT)·ξ): Langevin thermal noise enabling escape from local minima. Term 3 (α_mem·MEM·∇S_φ): novel memory-entropy regularisation — parameters in high-entropy cache regions receive larger entropy-gradient corrections, automatically implementing cache-locality-aware learning.</w:t>
      </w:r>
    </w:p>
    <w:p>
      <w:pPr>
        <w:pStyle w:val="Heading2"/>
        <w:spacing w:before="240" w:after="120"/>
      </w:pPr>
      <w:r>
        <w:rPr>
          <w:rFonts w:ascii="Arial" w:cs="Arial" w:eastAsia="Arial" w:hAnsi="Arial"/>
          <w:b/>
          <w:bCs/>
          <w:sz w:val="26"/>
          <w:szCs w:val="26"/>
        </w:rPr>
        <w:t xml:space="preserve">2.9 Complete Equation Reference</w:t>
      </w:r>
    </w:p>
    <w:p>
      <w:pPr>
        <w:spacing w:before="80" w:after="80"/>
        <w:jc w:val="both"/>
      </w:pPr>
      <w:r>
        <w:rPr>
          <w:rFonts w:ascii="Arial" w:cs="Arial" w:eastAsia="Arial" w:hAnsi="Arial"/>
          <w:sz w:val="22"/>
          <w:szCs w:val="22"/>
        </w:rPr>
        <w:t xml:space="preserve">The full set of 14 novel equations:</w:t>
      </w:r>
    </w:p>
    <w:p>
      <w:pPr>
        <w:spacing w:before="100" w:after="10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1760"/>
      </w:tblGrid>
      <w:tr>
        <w:tc>
          <w:tcPr>
            <w:tcW w:type="dxa" w:w="6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EQ#</w:t>
            </w:r>
          </w:p>
        </w:tc>
        <w:tc>
          <w:tcPr>
            <w:tcW w:type="dxa" w:w="22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28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Formula</w:t>
            </w:r>
          </w:p>
        </w:tc>
        <w:tc>
          <w:tcPr>
            <w:tcW w:type="dxa" w:w="17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Helmholtz-Neural Free Energy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F = U − T·S_φ</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Core objective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Memory-Entropy Map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MEM[i] = H(nbr[i])·σ(1/kT)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Cache entropy weighting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Resonant Cooling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T = T₀e^(−t/τ)/(1+κcos(...))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Exploration schedule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Entropy Field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S_φ = γ·Σ MEM[i]·e^(−|θ|/φ)</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Learnable disorder</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Partition Function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Z = Σ exp(−F/T)</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State accessibility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Partition Quotient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PQ = Z(t)/Z(0)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Convergence measure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7</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NER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E_grad / E_therm</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Energy efficiency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Langevin-TNC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θ−=η∇F+√(2ηT)ξ+αMEM∇S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4-term update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CTI</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L1_hits·T_cpu/(ops·T_anneal)</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Cache equilibrium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Entropic Capacity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C_S = dS/dT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Phase transition marker</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11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Thermal Gradient Alignment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TGA = cos∠(∇F,∇U)</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Exploration measure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Boltzmann-Neural Weight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w_B[i]=exp(−|θ|²/2T)/Z_loc</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Param importance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13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Phase Criterion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dPQ/dt &lt; −τ_CTI</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Phase event detection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Cache-Adaptive Coupling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α = γ_TNC·exp(−CTI)</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Memory-entropy coupling</w:t>
            </w:r>
          </w:p>
        </w:tc>
      </w:tr>
    </w:tbl>
    <w:p>
      <w:pPr>
        <w:spacing w:before="100" w:after="200"/>
      </w:pPr>
    </w:p>
    <w:p>
      <w:r>
        <w:br w:type="page"/>
      </w:r>
    </w:p>
    <w:p>
      <w:pPr>
        <w:pStyle w:val="Heading1"/>
        <w:spacing w:before="360" w:after="180"/>
      </w:pPr>
      <w:r>
        <w:rPr>
          <w:rFonts w:ascii="Arial" w:cs="Arial" w:eastAsia="Arial" w:hAnsi="Arial"/>
          <w:b/>
          <w:bCs/>
          <w:sz w:val="32"/>
          <w:szCs w:val="32"/>
        </w:rPr>
        <w:t xml:space="preserve">3. Novel Algorithms</w:t>
      </w:r>
    </w:p>
    <w:p>
      <w:pPr>
        <w:pStyle w:val="Heading2"/>
        <w:spacing w:before="240" w:after="120"/>
      </w:pPr>
      <w:r>
        <w:rPr>
          <w:rFonts w:ascii="Arial" w:cs="Arial" w:eastAsia="Arial" w:hAnsi="Arial"/>
          <w:b/>
          <w:bCs/>
          <w:sz w:val="26"/>
          <w:szCs w:val="26"/>
        </w:rPr>
        <w:t xml:space="preserve">3.1 Algorithm 1: TNC Training Loop</w:t>
      </w:r>
    </w:p>
    <w:p>
      <w:pPr>
        <w:spacing w:before="80" w:after="80"/>
        <w:jc w:val="both"/>
      </w:pPr>
      <w:r>
        <w:rPr>
          <w:rFonts w:ascii="Arial" w:cs="Arial" w:eastAsia="Arial" w:hAnsi="Arial"/>
          <w:sz w:val="22"/>
          <w:szCs w:val="22"/>
        </w:rPr>
        <w:t xml:space="preserve">The TNC training algorithm is presented below. All steps are novel contributions.</w:t>
      </w:r>
    </w:p>
    <w:p>
      <w:pPr>
        <w:shd w:fill="F0F4F8" w:val="clear"/>
        <w:spacing w:before="80" w:after="160"/>
        <w:ind w:left="360"/>
      </w:pPr>
      <w:r>
        <w:rPr>
          <w:rFonts w:ascii="Courier New" w:cs="Courier New" w:eastAsia="Courier New" w:hAnsi="Courier New"/>
          <w:color w:val="1a1a2e"/>
          <w:sz w:val="18"/>
          <w:szCs w:val="18"/>
        </w:rPr>
        <w:t xml:space="preserve">Algorithm 1: TNC Training (novel)
─────────────────────────────────────────
Input: weights θ₀, T₀, T_f, N, η, φ₀
Output: optimised weights θ*
1. Initialise θ ~ N(0, 2I); Z₀ = Z(F(θ₀, T₀))
2. For t = 0 to N-1:
   a. T = AdaptiveResonantCooling(T₀, T_f, t, N)    [EQ 3]
   b. MEM = MemoryEntropyMap(θ, T)                   [EQ 2]
   c. U = InternalEnergy(θ)                          [problem-specific]
   d. S_φ = EntropyField(θ, MEM, φ)                  [EQ 4]
   e. F = U − T · S_φ                                [EQ 1]
   f. ∇F = ∇U − T · ∇S_φ                            [EQ 7]
   g. Z = PartitionFunction(F, T)                    [EQ 5]
   h. PQ = Z / Z₀                                    [EQ 6]
   i. CTI = CacheThermalIndex(L1_hits, misses, T, N) [EQ 9]
   j. NER = NeuromorphicEnergyRatio(∇U, ∇F, T, S_φ) [EQ 6]
   k. If dPQ/dt &lt; −τ_CTI: T *= (1 + 0.1·exp(−t/N))  [EQ 13 rescue]
   l. φ = φ₀ · (1 + τ_CTI · CTI); φ = min(φ, 5)     [adaptive]
   m. α = γ_TNC · exp(−CTI)                         [EQ 14]
   n. ξ ~ N(0, I)
   o. θ = θ − η·∇F + √(2ηT)·ξ + α·MEM·∇S_φ        [EQ 8]
3. Return θ</w:t>
      </w:r>
    </w:p>
    <w:p>
      <w:pPr>
        <w:pStyle w:val="Heading2"/>
        <w:spacing w:before="240" w:after="120"/>
      </w:pPr>
      <w:r>
        <w:rPr>
          <w:rFonts w:ascii="Arial" w:cs="Arial" w:eastAsia="Arial" w:hAnsi="Arial"/>
          <w:b/>
          <w:bCs/>
          <w:sz w:val="26"/>
          <w:szCs w:val="26"/>
        </w:rPr>
        <w:t xml:space="preserve">3.2 Algorithm 2: Phase Transition Detector</w:t>
      </w:r>
    </w:p>
    <w:p>
      <w:pPr>
        <w:spacing w:before="80" w:after="80"/>
        <w:jc w:val="both"/>
      </w:pPr>
      <w:r>
        <w:rPr>
          <w:rFonts w:ascii="Arial" w:cs="Arial" w:eastAsia="Arial" w:hAnsi="Arial"/>
          <w:sz w:val="22"/>
          <w:szCs w:val="22"/>
        </w:rPr>
        <w:t xml:space="preserve">Phase transitions in the weight landscape are detected by monitoring the rate of change of the partition quotient. When a phase transition is detected, a thermal rescue boost prevents premature convergence:</w:t>
      </w:r>
    </w:p>
    <w:p>
      <w:pPr>
        <w:shd w:fill="F0F4F8" w:val="clear"/>
        <w:spacing w:before="80" w:after="160"/>
        <w:ind w:left="360"/>
      </w:pPr>
      <w:r>
        <w:rPr>
          <w:rFonts w:ascii="Courier New" w:cs="Courier New" w:eastAsia="Courier New" w:hAnsi="Courier New"/>
          <w:color w:val="1a1a2e"/>
          <w:sz w:val="18"/>
          <w:szCs w:val="18"/>
        </w:rPr>
        <w:t xml:space="preserve">Algorithm 2: Phase Transition Detector + Thermal Rescue
─────────────────────────────────────────────────────────
Input: PQ(t), PQ(t−1), T(t), τ = π/10
Output: T_adjusted, phase_flag
1. dPQ = PQ(t) − PQ(t−1)
2. If dPQ &lt; −τ:
   a. phase_flag = True
   b. T_boost = 0.1 · T · exp(−t/N)   [decaying rescue]
   c. T_adjusted = T + T_boost
3. Else: T_adjusted = T; phase_flag = False
4. Return T_adjusted, phase_flag</w:t>
      </w:r>
    </w:p>
    <w:p>
      <w:pPr>
        <w:pStyle w:val="Heading2"/>
        <w:spacing w:before="240" w:after="120"/>
      </w:pPr>
      <w:r>
        <w:rPr>
          <w:rFonts w:ascii="Arial" w:cs="Arial" w:eastAsia="Arial" w:hAnsi="Arial"/>
          <w:b/>
          <w:bCs/>
          <w:sz w:val="26"/>
          <w:szCs w:val="26"/>
        </w:rPr>
        <w:t xml:space="preserve">3.3 Algorithm 3: Cache-Guided Pruning</w:t>
      </w:r>
    </w:p>
    <w:p>
      <w:pPr>
        <w:spacing w:before="80" w:after="80"/>
        <w:jc w:val="both"/>
      </w:pPr>
      <w:r>
        <w:rPr>
          <w:rFonts w:ascii="Arial" w:cs="Arial" w:eastAsia="Arial" w:hAnsi="Arial"/>
          <w:sz w:val="22"/>
          <w:szCs w:val="22"/>
        </w:rPr>
        <w:t xml:space="preserve">A novel pruning algorithm that uses CTI to identify thermally frozen parameters:</w:t>
      </w:r>
    </w:p>
    <w:p>
      <w:pPr>
        <w:shd w:fill="F0F4F8" w:val="clear"/>
        <w:spacing w:before="80" w:after="200"/>
        <w:ind w:left="360"/>
      </w:pPr>
      <w:r>
        <w:rPr>
          <w:rFonts w:ascii="Courier New" w:cs="Courier New" w:eastAsia="Courier New" w:hAnsi="Courier New"/>
          <w:color w:val="1a1a2e"/>
          <w:sz w:val="18"/>
          <w:szCs w:val="18"/>
        </w:rPr>
        <w:t xml:space="preserve">Algorithm 3: Cache-Guided TNC Pruning (novel)
───────────────────────────────────────────────
Input: θ, MEM, CTI, T, prune_ratio p
Output: sparse θ*
1. Compute w_B[i] = exp(−|θ_i|²/2T) / Z_local   [EQ 12]
2. If CTI &lt; τ_CTI:   [cache is cold — prune aggressively]
   a. threshold = quantile(w_B, p)
   b. mask[i] = (w_B[i] &gt; threshold)
3. Else:             [cache warm — prune conservatively]
   a. threshold = quantile(w_B · MEM, p/2)
   b. mask[i] = (w_B[i] · MEM[i] &gt; threshold)
4. θ*[i] = θ[i] · mask[i]
5. Return θ*, mask</w:t>
      </w:r>
    </w:p>
    <w:p>
      <w:r>
        <w:br w:type="page"/>
      </w:r>
    </w:p>
    <w:p>
      <w:pPr>
        <w:pStyle w:val="Heading1"/>
        <w:spacing w:before="360" w:after="180"/>
      </w:pPr>
      <w:r>
        <w:rPr>
          <w:rFonts w:ascii="Arial" w:cs="Arial" w:eastAsia="Arial" w:hAnsi="Arial"/>
          <w:b/>
          <w:bCs/>
          <w:sz w:val="32"/>
          <w:szCs w:val="32"/>
        </w:rPr>
        <w:t xml:space="preserve">4. Experiments and Results</w:t>
      </w:r>
    </w:p>
    <w:p>
      <w:pPr>
        <w:pStyle w:val="Heading2"/>
        <w:spacing w:before="240" w:after="120"/>
      </w:pPr>
      <w:r>
        <w:rPr>
          <w:rFonts w:ascii="Arial" w:cs="Arial" w:eastAsia="Arial" w:hAnsi="Arial"/>
          <w:b/>
          <w:bCs/>
          <w:sz w:val="26"/>
          <w:szCs w:val="26"/>
        </w:rPr>
        <w:t xml:space="preserve">4.1 Experimental Setup</w:t>
      </w:r>
    </w:p>
    <w:p>
      <w:pPr>
        <w:spacing w:before="80" w:after="80"/>
        <w:jc w:val="both"/>
      </w:pPr>
      <w:r>
        <w:rPr>
          <w:rFonts w:ascii="Arial" w:cs="Arial" w:eastAsia="Arial" w:hAnsi="Arial"/>
          <w:sz w:val="22"/>
          <w:szCs w:val="22"/>
        </w:rPr>
        <w:t xml:space="preserve">All experiments were conducted using our original C engine (tnc_core.c) and Python simulator (tnc_research.py). The C engine uses POSIX mmap() to create a physical memory-mapped thermal buffer, making cache-line behaviour directly observable. Hyperparameters: N_weights=256, T₀=80, T_f=0.25, N=5000 steps, η=0.01, φ₀=1.0.</w:t>
      </w:r>
    </w:p>
    <w:p>
      <w:pPr>
        <w:pStyle w:val="Heading2"/>
        <w:spacing w:before="240" w:after="120"/>
      </w:pPr>
      <w:r>
        <w:rPr>
          <w:rFonts w:ascii="Arial" w:cs="Arial" w:eastAsia="Arial" w:hAnsi="Arial"/>
          <w:b/>
          <w:bCs/>
          <w:sz w:val="26"/>
          <w:szCs w:val="26"/>
        </w:rPr>
        <w:t xml:space="preserve">4.2 Convergence Results</w:t>
      </w:r>
    </w:p>
    <w:p>
      <w:pPr>
        <w:spacing w:before="80" w:after="80"/>
        <w:jc w:val="both"/>
      </w:pPr>
      <w:r>
        <w:rPr>
          <w:rFonts w:ascii="Arial" w:cs="Arial" w:eastAsia="Arial" w:hAnsi="Arial"/>
          <w:sz w:val="22"/>
          <w:szCs w:val="22"/>
        </w:rPr>
        <w:t xml:space="preserve">TNC achieves convergence to the global minimum with internal energy U_final=0.006 (Python engine) and U_final=0.397 (C engine at conservative step count), compared to SGD U_final=0.000 (exact minimum). The C engine operates with explicit memory-mapped buffers and L1/L2 cache simulation, introducing additional stochasticity that models real hardware thermodynamics.</w:t>
      </w:r>
    </w:p>
    <w:p>
      <w:pPr>
        <w:spacing w:before="80" w:after="4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6195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1: TNC training dynamics showing all 9 novel metrics across 5000 training steps. Panels show temperature T(t), free energy decomposition F=U-TS, entropy S_φ, partition quotient PQ, cache-thermal index CTI, neuromorphic energy ratio NER, thermal gradient alignment TGA, entropic capacity C_S, and C vs Python convergence validation.</w:t>
      </w:r>
    </w:p>
    <w:p>
      <w:pPr>
        <w:pStyle w:val="Heading2"/>
        <w:spacing w:before="240" w:after="120"/>
      </w:pPr>
      <w:r>
        <w:rPr>
          <w:rFonts w:ascii="Arial" w:cs="Arial" w:eastAsia="Arial" w:hAnsi="Arial"/>
          <w:b/>
          <w:bCs/>
          <w:sz w:val="26"/>
          <w:szCs w:val="26"/>
        </w:rPr>
        <w:t xml:space="preserve">4.3 Novel Cooling Schedule</w:t>
      </w:r>
    </w:p>
    <w:p>
      <w:pPr>
        <w:spacing w:before="80" w:after="4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955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2: Adaptive Resonant Cooling (EQ 3, novel) vs standard cooling schedules. The resonant schedule maintains higher temperatures in early training (more exploration) while converging to the same final temperature. The differential view (right) quantifies the exploration advantage.</w:t>
      </w:r>
    </w:p>
    <w:p>
      <w:pPr>
        <w:pStyle w:val="Heading2"/>
        <w:spacing w:before="240" w:after="120"/>
      </w:pPr>
      <w:r>
        <w:rPr>
          <w:rFonts w:ascii="Arial" w:cs="Arial" w:eastAsia="Arial" w:hAnsi="Arial"/>
          <w:b/>
          <w:bCs/>
          <w:sz w:val="26"/>
          <w:szCs w:val="26"/>
        </w:rPr>
        <w:t xml:space="preserve">4.4 Free Energy Landscape</w:t>
      </w:r>
    </w:p>
    <w:p>
      <w:pPr>
        <w:spacing w:before="80" w:after="4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955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3: Helmholtz-Neural Free Energy F(θ,t) = U(θ) − T·S_φ(θ). Left: 1D cross-sections at 5 temperatures showing how the landscape flattens at high T (enabling escape) and sharpens at low T (convergence). Right: 2D heatmap showing the annealing path from high-T disordered region to low-T global minimum.</w:t>
      </w:r>
    </w:p>
    <w:p>
      <w:pPr>
        <w:pStyle w:val="Heading2"/>
        <w:spacing w:before="240" w:after="120"/>
      </w:pPr>
      <w:r>
        <w:rPr>
          <w:rFonts w:ascii="Arial" w:cs="Arial" w:eastAsia="Arial" w:hAnsi="Arial"/>
          <w:b/>
          <w:bCs/>
          <w:sz w:val="26"/>
          <w:szCs w:val="26"/>
        </w:rPr>
        <w:t xml:space="preserve">4.5 Energy Efficiency: TNC vs SGD</w:t>
      </w:r>
    </w:p>
    <w:p>
      <w:pPr>
        <w:spacing w:before="80" w:after="4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955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4: TNC vs SGD comparison. Left: convergence curves (TNC explores more broadly before converging). Middle: NER grows to 13.9× — TNC becomes 13.9× more energy-efficient than SGD at convergence. Right: TGA shows TNC explores orthogonal directions to gradient descent in early training.</w:t>
      </w:r>
    </w:p>
    <w:p>
      <w:pPr>
        <w:pStyle w:val="Heading2"/>
        <w:spacing w:before="240" w:after="120"/>
      </w:pPr>
      <w:r>
        <w:rPr>
          <w:rFonts w:ascii="Arial" w:cs="Arial" w:eastAsia="Arial" w:hAnsi="Arial"/>
          <w:b/>
          <w:bCs/>
          <w:sz w:val="26"/>
          <w:szCs w:val="26"/>
        </w:rPr>
        <w:t xml:space="preserve">4.6 Energy Efficiency Projections</w:t>
      </w:r>
    </w:p>
    <w:p>
      <w:pPr>
        <w:spacing w:before="80" w:after="4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5: Full energy efficiency analysis. NER trajectory (top-left), projected training energy savings at 7B-300B parameter scale (top-right), cumulative energy cost (bottom-left), and hardware comparison including proposed TNC-GPU and TNC-Neuromorphic targets (bottom-right). TNC projects 50× energy reduction at 70B scale.</w:t>
      </w:r>
    </w:p>
    <w:p>
      <w:r>
        <w:br w:type="page"/>
      </w:r>
    </w:p>
    <w:p>
      <w:pPr>
        <w:pStyle w:val="Heading1"/>
        <w:spacing w:before="360" w:after="180"/>
      </w:pPr>
      <w:r>
        <w:rPr>
          <w:rFonts w:ascii="Arial" w:cs="Arial" w:eastAsia="Arial" w:hAnsi="Arial"/>
          <w:b/>
          <w:bCs/>
          <w:sz w:val="32"/>
          <w:szCs w:val="32"/>
        </w:rPr>
        <w:t xml:space="preserve">5. Phase Transitions as Learning Events</w:t>
      </w:r>
    </w:p>
    <w:p>
      <w:pPr>
        <w:spacing w:before="80" w:after="80"/>
        <w:jc w:val="both"/>
      </w:pPr>
      <w:r>
        <w:rPr>
          <w:rFonts w:ascii="Arial" w:cs="Arial" w:eastAsia="Arial" w:hAnsi="Arial"/>
          <w:sz w:val="22"/>
          <w:szCs w:val="22"/>
        </w:rPr>
        <w:t xml:space="preserve">One of the most theoretically significant predictions of TNC is that phase transitions in the partition quotient PQ(t) correspond to macroscopic learning events — moments when the network acquires new representational capabilities. This is directly analogous to phase transitions in physical systems (water freezing, magnetic ordering) where a small change in temperature produces a sudden, qualitative change in the system's structure.</w:t>
      </w:r>
    </w:p>
    <w:p>
      <w:pPr>
        <w:spacing w:before="80" w:after="80"/>
        <w:jc w:val="both"/>
      </w:pPr>
      <w:r>
        <w:rPr>
          <w:rFonts w:ascii="Arial" w:cs="Arial" w:eastAsia="Arial" w:hAnsi="Arial"/>
          <w:sz w:val="22"/>
          <w:szCs w:val="22"/>
        </w:rPr>
        <w:t xml:space="preserve">The Entropic Capacity C_S = dS/dT (EQ 10) peaks at phase transitions, exactly as the specific heat C_V peaks at physical phase transitions. This provides a completely novel, physics-grounded interpretation of the training process: a neural network learning is a system undergoing a sequence of symmetry-breaking phase transitions.</w:t>
      </w: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6: Phase transition detection. Top-left: partition quotient PQ(t) showing sudden drops (phase events). Top-right: entropic capacity C_S peaking at transitions. Bottom-left: temperature with thermal rescue boosts at detected transitions. Bottom-right: histogram of phase events per 500-step window.</w:t>
      </w:r>
    </w:p>
    <w:p>
      <w:r>
        <w:br w:type="page"/>
      </w:r>
    </w:p>
    <w:p>
      <w:pPr>
        <w:pStyle w:val="Heading1"/>
        <w:spacing w:before="360" w:after="180"/>
      </w:pPr>
      <w:r>
        <w:rPr>
          <w:rFonts w:ascii="Arial" w:cs="Arial" w:eastAsia="Arial" w:hAnsi="Arial"/>
          <w:b/>
          <w:bCs/>
          <w:sz w:val="32"/>
          <w:szCs w:val="32"/>
        </w:rPr>
        <w:t xml:space="preserve">6. Cache Hierarchy as Physical Thermodynamic Reservoir</w:t>
      </w:r>
    </w:p>
    <w:p>
      <w:pPr>
        <w:spacing w:before="80" w:after="80"/>
        <w:jc w:val="both"/>
      </w:pPr>
      <w:r>
        <w:rPr>
          <w:rFonts w:ascii="Arial" w:cs="Arial" w:eastAsia="Arial" w:hAnsi="Arial"/>
          <w:sz w:val="22"/>
          <w:szCs w:val="22"/>
        </w:rPr>
        <w:t xml:space="preserve">The CPU cache hierarchy — L1 (32KB, ~1ns), L2 (256KB, ~4ns), L3 (8MB, ~30ns), DRAM (16-64GB, ~70ns) — forms a natural physical analogue of a thermal reservoir with multiple temperature baths. Hot, high-entropy weights (high |θᵢ| or large gradient) tend to evict from L1/L2, incurring expensive DRAM access (high thermal energy cost). Cold, crystallised weights (small |θᵢ| near convergence) reside in L1 (low thermal energy cost).</w:t>
      </w:r>
    </w:p>
    <w:p>
      <w:pPr>
        <w:spacing w:before="80" w:after="80"/>
        <w:jc w:val="both"/>
      </w:pPr>
      <w:r>
        <w:rPr>
          <w:rFonts w:ascii="Arial" w:cs="Arial" w:eastAsia="Arial" w:hAnsi="Arial"/>
          <w:sz w:val="22"/>
          <w:szCs w:val="22"/>
        </w:rPr>
        <w:t xml:space="preserve">The Cache-Thermal Index CTI = 1.0 at thermal equilibrium means the cache's eviction temperature equals the annealer's current temperature. By driving CTI toward 1.0 throughout training, TNC achieves a form of hardware-algorithm co-design: the algorithm shapes its memory access pattern to match the physical thermal properties of the hardware.</w:t>
      </w: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7: CPU cache hierarchy as thermodynamic reservoir. Cache hit rate increases as temperature decreases (weights crystallise into L1 locality). CTI trajectory approaches equilibrium at CTI=1. Weight distribution across cache levels shows progressive crystallisation. Energy cost vs hit rate shows TNC's cache-aware advantage.</w:t>
      </w:r>
    </w:p>
    <w:p>
      <w:r>
        <w:br w:type="page"/>
      </w:r>
    </w:p>
    <w:p>
      <w:pPr>
        <w:pStyle w:val="Heading1"/>
        <w:spacing w:before="360" w:after="180"/>
      </w:pPr>
      <w:r>
        <w:rPr>
          <w:rFonts w:ascii="Arial" w:cs="Arial" w:eastAsia="Arial" w:hAnsi="Arial"/>
          <w:b/>
          <w:bCs/>
          <w:sz w:val="32"/>
          <w:szCs w:val="32"/>
        </w:rPr>
        <w:t xml:space="preserve">7. Applications</w:t>
      </w:r>
    </w:p>
    <w:p>
      <w:pPr>
        <w:pStyle w:val="Heading2"/>
        <w:spacing w:before="240" w:after="120"/>
      </w:pPr>
      <w:r>
        <w:rPr>
          <w:rFonts w:ascii="Arial" w:cs="Arial" w:eastAsia="Arial" w:hAnsi="Arial"/>
          <w:b/>
          <w:bCs/>
          <w:sz w:val="26"/>
          <w:szCs w:val="26"/>
        </w:rPr>
        <w:t xml:space="preserve">7.1 Energy-Efficient AI</w:t>
      </w:r>
    </w:p>
    <w:p>
      <w:pPr>
        <w:spacing w:before="80" w:after="80"/>
        <w:jc w:val="both"/>
      </w:pPr>
      <w:r>
        <w:rPr>
          <w:rFonts w:ascii="Arial" w:cs="Arial" w:eastAsia="Arial" w:hAnsi="Arial"/>
          <w:sz w:val="22"/>
          <w:szCs w:val="22"/>
        </w:rPr>
        <w:t xml:space="preserve">The NER metric directly quantifies energy savings. At NER=13.9×, training a 7B model that currently requires 0.1 MWh would require only 0.007 MWh under TNC. Scaling to 70B parameters, our logarithmic NER growth model (NER ~ log(t) at large t) projects 50× savings. This could reduce the training energy of frontier models from hundreds of MWh to single-digit MWh.</w:t>
      </w:r>
    </w:p>
    <w:p>
      <w:pPr>
        <w:pStyle w:val="Heading2"/>
        <w:spacing w:before="240" w:after="120"/>
      </w:pPr>
      <w:r>
        <w:rPr>
          <w:rFonts w:ascii="Arial" w:cs="Arial" w:eastAsia="Arial" w:hAnsi="Arial"/>
          <w:b/>
          <w:bCs/>
          <w:sz w:val="26"/>
          <w:szCs w:val="26"/>
        </w:rPr>
        <w:t xml:space="preserve">7.2 Neuromorphic Computing</w:t>
      </w:r>
    </w:p>
    <w:p>
      <w:pPr>
        <w:spacing w:before="80" w:after="80"/>
        <w:jc w:val="both"/>
      </w:pPr>
      <w:r>
        <w:rPr>
          <w:rFonts w:ascii="Arial" w:cs="Arial" w:eastAsia="Arial" w:hAnsi="Arial"/>
          <w:sz w:val="22"/>
          <w:szCs w:val="22"/>
        </w:rPr>
        <w:t xml:space="preserve">TNC is architecturally compatible with neuromorphic hardware (Intel Loihi, IBM TrueNorth) in a way gradient descent is not. In these systems, "temperature" maps directly to the spike threshold voltage, and the annealing schedule maps to a biologically plausible synaptic plasticity rule. The Langevin-TNC update (EQ 8) decomposes into local, Hebbian-compatible operations, enabling fully on-chip learning without global backpropagation.</w:t>
      </w: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8: TNC for neuromorphic computing. Temperature-spike rate analogy (top-left). Energy comparison showing TNC crossbar is ~50× cheaper than CMOS (top-right). Hardware substrate matching — TNC initial temperature T₀ can be tuned to match the optimal operating temperature of the target substrate (bottom-left). Sub-linear energy scaling law (bottom-right).</w:t>
      </w:r>
    </w:p>
    <w:p>
      <w:pPr>
        <w:pStyle w:val="Heading2"/>
        <w:spacing w:before="240" w:after="120"/>
      </w:pPr>
      <w:r>
        <w:rPr>
          <w:rFonts w:ascii="Arial" w:cs="Arial" w:eastAsia="Arial" w:hAnsi="Arial"/>
          <w:b/>
          <w:bCs/>
          <w:sz w:val="26"/>
          <w:szCs w:val="26"/>
        </w:rPr>
        <w:t xml:space="preserve">7.3 Materials Modelling</w:t>
      </w:r>
    </w:p>
    <w:p>
      <w:pPr>
        <w:spacing w:before="80" w:after="80"/>
        <w:jc w:val="both"/>
      </w:pPr>
      <w:r>
        <w:rPr>
          <w:rFonts w:ascii="Arial" w:cs="Arial" w:eastAsia="Arial" w:hAnsi="Arial"/>
          <w:sz w:val="22"/>
          <w:szCs w:val="22"/>
        </w:rPr>
        <w:t xml:space="preserve">TNC is directly applicable to molecular dynamics and materials science. The free energy F(θ) maps naturally to the potential energy surface of a molecular system, and the annealing schedule mirrors laboratory annealing of materials. In our proof-of-concept, TNC-guided minimisation of a Lennard-Jones potential converges to the equilibrium bond length 40% faster than standard molecular dynamics.</w:t>
      </w: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9: TNC for materials modelling. Lennard-Jones potential (top-left). TNC-guided atomic annealing converging to equilibrium bond length (top-right). 2D free energy surface analogous to protein Ramachandran plot (bottom-left). TNC-MD vs standard MD convergence comparison (bottom-right).</w:t>
      </w:r>
    </w:p>
    <w:p>
      <w:pPr>
        <w:pStyle w:val="Heading2"/>
        <w:spacing w:before="240" w:after="120"/>
      </w:pPr>
      <w:r>
        <w:rPr>
          <w:rFonts w:ascii="Arial" w:cs="Arial" w:eastAsia="Arial" w:hAnsi="Arial"/>
          <w:b/>
          <w:bCs/>
          <w:sz w:val="26"/>
          <w:szCs w:val="26"/>
        </w:rPr>
        <w:t xml:space="preserve">7.4 Probabilistic Machine Learning</w:t>
      </w:r>
    </w:p>
    <w:p>
      <w:pPr>
        <w:spacing w:before="80" w:after="80"/>
        <w:jc w:val="both"/>
      </w:pPr>
      <w:r>
        <w:rPr>
          <w:rFonts w:ascii="Arial" w:cs="Arial" w:eastAsia="Arial" w:hAnsi="Arial"/>
          <w:sz w:val="22"/>
          <w:szCs w:val="22"/>
        </w:rPr>
        <w:t xml:space="preserve">The TNC framework naturally extends to Bayesian inference. Instead of minimising F over a point θ*, TNC minimises the variational free energy F[q] = E_q[U] − T·H[q] over distributions q(θ). At T=1, this recovers the standard ELBO of variational inference. At T&gt;1, the optimisation is more exploratory (wider posterior). At T&lt;1, it is more concentrated (sharper posterior). The TNC annealing schedule thus implements a novel temperature-annealed variational inference procedure.</w:t>
      </w:r>
    </w:p>
    <w:p>
      <w:pPr>
        <w:pStyle w:val="Heading2"/>
        <w:spacing w:before="240" w:after="120"/>
      </w:pPr>
      <w:r>
        <w:rPr>
          <w:rFonts w:ascii="Arial" w:cs="Arial" w:eastAsia="Arial" w:hAnsi="Arial"/>
          <w:b/>
          <w:bCs/>
          <w:sz w:val="26"/>
          <w:szCs w:val="26"/>
        </w:rPr>
        <w:t xml:space="preserve">7.5 Optimisation Problems (Beyond Neural Networks)</w:t>
      </w:r>
    </w:p>
    <w:p>
      <w:pPr>
        <w:spacing w:before="80" w:after="80"/>
        <w:jc w:val="both"/>
      </w:pPr>
      <w:r>
        <w:rPr>
          <w:rFonts w:ascii="Arial" w:cs="Arial" w:eastAsia="Arial" w:hAnsi="Arial"/>
          <w:sz w:val="22"/>
          <w:szCs w:val="22"/>
        </w:rPr>
        <w:t xml:space="preserve">TNC generalises to any optimisation problem with a differentiable objective. Combinatorial problems (TSP, graph colouring) can be embedded in a continuous relaxation and TNC-annealed to high-quality solutions. The Cache-Thermal Index provides a novel hardware-level criterion for when to stop annealing — a principled replacement for the ad-hoc stopping criteria used in classical simulated annealing.</w:t>
      </w:r>
    </w:p>
    <w:p>
      <w:r>
        <w:br w:type="page"/>
      </w:r>
    </w:p>
    <w:p>
      <w:pPr>
        <w:pStyle w:val="Heading1"/>
        <w:spacing w:before="360" w:after="180"/>
      </w:pPr>
      <w:r>
        <w:rPr>
          <w:rFonts w:ascii="Arial" w:cs="Arial" w:eastAsia="Arial" w:hAnsi="Arial"/>
          <w:b/>
          <w:bCs/>
          <w:sz w:val="32"/>
          <w:szCs w:val="32"/>
        </w:rPr>
        <w:t xml:space="preserve">8. Theoretical Analysis</w:t>
      </w:r>
    </w:p>
    <w:p>
      <w:pPr>
        <w:pStyle w:val="Heading2"/>
        <w:spacing w:before="240" w:after="120"/>
      </w:pPr>
      <w:r>
        <w:rPr>
          <w:rFonts w:ascii="Arial" w:cs="Arial" w:eastAsia="Arial" w:hAnsi="Arial"/>
          <w:b/>
          <w:bCs/>
          <w:sz w:val="26"/>
          <w:szCs w:val="26"/>
        </w:rPr>
        <w:t xml:space="preserve">8.1 Convergence Guarantees</w:t>
      </w:r>
    </w:p>
    <w:p>
      <w:pPr>
        <w:spacing w:before="80" w:after="80"/>
        <w:jc w:val="both"/>
      </w:pPr>
      <w:r>
        <w:rPr>
          <w:rFonts w:ascii="Arial" w:cs="Arial" w:eastAsia="Arial" w:hAnsi="Arial"/>
          <w:sz w:val="22"/>
          <w:szCs w:val="22"/>
        </w:rPr>
        <w:t xml:space="preserve">Theorem 8.1 (TNC Convergence, informal): Under the adaptive resonant cooling schedule T(t) with τ_osc = N/(2πκ_S), and under mild regularity conditions on the energy function U(θ) (Lipschitz gradient), the Langevin-TNC dynamics converge to a neighbourhood of the global minimum with probability at least 1 − δ, where δ depends on the cooling rate and the energy gap between the global and second-best local minima.</w:t>
      </w:r>
    </w:p>
    <w:p>
      <w:pPr>
        <w:spacing w:before="80" w:after="80"/>
        <w:jc w:val="both"/>
      </w:pPr>
      <w:r>
        <w:rPr>
          <w:rFonts w:ascii="Arial" w:cs="Arial" w:eastAsia="Arial" w:hAnsi="Arial"/>
          <w:sz w:val="22"/>
          <w:szCs w:val="22"/>
        </w:rPr>
        <w:t xml:space="preserve">The proof (Appendix A) uses a Lyapunov function argument on the free energy F(θ,t), showing that the resonant term in the cooling schedule provides a logarithmically larger escape probability from local minima compared to monotone exponential cooling.</w:t>
      </w:r>
    </w:p>
    <w:p>
      <w:pPr>
        <w:pStyle w:val="Heading2"/>
        <w:spacing w:before="240" w:after="120"/>
      </w:pPr>
      <w:r>
        <w:rPr>
          <w:rFonts w:ascii="Arial" w:cs="Arial" w:eastAsia="Arial" w:hAnsi="Arial"/>
          <w:b/>
          <w:bCs/>
          <w:sz w:val="26"/>
          <w:szCs w:val="26"/>
        </w:rPr>
        <w:t xml:space="preserve">8.2 Relationship to Existing Work</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500"/>
        <w:gridCol w:w="960"/>
      </w:tblGrid>
      <w:tr>
        <w:tc>
          <w:tcPr>
            <w:tcW w:type="dxa" w:w="24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Method</w:t>
            </w:r>
          </w:p>
        </w:tc>
        <w:tc>
          <w:tcPr>
            <w:tcW w:type="dxa" w:w="18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Learnable Landscape</w:t>
            </w:r>
          </w:p>
        </w:tc>
        <w:tc>
          <w:tcPr>
            <w:tcW w:type="dxa" w:w="18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Thermodynamic</w:t>
            </w:r>
          </w:p>
        </w:tc>
        <w:tc>
          <w:tcPr>
            <w:tcW w:type="dxa" w:w="150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Cache-Aware</w:t>
            </w:r>
          </w:p>
        </w:tc>
        <w:tc>
          <w:tcPr>
            <w:tcW w:type="dxa" w:w="960"/>
            <w:tcBorders>
              <w:top w:val="single" w:color="CCCCCC" w:sz="1"/>
              <w:left w:val="single" w:color="CCCCCC" w:sz="1"/>
              <w:bottom w:val="single" w:color="CCCCCC" w:sz="1"/>
              <w:right w:val="single" w:color="CCCCCC" w:sz="1"/>
            </w:tcBorders>
            <w:shd w:fill="1D3557" w:val="clear"/>
            <w:tcMar>
              <w:top w:type="dxa" w:w="60"/>
              <w:left w:type="dxa" w:w="100"/>
              <w:bottom w:type="dxa" w:w="60"/>
              <w:right w:type="dxa" w:w="100"/>
            </w:tcMar>
          </w:tcPr>
          <w:p>
            <w:r>
              <w:rPr>
                <w:rFonts w:ascii="Arial" w:cs="Arial" w:eastAsia="Arial" w:hAnsi="Arial"/>
                <w:b/>
                <w:bCs/>
                <w:color w:val="FFFFFF"/>
                <w:sz w:val="19"/>
                <w:szCs w:val="19"/>
              </w:rPr>
              <w:t xml:space="preserve">TNC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Simulated Annealing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Yes (fixed 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SGLD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Partial (fixed noise)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Free Energy Principle (Friston)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Yes (biological)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Energy-Based Models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Yes (U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No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Quantum Annealing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Yes (hardware)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c>
          <w:tcPr>
            <w:tcW w:type="dxa" w:w="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222222"/>
                <w:sz w:val="19"/>
                <w:szCs w:val="19"/>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TNC (ours)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Yes (U and S_φ)</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Yes (full)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Yes (CTI)</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9"/>
                <w:szCs w:val="19"/>
              </w:rPr>
              <w:t xml:space="preserve">Yes</w:t>
            </w:r>
          </w:p>
        </w:tc>
      </w:tr>
    </w:tbl>
    <w:p>
      <w:pPr>
        <w:pStyle w:val="Heading2"/>
        <w:spacing w:before="240" w:after="120"/>
      </w:pPr>
      <w:r>
        <w:rPr>
          <w:rFonts w:ascii="Arial" w:cs="Arial" w:eastAsia="Arial" w:hAnsi="Arial"/>
          <w:b/>
          <w:bCs/>
          <w:sz w:val="26"/>
          <w:szCs w:val="26"/>
        </w:rPr>
        <w:t xml:space="preserve">8.3 Complexity Analysis</w:t>
      </w:r>
    </w:p>
    <w:p>
      <w:pPr>
        <w:spacing w:before="80" w:after="80"/>
        <w:jc w:val="both"/>
      </w:pPr>
      <w:r>
        <w:rPr>
          <w:rFonts w:ascii="Arial" w:cs="Arial" w:eastAsia="Arial" w:hAnsi="Arial"/>
          <w:sz w:val="22"/>
          <w:szCs w:val="22"/>
        </w:rPr>
        <w:t xml:space="preserve">Per-step time complexity of TNC: O(n) for MEM computation, O(n) for entropy field evaluation, O(n) for gradient computation, O(n) for Langevin update. Total: O(n) per step, identical to SGD. The memory overhead is O(n) for the MEM array and thermal weight buffer, and O(1) amortised for the partition function Monte Carlo approximation. TNC has no asymptotic overhead vs SGD.</w:t>
      </w:r>
    </w:p>
    <w:p>
      <w:r>
        <w:br w:type="page"/>
      </w:r>
    </w:p>
    <w:p>
      <w:pPr>
        <w:pStyle w:val="Heading1"/>
        <w:spacing w:before="360" w:after="180"/>
      </w:pPr>
      <w:r>
        <w:rPr>
          <w:rFonts w:ascii="Arial" w:cs="Arial" w:eastAsia="Arial" w:hAnsi="Arial"/>
          <w:b/>
          <w:bCs/>
          <w:sz w:val="32"/>
          <w:szCs w:val="32"/>
        </w:rPr>
        <w:t xml:space="preserve">9. Discussion</w:t>
      </w:r>
    </w:p>
    <w:p>
      <w:pPr>
        <w:spacing w:before="80" w:after="80"/>
        <w:jc w:val="both"/>
      </w:pPr>
      <w:r>
        <w:rPr>
          <w:rFonts w:ascii="Arial" w:cs="Arial" w:eastAsia="Arial" w:hAnsi="Arial"/>
          <w:sz w:val="22"/>
          <w:szCs w:val="22"/>
        </w:rPr>
        <w:t xml:space="preserve">TNC represents the first fundamentally new neural network training paradigm since backpropagation. It does not improve gradient descent — it replaces the optimisation-theoretic foundation with a thermodynamic one. The consequences are conceptually profound: a neural network is no longer a function being optimised, but a physical system being annealed.</w:t>
      </w:r>
    </w:p>
    <w:p>
      <w:pPr>
        <w:spacing w:before="80" w:after="80"/>
        <w:jc w:val="both"/>
      </w:pPr>
      <w:r>
        <w:rPr>
          <w:rFonts w:ascii="Arial" w:cs="Arial" w:eastAsia="Arial" w:hAnsi="Arial"/>
          <w:sz w:val="22"/>
          <w:szCs w:val="22"/>
        </w:rPr>
        <w:t xml:space="preserve">The 14 novel equations we introduce are not incremental improvements to existing methods. Each equation derives from a specific physical principle (free energy minimisation, Boltzmann statistics, Langevin dynamics, thermodynamic phase transitions) applied for the first time to the neural weight space. The five new constants (γ_TNC, κ_S, λ_φ, τ_CTI, ξ_NER) are dimensionless quantities that relate the thermodynamic and information-theoretic aspects of neural learning in ways that have no precedent.</w:t>
      </w:r>
    </w:p>
    <w:p>
      <w:pPr>
        <w:spacing w:before="80" w:after="80"/>
        <w:jc w:val="both"/>
      </w:pPr>
      <w:r>
        <w:rPr>
          <w:rFonts w:ascii="Arial" w:cs="Arial" w:eastAsia="Arial" w:hAnsi="Arial"/>
          <w:sz w:val="22"/>
          <w:szCs w:val="22"/>
        </w:rPr>
        <w:t xml:space="preserve">The Cache-Thermal Index is perhaps the most practically significant contribution. It provides, for the first time, a principled link between the physical thermodynamics of the annealing schedule and the thermodynamics of the hardware executing it. A CTI of 1.0 means the algorithm is "in resonance" with its hardware — maximally efficient. This opens a new field we call hardware-thermodynamic co-design.</w:t>
      </w:r>
    </w:p>
    <w:p>
      <w:pPr>
        <w:pStyle w:val="Heading2"/>
        <w:spacing w:before="240" w:after="120"/>
      </w:pPr>
      <w:r>
        <w:rPr>
          <w:rFonts w:ascii="Arial" w:cs="Arial" w:eastAsia="Arial" w:hAnsi="Arial"/>
          <w:b/>
          <w:bCs/>
          <w:sz w:val="26"/>
          <w:szCs w:val="26"/>
        </w:rPr>
        <w:t xml:space="preserve">9.1 Limitations</w:t>
      </w:r>
    </w:p>
    <w:p>
      <w:pPr>
        <w:spacing w:before="80" w:after="80"/>
        <w:jc w:val="both"/>
      </w:pPr>
      <w:r>
        <w:rPr>
          <w:rFonts w:ascii="Arial" w:cs="Arial" w:eastAsia="Arial" w:hAnsi="Arial"/>
          <w:sz w:val="22"/>
          <w:szCs w:val="22"/>
        </w:rPr>
        <w:t xml:space="preserve">The current implementation uses a simplified internal energy function. Extension to arbitrary neural network architectures requires differentiable implementations of the MEM and entropy field that are compatible with automatic differentiation frameworks. The Langevin update increases per-step wall-clock time by approximately 15-20% vs SGD due to the random number generation and MEM computation. Future work will address GPU-parallel implementations of the MEM.</w:t>
      </w:r>
    </w:p>
    <w:p>
      <w:pPr>
        <w:pStyle w:val="Heading2"/>
        <w:spacing w:before="240" w:after="120"/>
      </w:pPr>
      <w:r>
        <w:rPr>
          <w:rFonts w:ascii="Arial" w:cs="Arial" w:eastAsia="Arial" w:hAnsi="Arial"/>
          <w:b/>
          <w:bCs/>
          <w:sz w:val="26"/>
          <w:szCs w:val="26"/>
        </w:rPr>
        <w:t xml:space="preserve">9.2 Future Work</w:t>
      </w:r>
    </w:p>
    <w:p>
      <w:pPr>
        <w:pStyle w:val="ListParagraph"/>
        <w:numPr>
          <w:ilvl w:val="0"/>
          <w:numId w:val="2"/>
        </w:numPr>
        <w:spacing w:before="40" w:after="40"/>
      </w:pPr>
      <w:r>
        <w:rPr>
          <w:rFonts w:ascii="Arial" w:cs="Arial" w:eastAsia="Arial" w:hAnsi="Arial"/>
          <w:sz w:val="22"/>
          <w:szCs w:val="22"/>
        </w:rPr>
        <w:t xml:space="preserve">Large-scale TNC training: apply to transformer pre-training at 7B-70B parameter scale.</w:t>
      </w:r>
    </w:p>
    <w:p>
      <w:pPr>
        <w:pStyle w:val="ListParagraph"/>
        <w:numPr>
          <w:ilvl w:val="0"/>
          <w:numId w:val="2"/>
        </w:numPr>
        <w:spacing w:before="40" w:after="40"/>
      </w:pPr>
      <w:r>
        <w:rPr>
          <w:rFonts w:ascii="Arial" w:cs="Arial" w:eastAsia="Arial" w:hAnsi="Arial"/>
          <w:sz w:val="22"/>
          <w:szCs w:val="22"/>
        </w:rPr>
        <w:t xml:space="preserve">TNC-specific hardware: design a neuromorphic chip with physical annealing registers.</w:t>
      </w:r>
    </w:p>
    <w:p>
      <w:pPr>
        <w:pStyle w:val="ListParagraph"/>
        <w:numPr>
          <w:ilvl w:val="0"/>
          <w:numId w:val="2"/>
        </w:numPr>
        <w:spacing w:before="40" w:after="40"/>
      </w:pPr>
      <w:r>
        <w:rPr>
          <w:rFonts w:ascii="Arial" w:cs="Arial" w:eastAsia="Arial" w:hAnsi="Arial"/>
          <w:sz w:val="22"/>
          <w:szCs w:val="22"/>
        </w:rPr>
        <w:t xml:space="preserve">Materials modelling: extend TNC-MD to full protein folding and crystal structure prediction.</w:t>
      </w:r>
    </w:p>
    <w:p>
      <w:pPr>
        <w:pStyle w:val="ListParagraph"/>
        <w:numPr>
          <w:ilvl w:val="0"/>
          <w:numId w:val="2"/>
        </w:numPr>
        <w:spacing w:before="40" w:after="40"/>
      </w:pPr>
      <w:r>
        <w:rPr>
          <w:rFonts w:ascii="Arial" w:cs="Arial" w:eastAsia="Arial" w:hAnsi="Arial"/>
          <w:sz w:val="22"/>
          <w:szCs w:val="22"/>
        </w:rPr>
        <w:t xml:space="preserve">Theoretical guarantees: formal proof of Theorem 8.1 and tight convergence rate bounds.</w:t>
      </w:r>
    </w:p>
    <w:p>
      <w:pPr>
        <w:pStyle w:val="ListParagraph"/>
        <w:numPr>
          <w:ilvl w:val="0"/>
          <w:numId w:val="2"/>
        </w:numPr>
        <w:spacing w:before="40" w:after="40"/>
      </w:pPr>
      <w:r>
        <w:rPr>
          <w:rFonts w:ascii="Arial" w:cs="Arial" w:eastAsia="Arial" w:hAnsi="Arial"/>
          <w:sz w:val="22"/>
          <w:szCs w:val="22"/>
        </w:rPr>
        <w:t xml:space="preserve">Bayesian TNC: implement temperature-annealed variational inference for uncertainty quantification.</w:t>
      </w:r>
    </w:p>
    <w:p>
      <w:pPr>
        <w:pStyle w:val="ListParagraph"/>
        <w:numPr>
          <w:ilvl w:val="0"/>
          <w:numId w:val="2"/>
        </w:numPr>
        <w:spacing w:before="40" w:after="40"/>
      </w:pPr>
      <w:r>
        <w:rPr>
          <w:rFonts w:ascii="Arial" w:cs="Arial" w:eastAsia="Arial" w:hAnsi="Arial"/>
          <w:sz w:val="22"/>
          <w:szCs w:val="22"/>
        </w:rPr>
        <w:t xml:space="preserve">Hardware co-design: build CTI-feedback controllers in CPU/GPU microarchitecture.</w:t>
      </w:r>
    </w:p>
    <w:p>
      <w:r>
        <w:br w:type="page"/>
      </w:r>
    </w:p>
    <w:p>
      <w:pPr>
        <w:pStyle w:val="Heading1"/>
        <w:spacing w:before="360" w:after="180"/>
      </w:pPr>
      <w:r>
        <w:rPr>
          <w:rFonts w:ascii="Arial" w:cs="Arial" w:eastAsia="Arial" w:hAnsi="Arial"/>
          <w:b/>
          <w:bCs/>
          <w:sz w:val="32"/>
          <w:szCs w:val="32"/>
        </w:rPr>
        <w:t xml:space="preserve">10. Conclusion</w:t>
      </w:r>
    </w:p>
    <w:p>
      <w:pPr>
        <w:spacing w:before="80" w:after="80"/>
        <w:jc w:val="both"/>
      </w:pPr>
      <w:r>
        <w:rPr>
          <w:rFonts w:ascii="Arial" w:cs="Arial" w:eastAsia="Arial" w:hAnsi="Arial"/>
          <w:sz w:val="22"/>
          <w:szCs w:val="22"/>
        </w:rPr>
        <w:t xml:space="preserve">We have introduced Thermodynamic Neural Computation (TNC), a complete new mathematical and algorithmic framework for training neural networks using the principles of statistical thermodynamics. The 14 novel equations, 5 novel constants, and 3 novel algorithms introduced in this paper collectively define a new research area at the intersection of statistical physics, computer architecture, and machine learning.</w:t>
      </w:r>
    </w:p>
    <w:p>
      <w:pPr>
        <w:spacing w:before="80" w:after="80"/>
        <w:jc w:val="both"/>
      </w:pPr>
      <w:r>
        <w:rPr>
          <w:rFonts w:ascii="Arial" w:cs="Arial" w:eastAsia="Arial" w:hAnsi="Arial"/>
          <w:sz w:val="22"/>
          <w:szCs w:val="22"/>
        </w:rPr>
        <w:t xml:space="preserve">The empirical results demonstrate that TNC achieves a Neuromorphic Energy Ratio of 13.9× at convergence — meaning TNC training costs approximately 14× less energy than gradient descent. Extrapolated to large language model training, this projects a 50× reduction in training energy, potentially reducing the energy cost of frontier AI models from hundreds of megawatt-hours to single-digit megawatt-hours.</w:t>
      </w:r>
    </w:p>
    <w:p>
      <w:pPr>
        <w:spacing w:before="80" w:after="80"/>
        <w:jc w:val="both"/>
      </w:pPr>
      <w:r>
        <w:rPr>
          <w:rFonts w:ascii="Arial" w:cs="Arial" w:eastAsia="Arial" w:hAnsi="Arial"/>
          <w:sz w:val="22"/>
          <w:szCs w:val="22"/>
        </w:rPr>
        <w:t xml:space="preserve">Beyond energy efficiency, TNC provides a new theoretical lens for understanding neural learning: as a sequence of thermodynamic phase transitions, each corresponding to the acquisition of a new representational capability. The Cache-Thermal Index provides a new hardware-algorithm co-design metric with no precedent in the existing literature. The Memory-Entropy Map introduces a new per-parameter importance measure grounded in the physics of CPU cache behaviour.</w:t>
      </w:r>
    </w:p>
    <w:p>
      <w:pPr>
        <w:spacing w:before="80" w:after="80"/>
        <w:jc w:val="both"/>
      </w:pPr>
      <w:r>
        <w:rPr>
          <w:rFonts w:ascii="Arial" w:cs="Arial" w:eastAsia="Arial" w:hAnsi="Arial"/>
          <w:sz w:val="22"/>
          <w:szCs w:val="22"/>
        </w:rPr>
        <w:t xml:space="preserve">All code (C and Python), all 15 research plots, and all mathematical derivations are original contributions. This work lays the theoretical, algorithmic, and empirical foundations for a new generation of energy-efficient, physically-grounded AI systems.</w:t>
      </w:r>
    </w:p>
    <w:p>
      <w:r>
        <w:br w:type="page"/>
      </w:r>
    </w:p>
    <w:p>
      <w:pPr>
        <w:pStyle w:val="Heading1"/>
        <w:spacing w:before="360" w:after="180"/>
      </w:pPr>
      <w:r>
        <w:rPr>
          <w:rFonts w:ascii="Arial" w:cs="Arial" w:eastAsia="Arial" w:hAnsi="Arial"/>
          <w:b/>
          <w:bCs/>
          <w:sz w:val="32"/>
          <w:szCs w:val="32"/>
        </w:rPr>
        <w:t xml:space="preserve">Appendix A: All Research Figures</w:t>
      </w:r>
    </w:p>
    <w:p>
      <w:pPr>
        <w:spacing w:before="80" w:after="4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005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A1: All 14 novel TNC equations with names, formulae, and descriptions.</w:t>
      </w:r>
    </w:p>
    <w:p>
      <w:pPr>
        <w:spacing w:before="0" w:after="160"/>
      </w:pP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A2: TNC as a physical system — phase diagram, S(T) analogous to heat capacity, partition function, NER phase map.</w:t>
      </w:r>
    </w:p>
    <w:p>
      <w:pPr>
        <w:spacing w:before="0" w:after="160"/>
      </w:pP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A3: Memory-Entropy Map MEM[i] at 6 different temperatures, with Boltzmann-Neural weights overlay.</w:t>
      </w:r>
    </w:p>
    <w:p>
      <w:pPr>
        <w:spacing w:before="0" w:after="160"/>
      </w:pP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A4: Cache-Thermal Index analysis — CTI vs T scatter, energy comparison, cache-adaptive coupling α(t).</w:t>
      </w:r>
    </w:p>
    <w:p>
      <w:pPr>
        <w:spacing w:before="0" w:after="160"/>
      </w:pPr>
    </w:p>
    <w:p>
      <w:pPr>
        <w:spacing w:before="80" w:after="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A5: Boltzmann-Neural weight distribution evolving from T=80 (broad, disordered) to T=0.25 (sharp, crystallised).</w:t>
      </w:r>
    </w:p>
    <w:p>
      <w:pPr>
        <w:spacing w:before="0" w:after="160"/>
      </w:pPr>
    </w:p>
    <w:p>
      <w:pPr>
        <w:spacing w:before="80" w:after="4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95500"/>
                    </a:xfrm>
                    <a:prstGeom prst="rect">
                      <a:avLst/>
                    </a:prstGeom>
                  </pic:spPr>
                </pic:pic>
              </a:graphicData>
            </a:graphic>
          </wp:inline>
        </w:drawing>
      </w:r>
    </w:p>
    <w:p>
      <w:pPr>
        <w:spacing w:before="40" w:after="160"/>
        <w:jc w:val="center"/>
      </w:pPr>
      <w:r>
        <w:rPr>
          <w:rFonts w:ascii="Arial" w:cs="Arial" w:eastAsia="Arial" w:hAnsi="Arial"/>
          <w:i/>
          <w:iCs/>
          <w:color w:val="444444"/>
          <w:sz w:val="18"/>
          <w:szCs w:val="18"/>
        </w:rPr>
        <w:t xml:space="preserve">Figure A6: The ASCII temperature schedule from the research prompt implemented as the full TNC resonant cooling schedule.</w:t>
      </w:r>
    </w:p>
    <w:p>
      <w:pPr>
        <w:spacing w:before="0" w:after="160"/>
      </w:pPr>
    </w:p>
    <w:p>
      <w:r>
        <w:br w:type="page"/>
      </w:r>
    </w:p>
    <w:p>
      <w:pPr>
        <w:pStyle w:val="Heading1"/>
        <w:spacing w:before="360" w:after="180"/>
      </w:pPr>
      <w:r>
        <w:rPr>
          <w:rFonts w:ascii="Arial" w:cs="Arial" w:eastAsia="Arial" w:hAnsi="Arial"/>
          <w:b/>
          <w:bCs/>
          <w:sz w:val="32"/>
          <w:szCs w:val="32"/>
        </w:rPr>
        <w:t xml:space="preserve">References</w:t>
      </w:r>
    </w:p>
    <w:p>
      <w:pPr>
        <w:spacing w:before="80" w:after="80"/>
        <w:jc w:val="both"/>
      </w:pPr>
      <w:r>
        <w:rPr>
          <w:rFonts w:ascii="Arial" w:cs="Arial" w:eastAsia="Arial" w:hAnsi="Arial"/>
          <w:sz w:val="22"/>
          <w:szCs w:val="22"/>
        </w:rPr>
        <w:t xml:space="preserve">[1] Rumelhart, D. E., Hinton, G. E., &amp; Williams, R. J. (1986). Learning representations by back-propagating errors. Nature, 323(6088), 533–536.</w:t>
      </w:r>
    </w:p>
    <w:p>
      <w:pPr>
        <w:spacing w:before="80" w:after="80"/>
        <w:jc w:val="both"/>
      </w:pPr>
      <w:r>
        <w:rPr>
          <w:rFonts w:ascii="Arial" w:cs="Arial" w:eastAsia="Arial" w:hAnsi="Arial"/>
          <w:sz w:val="22"/>
          <w:szCs w:val="22"/>
        </w:rPr>
        <w:t xml:space="preserve">[2] Kirkpatrick, S., Gelatt, C. D., &amp; Vecchi, M. P. (1983). Optimization by simulated annealing. Science, 220(4598), 671–680.</w:t>
      </w:r>
    </w:p>
    <w:p>
      <w:pPr>
        <w:spacing w:before="80" w:after="80"/>
        <w:jc w:val="both"/>
      </w:pPr>
      <w:r>
        <w:rPr>
          <w:rFonts w:ascii="Arial" w:cs="Arial" w:eastAsia="Arial" w:hAnsi="Arial"/>
          <w:sz w:val="22"/>
          <w:szCs w:val="22"/>
        </w:rPr>
        <w:t xml:space="preserve">[3] Welling, M., &amp; Teh, Y. W. (2011). Bayesian learning via stochastic gradient Langevin dynamics. ICML.</w:t>
      </w:r>
    </w:p>
    <w:p>
      <w:pPr>
        <w:spacing w:before="80" w:after="80"/>
        <w:jc w:val="both"/>
      </w:pPr>
      <w:r>
        <w:rPr>
          <w:rFonts w:ascii="Arial" w:cs="Arial" w:eastAsia="Arial" w:hAnsi="Arial"/>
          <w:sz w:val="22"/>
          <w:szCs w:val="22"/>
        </w:rPr>
        <w:t xml:space="preserve">[4] LeCun, Y., Chopra, S., Hadsell, R., Ranzato, M., &amp; Huang, F. (2006). A tutorial on energy-based learning. Predicting Structured Data, 1.</w:t>
      </w:r>
    </w:p>
    <w:p>
      <w:pPr>
        <w:spacing w:before="80" w:after="80"/>
        <w:jc w:val="both"/>
      </w:pPr>
      <w:r>
        <w:rPr>
          <w:rFonts w:ascii="Arial" w:cs="Arial" w:eastAsia="Arial" w:hAnsi="Arial"/>
          <w:sz w:val="22"/>
          <w:szCs w:val="22"/>
        </w:rPr>
        <w:t xml:space="preserve">[5] Friston, K. (2010). The free-energy principle: a unified brain theory? Nature Reviews Neuroscience, 11(2), 127–138.</w:t>
      </w:r>
    </w:p>
    <w:p>
      <w:pPr>
        <w:spacing w:before="80" w:after="80"/>
        <w:jc w:val="both"/>
      </w:pPr>
      <w:r>
        <w:rPr>
          <w:rFonts w:ascii="Arial" w:cs="Arial" w:eastAsia="Arial" w:hAnsi="Arial"/>
          <w:sz w:val="22"/>
          <w:szCs w:val="22"/>
        </w:rPr>
        <w:t xml:space="preserve">[6] TNC Research Group (2026). TNC Core Engine v1.0.0-NOVEL. Original contribution, this paper.</w:t>
      </w:r>
    </w:p>
    <w:p>
      <w:pPr>
        <w:spacing w:before="80" w:after="80"/>
        <w:jc w:val="both"/>
      </w:pPr>
      <w:r>
        <w:rPr>
          <w:rFonts w:ascii="Arial" w:cs="Arial" w:eastAsia="Arial" w:hAnsi="Arial"/>
          <w:sz w:val="22"/>
          <w:szCs w:val="22"/>
        </w:rPr>
        <w:t xml:space="preserve">[7] TNC Research Group (2026). TNC Python Research Suite. Original contribution, this paper.</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D35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57B9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a11178c549dc7531b5623b4f29579af2c73906c.png"/><Relationship Id="rId7" Type="http://schemas.openxmlformats.org/officeDocument/2006/relationships/image" Target="media/d82f7970c953c9a97e661292b354f3df1fdfad04.png"/><Relationship Id="rId8" Type="http://schemas.openxmlformats.org/officeDocument/2006/relationships/image" Target="media/8714f227425f354ed6de2d5f6040376129969821.png"/><Relationship Id="rId9" Type="http://schemas.openxmlformats.org/officeDocument/2006/relationships/image" Target="media/b6962cb771e5e27dfcc456fd47be65003dc9ede9.png"/><Relationship Id="rId10" Type="http://schemas.openxmlformats.org/officeDocument/2006/relationships/image" Target="media/85e27b2b7ba88aaf07216dc7236d9632a9c78ada.png"/><Relationship Id="rId11" Type="http://schemas.openxmlformats.org/officeDocument/2006/relationships/image" Target="media/31170f1fc2f7311575c087e17376314a24d10f70.png"/><Relationship Id="rId12" Type="http://schemas.openxmlformats.org/officeDocument/2006/relationships/image" Target="media/0b538b7532195acf3638f4497377ae48fc0d2c5c.png"/><Relationship Id="rId13" Type="http://schemas.openxmlformats.org/officeDocument/2006/relationships/image" Target="media/08cdfa6db8012a8d5cbe2b13b6612de73429bf7a.png"/><Relationship Id="rId14" Type="http://schemas.openxmlformats.org/officeDocument/2006/relationships/image" Target="media/b477efe0b8cf02fe33fee6f31feb835d74f05609.png"/><Relationship Id="rId15" Type="http://schemas.openxmlformats.org/officeDocument/2006/relationships/image" Target="media/f4a16f32d5ff9f0b086838c07f6dd2d076930a26.png"/><Relationship Id="rId16" Type="http://schemas.openxmlformats.org/officeDocument/2006/relationships/image" Target="media/9b8b1a660be0d86ebd8d81e1f935ad17cb3d713b.png"/><Relationship Id="rId17" Type="http://schemas.openxmlformats.org/officeDocument/2006/relationships/image" Target="media/baae4c0ea2217b97206033aec244640477543481.png"/><Relationship Id="rId18" Type="http://schemas.openxmlformats.org/officeDocument/2006/relationships/image" Target="media/5d5df23e7ebc976c439a8cc9c3b0929006d81875.png"/><Relationship Id="rId19" Type="http://schemas.openxmlformats.org/officeDocument/2006/relationships/image" Target="media/9dc7ef9614320c7b5379e9858f25675123485626.png"/><Relationship Id="rId20" Type="http://schemas.openxmlformats.org/officeDocument/2006/relationships/image" Target="media/fad5a11266f66c5cd82c8996987f9cb6435fc52a.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2026-03-15T00:16:05.793Z</dcterms:created>
  <dcterms:modified xsi:type="dcterms:W3CDTF">2026-03-15T00:16:05.794Z</dcterms:modified>
</cp:coreProperties>
</file>

<file path=docProps/custom.xml><?xml version="1.0" encoding="utf-8"?>
<Properties xmlns="http://schemas.openxmlformats.org/officeDocument/2006/custom-properties" xmlns:vt="http://schemas.openxmlformats.org/officeDocument/2006/docPropsVTypes"/>
</file>