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 Tech Change Report</w:t>
      </w:r>
    </w:p>
    <w:p>
      <w:pPr>
        <w:spacing w:after="260"/>
      </w:pPr>
      <w:r>
        <w:rPr>
          <w:color w:val="555555"/>
          <w:sz w:val="24"/>
        </w:rPr>
        <w:t>Plate preview fidelity and configuration safeguards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8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4F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555555"/>
                <w:sz w:val="16"/>
              </w:rPr>
              <w:t>Report date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15 October 2026</w:t>
            </w:r>
          </w:p>
        </w:tc>
        <w:tc>
          <w:tcPr>
            <w:tcW w:type="dxa" w:w="18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4F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555555"/>
                <w:sz w:val="16"/>
              </w:rPr>
              <w:t>Target branch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main</w:t>
            </w:r>
          </w:p>
        </w:tc>
      </w:tr>
      <w:tr>
        <w:tc>
          <w:tcPr>
            <w:tcW w:type="dxa" w:w="18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4F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555555"/>
                <w:sz w:val="16"/>
              </w:rPr>
              <w:t>Comparison base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0c0c7a3</w:t>
            </w:r>
          </w:p>
        </w:tc>
        <w:tc>
          <w:tcPr>
            <w:tcW w:type="dxa" w:w="18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4F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555555"/>
                <w:sz w:val="16"/>
              </w:rPr>
              <w:t>Repository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Regi Tech</w:t>
            </w:r>
          </w:p>
        </w:tc>
      </w:tr>
    </w:tbl>
    <w:p>
      <w:pPr>
        <w:pStyle w:val="Heading1"/>
      </w:pPr>
      <w:r>
        <w:t>Executive summary</w:t>
      </w:r>
    </w:p>
    <w:p>
      <w:r>
        <w:t>This report records every working-tree change prepared since the previous pushed commit. The update restores the approved plate presentation across the configurator and order flow: both previews use the yellow plate surface, border geometry follows a joined composite frame, registration text remains uppercase and is measured to fit safely, and pending slogan fonts remain visible without being selectable.</w:t>
      </w:r>
    </w:p>
    <w:p>
      <w:r>
        <w:t>No backend routes, database schema, payment processing, product pricing, or checkout persistence behavior were changed in this update.</w:t>
      </w:r>
    </w:p>
    <w:p>
      <w:pPr>
        <w:pStyle w:val="Heading1"/>
      </w:pPr>
      <w:r>
        <w:t>User facing changes</w:t>
      </w:r>
    </w:p>
    <w:p>
      <w:pPr>
        <w:pStyle w:val="Heading2"/>
      </w:pPr>
      <w:r>
        <w:t>Plate colour and shape</w:t>
      </w:r>
    </w:p>
    <w:p>
      <w:pPr>
        <w:pStyle w:val="ListBullet"/>
        <w:spacing w:after="40"/>
        <w:ind w:left="317" w:hanging="187"/>
      </w:pPr>
      <w:r>
        <w:t>Front and Rear preview labels remain, while both rendered plate surfaces now use the shared yellow plate token.</w:t>
      </w:r>
    </w:p>
    <w:p>
      <w:pPr>
        <w:pStyle w:val="ListBullet"/>
        <w:spacing w:after="40"/>
        <w:ind w:left="317" w:hanging="187"/>
      </w:pPr>
      <w:r>
        <w:t>The same reusable preview component supplies configurator, cart, review, confirmation, and compact order views, keeping the yellow surface consistent.</w:t>
      </w:r>
    </w:p>
    <w:p>
      <w:pPr>
        <w:pStyle w:val="ListBullet"/>
        <w:spacing w:after="40"/>
        <w:ind w:left="317" w:hanging="187"/>
      </w:pPr>
      <w:r>
        <w:t>Plate corners were tightened to preserve the squarer Figma composition instead of the previously over-rounded appearance.</w:t>
      </w:r>
    </w:p>
    <w:p>
      <w:pPr>
        <w:pStyle w:val="Heading2"/>
      </w:pPr>
      <w:r>
        <w:t>Border construction</w:t>
      </w:r>
    </w:p>
    <w:p>
      <w:pPr>
        <w:pStyle w:val="ListBullet"/>
        <w:spacing w:after="40"/>
        <w:ind w:left="317" w:hanging="187"/>
      </w:pPr>
      <w:r>
        <w:t>Independent overlapping border elements were replaced by one reusable composite frame renderer.</w:t>
      </w:r>
    </w:p>
    <w:p>
      <w:pPr>
        <w:pStyle w:val="ListBullet"/>
        <w:spacing w:after="40"/>
        <w:ind w:left="317" w:hanging="187"/>
      </w:pPr>
      <w:r>
        <w:t>A single selected border renders as one thick band. Two selected borders render as adjoining outer and inner bands with no yellow gap.</w:t>
      </w:r>
    </w:p>
    <w:p>
      <w:pPr>
        <w:pStyle w:val="ListBullet"/>
        <w:spacing w:after="40"/>
        <w:ind w:left="317" w:hanging="187"/>
      </w:pPr>
      <w:r>
        <w:t>Matching Black or Mirror Silver selections form a visually continuous wider frame; mixed selections stay contiguous in the selected outer-to-inner order.</w:t>
      </w:r>
    </w:p>
    <w:p>
      <w:pPr>
        <w:pStyle w:val="ListBullet"/>
        <w:spacing w:after="40"/>
        <w:ind w:left="317" w:hanging="187"/>
      </w:pPr>
      <w:r>
        <w:t>Mirror Silver now uses a flat silver-grey treatment aligned with the supplied plate reference, while Black continues to use the shared plate-ink token.</w:t>
      </w:r>
    </w:p>
    <w:p>
      <w:pPr>
        <w:pStyle w:val="Heading2"/>
      </w:pPr>
      <w:r>
        <w:t>Registration layout and validation</w:t>
      </w:r>
    </w:p>
    <w:p>
      <w:pPr>
        <w:pStyle w:val="ListBullet"/>
        <w:spacing w:after="40"/>
        <w:ind w:left="317" w:hanging="187"/>
      </w:pPr>
      <w:r>
        <w:t>Show-plate input is converted to uppercase while retaining the established 12-character maximum. Road-legal input remains uppercase and restricted to the established seven-character format.</w:t>
      </w:r>
    </w:p>
    <w:p>
      <w:pPr>
        <w:pStyle w:val="ListBullet"/>
        <w:spacing w:after="40"/>
        <w:ind w:left="317" w:hanging="187"/>
      </w:pPr>
      <w:r>
        <w:t>Wide show formats such as 3×7 keep the registration on one line; squarer formats retain the two-line composition.</w:t>
      </w:r>
    </w:p>
    <w:p>
      <w:pPr>
        <w:pStyle w:val="ListBullet"/>
        <w:spacing w:after="40"/>
        <w:ind w:left="317" w:hanging="187"/>
      </w:pPr>
      <w:r>
        <w:t>Registration fitting now measures the loaded Inter Bold text with ResizeObserver and font-loading checks, shrinking only when required and never exceeding the approved maximum size.</w:t>
      </w:r>
    </w:p>
    <w:p>
      <w:pPr>
        <w:pStyle w:val="ListBullet"/>
        <w:spacing w:after="40"/>
        <w:ind w:left="317" w:hanging="187"/>
      </w:pPr>
      <w:r>
        <w:t>The safe width accounts for plate format, border count, flags, logos, slogans, and legal markings so content stays inside the printable area.</w:t>
      </w:r>
    </w:p>
    <w:p>
      <w:pPr>
        <w:pStyle w:val="Heading2"/>
      </w:pPr>
      <w:r>
        <w:t>Accessories and slogan choices</w:t>
      </w:r>
    </w:p>
    <w:p>
      <w:pPr>
        <w:pStyle w:val="ListBullet"/>
        <w:spacing w:after="40"/>
        <w:ind w:left="317" w:hanging="187"/>
      </w:pPr>
      <w:r>
        <w:t>Logo defaults and reset controls use a safer vertical position, and draggable logo movement is clamped away from the slogan area.</w:t>
      </w:r>
    </w:p>
    <w:p>
      <w:pPr>
        <w:pStyle w:val="ListBullet"/>
        <w:spacing w:after="40"/>
        <w:ind w:left="317" w:hanging="187"/>
      </w:pPr>
      <w:r>
        <w:t>Flag artwork and identifiers were reduced and repositioned to avoid the joined frame and registration safe region.</w:t>
      </w:r>
    </w:p>
    <w:p>
      <w:pPr>
        <w:pStyle w:val="ListBullet"/>
        <w:spacing w:after="40"/>
        <w:ind w:left="317" w:hanging="187"/>
      </w:pPr>
      <w:r>
        <w:t>Slogan sizing now responds to text length and plate format, with a bounded lower region that prevents frame collisions.</w:t>
      </w:r>
    </w:p>
    <w:p>
      <w:pPr>
        <w:pStyle w:val="ListBullet"/>
        <w:spacing w:after="40"/>
        <w:ind w:left="317" w:hanging="187"/>
      </w:pPr>
      <w:r>
        <w:t>The Boss and The Scribbler are visible as unavailable choices with a clear font-file-required status; Rebel remains the implemented selectable font.</w:t>
      </w:r>
    </w:p>
    <w:p>
      <w:pPr>
        <w:pStyle w:val="Heading1"/>
      </w:pPr>
      <w:r>
        <w:t>Engineering and delivery safeguards</w:t>
      </w:r>
    </w:p>
    <w:p>
      <w:pPr>
        <w:pStyle w:val="ListBullet"/>
        <w:spacing w:after="40"/>
        <w:ind w:left="317" w:hanging="187"/>
      </w:pPr>
      <w:r>
        <w:t>Added the project rule that the approved Figma file remains the visual authority alongside the established frontend and backend architecture rules.</w:t>
      </w:r>
    </w:p>
    <w:p>
      <w:pPr>
        <w:pStyle w:val="ListBullet"/>
        <w:spacing w:after="40"/>
        <w:ind w:left="317" w:hanging="187"/>
      </w:pPr>
      <w:r>
        <w:t>Added the rule that GitHub pushes require explicit user approval.</w:t>
      </w:r>
    </w:p>
    <w:p>
      <w:pPr>
        <w:pStyle w:val="ListBullet"/>
        <w:spacing w:after="40"/>
        <w:ind w:left="317" w:hanging="187"/>
      </w:pPr>
      <w:r>
        <w:t>Added the rule requiring a detailed change report before each approved push.</w:t>
      </w:r>
    </w:p>
    <w:p>
      <w:pPr>
        <w:pStyle w:val="Heading1"/>
      </w:pPr>
      <w:r>
        <w:t>Changed files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0212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File</w:t>
            </w:r>
          </w:p>
        </w:tc>
        <w:tc>
          <w:tcPr>
            <w:tcW w:type="dxa" w:w="6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0212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Change</w:t>
            </w:r>
          </w:p>
        </w:tc>
      </w:tr>
      <w:tr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AGENTS.md</w:t>
            </w:r>
          </w:p>
        </w:tc>
        <w:tc>
          <w:tcPr>
            <w:tcW w:type="dxa" w:w="6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Adds Figma fidelity and controlled GitHub delivery rules.</w:t>
            </w:r>
          </w:p>
        </w:tc>
      </w:tr>
      <w:tr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4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src/app/globals.css</w:t>
            </w:r>
          </w:p>
        </w:tc>
        <w:tc>
          <w:tcPr>
            <w:tcW w:type="dxa" w:w="6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4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Defines the yellow surface, composite frame geometry, adaptive registration, flag, and slogan styling.</w:t>
            </w:r>
          </w:p>
        </w:tc>
      </w:tr>
      <w:tr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src/components/configurator/ConfiguratorPreview.tsx</w:t>
            </w:r>
          </w:p>
        </w:tc>
        <w:tc>
          <w:tcPr>
            <w:tcW w:type="dxa" w:w="6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Retains labels while removing side-specific plate colour rendering.</w:t>
            </w:r>
          </w:p>
        </w:tc>
      </w:tr>
      <w:tr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4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src/components/configurator/ConfiguratorSteps.tsx</w:t>
            </w:r>
          </w:p>
        </w:tc>
        <w:tc>
          <w:tcPr>
            <w:tcW w:type="dxa" w:w="6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4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Uppercases show input, restores pending font choices, and adjusts logo defaults.</w:t>
            </w:r>
          </w:p>
        </w:tc>
      </w:tr>
      <w:tr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src/components/order/PlateBorderFrame.tsx</w:t>
            </w:r>
          </w:p>
        </w:tc>
        <w:tc>
          <w:tcPr>
            <w:tcW w:type="dxa" w:w="6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New reusable single or joined double border renderer.</w:t>
            </w:r>
          </w:p>
        </w:tc>
      </w:tr>
      <w:tr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4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src/components/order/PlatePreview.tsx</w:t>
            </w:r>
          </w:p>
        </w:tc>
        <w:tc>
          <w:tcPr>
            <w:tcW w:type="dxa" w:w="6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4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Coordinates plate ratios, layout, safe areas, composite frame, and fitted registration rendering.</w:t>
            </w:r>
          </w:p>
        </w:tc>
      </w:tr>
      <w:tr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src/components/order/PlateRegistration.tsx</w:t>
            </w:r>
          </w:p>
        </w:tc>
        <w:tc>
          <w:tcPr>
            <w:tcW w:type="dxa" w:w="6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Adds client-side measured fitting with a conservative CSS-first render.</w:t>
            </w:r>
          </w:p>
        </w:tc>
      </w:tr>
      <w:tr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4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src/content/design.json</w:t>
            </w:r>
          </w:p>
        </w:tc>
        <w:tc>
          <w:tcPr>
            <w:tcW w:type="dxa" w:w="6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4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Updates yellow-preview copy and exposes all three slogan font choices with status text.</w:t>
            </w:r>
          </w:p>
        </w:tc>
      </w:tr>
      <w:tr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src/lib/orderSchemas.ts</w:t>
            </w:r>
          </w:p>
        </w:tc>
        <w:tc>
          <w:tcPr>
            <w:tcW w:type="dxa" w:w="6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Normalizes show registrations to uppercase during validation.</w:t>
            </w:r>
          </w:p>
        </w:tc>
      </w:tr>
      <w:tr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4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src/lib/productCatalog.ts</w:t>
            </w:r>
          </w:p>
        </w:tc>
        <w:tc>
          <w:tcPr>
            <w:tcW w:type="dxa" w:w="6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4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Normalizes default show registrations and updates the default logo position.</w:t>
            </w:r>
          </w:p>
        </w:tc>
      </w:tr>
    </w:tbl>
    <w:p>
      <w:pPr>
        <w:spacing w:after="0"/>
      </w:pPr>
    </w:p>
    <w:p>
      <w:pPr>
        <w:pStyle w:val="Heading1"/>
      </w:pPr>
      <w:r>
        <w:t>Verification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0212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Check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0212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64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0212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Evidence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TypeScript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Passed</w:t>
            </w:r>
          </w:p>
        </w:tc>
        <w:tc>
          <w:tcPr>
            <w:tcW w:type="dxa" w:w="64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pnpm typecheck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4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Production build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4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Passed</w:t>
            </w:r>
          </w:p>
        </w:tc>
        <w:tc>
          <w:tcPr>
            <w:tcW w:type="dxa" w:w="64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4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pnpm build; all application routes generated successfully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Patch hygiene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Passed</w:t>
            </w:r>
          </w:p>
        </w:tc>
        <w:tc>
          <w:tcPr>
            <w:tcW w:type="dxa" w:w="64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git diff --check; line-ending notices only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4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Plate colour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4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Passed</w:t>
            </w:r>
          </w:p>
        </w:tc>
        <w:tc>
          <w:tcPr>
            <w:tcW w:type="dxa" w:w="64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4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Both Front and Rear render rgb(255, 214, 0)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Wide registration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Passed</w:t>
            </w:r>
          </w:p>
        </w:tc>
        <w:tc>
          <w:tcPr>
            <w:tcW w:type="dxa" w:w="64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3×7 tested with seven and twelve characters on one line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4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Stacked registration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4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Passed</w:t>
            </w:r>
          </w:p>
        </w:tc>
        <w:tc>
          <w:tcPr>
            <w:tcW w:type="dxa" w:w="64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4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6×8 tested with a twelve-character two-line split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Border combinations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Passed</w:t>
            </w:r>
          </w:p>
        </w:tc>
        <w:tc>
          <w:tcPr>
            <w:tcW w:type="dxa" w:w="64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All nine None, Black, and Mirror Silver inner/outer combinations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4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Mixed frame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4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Passed</w:t>
            </w:r>
          </w:p>
        </w:tc>
        <w:tc>
          <w:tcPr>
            <w:tcW w:type="dxa" w:w="64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4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Outer and inner material bands join without a plate-coloured gap</w:t>
            </w:r>
          </w:p>
        </w:tc>
      </w:tr>
    </w:tbl>
    <w:p>
      <w:pPr>
        <w:spacing w:after="0"/>
      </w:pPr>
    </w:p>
    <w:p>
      <w:pPr>
        <w:pStyle w:val="Heading1"/>
      </w:pPr>
      <w:r>
        <w:t>Delivery scope</w:t>
      </w:r>
    </w:p>
    <w:p>
      <w:r>
        <w:t>The prepared commit includes the ten source and project-rule files listed above plus this report. Generated build output, dependency directories, environment files, local caches, and temporary rendering assets are excluded. Delivery is intended as a normal push to origin/main with no force push.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5"/>
      </w:rPr>
      <w:t>Regi Tech  •  Change report  •  15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6666"/>
        <w:sz w:val="15"/>
      </w:rPr>
      <w:t>REGI TECH   DEVELOPMENT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11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3333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8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11111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