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jc w:val="left"/>
      </w:pPr>
      <w:r>
        <w:rPr>
          <w:rFonts w:ascii="Aptos Display" w:hAnsi="Aptos Display"/>
          <w:b/>
          <w:color w:val="000000"/>
          <w:sz w:val="54"/>
        </w:rPr>
        <w:t>Regi Tech Change Report</w:t>
      </w:r>
    </w:p>
    <w:p>
      <w:pPr>
        <w:spacing w:after="320"/>
      </w:pPr>
      <w:r>
        <w:rPr>
          <w:rFonts w:ascii="Aptos" w:hAnsi="Aptos"/>
          <w:b/>
          <w:color w:val="55585E"/>
          <w:sz w:val="24"/>
        </w:rPr>
        <w:t>Plate preview refinements and admin portal frontend</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20"/>
        <w:gridCol w:w="6984"/>
      </w:tblGrid>
      <w:tr>
        <w:tc>
          <w:tcPr>
            <w:tcW w:type="dxa" w:w="2520"/>
            <w:shd w:fill="202226"/>
            <w:tcMar>
              <w:top w:w="110" w:type="dxa"/>
              <w:start w:w="130" w:type="dxa"/>
              <w:bottom w:w="110" w:type="dxa"/>
              <w:end w:w="130" w:type="dxa"/>
            </w:tcMar>
            <w:vAlign w:val="center"/>
          </w:tcPr>
          <w:p>
            <w:pPr>
              <w:spacing w:after="0"/>
            </w:pPr>
            <w:r>
              <w:rPr>
                <w:rFonts w:ascii="Aptos" w:hAnsi="Aptos"/>
                <w:b/>
                <w:color w:val="FFFFFF"/>
                <w:sz w:val="18"/>
              </w:rPr>
              <w:t>Reporting date</w:t>
            </w:r>
          </w:p>
        </w:tc>
        <w:tc>
          <w:tcPr>
            <w:tcW w:type="dxa" w:w="6984"/>
            <w:shd w:fill="FFFFFF"/>
            <w:tcMar>
              <w:top w:w="110" w:type="dxa"/>
              <w:start w:w="130" w:type="dxa"/>
              <w:bottom w:w="110" w:type="dxa"/>
              <w:end w:w="130" w:type="dxa"/>
            </w:tcMar>
            <w:vAlign w:val="center"/>
          </w:tcPr>
          <w:p>
            <w:pPr>
              <w:spacing w:after="0"/>
            </w:pPr>
            <w:r>
              <w:rPr>
                <w:rFonts w:ascii="Aptos" w:hAnsi="Aptos"/>
                <w:b w:val="0"/>
                <w:color w:val="111111"/>
                <w:sz w:val="18"/>
              </w:rPr>
              <w:t>21 October 2026</w:t>
            </w:r>
          </w:p>
        </w:tc>
      </w:tr>
      <w:tr>
        <w:tc>
          <w:tcPr>
            <w:tcW w:type="dxa" w:w="2520"/>
            <w:shd w:fill="202226"/>
            <w:tcMar>
              <w:top w:w="110" w:type="dxa"/>
              <w:start w:w="130" w:type="dxa"/>
              <w:bottom w:w="110" w:type="dxa"/>
              <w:end w:w="130" w:type="dxa"/>
            </w:tcMar>
            <w:vAlign w:val="center"/>
          </w:tcPr>
          <w:p>
            <w:pPr>
              <w:spacing w:after="0"/>
            </w:pPr>
            <w:r>
              <w:rPr>
                <w:rFonts w:ascii="Aptos" w:hAnsi="Aptos"/>
                <w:b/>
                <w:color w:val="FFFFFF"/>
                <w:sz w:val="18"/>
              </w:rPr>
              <w:t>Repository</w:t>
            </w:r>
          </w:p>
        </w:tc>
        <w:tc>
          <w:tcPr>
            <w:tcW w:type="dxa" w:w="6984"/>
            <w:shd w:fill="F2F3F4"/>
            <w:tcMar>
              <w:top w:w="110" w:type="dxa"/>
              <w:start w:w="130" w:type="dxa"/>
              <w:bottom w:w="110" w:type="dxa"/>
              <w:end w:w="130" w:type="dxa"/>
            </w:tcMar>
            <w:vAlign w:val="center"/>
          </w:tcPr>
          <w:p>
            <w:pPr>
              <w:spacing w:after="0"/>
            </w:pPr>
            <w:r>
              <w:rPr>
                <w:rFonts w:ascii="Aptos" w:hAnsi="Aptos"/>
                <w:b w:val="0"/>
                <w:color w:val="111111"/>
                <w:sz w:val="18"/>
              </w:rPr>
              <w:t>ahmadsoban92-pixel/Regi-Tech</w:t>
            </w:r>
          </w:p>
        </w:tc>
      </w:tr>
      <w:tr>
        <w:tc>
          <w:tcPr>
            <w:tcW w:type="dxa" w:w="2520"/>
            <w:shd w:fill="202226"/>
            <w:tcMar>
              <w:top w:w="110" w:type="dxa"/>
              <w:start w:w="130" w:type="dxa"/>
              <w:bottom w:w="110" w:type="dxa"/>
              <w:end w:w="130" w:type="dxa"/>
            </w:tcMar>
            <w:vAlign w:val="center"/>
          </w:tcPr>
          <w:p>
            <w:pPr>
              <w:spacing w:after="0"/>
            </w:pPr>
            <w:r>
              <w:rPr>
                <w:rFonts w:ascii="Aptos" w:hAnsi="Aptos"/>
                <w:b/>
                <w:color w:val="FFFFFF"/>
                <w:sz w:val="18"/>
              </w:rPr>
              <w:t>Target branch</w:t>
            </w:r>
          </w:p>
        </w:tc>
        <w:tc>
          <w:tcPr>
            <w:tcW w:type="dxa" w:w="6984"/>
            <w:shd w:fill="FFFFFF"/>
            <w:tcMar>
              <w:top w:w="110" w:type="dxa"/>
              <w:start w:w="130" w:type="dxa"/>
              <w:bottom w:w="110" w:type="dxa"/>
              <w:end w:w="130" w:type="dxa"/>
            </w:tcMar>
            <w:vAlign w:val="center"/>
          </w:tcPr>
          <w:p>
            <w:pPr>
              <w:spacing w:after="0"/>
            </w:pPr>
            <w:r>
              <w:rPr>
                <w:rFonts w:ascii="Aptos" w:hAnsi="Aptos"/>
                <w:b w:val="0"/>
                <w:color w:val="111111"/>
                <w:sz w:val="18"/>
              </w:rPr>
              <w:t>main</w:t>
            </w:r>
          </w:p>
        </w:tc>
      </w:tr>
      <w:tr>
        <w:tc>
          <w:tcPr>
            <w:tcW w:type="dxa" w:w="2520"/>
            <w:shd w:fill="202226"/>
            <w:tcMar>
              <w:top w:w="110" w:type="dxa"/>
              <w:start w:w="130" w:type="dxa"/>
              <w:bottom w:w="110" w:type="dxa"/>
              <w:end w:w="130" w:type="dxa"/>
            </w:tcMar>
            <w:vAlign w:val="center"/>
          </w:tcPr>
          <w:p>
            <w:pPr>
              <w:spacing w:after="0"/>
            </w:pPr>
            <w:r>
              <w:rPr>
                <w:rFonts w:ascii="Aptos" w:hAnsi="Aptos"/>
                <w:b/>
                <w:color w:val="FFFFFF"/>
                <w:sz w:val="18"/>
              </w:rPr>
              <w:t>Previous pushed commit</w:t>
            </w:r>
          </w:p>
        </w:tc>
        <w:tc>
          <w:tcPr>
            <w:tcW w:type="dxa" w:w="6984"/>
            <w:shd w:fill="F2F3F4"/>
            <w:tcMar>
              <w:top w:w="110" w:type="dxa"/>
              <w:start w:w="130" w:type="dxa"/>
              <w:bottom w:w="110" w:type="dxa"/>
              <w:end w:w="130" w:type="dxa"/>
            </w:tcMar>
            <w:vAlign w:val="center"/>
          </w:tcPr>
          <w:p>
            <w:pPr>
              <w:spacing w:after="0"/>
            </w:pPr>
            <w:r>
              <w:rPr>
                <w:rFonts w:ascii="Aptos" w:hAnsi="Aptos"/>
                <w:b w:val="0"/>
                <w:color w:val="111111"/>
                <w:sz w:val="18"/>
              </w:rPr>
              <w:t>ce5049d89ddc0b0a2d538f7c19210933b170eec1</w:t>
            </w:r>
          </w:p>
        </w:tc>
      </w:tr>
      <w:tr>
        <w:tc>
          <w:tcPr>
            <w:tcW w:type="dxa" w:w="2520"/>
            <w:shd w:fill="202226"/>
            <w:tcMar>
              <w:top w:w="110" w:type="dxa"/>
              <w:start w:w="130" w:type="dxa"/>
              <w:bottom w:w="110" w:type="dxa"/>
              <w:end w:w="130" w:type="dxa"/>
            </w:tcMar>
            <w:vAlign w:val="center"/>
          </w:tcPr>
          <w:p>
            <w:pPr>
              <w:spacing w:after="0"/>
            </w:pPr>
            <w:r>
              <w:rPr>
                <w:rFonts w:ascii="Aptos" w:hAnsi="Aptos"/>
                <w:b/>
                <w:color w:val="FFFFFF"/>
                <w:sz w:val="18"/>
              </w:rPr>
              <w:t>Previous commit title</w:t>
            </w:r>
          </w:p>
        </w:tc>
        <w:tc>
          <w:tcPr>
            <w:tcW w:type="dxa" w:w="6984"/>
            <w:shd w:fill="FFFFFF"/>
            <w:tcMar>
              <w:top w:w="110" w:type="dxa"/>
              <w:start w:w="130" w:type="dxa"/>
              <w:bottom w:w="110" w:type="dxa"/>
              <w:end w:w="130" w:type="dxa"/>
            </w:tcMar>
            <w:vAlign w:val="center"/>
          </w:tcPr>
          <w:p>
            <w:pPr>
              <w:spacing w:after="0"/>
            </w:pPr>
            <w:r>
              <w:rPr>
                <w:rFonts w:ascii="Aptos" w:hAnsi="Aptos"/>
                <w:b w:val="0"/>
                <w:color w:val="111111"/>
                <w:sz w:val="18"/>
              </w:rPr>
              <w:t>Implement multi-plate checkout and client review corrections</w:t>
            </w:r>
          </w:p>
        </w:tc>
      </w:tr>
    </w:tbl>
    <w:p>
      <w:pPr>
        <w:spacing w:after="20"/>
      </w:pPr>
    </w:p>
    <w:p>
      <w:pPr>
        <w:pStyle w:val="Heading1"/>
        <w:spacing w:before="240" w:after="100"/>
      </w:pPr>
      <w:r>
        <w:rPr>
          <w:rFonts w:ascii="Aptos" w:hAnsi="Aptos"/>
          <w:b/>
          <w:color w:val="111111"/>
          <w:sz w:val="30"/>
        </w:rPr>
        <w:t>Release summary</w:t>
      </w:r>
    </w:p>
    <w:p>
      <w:pPr>
        <w:spacing w:after="140" w:line="269" w:lineRule="auto"/>
      </w:pPr>
      <w:r>
        <w:rPr>
          <w:rFonts w:ascii="Aptos" w:hAnsi="Aptos"/>
          <w:b w:val="0"/>
          <w:color w:val="111111"/>
          <w:sz w:val="20"/>
        </w:rPr>
        <w:t>This release completes two related frontend workstreams. The existing customer plate preview has been refined so registration lettering uses more of the available plate area while maintaining dedicated space for borders, flags, logos, slogans, and legal markings. The release also adds the complete four-screen admin portal frontend from the approved Figma file, using typed fixture data and the live plate renderer.</w:t>
      </w:r>
    </w:p>
    <w:p>
      <w:pPr>
        <w:spacing w:after="140" w:line="269" w:lineRule="auto"/>
      </w:pPr>
      <w:r>
        <w:rPr>
          <w:rFonts w:ascii="Aptos" w:hAnsi="Aptos"/>
          <w:b w:val="0"/>
          <w:color w:val="111111"/>
          <w:sz w:val="20"/>
        </w:rPr>
        <w:t>The admin portal is ready for backend integration but is not yet a secure production administration system. Authentication, authorization, persistent owner actions, database queries, and private file access remain intentionally outside this frontend release.</w:t>
      </w:r>
    </w:p>
    <w:p>
      <w:pPr>
        <w:pStyle w:val="Heading1"/>
        <w:spacing w:before="240" w:after="100"/>
      </w:pPr>
      <w:r>
        <w:rPr>
          <w:rFonts w:ascii="Aptos" w:hAnsi="Aptos"/>
          <w:b/>
          <w:color w:val="111111"/>
          <w:sz w:val="30"/>
        </w:rPr>
        <w:t>Release status</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20"/>
        <w:gridCol w:w="6984"/>
      </w:tblGrid>
      <w:tr>
        <w:tc>
          <w:tcPr>
            <w:tcW w:type="dxa" w:w="2520"/>
            <w:shd w:fill="202226"/>
            <w:tcMar>
              <w:top w:w="110" w:type="dxa"/>
              <w:start w:w="130" w:type="dxa"/>
              <w:bottom w:w="110" w:type="dxa"/>
              <w:end w:w="130" w:type="dxa"/>
            </w:tcMar>
            <w:vAlign w:val="center"/>
          </w:tcPr>
          <w:p>
            <w:pPr>
              <w:spacing w:after="0"/>
            </w:pPr>
            <w:r>
              <w:rPr>
                <w:rFonts w:ascii="Aptos" w:hAnsi="Aptos"/>
                <w:b/>
                <w:color w:val="FFFFFF"/>
                <w:sz w:val="18"/>
              </w:rPr>
              <w:t>Implementation</w:t>
            </w:r>
          </w:p>
        </w:tc>
        <w:tc>
          <w:tcPr>
            <w:tcW w:type="dxa" w:w="6984"/>
            <w:shd w:fill="FFFFFF"/>
            <w:tcMar>
              <w:top w:w="110" w:type="dxa"/>
              <w:start w:w="130" w:type="dxa"/>
              <w:bottom w:w="110" w:type="dxa"/>
              <w:end w:w="130" w:type="dxa"/>
            </w:tcMar>
            <w:vAlign w:val="center"/>
          </w:tcPr>
          <w:p>
            <w:pPr>
              <w:spacing w:after="0"/>
            </w:pPr>
            <w:r>
              <w:rPr>
                <w:rFonts w:ascii="Aptos" w:hAnsi="Aptos"/>
                <w:b w:val="0"/>
                <w:color w:val="111111"/>
                <w:sz w:val="18"/>
              </w:rPr>
              <w:t>Complete for the agreed frontend scope</w:t>
            </w:r>
          </w:p>
        </w:tc>
      </w:tr>
      <w:tr>
        <w:tc>
          <w:tcPr>
            <w:tcW w:type="dxa" w:w="2520"/>
            <w:shd w:fill="202226"/>
            <w:tcMar>
              <w:top w:w="110" w:type="dxa"/>
              <w:start w:w="130" w:type="dxa"/>
              <w:bottom w:w="110" w:type="dxa"/>
              <w:end w:w="130" w:type="dxa"/>
            </w:tcMar>
            <w:vAlign w:val="center"/>
          </w:tcPr>
          <w:p>
            <w:pPr>
              <w:spacing w:after="0"/>
            </w:pPr>
            <w:r>
              <w:rPr>
                <w:rFonts w:ascii="Aptos" w:hAnsi="Aptos"/>
                <w:b/>
                <w:color w:val="FFFFFF"/>
                <w:sz w:val="18"/>
              </w:rPr>
              <w:t>Automated checks</w:t>
            </w:r>
          </w:p>
        </w:tc>
        <w:tc>
          <w:tcPr>
            <w:tcW w:type="dxa" w:w="6984"/>
            <w:shd w:fill="F2F3F4"/>
            <w:tcMar>
              <w:top w:w="110" w:type="dxa"/>
              <w:start w:w="130" w:type="dxa"/>
              <w:bottom w:w="110" w:type="dxa"/>
              <w:end w:w="130" w:type="dxa"/>
            </w:tcMar>
            <w:vAlign w:val="center"/>
          </w:tcPr>
          <w:p>
            <w:pPr>
              <w:spacing w:after="0"/>
            </w:pPr>
            <w:r>
              <w:rPr>
                <w:rFonts w:ascii="Aptos" w:hAnsi="Aptos"/>
                <w:b w:val="0"/>
                <w:color w:val="111111"/>
                <w:sz w:val="18"/>
              </w:rPr>
              <w:t>TypeScript typecheck and Next.js production build passed</w:t>
            </w:r>
          </w:p>
        </w:tc>
      </w:tr>
      <w:tr>
        <w:tc>
          <w:tcPr>
            <w:tcW w:type="dxa" w:w="2520"/>
            <w:shd w:fill="202226"/>
            <w:tcMar>
              <w:top w:w="110" w:type="dxa"/>
              <w:start w:w="130" w:type="dxa"/>
              <w:bottom w:w="110" w:type="dxa"/>
              <w:end w:w="130" w:type="dxa"/>
            </w:tcMar>
            <w:vAlign w:val="center"/>
          </w:tcPr>
          <w:p>
            <w:pPr>
              <w:spacing w:after="0"/>
            </w:pPr>
            <w:r>
              <w:rPr>
                <w:rFonts w:ascii="Aptos" w:hAnsi="Aptos"/>
                <w:b/>
                <w:color w:val="FFFFFF"/>
                <w:sz w:val="18"/>
              </w:rPr>
              <w:t>Layout checks</w:t>
            </w:r>
          </w:p>
        </w:tc>
        <w:tc>
          <w:tcPr>
            <w:tcW w:type="dxa" w:w="6984"/>
            <w:shd w:fill="FFFFFF"/>
            <w:tcMar>
              <w:top w:w="110" w:type="dxa"/>
              <w:start w:w="130" w:type="dxa"/>
              <w:bottom w:w="110" w:type="dxa"/>
              <w:end w:w="130" w:type="dxa"/>
            </w:tcMar>
            <w:vAlign w:val="center"/>
          </w:tcPr>
          <w:p>
            <w:pPr>
              <w:spacing w:after="0"/>
            </w:pPr>
            <w:r>
              <w:rPr>
                <w:rFonts w:ascii="Aptos" w:hAnsi="Aptos"/>
                <w:b w:val="0"/>
                <w:color w:val="111111"/>
                <w:sz w:val="18"/>
              </w:rPr>
              <w:t>Verified at 375, 768, 1024, 1280, 1440, and 1920 pixel widths</w:t>
            </w:r>
          </w:p>
        </w:tc>
      </w:tr>
      <w:tr>
        <w:tc>
          <w:tcPr>
            <w:tcW w:type="dxa" w:w="2520"/>
            <w:shd w:fill="202226"/>
            <w:tcMar>
              <w:top w:w="110" w:type="dxa"/>
              <w:start w:w="130" w:type="dxa"/>
              <w:bottom w:w="110" w:type="dxa"/>
              <w:end w:w="130" w:type="dxa"/>
            </w:tcMar>
            <w:vAlign w:val="center"/>
          </w:tcPr>
          <w:p>
            <w:pPr>
              <w:spacing w:after="0"/>
            </w:pPr>
            <w:r>
              <w:rPr>
                <w:rFonts w:ascii="Aptos" w:hAnsi="Aptos"/>
                <w:b/>
                <w:color w:val="FFFFFF"/>
                <w:sz w:val="18"/>
              </w:rPr>
              <w:t>Git hygiene</w:t>
            </w:r>
          </w:p>
        </w:tc>
        <w:tc>
          <w:tcPr>
            <w:tcW w:type="dxa" w:w="6984"/>
            <w:shd w:fill="F2F3F4"/>
            <w:tcMar>
              <w:top w:w="110" w:type="dxa"/>
              <w:start w:w="130" w:type="dxa"/>
              <w:bottom w:w="110" w:type="dxa"/>
              <w:end w:w="130" w:type="dxa"/>
            </w:tcMar>
            <w:vAlign w:val="center"/>
          </w:tcPr>
          <w:p>
            <w:pPr>
              <w:spacing w:after="0"/>
            </w:pPr>
            <w:r>
              <w:rPr>
                <w:rFonts w:ascii="Aptos" w:hAnsi="Aptos"/>
                <w:b w:val="0"/>
                <w:color w:val="111111"/>
                <w:sz w:val="18"/>
              </w:rPr>
              <w:t>No generated build output, dependency folders, environment files, or secrets are included</w:t>
            </w:r>
          </w:p>
        </w:tc>
      </w:tr>
    </w:tbl>
    <w:p>
      <w:pPr>
        <w:spacing w:after="20"/>
      </w:pPr>
    </w:p>
    <w:p>
      <w:r>
        <w:br w:type="page"/>
      </w:r>
    </w:p>
    <w:p>
      <w:pPr>
        <w:pStyle w:val="Heading1"/>
        <w:spacing w:before="240" w:after="100"/>
      </w:pPr>
      <w:r>
        <w:rPr>
          <w:rFonts w:ascii="Aptos" w:hAnsi="Aptos"/>
          <w:b/>
          <w:color w:val="111111"/>
          <w:sz w:val="30"/>
        </w:rPr>
        <w:t>Plate preview refinements</w:t>
      </w:r>
    </w:p>
    <w:p>
      <w:pPr>
        <w:spacing w:after="140" w:line="269" w:lineRule="auto"/>
      </w:pPr>
      <w:r>
        <w:rPr>
          <w:rFonts w:ascii="Aptos" w:hAnsi="Aptos"/>
          <w:b w:val="0"/>
          <w:color w:val="111111"/>
          <w:sz w:val="20"/>
        </w:rPr>
        <w:t>Registration geometry and fitting were adjusted against the latest approved plate references. The UK number-plate typeface remains the registration font, while the fitting logic now fills the printable area more closely instead of leaving excessive unused space.</w:t>
      </w:r>
    </w:p>
    <w:p>
      <w:pPr>
        <w:pStyle w:val="ListBullet"/>
        <w:spacing w:after="80" w:line="259" w:lineRule="auto"/>
      </w:pPr>
      <w:r>
        <w:rPr>
          <w:rFonts w:ascii="Aptos" w:hAnsi="Aptos"/>
          <w:b w:val="0"/>
          <w:color w:val="111111"/>
          <w:sz w:val="20"/>
        </w:rPr>
        <w:t>Expanded registration safe areas on wide and two-line plate formats while preserving the physical plate edge and selected border bands.</w:t>
      </w:r>
    </w:p>
    <w:p>
      <w:pPr>
        <w:pStyle w:val="ListBullet"/>
        <w:spacing w:after="80" w:line="259" w:lineRule="auto"/>
      </w:pPr>
      <w:r>
        <w:rPr>
          <w:rFonts w:ascii="Aptos" w:hAnsi="Aptos"/>
          <w:b w:val="0"/>
          <w:color w:val="111111"/>
          <w:sz w:val="20"/>
        </w:rPr>
        <w:t>Added configuration-aware upper font-size limits for single-line, two-line, logo, and slogan combinations.</w:t>
      </w:r>
    </w:p>
    <w:p>
      <w:pPr>
        <w:pStyle w:val="ListBullet"/>
        <w:spacing w:after="80" w:line="259" w:lineRule="auto"/>
      </w:pPr>
      <w:r>
        <w:rPr>
          <w:rFonts w:ascii="Aptos" w:hAnsi="Aptos"/>
          <w:b w:val="0"/>
          <w:color w:val="111111"/>
          <w:sz w:val="20"/>
        </w:rPr>
        <w:t>Added controlled horizontal glyph scaling to match the reference plate density and retained measured down-fitting for longer registrations.</w:t>
      </w:r>
    </w:p>
    <w:p>
      <w:pPr>
        <w:pStyle w:val="ListBullet"/>
        <w:spacing w:after="80" w:line="259" w:lineRule="auto"/>
      </w:pPr>
      <w:r>
        <w:rPr>
          <w:rFonts w:ascii="Aptos" w:hAnsi="Aptos"/>
          <w:b w:val="0"/>
          <w:color w:val="111111"/>
          <w:sz w:val="20"/>
        </w:rPr>
        <w:t>Restored the baseline first-line and second-line positions for slogan-only plates so the registration is not pushed unnecessarily upward.</w:t>
      </w:r>
    </w:p>
    <w:p>
      <w:pPr>
        <w:pStyle w:val="ListBullet"/>
        <w:spacing w:after="80" w:line="259" w:lineRule="auto"/>
      </w:pPr>
      <w:r>
        <w:rPr>
          <w:rFonts w:ascii="Aptos" w:hAnsi="Aptos"/>
          <w:b w:val="0"/>
          <w:color w:val="111111"/>
          <w:sz w:val="20"/>
        </w:rPr>
        <w:t>Reserved a left-side region for country flags on the second registration line without shrinking unrelated layouts.</w:t>
      </w:r>
    </w:p>
    <w:p>
      <w:pPr>
        <w:pStyle w:val="ListBullet"/>
        <w:spacing w:after="80" w:line="259" w:lineRule="auto"/>
      </w:pPr>
      <w:r>
        <w:rPr>
          <w:rFonts w:ascii="Aptos" w:hAnsi="Aptos"/>
          <w:b w:val="0"/>
          <w:color w:val="111111"/>
          <w:sz w:val="20"/>
        </w:rPr>
        <w:t>Moved landscape slogans inward when one or two borders are selected so text does not touch or overlap the frame.</w:t>
      </w:r>
    </w:p>
    <w:p>
      <w:pPr>
        <w:pStyle w:val="ListBullet"/>
        <w:spacing w:after="80" w:line="259" w:lineRule="auto"/>
      </w:pPr>
      <w:r>
        <w:rPr>
          <w:rFonts w:ascii="Aptos" w:hAnsi="Aptos"/>
          <w:b w:val="0"/>
          <w:color w:val="111111"/>
          <w:sz w:val="20"/>
        </w:rPr>
        <w:t>Kept the existing yellow plate surface, composite border system, current flag assets, legal markings, logo positioning, and pricing rules unchanged.</w:t>
      </w:r>
    </w:p>
    <w:p>
      <w:pPr>
        <w:pStyle w:val="Heading1"/>
        <w:spacing w:before="240" w:after="100"/>
      </w:pPr>
      <w:r>
        <w:rPr>
          <w:rFonts w:ascii="Aptos" w:hAnsi="Aptos"/>
          <w:b/>
          <w:color w:val="111111"/>
          <w:sz w:val="30"/>
        </w:rPr>
        <w:t>Admin portal pages</w:t>
      </w:r>
    </w:p>
    <w:p>
      <w:pPr>
        <w:spacing w:after="140" w:line="269" w:lineRule="auto"/>
      </w:pPr>
      <w:r>
        <w:rPr>
          <w:rFonts w:ascii="Aptos" w:hAnsi="Aptos"/>
          <w:b w:val="0"/>
          <w:color w:val="111111"/>
          <w:sz w:val="20"/>
        </w:rPr>
        <w:t>The portal follows the approved 1280 pixel Figma frames and uses a dedicated admin shell rather than the customer storefront navigation. All order plate imagery is generated by the current PlatePreview component, so the portal does not reintroduce the obsolete Figma plate artwork.</w:t>
      </w:r>
    </w:p>
    <w:p>
      <w:pPr>
        <w:pStyle w:val="ListBullet"/>
        <w:spacing w:after="80" w:line="259" w:lineRule="auto"/>
      </w:pPr>
      <w:r>
        <w:rPr>
          <w:rFonts w:ascii="Aptos" w:hAnsi="Aptos"/>
          <w:b w:val="0"/>
          <w:color w:val="111111"/>
          <w:sz w:val="20"/>
        </w:rPr>
        <w:t>Added /admin/login with email and password validation, password visibility control, loading and error states, demo sign-in navigation, and a return link to the storefront.</w:t>
      </w:r>
    </w:p>
    <w:p>
      <w:pPr>
        <w:pStyle w:val="ListBullet"/>
        <w:spacing w:after="80" w:line="259" w:lineRule="auto"/>
      </w:pPr>
      <w:r>
        <w:rPr>
          <w:rFonts w:ascii="Aptos" w:hAnsi="Aptos"/>
          <w:b w:val="0"/>
          <w:color w:val="111111"/>
          <w:sz w:val="20"/>
        </w:rPr>
        <w:t>Added /admin dashboard cards for total orders, fulfilment queue, verification queue, and paid order value, calculated from fixture orders.</w:t>
      </w:r>
    </w:p>
    <w:p>
      <w:pPr>
        <w:pStyle w:val="ListBullet"/>
        <w:spacing w:after="80" w:line="259" w:lineRule="auto"/>
      </w:pPr>
      <w:r>
        <w:rPr>
          <w:rFonts w:ascii="Aptos" w:hAnsi="Aptos"/>
          <w:b w:val="0"/>
          <w:color w:val="111111"/>
          <w:sz w:val="20"/>
        </w:rPr>
        <w:t>Added /admin/orders with URL-backed search, inclusive date filters, payment filters, fulfilment filters, reset behavior, responsive cards, and desktop table presentation.</w:t>
      </w:r>
    </w:p>
    <w:p>
      <w:pPr>
        <w:pStyle w:val="ListBullet"/>
        <w:spacing w:after="80" w:line="259" w:lineRule="auto"/>
      </w:pPr>
      <w:r>
        <w:rPr>
          <w:rFonts w:ascii="Aptos" w:hAnsi="Aptos"/>
          <w:b w:val="0"/>
          <w:color w:val="111111"/>
          <w:sz w:val="20"/>
        </w:rPr>
        <w:t>Added /admin/orders/[reference] with multi-plate item previews, customer and address details, option summaries, price breakdowns, uploaded-file metadata, private notes, carrier and tracking controls, cancellation, and an activity timeline.</w:t>
      </w:r>
    </w:p>
    <w:p>
      <w:pPr>
        <w:pStyle w:val="ListBullet"/>
        <w:spacing w:after="80" w:line="259" w:lineRule="auto"/>
      </w:pPr>
      <w:r>
        <w:rPr>
          <w:rFonts w:ascii="Aptos" w:hAnsi="Aptos"/>
          <w:b w:val="0"/>
          <w:color w:val="111111"/>
          <w:sz w:val="20"/>
        </w:rPr>
        <w:t>Added desktop sidebar navigation and an accessible mobile drawer with focus-visible controls and reduced-motion-compatible transitions.</w:t>
      </w:r>
    </w:p>
    <w:p>
      <w:pPr>
        <w:pStyle w:val="ListBullet"/>
        <w:spacing w:after="80" w:line="259" w:lineRule="auto"/>
      </w:pPr>
      <w:r>
        <w:rPr>
          <w:rFonts w:ascii="Aptos" w:hAnsi="Aptos"/>
          <w:b w:val="0"/>
          <w:color w:val="111111"/>
          <w:sz w:val="20"/>
        </w:rPr>
        <w:t>Added consistent payment, verification, and fulfilment status badges; pending verification is displayed as Awaiting Documents.</w:t>
      </w:r>
    </w:p>
    <w:p>
      <w:r>
        <w:br w:type="page"/>
      </w:r>
    </w:p>
    <w:p>
      <w:pPr>
        <w:pStyle w:val="Heading1"/>
        <w:spacing w:before="240" w:after="100"/>
      </w:pPr>
      <w:r>
        <w:rPr>
          <w:rFonts w:ascii="Aptos" w:hAnsi="Aptos"/>
          <w:b/>
          <w:color w:val="111111"/>
          <w:sz w:val="30"/>
        </w:rPr>
        <w:t>Architecture and data model</w:t>
      </w:r>
    </w:p>
    <w:p>
      <w:pPr>
        <w:spacing w:after="140" w:line="269" w:lineRule="auto"/>
      </w:pPr>
      <w:r>
        <w:rPr>
          <w:rFonts w:ascii="Aptos" w:hAnsi="Aptos"/>
          <w:b w:val="0"/>
          <w:color w:val="111111"/>
          <w:sz w:val="20"/>
        </w:rPr>
        <w:t>The new portal keeps route files lightweight and separates content, shared types, formatting, fixture access, and client-side interactions. This structure is designed so the fixture repository can be replaced by a server-only Supabase implementation without rewriting the page composition.</w:t>
      </w:r>
    </w:p>
    <w:p>
      <w:pPr>
        <w:pStyle w:val="ListBullet"/>
        <w:spacing w:after="80" w:line="259" w:lineRule="auto"/>
      </w:pPr>
      <w:r>
        <w:rPr>
          <w:rFonts w:ascii="Aptos" w:hAnsi="Aptos"/>
          <w:b w:val="0"/>
          <w:color w:val="111111"/>
          <w:sz w:val="20"/>
        </w:rPr>
        <w:t>Introduced shared admin types for customers, ordered plate items, uploads, notes, timeline entries, fulfilment states, dashboard metrics, filters, and repository operations.</w:t>
      </w:r>
    </w:p>
    <w:p>
      <w:pPr>
        <w:pStyle w:val="ListBullet"/>
        <w:spacing w:after="80" w:line="259" w:lineRule="auto"/>
      </w:pPr>
      <w:r>
        <w:rPr>
          <w:rFonts w:ascii="Aptos" w:hAnsi="Aptos"/>
          <w:b w:val="0"/>
          <w:color w:val="111111"/>
          <w:sz w:val="20"/>
        </w:rPr>
        <w:t>Reused existing payment and verification status types to avoid a conflicting admin-only state model.</w:t>
      </w:r>
    </w:p>
    <w:p>
      <w:pPr>
        <w:pStyle w:val="ListBullet"/>
        <w:spacing w:after="80" w:line="259" w:lineRule="auto"/>
      </w:pPr>
      <w:r>
        <w:rPr>
          <w:rFonts w:ascii="Aptos" w:hAnsi="Aptos"/>
          <w:b w:val="0"/>
          <w:color w:val="111111"/>
          <w:sz w:val="20"/>
        </w:rPr>
        <w:t>Added a server-only fixture repository for dashboard, list, detail, and mutation-shaped operations.</w:t>
      </w:r>
    </w:p>
    <w:p>
      <w:pPr>
        <w:pStyle w:val="ListBullet"/>
        <w:spacing w:after="80" w:line="259" w:lineRule="auto"/>
      </w:pPr>
      <w:r>
        <w:rPr>
          <w:rFonts w:ascii="Aptos" w:hAnsi="Aptos"/>
          <w:b w:val="0"/>
          <w:color w:val="111111"/>
          <w:sz w:val="20"/>
        </w:rPr>
        <w:t>Moved all admin labels and interface copy into structured JSON content.</w:t>
      </w:r>
    </w:p>
    <w:p>
      <w:pPr>
        <w:pStyle w:val="ListBullet"/>
        <w:spacing w:after="80" w:line="259" w:lineRule="auto"/>
      </w:pPr>
      <w:r>
        <w:rPr>
          <w:rFonts w:ascii="Aptos" w:hAnsi="Aptos"/>
          <w:b w:val="0"/>
          <w:color w:val="111111"/>
          <w:sz w:val="20"/>
        </w:rPr>
        <w:t>Added Source Code Pro 5.3.0 for order references and compact registration text, with 400 and 600 weights loaded globally.</w:t>
      </w:r>
    </w:p>
    <w:p>
      <w:pPr>
        <w:pStyle w:val="ListBullet"/>
        <w:spacing w:after="80" w:line="259" w:lineRule="auto"/>
      </w:pPr>
      <w:r>
        <w:rPr>
          <w:rFonts w:ascii="Aptos" w:hAnsi="Aptos"/>
          <w:b w:val="0"/>
          <w:color w:val="111111"/>
          <w:sz w:val="20"/>
        </w:rPr>
        <w:t>Limited Client Components to sign-in interaction, mobile navigation, filters, and non-persistent owner controls. Portal pages remain Server Components.</w:t>
      </w:r>
    </w:p>
    <w:p>
      <w:pPr>
        <w:pStyle w:val="Heading1"/>
        <w:spacing w:before="240" w:after="100"/>
      </w:pPr>
      <w:r>
        <w:rPr>
          <w:rFonts w:ascii="Aptos" w:hAnsi="Aptos"/>
          <w:b/>
          <w:color w:val="111111"/>
          <w:sz w:val="30"/>
        </w:rPr>
        <w:t>Responsive and interaction behaviour</w:t>
      </w:r>
    </w:p>
    <w:p>
      <w:pPr>
        <w:pStyle w:val="ListBullet"/>
        <w:spacing w:after="80" w:line="259" w:lineRule="auto"/>
      </w:pPr>
      <w:r>
        <w:rPr>
          <w:rFonts w:ascii="Aptos" w:hAnsi="Aptos"/>
          <w:b w:val="0"/>
          <w:color w:val="111111"/>
          <w:sz w:val="20"/>
        </w:rPr>
        <w:t>Desktop tables match the Figma hierarchy; smaller screens use safe stacked order cards with no horizontal clipping.</w:t>
      </w:r>
    </w:p>
    <w:p>
      <w:pPr>
        <w:pStyle w:val="ListBullet"/>
        <w:spacing w:after="80" w:line="259" w:lineRule="auto"/>
      </w:pPr>
      <w:r>
        <w:rPr>
          <w:rFonts w:ascii="Aptos" w:hAnsi="Aptos"/>
          <w:b w:val="0"/>
          <w:color w:val="111111"/>
          <w:sz w:val="20"/>
        </w:rPr>
        <w:t>The order badge and table summaries support multiple plate registrations and product types in one order.</w:t>
      </w:r>
    </w:p>
    <w:p>
      <w:pPr>
        <w:pStyle w:val="ListBullet"/>
        <w:spacing w:after="80" w:line="259" w:lineRule="auto"/>
      </w:pPr>
      <w:r>
        <w:rPr>
          <w:rFonts w:ascii="Aptos" w:hAnsi="Aptos"/>
          <w:b w:val="0"/>
          <w:color w:val="111111"/>
          <w:sz w:val="20"/>
        </w:rPr>
        <w:t>Fixture owner controls update locally for preview and intentionally reset on refresh.</w:t>
      </w:r>
    </w:p>
    <w:p>
      <w:pPr>
        <w:pStyle w:val="ListBullet"/>
        <w:spacing w:after="80" w:line="259" w:lineRule="auto"/>
      </w:pPr>
      <w:r>
        <w:rPr>
          <w:rFonts w:ascii="Aptos" w:hAnsi="Aptos"/>
          <w:b w:val="0"/>
          <w:color w:val="111111"/>
          <w:sz w:val="20"/>
        </w:rPr>
        <w:t>Form controls include visible focus states, clear labels, keyboard access, and mobile-safe hit areas.</w:t>
      </w:r>
    </w:p>
    <w:p>
      <w:pPr>
        <w:pStyle w:val="ListBullet"/>
        <w:spacing w:after="80" w:line="259" w:lineRule="auto"/>
      </w:pPr>
      <w:r>
        <w:rPr>
          <w:rFonts w:ascii="Aptos" w:hAnsi="Aptos"/>
          <w:b w:val="0"/>
          <w:color w:val="111111"/>
          <w:sz w:val="20"/>
        </w:rPr>
        <w:t>No passwords, fixture credentials, customer files, secrets, or Figma temporary asset URLs are stored in browser storage.</w:t>
      </w:r>
    </w:p>
    <w:p>
      <w:pPr>
        <w:pStyle w:val="Heading1"/>
        <w:spacing w:before="240" w:after="100"/>
      </w:pPr>
      <w:r>
        <w:rPr>
          <w:rFonts w:ascii="Aptos" w:hAnsi="Aptos"/>
          <w:b/>
          <w:color w:val="111111"/>
          <w:sz w:val="30"/>
        </w:rPr>
        <w:t>Verification completed</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20"/>
        <w:gridCol w:w="6984"/>
      </w:tblGrid>
      <w:tr>
        <w:tc>
          <w:tcPr>
            <w:tcW w:type="dxa" w:w="2520"/>
            <w:shd w:fill="202226"/>
            <w:tcMar>
              <w:top w:w="110" w:type="dxa"/>
              <w:start w:w="130" w:type="dxa"/>
              <w:bottom w:w="110" w:type="dxa"/>
              <w:end w:w="130" w:type="dxa"/>
            </w:tcMar>
            <w:vAlign w:val="center"/>
          </w:tcPr>
          <w:p>
            <w:pPr>
              <w:spacing w:after="0"/>
            </w:pPr>
            <w:r>
              <w:rPr>
                <w:rFonts w:ascii="Aptos" w:hAnsi="Aptos"/>
                <w:b/>
                <w:color w:val="FFFFFF"/>
                <w:sz w:val="18"/>
              </w:rPr>
              <w:t>Type safety</w:t>
            </w:r>
          </w:p>
        </w:tc>
        <w:tc>
          <w:tcPr>
            <w:tcW w:type="dxa" w:w="6984"/>
            <w:shd w:fill="FFFFFF"/>
            <w:tcMar>
              <w:top w:w="110" w:type="dxa"/>
              <w:start w:w="130" w:type="dxa"/>
              <w:bottom w:w="110" w:type="dxa"/>
              <w:end w:w="130" w:type="dxa"/>
            </w:tcMar>
            <w:vAlign w:val="center"/>
          </w:tcPr>
          <w:p>
            <w:pPr>
              <w:spacing w:after="0"/>
            </w:pPr>
            <w:r>
              <w:rPr>
                <w:rFonts w:ascii="Aptos" w:hAnsi="Aptos"/>
                <w:b w:val="0"/>
                <w:color w:val="111111"/>
                <w:sz w:val="18"/>
              </w:rPr>
              <w:t>pnpm typecheck passed</w:t>
            </w:r>
          </w:p>
        </w:tc>
      </w:tr>
      <w:tr>
        <w:tc>
          <w:tcPr>
            <w:tcW w:type="dxa" w:w="2520"/>
            <w:shd w:fill="202226"/>
            <w:tcMar>
              <w:top w:w="110" w:type="dxa"/>
              <w:start w:w="130" w:type="dxa"/>
              <w:bottom w:w="110" w:type="dxa"/>
              <w:end w:w="130" w:type="dxa"/>
            </w:tcMar>
            <w:vAlign w:val="center"/>
          </w:tcPr>
          <w:p>
            <w:pPr>
              <w:spacing w:after="0"/>
            </w:pPr>
            <w:r>
              <w:rPr>
                <w:rFonts w:ascii="Aptos" w:hAnsi="Aptos"/>
                <w:b/>
                <w:color w:val="FFFFFF"/>
                <w:sz w:val="18"/>
              </w:rPr>
              <w:t>Production build</w:t>
            </w:r>
          </w:p>
        </w:tc>
        <w:tc>
          <w:tcPr>
            <w:tcW w:type="dxa" w:w="6984"/>
            <w:shd w:fill="F2F3F4"/>
            <w:tcMar>
              <w:top w:w="110" w:type="dxa"/>
              <w:start w:w="130" w:type="dxa"/>
              <w:bottom w:w="110" w:type="dxa"/>
              <w:end w:w="130" w:type="dxa"/>
            </w:tcMar>
            <w:vAlign w:val="center"/>
          </w:tcPr>
          <w:p>
            <w:pPr>
              <w:spacing w:after="0"/>
            </w:pPr>
            <w:r>
              <w:rPr>
                <w:rFonts w:ascii="Aptos" w:hAnsi="Aptos"/>
                <w:b w:val="0"/>
                <w:color w:val="111111"/>
                <w:sz w:val="18"/>
              </w:rPr>
              <w:t>pnpm build passed on Next.js 16.4</w:t>
            </w:r>
          </w:p>
        </w:tc>
      </w:tr>
      <w:tr>
        <w:tc>
          <w:tcPr>
            <w:tcW w:type="dxa" w:w="2520"/>
            <w:shd w:fill="202226"/>
            <w:tcMar>
              <w:top w:w="110" w:type="dxa"/>
              <w:start w:w="130" w:type="dxa"/>
              <w:bottom w:w="110" w:type="dxa"/>
              <w:end w:w="130" w:type="dxa"/>
            </w:tcMar>
            <w:vAlign w:val="center"/>
          </w:tcPr>
          <w:p>
            <w:pPr>
              <w:spacing w:after="0"/>
            </w:pPr>
            <w:r>
              <w:rPr>
                <w:rFonts w:ascii="Aptos" w:hAnsi="Aptos"/>
                <w:b/>
                <w:color w:val="FFFFFF"/>
                <w:sz w:val="18"/>
              </w:rPr>
              <w:t>Whitespace check</w:t>
            </w:r>
          </w:p>
        </w:tc>
        <w:tc>
          <w:tcPr>
            <w:tcW w:type="dxa" w:w="6984"/>
            <w:shd w:fill="FFFFFF"/>
            <w:tcMar>
              <w:top w:w="110" w:type="dxa"/>
              <w:start w:w="130" w:type="dxa"/>
              <w:bottom w:w="110" w:type="dxa"/>
              <w:end w:w="130" w:type="dxa"/>
            </w:tcMar>
            <w:vAlign w:val="center"/>
          </w:tcPr>
          <w:p>
            <w:pPr>
              <w:spacing w:after="0"/>
            </w:pPr>
            <w:r>
              <w:rPr>
                <w:rFonts w:ascii="Aptos" w:hAnsi="Aptos"/>
                <w:b w:val="0"/>
                <w:color w:val="111111"/>
                <w:sz w:val="18"/>
              </w:rPr>
              <w:t>git diff --check passed</w:t>
            </w:r>
          </w:p>
        </w:tc>
      </w:tr>
      <w:tr>
        <w:tc>
          <w:tcPr>
            <w:tcW w:type="dxa" w:w="2520"/>
            <w:shd w:fill="202226"/>
            <w:tcMar>
              <w:top w:w="110" w:type="dxa"/>
              <w:start w:w="130" w:type="dxa"/>
              <w:bottom w:w="110" w:type="dxa"/>
              <w:end w:w="130" w:type="dxa"/>
            </w:tcMar>
            <w:vAlign w:val="center"/>
          </w:tcPr>
          <w:p>
            <w:pPr>
              <w:spacing w:after="0"/>
            </w:pPr>
            <w:r>
              <w:rPr>
                <w:rFonts w:ascii="Aptos" w:hAnsi="Aptos"/>
                <w:b/>
                <w:color w:val="FFFFFF"/>
                <w:sz w:val="18"/>
              </w:rPr>
              <w:t>Viewport QA</w:t>
            </w:r>
          </w:p>
        </w:tc>
        <w:tc>
          <w:tcPr>
            <w:tcW w:type="dxa" w:w="6984"/>
            <w:shd w:fill="F2F3F4"/>
            <w:tcMar>
              <w:top w:w="110" w:type="dxa"/>
              <w:start w:w="130" w:type="dxa"/>
              <w:bottom w:w="110" w:type="dxa"/>
              <w:end w:w="130" w:type="dxa"/>
            </w:tcMar>
            <w:vAlign w:val="center"/>
          </w:tcPr>
          <w:p>
            <w:pPr>
              <w:spacing w:after="0"/>
            </w:pPr>
            <w:r>
              <w:rPr>
                <w:rFonts w:ascii="Aptos" w:hAnsi="Aptos"/>
                <w:b w:val="0"/>
                <w:color w:val="111111"/>
                <w:sz w:val="18"/>
              </w:rPr>
              <w:t>375, 768, 1024, 1280, 1440, and 1920 pixels</w:t>
            </w:r>
          </w:p>
        </w:tc>
      </w:tr>
      <w:tr>
        <w:tc>
          <w:tcPr>
            <w:tcW w:type="dxa" w:w="2520"/>
            <w:shd w:fill="202226"/>
            <w:tcMar>
              <w:top w:w="110" w:type="dxa"/>
              <w:start w:w="130" w:type="dxa"/>
              <w:bottom w:w="110" w:type="dxa"/>
              <w:end w:w="130" w:type="dxa"/>
            </w:tcMar>
            <w:vAlign w:val="center"/>
          </w:tcPr>
          <w:p>
            <w:pPr>
              <w:spacing w:after="0"/>
            </w:pPr>
            <w:r>
              <w:rPr>
                <w:rFonts w:ascii="Aptos" w:hAnsi="Aptos"/>
                <w:b/>
                <w:color w:val="FFFFFF"/>
                <w:sz w:val="18"/>
              </w:rPr>
              <w:t>Interaction QA</w:t>
            </w:r>
          </w:p>
        </w:tc>
        <w:tc>
          <w:tcPr>
            <w:tcW w:type="dxa" w:w="6984"/>
            <w:shd w:fill="FFFFFF"/>
            <w:tcMar>
              <w:top w:w="110" w:type="dxa"/>
              <w:start w:w="130" w:type="dxa"/>
              <w:bottom w:w="110" w:type="dxa"/>
              <w:end w:w="130" w:type="dxa"/>
            </w:tcMar>
            <w:vAlign w:val="center"/>
          </w:tcPr>
          <w:p>
            <w:pPr>
              <w:spacing w:after="0"/>
            </w:pPr>
            <w:r>
              <w:rPr>
                <w:rFonts w:ascii="Aptos" w:hAnsi="Aptos"/>
                <w:b w:val="0"/>
                <w:color w:val="111111"/>
                <w:sz w:val="18"/>
              </w:rPr>
              <w:t>Login validation, demo navigation, mobile menu, filters, notes, carrier and tracking controls</w:t>
            </w:r>
          </w:p>
        </w:tc>
      </w:tr>
      <w:tr>
        <w:tc>
          <w:tcPr>
            <w:tcW w:type="dxa" w:w="2520"/>
            <w:shd w:fill="202226"/>
            <w:tcMar>
              <w:top w:w="110" w:type="dxa"/>
              <w:start w:w="130" w:type="dxa"/>
              <w:bottom w:w="110" w:type="dxa"/>
              <w:end w:w="130" w:type="dxa"/>
            </w:tcMar>
            <w:vAlign w:val="center"/>
          </w:tcPr>
          <w:p>
            <w:pPr>
              <w:spacing w:after="0"/>
            </w:pPr>
            <w:r>
              <w:rPr>
                <w:rFonts w:ascii="Aptos" w:hAnsi="Aptos"/>
                <w:b/>
                <w:color w:val="FFFFFF"/>
                <w:sz w:val="18"/>
              </w:rPr>
              <w:t>Plate rendering</w:t>
            </w:r>
          </w:p>
        </w:tc>
        <w:tc>
          <w:tcPr>
            <w:tcW w:type="dxa" w:w="6984"/>
            <w:shd w:fill="F2F3F4"/>
            <w:tcMar>
              <w:top w:w="110" w:type="dxa"/>
              <w:start w:w="130" w:type="dxa"/>
              <w:bottom w:w="110" w:type="dxa"/>
              <w:end w:w="130" w:type="dxa"/>
            </w:tcMar>
            <w:vAlign w:val="center"/>
          </w:tcPr>
          <w:p>
            <w:pPr>
              <w:spacing w:after="0"/>
            </w:pPr>
            <w:r>
              <w:rPr>
                <w:rFonts w:ascii="Aptos" w:hAnsi="Aptos"/>
                <w:b w:val="0"/>
                <w:color w:val="111111"/>
                <w:sz w:val="18"/>
              </w:rPr>
              <w:t>Admin details use the live UKNumberPlate-based PlatePreview renderer</w:t>
            </w:r>
          </w:p>
        </w:tc>
      </w:tr>
    </w:tbl>
    <w:p>
      <w:pPr>
        <w:spacing w:after="20"/>
      </w:pPr>
    </w:p>
    <w:p>
      <w:r>
        <w:br w:type="page"/>
      </w:r>
    </w:p>
    <w:p>
      <w:pPr>
        <w:pStyle w:val="Heading1"/>
        <w:spacing w:before="240" w:after="100"/>
      </w:pPr>
      <w:r>
        <w:rPr>
          <w:rFonts w:ascii="Aptos" w:hAnsi="Aptos"/>
          <w:b/>
          <w:color w:val="111111"/>
          <w:sz w:val="30"/>
        </w:rPr>
        <w:t>Files included in this release</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92"/>
        <w:gridCol w:w="6912"/>
      </w:tblGrid>
      <w:tr>
        <w:tc>
          <w:tcPr>
            <w:tcW w:type="dxa" w:w="4997"/>
            <w:shd w:fill="202226"/>
            <w:tcMar>
              <w:top w:w="120" w:type="dxa"/>
              <w:start w:w="130" w:type="dxa"/>
              <w:bottom w:w="120" w:type="dxa"/>
              <w:end w:w="130" w:type="dxa"/>
            </w:tcMar>
            <w:vAlign w:val="center"/>
          </w:tcPr>
          <w:p>
            <w:pPr>
              <w:spacing w:after="0"/>
              <w:jc w:val="center"/>
            </w:pPr>
            <w:r>
              <w:rPr>
                <w:rFonts w:ascii="Aptos" w:hAnsi="Aptos"/>
                <w:b/>
                <w:color w:val="FFFFFF"/>
                <w:sz w:val="18"/>
              </w:rPr>
              <w:t>Area</w:t>
            </w:r>
          </w:p>
        </w:tc>
        <w:tc>
          <w:tcPr>
            <w:tcW w:type="dxa" w:w="4997"/>
            <w:shd w:fill="202226"/>
            <w:tcMar>
              <w:top w:w="120" w:type="dxa"/>
              <w:start w:w="130" w:type="dxa"/>
              <w:bottom w:w="120" w:type="dxa"/>
              <w:end w:w="130" w:type="dxa"/>
            </w:tcMar>
            <w:vAlign w:val="center"/>
          </w:tcPr>
          <w:p>
            <w:pPr>
              <w:spacing w:after="0"/>
              <w:jc w:val="center"/>
            </w:pPr>
            <w:r>
              <w:rPr>
                <w:rFonts w:ascii="Aptos" w:hAnsi="Aptos"/>
                <w:b/>
                <w:color w:val="FFFFFF"/>
                <w:sz w:val="18"/>
              </w:rPr>
              <w:t>Files</w:t>
            </w:r>
          </w:p>
        </w:tc>
      </w:tr>
      <w:tr>
        <w:tc>
          <w:tcPr>
            <w:tcW w:type="dxa" w:w="2592"/>
            <w:shd w:fill="FFFFFF"/>
            <w:tcMar>
              <w:top w:w="110" w:type="dxa"/>
              <w:start w:w="130" w:type="dxa"/>
              <w:bottom w:w="110" w:type="dxa"/>
              <w:end w:w="130" w:type="dxa"/>
            </w:tcMar>
            <w:vAlign w:val="center"/>
          </w:tcPr>
          <w:p>
            <w:pPr>
              <w:spacing w:after="0"/>
            </w:pPr>
            <w:r>
              <w:rPr>
                <w:rFonts w:ascii="Aptos" w:hAnsi="Aptos"/>
                <w:b/>
                <w:color w:val="111111"/>
                <w:sz w:val="17"/>
              </w:rPr>
              <w:t>Dependencies</w:t>
            </w:r>
          </w:p>
        </w:tc>
        <w:tc>
          <w:tcPr>
            <w:tcW w:type="dxa" w:w="6912"/>
            <w:shd w:fill="FFFFFF"/>
            <w:tcMar>
              <w:top w:w="110" w:type="dxa"/>
              <w:start w:w="130" w:type="dxa"/>
              <w:bottom w:w="110" w:type="dxa"/>
              <w:end w:w="130" w:type="dxa"/>
            </w:tcMar>
            <w:vAlign w:val="center"/>
          </w:tcPr>
          <w:p>
            <w:pPr>
              <w:spacing w:after="0"/>
            </w:pPr>
            <w:r>
              <w:rPr>
                <w:rFonts w:ascii="Consolas" w:hAnsi="Consolas"/>
                <w:b w:val="0"/>
                <w:color w:val="111111"/>
                <w:sz w:val="15"/>
              </w:rPr>
              <w:t>package.json; pnpm-lock.yaml</w:t>
            </w:r>
          </w:p>
        </w:tc>
      </w:tr>
      <w:tr>
        <w:tc>
          <w:tcPr>
            <w:tcW w:type="dxa" w:w="2592"/>
            <w:shd w:fill="F2F3F4"/>
            <w:tcMar>
              <w:top w:w="110" w:type="dxa"/>
              <w:start w:w="130" w:type="dxa"/>
              <w:bottom w:w="110" w:type="dxa"/>
              <w:end w:w="130" w:type="dxa"/>
            </w:tcMar>
            <w:vAlign w:val="center"/>
          </w:tcPr>
          <w:p>
            <w:pPr>
              <w:spacing w:after="0"/>
            </w:pPr>
            <w:r>
              <w:rPr>
                <w:rFonts w:ascii="Aptos" w:hAnsi="Aptos"/>
                <w:b/>
                <w:color w:val="111111"/>
                <w:sz w:val="17"/>
              </w:rPr>
              <w:t>Global setup</w:t>
            </w:r>
          </w:p>
        </w:tc>
        <w:tc>
          <w:tcPr>
            <w:tcW w:type="dxa" w:w="6912"/>
            <w:shd w:fill="F2F3F4"/>
            <w:tcMar>
              <w:top w:w="110" w:type="dxa"/>
              <w:start w:w="130" w:type="dxa"/>
              <w:bottom w:w="110" w:type="dxa"/>
              <w:end w:w="130" w:type="dxa"/>
            </w:tcMar>
            <w:vAlign w:val="center"/>
          </w:tcPr>
          <w:p>
            <w:pPr>
              <w:spacing w:after="0"/>
            </w:pPr>
            <w:r>
              <w:rPr>
                <w:rFonts w:ascii="Consolas" w:hAnsi="Consolas"/>
                <w:b w:val="0"/>
                <w:color w:val="111111"/>
                <w:sz w:val="15"/>
              </w:rPr>
              <w:t>src/app/layout.tsx; src/app/globals.css</w:t>
            </w:r>
          </w:p>
        </w:tc>
      </w:tr>
      <w:tr>
        <w:tc>
          <w:tcPr>
            <w:tcW w:type="dxa" w:w="2592"/>
            <w:shd w:fill="FFFFFF"/>
            <w:tcMar>
              <w:top w:w="110" w:type="dxa"/>
              <w:start w:w="130" w:type="dxa"/>
              <w:bottom w:w="110" w:type="dxa"/>
              <w:end w:w="130" w:type="dxa"/>
            </w:tcMar>
            <w:vAlign w:val="center"/>
          </w:tcPr>
          <w:p>
            <w:pPr>
              <w:spacing w:after="0"/>
            </w:pPr>
            <w:r>
              <w:rPr>
                <w:rFonts w:ascii="Aptos" w:hAnsi="Aptos"/>
                <w:b/>
                <w:color w:val="111111"/>
                <w:sz w:val="17"/>
              </w:rPr>
              <w:t>Plate preview</w:t>
            </w:r>
          </w:p>
        </w:tc>
        <w:tc>
          <w:tcPr>
            <w:tcW w:type="dxa" w:w="6912"/>
            <w:shd w:fill="FFFFFF"/>
            <w:tcMar>
              <w:top w:w="110" w:type="dxa"/>
              <w:start w:w="130" w:type="dxa"/>
              <w:bottom w:w="110" w:type="dxa"/>
              <w:end w:w="130" w:type="dxa"/>
            </w:tcMar>
            <w:vAlign w:val="center"/>
          </w:tcPr>
          <w:p>
            <w:pPr>
              <w:spacing w:after="0"/>
            </w:pPr>
            <w:r>
              <w:rPr>
                <w:rFonts w:ascii="Consolas" w:hAnsi="Consolas"/>
                <w:b w:val="0"/>
                <w:color w:val="111111"/>
                <w:sz w:val="15"/>
              </w:rPr>
              <w:t>src/components/order/PlatePreview.tsx; src/components/order/PlateRegistration.tsx</w:t>
            </w:r>
          </w:p>
        </w:tc>
      </w:tr>
      <w:tr>
        <w:tc>
          <w:tcPr>
            <w:tcW w:type="dxa" w:w="2592"/>
            <w:shd w:fill="F2F3F4"/>
            <w:tcMar>
              <w:top w:w="110" w:type="dxa"/>
              <w:start w:w="130" w:type="dxa"/>
              <w:bottom w:w="110" w:type="dxa"/>
              <w:end w:w="130" w:type="dxa"/>
            </w:tcMar>
            <w:vAlign w:val="center"/>
          </w:tcPr>
          <w:p>
            <w:pPr>
              <w:spacing w:after="0"/>
            </w:pPr>
            <w:r>
              <w:rPr>
                <w:rFonts w:ascii="Aptos" w:hAnsi="Aptos"/>
                <w:b/>
                <w:color w:val="111111"/>
                <w:sz w:val="17"/>
              </w:rPr>
              <w:t>Admin routes</w:t>
            </w:r>
          </w:p>
        </w:tc>
        <w:tc>
          <w:tcPr>
            <w:tcW w:type="dxa" w:w="6912"/>
            <w:shd w:fill="F2F3F4"/>
            <w:tcMar>
              <w:top w:w="110" w:type="dxa"/>
              <w:start w:w="130" w:type="dxa"/>
              <w:bottom w:w="110" w:type="dxa"/>
              <w:end w:w="130" w:type="dxa"/>
            </w:tcMar>
            <w:vAlign w:val="center"/>
          </w:tcPr>
          <w:p>
            <w:pPr>
              <w:spacing w:after="0"/>
            </w:pPr>
            <w:r>
              <w:rPr>
                <w:rFonts w:ascii="Consolas" w:hAnsi="Consolas"/>
                <w:b w:val="0"/>
                <w:color w:val="111111"/>
                <w:sz w:val="15"/>
              </w:rPr>
              <w:t>src/app/admin/login/page.tsx; src/app/admin/(portal)/layout.tsx; src/app/admin/(portal)/page.tsx; src/app/admin/(portal)/orders/page.tsx; src/app/admin/(portal)/orders/[reference]/page.tsx</w:t>
            </w:r>
          </w:p>
        </w:tc>
      </w:tr>
      <w:tr>
        <w:tc>
          <w:tcPr>
            <w:tcW w:type="dxa" w:w="2592"/>
            <w:shd w:fill="FFFFFF"/>
            <w:tcMar>
              <w:top w:w="110" w:type="dxa"/>
              <w:start w:w="130" w:type="dxa"/>
              <w:bottom w:w="110" w:type="dxa"/>
              <w:end w:w="130" w:type="dxa"/>
            </w:tcMar>
            <w:vAlign w:val="center"/>
          </w:tcPr>
          <w:p>
            <w:pPr>
              <w:spacing w:after="0"/>
            </w:pPr>
            <w:r>
              <w:rPr>
                <w:rFonts w:ascii="Aptos" w:hAnsi="Aptos"/>
                <w:b/>
                <w:color w:val="111111"/>
                <w:sz w:val="17"/>
              </w:rPr>
              <w:t>Admin components</w:t>
            </w:r>
          </w:p>
        </w:tc>
        <w:tc>
          <w:tcPr>
            <w:tcW w:type="dxa" w:w="6912"/>
            <w:shd w:fill="FFFFFF"/>
            <w:tcMar>
              <w:top w:w="110" w:type="dxa"/>
              <w:start w:w="130" w:type="dxa"/>
              <w:bottom w:w="110" w:type="dxa"/>
              <w:end w:w="130" w:type="dxa"/>
            </w:tcMar>
            <w:vAlign w:val="center"/>
          </w:tcPr>
          <w:p>
            <w:pPr>
              <w:spacing w:after="0"/>
            </w:pPr>
            <w:r>
              <w:rPr>
                <w:rFonts w:ascii="Consolas" w:hAnsi="Consolas"/>
                <w:b w:val="0"/>
                <w:color w:val="111111"/>
                <w:sz w:val="15"/>
              </w:rPr>
              <w:t>src/components/admin/AdminLoginForm.tsx; AdminOrderDetail.tsx; AdminOrderFilters.tsx; AdminOrdersTable.tsx; AdminOwnerActions.tsx; AdminShell.tsx; AdminStatusBadge.tsx</w:t>
            </w:r>
          </w:p>
        </w:tc>
      </w:tr>
      <w:tr>
        <w:tc>
          <w:tcPr>
            <w:tcW w:type="dxa" w:w="2592"/>
            <w:shd w:fill="F2F3F4"/>
            <w:tcMar>
              <w:top w:w="110" w:type="dxa"/>
              <w:start w:w="130" w:type="dxa"/>
              <w:bottom w:w="110" w:type="dxa"/>
              <w:end w:w="130" w:type="dxa"/>
            </w:tcMar>
            <w:vAlign w:val="center"/>
          </w:tcPr>
          <w:p>
            <w:pPr>
              <w:spacing w:after="0"/>
            </w:pPr>
            <w:r>
              <w:rPr>
                <w:rFonts w:ascii="Aptos" w:hAnsi="Aptos"/>
                <w:b/>
                <w:color w:val="111111"/>
                <w:sz w:val="17"/>
              </w:rPr>
              <w:t>Admin data</w:t>
            </w:r>
          </w:p>
        </w:tc>
        <w:tc>
          <w:tcPr>
            <w:tcW w:type="dxa" w:w="6912"/>
            <w:shd w:fill="F2F3F4"/>
            <w:tcMar>
              <w:top w:w="110" w:type="dxa"/>
              <w:start w:w="130" w:type="dxa"/>
              <w:bottom w:w="110" w:type="dxa"/>
              <w:end w:w="130" w:type="dxa"/>
            </w:tcMar>
            <w:vAlign w:val="center"/>
          </w:tcPr>
          <w:p>
            <w:pPr>
              <w:spacing w:after="0"/>
            </w:pPr>
            <w:r>
              <w:rPr>
                <w:rFonts w:ascii="Consolas" w:hAnsi="Consolas"/>
                <w:b w:val="0"/>
                <w:color w:val="111111"/>
                <w:sz w:val="15"/>
              </w:rPr>
              <w:t>src/content/admin.json; src/types/admin.ts; src/lib/adminFormatting.ts; src/services/adminFixture.service.ts</w:t>
            </w:r>
          </w:p>
        </w:tc>
      </w:tr>
      <w:tr>
        <w:tc>
          <w:tcPr>
            <w:tcW w:type="dxa" w:w="2592"/>
            <w:shd w:fill="FFFFFF"/>
            <w:tcMar>
              <w:top w:w="110" w:type="dxa"/>
              <w:start w:w="130" w:type="dxa"/>
              <w:bottom w:w="110" w:type="dxa"/>
              <w:end w:w="130" w:type="dxa"/>
            </w:tcMar>
            <w:vAlign w:val="center"/>
          </w:tcPr>
          <w:p>
            <w:pPr>
              <w:spacing w:after="0"/>
            </w:pPr>
            <w:r>
              <w:rPr>
                <w:rFonts w:ascii="Aptos" w:hAnsi="Aptos"/>
                <w:b/>
                <w:color w:val="111111"/>
                <w:sz w:val="17"/>
              </w:rPr>
              <w:t>Documentation</w:t>
            </w:r>
          </w:p>
        </w:tc>
        <w:tc>
          <w:tcPr>
            <w:tcW w:type="dxa" w:w="6912"/>
            <w:shd w:fill="FFFFFF"/>
            <w:tcMar>
              <w:top w:w="110" w:type="dxa"/>
              <w:start w:w="130" w:type="dxa"/>
              <w:bottom w:w="110" w:type="dxa"/>
              <w:end w:w="130" w:type="dxa"/>
            </w:tcMar>
            <w:vAlign w:val="center"/>
          </w:tcPr>
          <w:p>
            <w:pPr>
              <w:spacing w:after="0"/>
            </w:pPr>
            <w:r>
              <w:rPr>
                <w:rFonts w:ascii="Consolas" w:hAnsi="Consolas"/>
                <w:b w:val="0"/>
                <w:color w:val="111111"/>
                <w:sz w:val="15"/>
              </w:rPr>
              <w:t>reports/Regi Tech Change Report 2026 10 21.docx</w:t>
            </w:r>
          </w:p>
        </w:tc>
      </w:tr>
    </w:tbl>
    <w:p>
      <w:pPr>
        <w:pStyle w:val="Heading1"/>
        <w:spacing w:before="240" w:after="100"/>
      </w:pPr>
      <w:r>
        <w:rPr>
          <w:rFonts w:ascii="Aptos" w:hAnsi="Aptos"/>
          <w:b/>
          <w:color w:val="111111"/>
          <w:sz w:val="30"/>
        </w:rPr>
        <w:t>Known limitations and next phase</w:t>
      </w:r>
    </w:p>
    <w:p>
      <w:pPr>
        <w:spacing w:after="140" w:line="269" w:lineRule="auto"/>
      </w:pPr>
      <w:r>
        <w:rPr>
          <w:rFonts w:ascii="Aptos" w:hAnsi="Aptos"/>
          <w:b w:val="0"/>
          <w:color w:val="111111"/>
          <w:sz w:val="20"/>
        </w:rPr>
        <w:t>The portal currently demonstrates the complete approved frontend using fictional fixture data. The following work is still required before it can safely manage live customer orders:</w:t>
      </w:r>
    </w:p>
    <w:p>
      <w:pPr>
        <w:pStyle w:val="ListBullet"/>
        <w:spacing w:after="80" w:line="259" w:lineRule="auto"/>
      </w:pPr>
      <w:r>
        <w:rPr>
          <w:rFonts w:ascii="Aptos" w:hAnsi="Aptos"/>
          <w:b w:val="0"/>
          <w:color w:val="111111"/>
          <w:sz w:val="20"/>
        </w:rPr>
        <w:t>Supabase Auth with secure SSR cookie sessions, an owner or admin role allowlist, protected routes, and authorization checks for every mutation.</w:t>
      </w:r>
    </w:p>
    <w:p>
      <w:pPr>
        <w:pStyle w:val="ListBullet"/>
        <w:spacing w:after="80" w:line="259" w:lineRule="auto"/>
      </w:pPr>
      <w:r>
        <w:rPr>
          <w:rFonts w:ascii="Aptos" w:hAnsi="Aptos"/>
          <w:b w:val="0"/>
          <w:color w:val="111111"/>
          <w:sz w:val="20"/>
        </w:rPr>
        <w:t>Server-only Supabase queries for dashboards, search, order details, fulfilment, verification, carrier and tracking data, notes, cancellations, and audit history.</w:t>
      </w:r>
    </w:p>
    <w:p>
      <w:pPr>
        <w:pStyle w:val="ListBullet"/>
        <w:spacing w:after="80" w:line="259" w:lineRule="auto"/>
      </w:pPr>
      <w:r>
        <w:rPr>
          <w:rFonts w:ascii="Aptos" w:hAnsi="Aptos"/>
          <w:b w:val="0"/>
          <w:color w:val="111111"/>
          <w:sz w:val="20"/>
        </w:rPr>
        <w:t>Secure expiring access to private V5C and uploaded artwork files, with no public storage URLs.</w:t>
      </w:r>
    </w:p>
    <w:p>
      <w:pPr>
        <w:pStyle w:val="ListBullet"/>
        <w:spacing w:after="80" w:line="259" w:lineRule="auto"/>
      </w:pPr>
      <w:r>
        <w:rPr>
          <w:rFonts w:ascii="Aptos" w:hAnsi="Aptos"/>
          <w:b w:val="0"/>
          <w:color w:val="111111"/>
          <w:sz w:val="20"/>
        </w:rPr>
        <w:t>Live Stripe Checkout and webhook verification, Ideal Postcodes credentials, production Supabase migrations and buckets, notifications, monitoring, backups, security testing, and deployment acceptance testing.</w:t>
      </w:r>
    </w:p>
    <w:p>
      <w:pPr>
        <w:pStyle w:val="ListBullet"/>
        <w:spacing w:after="80" w:line="259" w:lineRule="auto"/>
      </w:pPr>
      <w:r>
        <w:rPr>
          <w:rFonts w:ascii="Aptos" w:hAnsi="Aptos"/>
          <w:b w:val="0"/>
          <w:color w:val="111111"/>
          <w:sz w:val="20"/>
        </w:rPr>
        <w:t>Client-supplied licensed Chalkboard SE artwork font and any outstanding approved Hand Crafted product photograph.</w:t>
      </w:r>
    </w:p>
    <w:p>
      <w:pPr>
        <w:pStyle w:val="Heading1"/>
        <w:spacing w:before="240" w:after="100"/>
      </w:pPr>
      <w:r>
        <w:rPr>
          <w:rFonts w:ascii="Aptos" w:hAnsi="Aptos"/>
          <w:b/>
          <w:color w:val="111111"/>
          <w:sz w:val="30"/>
        </w:rPr>
        <w:t>Release decision</w:t>
      </w:r>
    </w:p>
    <w:p>
      <w:pPr>
        <w:spacing w:after="140" w:line="269" w:lineRule="auto"/>
      </w:pPr>
      <w:r>
        <w:rPr>
          <w:rFonts w:ascii="Aptos" w:hAnsi="Aptos"/>
          <w:b w:val="0"/>
          <w:color w:val="111111"/>
          <w:sz w:val="20"/>
        </w:rPr>
        <w:t>This commit is suitable for publishing to the main branch as a verified frontend release. The admin routes must remain treated as a non-secure preview until the authentication and authorization phase is complete.</w:t>
      </w:r>
    </w:p>
    <w:sectPr w:rsidR="00FC693F" w:rsidRPr="0006063C" w:rsidSect="00034616">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 Tech Change Report</dc:title>
  <dc:subject>Plate preview refinements and admin portal frontend</dc:subject>
  <dc:creator>Regi Tech Development</dc:creator>
  <cp:keywords>Regi Tech, change report, admin portal, plate preview</cp:keywords>
  <dc:description>generated by python-docx</dc:description>
  <cp:lastModifiedBy/>
  <cp:revision>1</cp:revision>
  <dcterms:created xsi:type="dcterms:W3CDTF">2013-12-23T23:15:00Z</dcterms:created>
  <dcterms:modified xsi:type="dcterms:W3CDTF">2013-12-23T23:15:00Z</dcterms:modified>
  <cp:category/>
</cp:coreProperties>
</file>