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p>
            <w:pPr>
              <w:spacing w:after="40"/>
            </w:pPr>
            <w:r>
              <w:rPr>
                <w:rFonts w:ascii="Source Serif 4" w:hAnsi="Source Serif 4" w:cs="Source Serif 4" w:eastAsia="Source Serif 4"/>
                <w:sz w:val="19"/>
              </w:rPr>
              <w:t>·  A midnight rail against an ivory page</w:t>
            </w:r>
          </w:p>
          <w:p>
            <w:pPr>
              <w:spacing w:after="40"/>
            </w:pPr>
            <w:r>
              <w:rPr>
                <w:rFonts w:ascii="Source Serif 4" w:hAnsi="Source Serif 4" w:cs="Source Serif 4" w:eastAsia="Source Serif 4"/>
                <w:sz w:val="19"/>
              </w:rPr>
              <w:t>·  Champagne used as jewellery</w:t>
            </w:r>
          </w:p>
          <w:p>
            <w:pPr>
              <w:spacing w:after="40"/>
            </w:pPr>
            <w:r>
              <w:rPr>
                <w:rFonts w:ascii="Source Serif 4" w:hAnsi="Source Serif 4" w:cs="Source Serif 4" w:eastAsia="Source Serif 4"/>
                <w:sz w:val="19"/>
              </w:rPr>
              <w:t>·  Rules, not cards</w:t>
            </w:r>
          </w:p>
          <w:p>
            <w:pPr>
              <w:spacing w:after="40"/>
            </w:pPr>
            <w:r>
              <w:rPr>
                <w:rFonts w:ascii="Source Serif 4" w:hAnsi="Source Serif 4" w:cs="Source Serif 4" w:eastAsia="Source Serif 4"/>
                <w:sz w:val="19"/>
              </w:rPr>
              <w:t>·  The seal</w:t>
            </w:r>
          </w:p>
          <w:p>
            <w:pPr>
              <w:spacing w:after="40"/>
            </w:pPr>
            <w:r>
              <w:rPr>
                <w:rFonts w:ascii="Source Serif 4" w:hAnsi="Source Serif 4" w:cs="Source Serif 4" w:eastAsia="Source Serif 4"/>
                <w:sz w:val="19"/>
              </w:rPr>
              <w:t>·  And what prestige is not</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i w:val="0"/>
          <w:color w:val="16324F"/>
          <w:sz w:val="22"/>
        </w:rPr>
        <w:t>4.2a The EdirasX signature</w:t>
      </w:r>
    </w:p>
    <w:p>
      <w:pPr>
        <w:spacing w:after="120" w:before="0" w:line="300" w:lineRule="auto"/>
        <w:jc w:val="both"/>
      </w:pPr>
      <w:r>
        <w:rPr>
          <w:rFonts w:ascii="Source Serif 4" w:hAnsi="Source Serif 4" w:cs="Source Serif 4" w:eastAsia="Source Serif 4"/>
          <w:b w:val="0"/>
          <w:i w:val="0"/>
          <w:color w:val="16191C"/>
          <w:sz w:val="21"/>
        </w:rPr>
        <w:t>A person shown a screenshot for half a second, with the name removed, should know it is EdirasX. That is the bar, and four things carry it.</w:t>
      </w:r>
    </w:p>
    <w:p>
      <w:pPr>
        <w:spacing w:after="120" w:before="0" w:line="300" w:lineRule="auto"/>
        <w:jc w:val="both"/>
      </w:pPr>
      <w:r>
        <w:rPr>
          <w:rFonts w:ascii="Source Serif 4" w:hAnsi="Source Serif 4" w:cs="Source Serif 4" w:eastAsia="Source Serif 4"/>
          <w:b/>
          <w:i w:val="0"/>
          <w:color w:val="16191C"/>
          <w:sz w:val="21"/>
        </w:rPr>
        <w:t>A midnight rail against an ivory page.</w:t>
      </w:r>
      <w:r>
        <w:rPr>
          <w:rFonts w:ascii="Source Serif 4" w:hAnsi="Source Serif 4" w:cs="Source Serif 4" w:eastAsia="Source Serif 4"/>
          <w:b w:val="0"/>
          <w:i w:val="0"/>
          <w:color w:val="16191C"/>
          <w:sz w:val="21"/>
        </w:rPr>
        <w:t xml:space="preserve"> An authoritative dark frame around a warm editorial working surface. Not white — a pure-white canvas beside a midnight rail reads as a screenshot of two different products.</w:t>
      </w:r>
    </w:p>
    <w:p>
      <w:pPr>
        <w:spacing w:after="120" w:before="0" w:line="300" w:lineRule="auto"/>
        <w:jc w:val="both"/>
      </w:pPr>
      <w:r>
        <w:rPr>
          <w:rFonts w:ascii="Source Serif 4" w:hAnsi="Source Serif 4" w:cs="Source Serif 4" w:eastAsia="Source Serif 4"/>
          <w:b/>
          <w:i w:val="0"/>
          <w:color w:val="16191C"/>
          <w:sz w:val="21"/>
        </w:rPr>
        <w:t>Champagne used as jewellery.</w:t>
      </w:r>
      <w:r>
        <w:rPr>
          <w:rFonts w:ascii="Source Serif 4" w:hAnsi="Source Serif 4" w:cs="Source Serif 4" w:eastAsia="Source Serif 4"/>
          <w:b w:val="0"/>
          <w:i w:val="0"/>
          <w:color w:val="16191C"/>
          <w:sz w:val="21"/>
        </w:rPr>
        <w:t xml:space="preserve"> Gold marks the origin of a rule, the item you are on, a figure that matters, an action with consequences. It is never a background, never a large fill, and there is at most one gold button on a screen. A gold-coloured interface is a cheap one; a navy interface with gold at the joints is not.</w:t>
      </w:r>
    </w:p>
    <w:p>
      <w:pPr>
        <w:spacing w:after="120" w:before="0" w:line="300" w:lineRule="auto"/>
        <w:jc w:val="both"/>
      </w:pPr>
      <w:r>
        <w:rPr>
          <w:rFonts w:ascii="Source Serif 4" w:hAnsi="Source Serif 4" w:cs="Source Serif 4" w:eastAsia="Source Serif 4"/>
          <w:b/>
          <w:i w:val="0"/>
          <w:color w:val="16191C"/>
          <w:sz w:val="21"/>
        </w:rPr>
        <w:t>Rules, not cards.</w:t>
      </w:r>
      <w:r>
        <w:rPr>
          <w:rFonts w:ascii="Source Serif 4" w:hAnsi="Source Serif 4" w:cs="Source Serif 4" w:eastAsia="Source Serif 4"/>
          <w:b w:val="0"/>
          <w:i w:val="0"/>
          <w:color w:val="16191C"/>
          <w:sz w:val="21"/>
        </w:rPr>
        <w:t xml:space="preserve"> Grouping is done with a micro-label, a hairline and space. A row of figures separated by rules looks composed; the same figures in six rounded rectangles look assembled, and are interchangeable with every other product built this decade.</w:t>
      </w:r>
    </w:p>
    <w:p>
      <w:pPr>
        <w:spacing w:after="120" w:before="0" w:line="300" w:lineRule="auto"/>
        <w:jc w:val="both"/>
      </w:pPr>
      <w:r>
        <w:rPr>
          <w:rFonts w:ascii="Source Serif 4" w:hAnsi="Source Serif 4" w:cs="Source Serif 4" w:eastAsia="Source Serif 4"/>
          <w:b/>
          <w:i w:val="0"/>
          <w:color w:val="16191C"/>
          <w:sz w:val="21"/>
        </w:rPr>
        <w:t>The seal.</w:t>
      </w:r>
      <w:r>
        <w:rPr>
          <w:rFonts w:ascii="Source Serif 4" w:hAnsi="Source Serif 4" w:cs="Source Serif 4" w:eastAsia="Source Serif 4"/>
          <w:b w:val="0"/>
          <w:i w:val="0"/>
          <w:color w:val="16191C"/>
          <w:sz w:val="21"/>
        </w:rPr>
        <w:t xml:space="preserve"> Two squares at 45° produce the eight-point star, whose central negative space is a cross — so the X of EdirasX is the void at the centre of the star, and the Latin letterform is produced by the Arabic geometry rather than placed beside it. One construction generates the mark, the terminator on every rule, the marker on the item you are on, the figure in every empty state, the ceremonial lattice and the loading indicator. It is meant to be noticed on the fourth screen, not the first.</w:t>
      </w:r>
    </w:p>
    <w:p>
      <w:pPr>
        <w:spacing w:after="120" w:before="0" w:line="300" w:lineRule="auto"/>
        <w:jc w:val="both"/>
      </w:pPr>
      <w:r>
        <w:rPr>
          <w:rFonts w:ascii="Source Serif 4" w:hAnsi="Source Serif 4" w:cs="Source Serif 4" w:eastAsia="Source Serif 4"/>
          <w:b/>
          <w:i w:val="0"/>
          <w:color w:val="16191C"/>
          <w:sz w:val="21"/>
        </w:rPr>
        <w:t>And what prestige is not.</w:t>
      </w:r>
      <w:r>
        <w:rPr>
          <w:rFonts w:ascii="Source Serif 4" w:hAnsi="Source Serif 4" w:cs="Source Serif 4" w:eastAsia="Source Serif 4"/>
          <w:b w:val="0"/>
          <w:i w:val="0"/>
          <w:color w:val="16191C"/>
          <w:sz w:val="21"/>
        </w:rPr>
        <w:t xml:space="preserve"> Minimal is not the same as prestigious. A white page with a heading, thin grey lines and ordinary tables is entirely minimal and says nothing about the institution using it. Luxury manufactured through gradients, glass, heavy shadows, large rounded cards and decorative animation is cheaper still. Prestige here comes from typography, proportion, hierarchy, restraint, precision and consistency — and from the fact that every one of those is enforced by a token or a test rather than requested in a document.</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an institution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faculties · campuses · programmes · qualifications · credit systems · grading scales · attendance methods · examination structures · progression rules · academic calendars · terminology · curriculum · organizational hierarchy · report-card format · roles and permissions</w:t>
      </w:r>
    </w:p>
    <w:p>
      <w:pPr>
        <w:spacing w:after="100" w:before="280" w:line="300" w:lineRule="auto"/>
        <w:outlineLvl w:val="3"/>
      </w:pPr>
      <w:r>
        <w:rPr>
          <w:rFonts w:ascii="Inter" w:hAnsi="Inter" w:cs="Inter" w:eastAsia="Inter"/>
          <w:b/>
          <w:color w:val="6B7178"/>
          <w:sz w:val="20"/>
        </w:rPr>
        <w:t xml:space="preserve">8.1  </w:t>
      </w:r>
      <w:r>
        <w:rPr>
          <w:rFonts w:ascii="Inter" w:hAnsi="Inter" w:cs="Inter" w:eastAsia="Inter"/>
          <w:b/>
          <w:i w:val="0"/>
          <w:color w:val="16324F"/>
          <w:sz w:val="22"/>
        </w:rPr>
        <w:t>EdirasX is a universal education operating system</w:t>
      </w:r>
    </w:p>
    <w:p>
      <w:pPr>
        <w:spacing w:after="120" w:before="0" w:line="300" w:lineRule="auto"/>
        <w:jc w:val="both"/>
      </w:pPr>
      <w:r>
        <w:rPr>
          <w:rFonts w:ascii="Source Serif 4" w:hAnsi="Source Serif 4" w:cs="Source Serif 4" w:eastAsia="Source Serif 4"/>
          <w:b w:val="0"/>
          <w:i w:val="0"/>
          <w:color w:val="16191C"/>
          <w:sz w:val="21"/>
        </w:rPr>
        <w:t>Not a school system that also serves universities. One academic engine, spanning the whole continuum:</w:t>
      </w:r>
    </w:p>
    <w:p>
      <w:pPr>
        <w:spacing w:after="120" w:before="0" w:line="300" w:lineRule="auto"/>
        <w:jc w:val="both"/>
      </w:pPr>
      <w:r>
        <w:rPr>
          <w:rFonts w:ascii="Source Serif 4" w:hAnsi="Source Serif 4" w:cs="Source Serif 4" w:eastAsia="Source Serif 4"/>
          <w:b/>
          <w:i w:val="0"/>
          <w:color w:val="16191C"/>
          <w:sz w:val="21"/>
        </w:rPr>
        <w:t>Early childhood</w:t>
      </w:r>
      <w:r>
        <w:rPr>
          <w:rFonts w:ascii="Source Serif 4" w:hAnsi="Source Serif 4" w:cs="Source Serif 4" w:eastAsia="Source Serif 4"/>
          <w:b w:val="0"/>
          <w:i w:val="0"/>
          <w:color w:val="16191C"/>
          <w:sz w:val="21"/>
        </w:rPr>
        <w:t xml:space="preserve"> — pre-nursery, nursery, kindergarten, preschool, reception, early years, foundation. </w:t>
      </w:r>
      <w:r>
        <w:rPr>
          <w:rFonts w:ascii="Source Serif 4" w:hAnsi="Source Serif 4" w:cs="Source Serif 4" w:eastAsia="Source Serif 4"/>
          <w:b/>
          <w:i w:val="0"/>
          <w:color w:val="16191C"/>
          <w:sz w:val="21"/>
        </w:rPr>
        <w:t>Primary / elementary</w:t>
      </w:r>
      <w:r>
        <w:rPr>
          <w:rFonts w:ascii="Source Serif 4" w:hAnsi="Source Serif 4" w:cs="Source Serif 4" w:eastAsia="Source Serif 4"/>
          <w:b w:val="0"/>
          <w:i w:val="0"/>
          <w:color w:val="16191C"/>
          <w:sz w:val="21"/>
        </w:rPr>
        <w:t xml:space="preserve"> — any numbering, any span, any key-stage grouping. </w:t>
      </w:r>
      <w:r>
        <w:rPr>
          <w:rFonts w:ascii="Source Serif 4" w:hAnsi="Source Serif 4" w:cs="Source Serif 4" w:eastAsia="Source Serif 4"/>
          <w:b/>
          <w:i w:val="0"/>
          <w:color w:val="16191C"/>
          <w:sz w:val="21"/>
        </w:rPr>
        <w:t>Secondary</w:t>
      </w:r>
      <w:r>
        <w:rPr>
          <w:rFonts w:ascii="Source Serif 4" w:hAnsi="Source Serif 4" w:cs="Source Serif 4" w:eastAsia="Source Serif 4"/>
          <w:b w:val="0"/>
          <w:i w:val="0"/>
          <w:color w:val="16191C"/>
          <w:sz w:val="21"/>
        </w:rPr>
        <w:t xml:space="preserve"> — junior and senior secondary, middle and high school, GCSE and A-Level shapes, IB, JSS/SSS, and national models we have not met. </w:t>
      </w:r>
      <w:r>
        <w:rPr>
          <w:rFonts w:ascii="Source Serif 4" w:hAnsi="Source Serif 4" w:cs="Source Serif 4" w:eastAsia="Source Serif 4"/>
          <w:b/>
          <w:i w:val="0"/>
          <w:color w:val="16191C"/>
          <w:sz w:val="21"/>
        </w:rPr>
        <w:t>Vocational, technical and professional</w:t>
      </w:r>
      <w:r>
        <w:rPr>
          <w:rFonts w:ascii="Source Serif 4" w:hAnsi="Source Serif 4" w:cs="Source Serif 4" w:eastAsia="Source Serif 4"/>
          <w:b w:val="0"/>
          <w:i w:val="0"/>
          <w:color w:val="16191C"/>
          <w:sz w:val="21"/>
        </w:rPr>
        <w:t xml:space="preserve"> — certificates, diplomas, advanced and higher national diplomas, apprenticeships, competency-based programmes. </w:t>
      </w:r>
      <w:r>
        <w:rPr>
          <w:rFonts w:ascii="Source Serif 4" w:hAnsi="Source Serif 4" w:cs="Source Serif 4" w:eastAsia="Source Serif 4"/>
          <w:b/>
          <w:i w:val="0"/>
          <w:color w:val="16191C"/>
          <w:sz w:val="21"/>
        </w:rPr>
        <w:t>Undergraduate</w:t>
      </w:r>
      <w:r>
        <w:rPr>
          <w:rFonts w:ascii="Source Serif 4" w:hAnsi="Source Serif 4" w:cs="Source Serif 4" w:eastAsia="Source Serif 4"/>
          <w:b w:val="0"/>
          <w:i w:val="0"/>
          <w:color w:val="16191C"/>
          <w:sz w:val="21"/>
        </w:rPr>
        <w:t xml:space="preserve"> — associate, foundation, higher national, bachelor’s, honours, professional degrees. </w:t>
      </w:r>
      <w:r>
        <w:rPr>
          <w:rFonts w:ascii="Source Serif 4" w:hAnsi="Source Serif 4" w:cs="Source Serif 4" w:eastAsia="Source Serif 4"/>
          <w:b/>
          <w:i w:val="0"/>
          <w:color w:val="16191C"/>
          <w:sz w:val="21"/>
        </w:rPr>
        <w:t>Postgraduate</w:t>
      </w:r>
      <w:r>
        <w:rPr>
          <w:rFonts w:ascii="Source Serif 4" w:hAnsi="Source Serif 4" w:cs="Source Serif 4" w:eastAsia="Source Serif 4"/>
          <w:b w:val="0"/>
          <w:i w:val="0"/>
          <w:color w:val="16191C"/>
          <w:sz w:val="21"/>
        </w:rPr>
        <w:t xml:space="preserve"> — postgraduate certificates and diplomas, taught and research master’s, MPhil. </w:t>
      </w:r>
      <w:r>
        <w:rPr>
          <w:rFonts w:ascii="Source Serif 4" w:hAnsi="Source Serif 4" w:cs="Source Serif 4" w:eastAsia="Source Serif 4"/>
          <w:b/>
          <w:i w:val="0"/>
          <w:color w:val="16191C"/>
          <w:sz w:val="21"/>
        </w:rPr>
        <w:t>Doctoral and research</w:t>
      </w:r>
      <w:r>
        <w:rPr>
          <w:rFonts w:ascii="Source Serif 4" w:hAnsi="Source Serif 4" w:cs="Source Serif 4" w:eastAsia="Source Serif 4"/>
          <w:b w:val="0"/>
          <w:i w:val="0"/>
          <w:color w:val="16191C"/>
          <w:sz w:val="21"/>
        </w:rPr>
        <w:t xml:space="preserve"> — PhD, professional doctorates, supervision, milestones, thesis, viva, completion.</w:t>
      </w:r>
    </w:p>
    <w:p>
      <w:pPr>
        <w:spacing w:after="120" w:before="0" w:line="300" w:lineRule="auto"/>
        <w:jc w:val="both"/>
      </w:pPr>
      <w:r>
        <w:rPr>
          <w:rFonts w:ascii="Source Serif 4" w:hAnsi="Source Serif 4" w:cs="Source Serif 4" w:eastAsia="Source Serif 4"/>
          <w:b w:val="0"/>
          <w:i w:val="0"/>
          <w:color w:val="16191C"/>
          <w:sz w:val="21"/>
        </w:rPr>
        <w:t>None of these appears in executable code. Every one is a configuration an institution creates, names, and orders for itself.</w:t>
      </w:r>
    </w:p>
    <w:p>
      <w:pPr>
        <w:spacing w:after="100" w:before="280" w:line="300" w:lineRule="auto"/>
        <w:outlineLvl w:val="3"/>
      </w:pPr>
      <w:r>
        <w:rPr>
          <w:rFonts w:ascii="Inter" w:hAnsi="Inter" w:cs="Inter" w:eastAsia="Inter"/>
          <w:b/>
          <w:color w:val="6B7178"/>
          <w:sz w:val="20"/>
        </w:rPr>
        <w:t xml:space="preserve">8.2  </w:t>
      </w:r>
      <w:r>
        <w:rPr>
          <w:rFonts w:ascii="Inter" w:hAnsi="Inter" w:cs="Inter" w:eastAsia="Inter"/>
          <w:b/>
          <w:i w:val="0"/>
          <w:color w:val="16324F"/>
          <w:sz w:val="22"/>
        </w:rPr>
        <w:t>The layers, and why they are separate</w:t>
      </w:r>
    </w:p>
    <w:p>
      <w:pPr>
        <w:spacing w:after="120" w:before="0" w:line="300" w:lineRule="auto"/>
        <w:jc w:val="both"/>
      </w:pPr>
      <w:r>
        <w:rPr>
          <w:rFonts w:ascii="IBM Plex Mono" w:hAnsi="IBM Plex Mono" w:cs="IBM Plex Mono" w:eastAsia="IBM Plex Mono"/>
          <w:b w:val="0"/>
          <w:i w:val="0"/>
          <w:color w:val="16191C"/>
          <w:sz w:val="19"/>
        </w:rPr>
        <w:t xml:space="preserve"> Institution (the tenant) └── Academic unit ......... campus · faculty · school · department · division └── Programme ....... a named course of study, usually leading to a qualification └── Level ..... a stage within it: Year 3 · Level 200 · Intermediate └── Class group ... form · section · seminar group · arm Academic stage .............. a broad phase, where the institution uses one Qualification ............... what completion awards, in the institution's own framework Course ...................... subject · module · unit · paper Academic period ............. term · semester · trimester · quarter · block · session </w:t>
      </w:r>
    </w:p>
    <w:p>
      <w:pPr>
        <w:spacing w:after="120" w:before="0" w:line="300" w:lineRule="auto"/>
        <w:jc w:val="both"/>
      </w:pPr>
      <w:r>
        <w:rPr>
          <w:rFonts w:ascii="Source Serif 4" w:hAnsi="Source Serif 4" w:cs="Source Serif 4" w:eastAsia="Source Serif 4"/>
          <w:b/>
          <w:i w:val="0"/>
          <w:color w:val="16191C"/>
          <w:sz w:val="21"/>
        </w:rPr>
        <w:t>No institution is required to use every layer.</w:t>
      </w:r>
      <w:r>
        <w:rPr>
          <w:rFonts w:ascii="Source Serif 4" w:hAnsi="Source Serif 4" w:cs="Source Serif 4" w:eastAsia="Source Serif 4"/>
          <w:b w:val="0"/>
          <w:i w:val="0"/>
          <w:color w:val="16191C"/>
          <w:sz w:val="21"/>
        </w:rPr>
        <w:t xml:space="preserve"> A primary school uses stage, level, class group and course. A university uses unit, programme, level, cohort, course and section. A research institute uses unit, programme, supervision and milestone. The layers a school does not use are simply absent, not empty ceremony it must fill in.</w:t>
      </w:r>
    </w:p>
    <w:p>
      <w:pPr>
        <w:spacing w:after="120" w:before="0" w:line="300" w:lineRule="auto"/>
        <w:jc w:val="both"/>
      </w:pPr>
      <w:r>
        <w:rPr>
          <w:rFonts w:ascii="Source Serif 4" w:hAnsi="Source Serif 4" w:cs="Source Serif 4" w:eastAsia="Source Serif 4"/>
          <w:b/>
          <w:i w:val="0"/>
          <w:color w:val="16191C"/>
          <w:sz w:val="21"/>
        </w:rPr>
        <w:t>These are genuinely different things and must never be collapsed:</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A programme is what a student is admitted to. A level is where they have reached within it. A course is what they study. A class group is who they sit with. A </w:t>
      </w:r>
      <w:r>
        <w:rPr>
          <w:rFonts w:ascii="Source Serif 4" w:hAnsi="Source Serif 4" w:cs="Source Serif 4" w:eastAsia="Source Serif 4"/>
          <w:b/>
          <w:i w:val="0"/>
          <w:color w:val="16191C"/>
          <w:sz w:val="21"/>
        </w:rPr>
        <w:t>qualification</w:t>
      </w:r>
      <w:r>
        <w:rPr>
          <w:rFonts w:ascii="Source Serif 4" w:hAnsi="Source Serif 4" w:cs="Source Serif 4" w:eastAsia="Source Serif 4"/>
          <w:b w:val="0"/>
          <w:i w:val="0"/>
          <w:color w:val="16191C"/>
          <w:sz w:val="21"/>
        </w:rPr>
        <w:t xml:space="preserve"> is what they leave with.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Bachelor of Computer Science may run Level 100–400, or Year 1–3, or Foundation/Intermediate/Advanced. The same programme structure, three institutional vocabularies.</w:t>
      </w:r>
    </w:p>
    <w:p>
      <w:pPr>
        <w:spacing w:after="100" w:before="280" w:line="300" w:lineRule="auto"/>
        <w:outlineLvl w:val="3"/>
      </w:pPr>
      <w:r>
        <w:rPr>
          <w:rFonts w:ascii="Inter" w:hAnsi="Inter" w:cs="Inter" w:eastAsia="Inter"/>
          <w:b/>
          <w:color w:val="6B7178"/>
          <w:sz w:val="20"/>
        </w:rPr>
        <w:t xml:space="preserve">8.3  </w:t>
      </w:r>
      <w:r>
        <w:rPr>
          <w:rFonts w:ascii="Inter" w:hAnsi="Inter" w:cs="Inter" w:eastAsia="Inter"/>
          <w:b/>
          <w:i w:val="0"/>
          <w:color w:val="16324F"/>
          <w:sz w:val="22"/>
        </w:rPr>
        <w:t>What must never be hard-coded</w:t>
      </w:r>
    </w:p>
    <w:p>
      <w:pPr>
        <w:spacing w:after="120" w:before="0" w:line="300" w:lineRule="auto"/>
        <w:jc w:val="both"/>
      </w:pPr>
      <w:r>
        <w:rPr>
          <w:rFonts w:ascii="Source Serif 4" w:hAnsi="Source Serif 4" w:cs="Source Serif 4" w:eastAsia="Source Serif 4"/>
          <w:b w:val="0"/>
          <w:i w:val="0"/>
          <w:color w:val="16191C"/>
          <w:sz w:val="21"/>
        </w:rPr>
        <w:t>No enum, constant, branch, or column may encode: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national qualification framework, or any qualification as a fixed concept (</w:t>
      </w:r>
      <w:r>
        <w:rPr>
          <w:rFonts w:ascii="IBM Plex Mono" w:hAnsi="IBM Plex Mono" w:cs="IBM Plex Mono" w:eastAsia="IBM Plex Mono"/>
          <w:b w:val="0"/>
          <w:i w:val="0"/>
          <w:color w:val="16191C"/>
          <w:sz w:val="19"/>
        </w:rPr>
        <w:t>BACHELORS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MASTERS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PHD</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PRIMARY</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SECONDARY</w:t>
      </w:r>
      <w:r>
        <w:rPr>
          <w:rFonts w:ascii="Source Serif 4" w:hAnsi="Source Serif 4" w:cs="Source Serif 4" w:eastAsia="Source Serif 4"/>
          <w:b w:val="0"/>
          <w:i w:val="0"/>
          <w:color w:val="16191C"/>
          <w:sz w:val="21"/>
        </w:rPr>
        <w: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duration (“a bachelor’s is three years”, “a term is one third of a year”);</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credit system, credit value, or contact-hour rule;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level’s position in a national system, or arithmetic over level numbers;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grading scale, threshold, pass mark, or classification;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progression or completion condition;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number or names of academic periods.</w:t>
      </w:r>
    </w:p>
    <w:p>
      <w:pPr>
        <w:spacing w:after="120" w:before="0" w:line="300" w:lineRule="auto"/>
        <w:jc w:val="both"/>
      </w:pPr>
      <w:r>
        <w:rPr>
          <w:rFonts w:ascii="Source Serif 4" w:hAnsi="Source Serif 4" w:cs="Source Serif 4" w:eastAsia="Source Serif 4"/>
          <w:b w:val="0"/>
          <w:i w:val="0"/>
          <w:color w:val="16191C"/>
          <w:sz w:val="21"/>
        </w:rPr>
        <w:t>The system asks the configured academic model what applies. It never assumes.</w:t>
      </w:r>
    </w:p>
    <w:p>
      <w:pPr>
        <w:spacing w:after="100" w:before="280" w:line="300" w:lineRule="auto"/>
        <w:outlineLvl w:val="3"/>
      </w:pPr>
      <w:r>
        <w:rPr>
          <w:rFonts w:ascii="Inter" w:hAnsi="Inter" w:cs="Inter" w:eastAsia="Inter"/>
          <w:b/>
          <w:color w:val="6B7178"/>
          <w:sz w:val="20"/>
        </w:rPr>
        <w:t xml:space="preserve">8.4  </w:t>
      </w:r>
      <w:r>
        <w:rPr>
          <w:rFonts w:ascii="Inter" w:hAnsi="Inter" w:cs="Inter" w:eastAsia="Inter"/>
          <w:b/>
          <w:i w:val="0"/>
          <w:color w:val="16324F"/>
          <w:sz w:val="22"/>
        </w:rPr>
        <w:t>The Universal Education Test</w:t>
      </w:r>
    </w:p>
    <w:p>
      <w:pPr>
        <w:spacing w:after="120" w:before="0" w:line="300" w:lineRule="auto"/>
        <w:jc w:val="both"/>
      </w:pPr>
      <w:r>
        <w:rPr>
          <w:rFonts w:ascii="Source Serif 4" w:hAnsi="Source Serif 4" w:cs="Source Serif 4" w:eastAsia="Source Serif 4"/>
          <w:b w:val="0"/>
          <w:i w:val="0"/>
          <w:color w:val="16191C"/>
          <w:sz w:val="21"/>
        </w:rPr>
        <w:t>The acceptance suite proves the same engine represents at least these eight, through configuration alone:</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t>
            </w:r>
          </w:p>
        </w:tc>
        <w:tc>
          <w:tcPr>
            <w:tcW w:type="dxa" w:w="4716"/>
            <w:shd w:val="clear" w:color="auto" w:fill="F5F5F1"/>
          </w:tcPr>
          <w:p>
            <w:pPr>
              <w:spacing w:after="40"/>
            </w:pPr>
            <w:r>
              <w:rPr>
                <w:b/>
              </w:rPr>
            </w:r>
            <w:r>
              <w:rPr>
                <w:rFonts w:ascii="Inter" w:hAnsi="Inter" w:cs="Inter" w:eastAsia="Inter"/>
                <w:b/>
                <w:i w:val="0"/>
                <w:color w:val="6B7178"/>
                <w:sz w:val="16"/>
              </w:rPr>
              <w:t>Institution</w:t>
            </w:r>
          </w:p>
        </w:tc>
      </w:tr>
      <w:tr>
        <w:tc>
          <w:tcPr>
            <w:tcW w:type="dxa" w:w="4716"/>
          </w:tcPr>
          <w:p>
            <w:pPr>
              <w:spacing w:after="40"/>
            </w:pPr>
            <w:r/>
            <w:r>
              <w:rPr>
                <w:rFonts w:ascii="Inter" w:hAnsi="Inter" w:cs="Inter" w:eastAsia="Inter"/>
                <w:b w:val="0"/>
                <w:i w:val="0"/>
                <w:color w:val="16191C"/>
                <w:sz w:val="18"/>
              </w:rPr>
              <w:t>1</w:t>
            </w:r>
          </w:p>
        </w:tc>
        <w:tc>
          <w:tcPr>
            <w:tcW w:type="dxa" w:w="4716"/>
          </w:tcPr>
          <w:p>
            <w:pPr>
              <w:spacing w:after="40"/>
            </w:pPr>
            <w:r/>
            <w:r>
              <w:rPr>
                <w:rFonts w:ascii="Inter" w:hAnsi="Inter" w:cs="Inter" w:eastAsia="Inter"/>
                <w:b w:val="0"/>
                <w:i w:val="0"/>
                <w:color w:val="16191C"/>
                <w:sz w:val="18"/>
              </w:rPr>
              <w:t>Nursery → Primary → Secondary</w:t>
            </w:r>
          </w:p>
        </w:tc>
      </w:tr>
      <w:tr>
        <w:tc>
          <w:tcPr>
            <w:tcW w:type="dxa" w:w="4716"/>
          </w:tcPr>
          <w:p>
            <w:pPr>
              <w:spacing w:after="40"/>
            </w:pPr>
            <w:r/>
            <w:r>
              <w:rPr>
                <w:rFonts w:ascii="Inter" w:hAnsi="Inter" w:cs="Inter" w:eastAsia="Inter"/>
                <w:b w:val="0"/>
                <w:i w:val="0"/>
                <w:color w:val="16191C"/>
                <w:sz w:val="18"/>
              </w:rPr>
              <w:t>2</w:t>
            </w:r>
          </w:p>
        </w:tc>
        <w:tc>
          <w:tcPr>
            <w:tcW w:type="dxa" w:w="4716"/>
          </w:tcPr>
          <w:p>
            <w:pPr>
              <w:spacing w:after="40"/>
            </w:pPr>
            <w:r/>
            <w:r>
              <w:rPr>
                <w:rFonts w:ascii="Inter" w:hAnsi="Inter" w:cs="Inter" w:eastAsia="Inter"/>
                <w:b w:val="0"/>
                <w:i w:val="0"/>
                <w:color w:val="16191C"/>
                <w:sz w:val="18"/>
              </w:rPr>
              <w:t>Elementary → Middle → High School</w:t>
            </w:r>
          </w:p>
        </w:tc>
      </w:tr>
      <w:tr>
        <w:tc>
          <w:tcPr>
            <w:tcW w:type="dxa" w:w="4716"/>
          </w:tcPr>
          <w:p>
            <w:pPr>
              <w:spacing w:after="40"/>
            </w:pPr>
            <w:r/>
            <w:r>
              <w:rPr>
                <w:rFonts w:ascii="Inter" w:hAnsi="Inter" w:cs="Inter" w:eastAsia="Inter"/>
                <w:b w:val="0"/>
                <w:i w:val="0"/>
                <w:color w:val="16191C"/>
                <w:sz w:val="18"/>
              </w:rPr>
              <w:t>3</w:t>
            </w:r>
          </w:p>
        </w:tc>
        <w:tc>
          <w:tcPr>
            <w:tcW w:type="dxa" w:w="4716"/>
          </w:tcPr>
          <w:p>
            <w:pPr>
              <w:spacing w:after="40"/>
            </w:pPr>
            <w:r/>
            <w:r>
              <w:rPr>
                <w:rFonts w:ascii="Inter" w:hAnsi="Inter" w:cs="Inter" w:eastAsia="Inter"/>
                <w:b w:val="0"/>
                <w:i w:val="0"/>
                <w:color w:val="16191C"/>
                <w:sz w:val="18"/>
              </w:rPr>
              <w:t>Foundation → Undergraduate → Postgraduate</w:t>
            </w:r>
          </w:p>
        </w:tc>
      </w:tr>
      <w:tr>
        <w:tc>
          <w:tcPr>
            <w:tcW w:type="dxa" w:w="4716"/>
          </w:tcPr>
          <w:p>
            <w:pPr>
              <w:spacing w:after="40"/>
            </w:pPr>
            <w:r/>
            <w:r>
              <w:rPr>
                <w:rFonts w:ascii="Inter" w:hAnsi="Inter" w:cs="Inter" w:eastAsia="Inter"/>
                <w:b w:val="0"/>
                <w:i w:val="0"/>
                <w:color w:val="16191C"/>
                <w:sz w:val="18"/>
              </w:rPr>
              <w:t>4</w:t>
            </w:r>
          </w:p>
        </w:tc>
        <w:tc>
          <w:tcPr>
            <w:tcW w:type="dxa" w:w="4716"/>
          </w:tcPr>
          <w:p>
            <w:pPr>
              <w:spacing w:after="40"/>
            </w:pPr>
            <w:r/>
            <w:r>
              <w:rPr>
                <w:rFonts w:ascii="Inter" w:hAnsi="Inter" w:cs="Inter" w:eastAsia="Inter"/>
                <w:b w:val="0"/>
                <w:i w:val="0"/>
                <w:color w:val="16191C"/>
                <w:sz w:val="18"/>
              </w:rPr>
              <w:t>Diploma → HND → Bachelor’s → Master’s → PhD</w:t>
            </w:r>
          </w:p>
        </w:tc>
      </w:tr>
      <w:tr>
        <w:tc>
          <w:tcPr>
            <w:tcW w:type="dxa" w:w="4716"/>
          </w:tcPr>
          <w:p>
            <w:pPr>
              <w:spacing w:after="40"/>
            </w:pPr>
            <w:r/>
            <w:r>
              <w:rPr>
                <w:rFonts w:ascii="Inter" w:hAnsi="Inter" w:cs="Inter" w:eastAsia="Inter"/>
                <w:b w:val="0"/>
                <w:i w:val="0"/>
                <w:color w:val="16191C"/>
                <w:sz w:val="18"/>
              </w:rPr>
              <w:t>5</w:t>
            </w:r>
          </w:p>
        </w:tc>
        <w:tc>
          <w:tcPr>
            <w:tcW w:type="dxa" w:w="4716"/>
          </w:tcPr>
          <w:p>
            <w:pPr>
              <w:spacing w:after="40"/>
            </w:pPr>
            <w:r/>
            <w:r>
              <w:rPr>
                <w:rFonts w:ascii="Inter" w:hAnsi="Inter" w:cs="Inter" w:eastAsia="Inter"/>
                <w:b w:val="0"/>
                <w:i w:val="0"/>
                <w:color w:val="16191C"/>
                <w:sz w:val="18"/>
              </w:rPr>
              <w:t>A credit-based university with faculties and departments</w:t>
            </w:r>
          </w:p>
        </w:tc>
      </w:tr>
      <w:tr>
        <w:tc>
          <w:tcPr>
            <w:tcW w:type="dxa" w:w="4716"/>
          </w:tcPr>
          <w:p>
            <w:pPr>
              <w:spacing w:after="40"/>
            </w:pPr>
            <w:r/>
            <w:r>
              <w:rPr>
                <w:rFonts w:ascii="Inter" w:hAnsi="Inter" w:cs="Inter" w:eastAsia="Inter"/>
                <w:b w:val="0"/>
                <w:i w:val="0"/>
                <w:color w:val="16191C"/>
                <w:sz w:val="18"/>
              </w:rPr>
              <w:t>6</w:t>
            </w:r>
          </w:p>
        </w:tc>
        <w:tc>
          <w:tcPr>
            <w:tcW w:type="dxa" w:w="4716"/>
          </w:tcPr>
          <w:p>
            <w:pPr>
              <w:spacing w:after="40"/>
            </w:pPr>
            <w:r/>
            <w:r>
              <w:rPr>
                <w:rFonts w:ascii="Inter" w:hAnsi="Inter" w:cs="Inter" w:eastAsia="Inter"/>
                <w:b w:val="0"/>
                <w:i w:val="0"/>
                <w:color w:val="16191C"/>
                <w:sz w:val="18"/>
              </w:rPr>
              <w:t>A non-credit institution</w:t>
            </w:r>
          </w:p>
        </w:tc>
      </w:tr>
      <w:tr>
        <w:tc>
          <w:tcPr>
            <w:tcW w:type="dxa" w:w="4716"/>
          </w:tcPr>
          <w:p>
            <w:pPr>
              <w:spacing w:after="40"/>
            </w:pPr>
            <w:r/>
            <w:r>
              <w:rPr>
                <w:rFonts w:ascii="Inter" w:hAnsi="Inter" w:cs="Inter" w:eastAsia="Inter"/>
                <w:b w:val="0"/>
                <w:i w:val="0"/>
                <w:color w:val="16191C"/>
                <w:sz w:val="18"/>
              </w:rPr>
              <w:t>7</w:t>
            </w:r>
          </w:p>
        </w:tc>
        <w:tc>
          <w:tcPr>
            <w:tcW w:type="dxa" w:w="4716"/>
          </w:tcPr>
          <w:p>
            <w:pPr>
              <w:spacing w:after="40"/>
            </w:pPr>
            <w:r/>
            <w:r>
              <w:rPr>
                <w:rFonts w:ascii="Inter" w:hAnsi="Inter" w:cs="Inter" w:eastAsia="Inter"/>
                <w:b w:val="0"/>
                <w:i w:val="0"/>
                <w:color w:val="16191C"/>
                <w:sz w:val="18"/>
              </w:rPr>
              <w:t>A research-oriented postgraduate programme with supervision</w:t>
            </w:r>
          </w:p>
        </w:tc>
      </w:tr>
      <w:tr>
        <w:tc>
          <w:tcPr>
            <w:tcW w:type="dxa" w:w="4716"/>
          </w:tcPr>
          <w:p>
            <w:pPr>
              <w:spacing w:after="40"/>
            </w:pPr>
            <w:r/>
            <w:r>
              <w:rPr>
                <w:rFonts w:ascii="Inter" w:hAnsi="Inter" w:cs="Inter" w:eastAsia="Inter"/>
                <w:b w:val="0"/>
                <w:i w:val="0"/>
                <w:color w:val="16191C"/>
                <w:sz w:val="18"/>
              </w:rPr>
              <w:t>8</w:t>
            </w:r>
          </w:p>
        </w:tc>
        <w:tc>
          <w:tcPr>
            <w:tcW w:type="dxa" w:w="4716"/>
          </w:tcPr>
          <w:p>
            <w:pPr>
              <w:spacing w:after="40"/>
            </w:pPr>
            <w:r/>
            <w:r>
              <w:rPr>
                <w:rFonts w:ascii="Inter" w:hAnsi="Inter" w:cs="Inter" w:eastAsia="Inter"/>
                <w:b w:val="0"/>
                <w:i w:val="0"/>
                <w:color w:val="16191C"/>
                <w:sz w:val="18"/>
              </w:rPr>
              <w:t>A vocational / competency-based institution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This is the </w:t>
      </w:r>
      <w:r>
        <w:rPr>
          <w:rFonts w:ascii="Source Serif 4" w:hAnsi="Source Serif 4" w:cs="Source Serif 4" w:eastAsia="Source Serif 4"/>
          <w:b/>
          <w:i w:val="0"/>
          <w:color w:val="16191C"/>
          <w:sz w:val="21"/>
        </w:rPr>
        <w:t>minimum</w:t>
      </w:r>
      <w:r>
        <w:rPr>
          <w:rFonts w:ascii="Source Serif 4" w:hAnsi="Source Serif 4" w:cs="Source Serif 4" w:eastAsia="Source Serif 4"/>
          <w:b w:val="0"/>
          <w:i w:val="0"/>
          <w:color w:val="16191C"/>
          <w:sz w:val="21"/>
        </w:rPr>
        <w:t xml:space="preserve"> flexibility standard, not the maximum. A proposed feature that requires a code change to serve any of the eight — or a ninth we have not imagined — is wrongly designed.</w:t>
      </w:r>
    </w:p>
    <w:p>
      <w:pPr>
        <w:spacing w:after="120" w:before="0" w:line="300" w:lineRule="auto"/>
        <w:jc w:val="both"/>
      </w:pPr>
      <w:r>
        <w:rPr>
          <w:rFonts w:ascii="Source Serif 4" w:hAnsi="Source Serif 4" w:cs="Source Serif 4" w:eastAsia="Source Serif 4"/>
          <w:b w:val="0"/>
          <w:i w:val="0"/>
          <w:color w:val="16191C"/>
          <w:sz w:val="21"/>
        </w:rPr>
        <w:t>Static checks accompany the suite: no product module may name a specific educational system in executable code, and no comparison in the academic engine may test an academic quantity against a hard-coded number.</w:t>
      </w:r>
    </w:p>
    <w:p>
      <w:pPr>
        <w:spacing w:after="100" w:before="280" w:line="300" w:lineRule="auto"/>
        <w:outlineLvl w:val="3"/>
      </w:pPr>
      <w:r>
        <w:rPr>
          <w:rFonts w:ascii="Inter" w:hAnsi="Inter" w:cs="Inter" w:eastAsia="Inter"/>
          <w:b/>
          <w:color w:val="6B7178"/>
          <w:sz w:val="20"/>
        </w:rPr>
        <w:t xml:space="preserve">8.5  </w:t>
      </w:r>
      <w:r>
        <w:rPr>
          <w:rFonts w:ascii="Inter" w:hAnsi="Inter" w:cs="Inter" w:eastAsia="Inter"/>
          <w:b/>
          <w:i w:val="0"/>
          <w:color w:val="16324F"/>
          <w:sz w:val="22"/>
        </w:rPr>
        <w:t>People are not accounts, and a placement is not a pointer</w:t>
      </w:r>
    </w:p>
    <w:p>
      <w:pPr>
        <w:spacing w:after="120" w:before="0" w:line="300" w:lineRule="auto"/>
        <w:jc w:val="both"/>
      </w:pPr>
      <w:r>
        <w:rPr>
          <w:rFonts w:ascii="Source Serif 4" w:hAnsi="Source Serif 4" w:cs="Source Serif 4" w:eastAsia="Source Serif 4"/>
          <w:b w:val="0"/>
          <w:i w:val="0"/>
          <w:color w:val="16191C"/>
          <w:sz w:val="21"/>
        </w:rPr>
        <w:t>The flexibility constitution governs the shape of an institution. Two further rules govern the people inside it, and they fail in the same way when broken — by making an ordinary institution unrepresentable.</w:t>
      </w:r>
    </w:p>
    <w:p>
      <w:pPr>
        <w:spacing w:after="120" w:before="0" w:line="300" w:lineRule="auto"/>
        <w:jc w:val="both"/>
      </w:pPr>
      <w:r>
        <w:rPr>
          <w:rFonts w:ascii="Source Serif 4" w:hAnsi="Source Serif 4" w:cs="Source Serif 4" w:eastAsia="Source Serif 4"/>
          <w:b/>
          <w:i w:val="0"/>
          <w:color w:val="16191C"/>
          <w:sz w:val="21"/>
        </w:rPr>
        <w:t>Identity, person and relationship are three things.</w:t>
      </w:r>
      <w:r>
        <w:rPr>
          <w:rFonts w:ascii="Source Serif 4" w:hAnsi="Source Serif 4" w:cs="Source Serif 4" w:eastAsia="Source Serif 4"/>
          <w:b w:val="0"/>
          <w:i w:val="0"/>
          <w:color w:val="16191C"/>
          <w:sz w:val="21"/>
        </w:rPr>
        <w:t xml:space="preserve"> An identity is a credential and exists only for people who sign in; a four-year-old has none, and neither does a grandmother who never opens the product. A person is what one institution knows about a human being. A relationship is what that person </w:t>
      </w:r>
      <w:r>
        <w:rPr>
          <w:rFonts w:ascii="Source Serif 4" w:hAnsi="Source Serif 4" w:cs="Source Serif 4" w:eastAsia="Source Serif 4"/>
          <w:b w:val="0"/>
          <w:i/>
          <w:color w:val="16191C"/>
          <w:sz w:val="21"/>
        </w:rPr>
        <w:t>is</w:t>
      </w:r>
      <w:r>
        <w:rPr>
          <w:rFonts w:ascii="Source Serif 4" w:hAnsi="Source Serif 4" w:cs="Source Serif 4" w:eastAsia="Source Serif 4"/>
          <w:b w:val="0"/>
          <w:i w:val="0"/>
          <w:color w:val="16191C"/>
          <w:sz w:val="21"/>
        </w:rPr>
        <w:t xml:space="preserve"> to the institution — a learner, a member of staff, somebody’s guardian — and one person may hold several at once, as one record. The teacher whose child attends is not two people who share a surname.</w:t>
      </w:r>
    </w:p>
    <w:p>
      <w:pPr>
        <w:spacing w:after="120" w:before="0" w:line="300" w:lineRule="auto"/>
        <w:jc w:val="both"/>
      </w:pPr>
      <w:r>
        <w:rPr>
          <w:rFonts w:ascii="Source Serif 4" w:hAnsi="Source Serif 4" w:cs="Source Serif 4" w:eastAsia="Source Serif 4"/>
          <w:b/>
          <w:i w:val="0"/>
          <w:color w:val="16191C"/>
          <w:sz w:val="21"/>
        </w:rPr>
        <w:t>Enrolment is history, not a field.</w:t>
      </w:r>
      <w:r>
        <w:rPr>
          <w:rFonts w:ascii="Source Serif 4" w:hAnsi="Source Serif 4" w:cs="Source Serif 4" w:eastAsia="Source Serif 4"/>
          <w:b w:val="0"/>
          <w:i w:val="0"/>
          <w:color w:val="16191C"/>
          <w:sz w:val="21"/>
        </w:rPr>
        <w:t xml:space="preserve"> Where somebody is placed is a record with a beginning and an end. A transfer closes one placement and opens another; a promotion closes one and opens another; a withdrawal closes one and opens nothing. Nothing is overwritten, because the moment a </w:t>
      </w:r>
      <w:r>
        <w:rPr>
          <w:rFonts w:ascii="IBM Plex Mono" w:hAnsi="IBM Plex Mono" w:cs="IBM Plex Mono" w:eastAsia="IBM Plex Mono"/>
          <w:b w:val="0"/>
          <w:i w:val="0"/>
          <w:color w:val="16191C"/>
          <w:sz w:val="19"/>
        </w:rPr>
        <w:t>class_id</w:t>
      </w:r>
      <w:r>
        <w:rPr>
          <w:rFonts w:ascii="Source Serif 4" w:hAnsi="Source Serif 4" w:cs="Source Serif 4" w:eastAsia="Source Serif 4"/>
          <w:b w:val="0"/>
          <w:i w:val="0"/>
          <w:color w:val="16191C"/>
          <w:sz w:val="21"/>
        </w:rPr>
        <w:t xml:space="preserve"> is edited in place, every mark and every register entry taken under the old placement loses its context, and the institution can no longer answer the question it is actually asked: </w:t>
      </w:r>
      <w:r>
        <w:rPr>
          <w:rFonts w:ascii="Source Serif 4" w:hAnsi="Source Serif 4" w:cs="Source Serif 4" w:eastAsia="Source Serif 4"/>
          <w:b w:val="0"/>
          <w:i/>
          <w:color w:val="16191C"/>
          <w:sz w:val="21"/>
        </w:rPr>
        <w:t>which class was she in in March?</w:t>
      </w:r>
    </w:p>
    <w:p>
      <w:pPr>
        <w:spacing w:after="120" w:before="0" w:line="300" w:lineRule="auto"/>
        <w:jc w:val="both"/>
      </w:pPr>
      <w:r>
        <w:rPr>
          <w:rFonts w:ascii="Source Serif 4" w:hAnsi="Source Serif 4" w:cs="Source Serif 4" w:eastAsia="Source Serif 4"/>
          <w:b/>
          <w:i w:val="0"/>
          <w:color w:val="16191C"/>
          <w:sz w:val="21"/>
        </w:rPr>
        <w:t>A correction is an addition.</w:t>
      </w:r>
      <w:r>
        <w:rPr>
          <w:rFonts w:ascii="Source Serif 4" w:hAnsi="Source Serif 4" w:cs="Source Serif 4" w:eastAsia="Source Serif 4"/>
          <w:b w:val="0"/>
          <w:i w:val="0"/>
          <w:color w:val="16191C"/>
          <w:sz w:val="21"/>
        </w:rPr>
        <w:t xml:space="preserve"> The record of a person’s journey may be corrected but never rewritten, and the system is structurally incapable of rewriting it rather than merely disinclined.</w:t>
      </w:r>
    </w:p>
    <w:p>
      <w:pPr>
        <w:spacing w:after="120" w:before="0" w:line="300" w:lineRule="auto"/>
        <w:jc w:val="both"/>
      </w:pPr>
      <w:r>
        <w:rPr>
          <w:rFonts w:ascii="Source Serif 4" w:hAnsi="Source Serif 4" w:cs="Source Serif 4" w:eastAsia="Source Serif 4"/>
          <w:b/>
          <w:i w:val="0"/>
          <w:color w:val="16191C"/>
          <w:sz w:val="21"/>
        </w:rPr>
        <w:t>And every academic layer remains optional.</w:t>
      </w:r>
      <w:r>
        <w:rPr>
          <w:rFonts w:ascii="Source Serif 4" w:hAnsi="Source Serif 4" w:cs="Source Serif 4" w:eastAsia="Source Serif 4"/>
          <w:b w:val="0"/>
          <w:i w:val="0"/>
          <w:color w:val="16191C"/>
          <w:sz w:val="21"/>
        </w:rPr>
        <w:t xml:space="preserve"> A placement may name a class group and no programme, a programme and no class group, or neither. §8.3 applies unchanged to people: nothing about being a student may assume a school.</w:t>
      </w:r>
    </w:p>
    <w:p>
      <w:pPr>
        <w:spacing w:after="100" w:before="280" w:line="300" w:lineRule="auto"/>
        <w:outlineLvl w:val="3"/>
      </w:pPr>
      <w:r>
        <w:rPr>
          <w:rFonts w:ascii="Inter" w:hAnsi="Inter" w:cs="Inter" w:eastAsia="Inter"/>
          <w:b/>
          <w:color w:val="6B7178"/>
          <w:sz w:val="20"/>
        </w:rPr>
        <w:t xml:space="preserve">8.6  </w:t>
      </w:r>
      <w:r>
        <w:rPr>
          <w:rFonts w:ascii="Inter" w:hAnsi="Inter" w:cs="Inter" w:eastAsia="Inter"/>
          <w:b/>
          <w:i w:val="0"/>
          <w:color w:val="16324F"/>
          <w:sz w:val="22"/>
        </w:rPr>
        <w:t>A document is a statement an institution made on a date</w:t>
      </w:r>
    </w:p>
    <w:p>
      <w:pPr>
        <w:spacing w:after="120" w:before="0" w:line="300" w:lineRule="auto"/>
        <w:jc w:val="both"/>
      </w:pPr>
      <w:r>
        <w:rPr>
          <w:rFonts w:ascii="Source Serif 4" w:hAnsi="Source Serif 4" w:cs="Source Serif 4" w:eastAsia="Source Serif 4"/>
          <w:b w:val="0"/>
          <w:i w:val="0"/>
          <w:color w:val="16191C"/>
          <w:sz w:val="21"/>
        </w:rPr>
        <w:t>An academic document — a report card, a transcript, a certificate, a statement of completion — is not a view over current data. It is a record of what the institution said, on the day it said it, and somebody will ask for another copy five years later.</w:t>
      </w:r>
    </w:p>
    <w:p>
      <w:pPr>
        <w:spacing w:after="120" w:before="0" w:line="300" w:lineRule="auto"/>
        <w:jc w:val="both"/>
      </w:pPr>
      <w:r>
        <w:rPr>
          <w:rFonts w:ascii="Source Serif 4" w:hAnsi="Source Serif 4" w:cs="Source Serif 4" w:eastAsia="Source Serif 4"/>
          <w:b/>
          <w:i w:val="0"/>
          <w:color w:val="16191C"/>
          <w:sz w:val="21"/>
        </w:rPr>
        <w:t>Reprinting is not regenerating.</w:t>
      </w:r>
      <w:r>
        <w:rPr>
          <w:rFonts w:ascii="Source Serif 4" w:hAnsi="Source Serif 4" w:cs="Source Serif 4" w:eastAsia="Source Serif 4"/>
          <w:b w:val="0"/>
          <w:i w:val="0"/>
          <w:color w:val="16191C"/>
          <w:sz w:val="21"/>
        </w:rPr>
        <w:t xml:space="preserve"> A document’s content is composed once, at issue, and stored. Every later reading of it reads that. A system that recomposes on reprint looks perfectly healthy and is wrong in the only way that matters: the copy produced in 2031 disagrees with the copy produced in 2026, and neither party can say which is the institution’s word.</w:t>
      </w:r>
    </w:p>
    <w:p>
      <w:pPr>
        <w:spacing w:after="120" w:before="0" w:line="300" w:lineRule="auto"/>
        <w:jc w:val="both"/>
      </w:pPr>
      <w:r>
        <w:rPr>
          <w:rFonts w:ascii="Source Serif 4" w:hAnsi="Source Serif 4" w:cs="Source Serif 4" w:eastAsia="Source Serif 4"/>
          <w:b/>
          <w:i w:val="0"/>
          <w:color w:val="16191C"/>
          <w:sz w:val="21"/>
        </w:rPr>
        <w:t>What is frozen and what is fresh is a decision, not an accident.</w:t>
      </w:r>
      <w:r>
        <w:rPr>
          <w:rFonts w:ascii="Source Serif 4" w:hAnsi="Source Serif 4" w:cs="Source Serif 4" w:eastAsia="Source Serif 4"/>
          <w:b w:val="0"/>
          <w:i w:val="0"/>
          <w:color w:val="16191C"/>
          <w:sz w:val="21"/>
        </w:rPr>
        <w:t xml:space="preserve"> The grades, the credits, the placement the student actually held, the period’s dates, the comments, the totals, and the words the institution used are historical facts and are frozen. The crest, the colours and the address are how to reach the institution </w:t>
      </w:r>
      <w:r>
        <w:rPr>
          <w:rFonts w:ascii="Source Serif 4" w:hAnsi="Source Serif 4" w:cs="Source Serif 4" w:eastAsia="Source Serif 4"/>
          <w:b w:val="0"/>
          <w:i/>
          <w:color w:val="16191C"/>
          <w:sz w:val="21"/>
        </w:rPr>
        <w:t>now</w:t>
      </w:r>
      <w:r>
        <w:rPr>
          <w:rFonts w:ascii="Source Serif 4" w:hAnsi="Source Serif 4" w:cs="Source Serif 4" w:eastAsia="Source Serif 4"/>
          <w:b w:val="0"/>
          <w:i w:val="0"/>
          <w:color w:val="16191C"/>
          <w:sz w:val="21"/>
        </w:rPr>
        <w:t>, and are resolved at render — a school that has moved should not reprint an old transcript with an address that no longer exists. An institution that wants its identity frozen too says so on the template.</w:t>
      </w:r>
    </w:p>
    <w:p>
      <w:pPr>
        <w:spacing w:after="120" w:before="0" w:line="300" w:lineRule="auto"/>
        <w:jc w:val="both"/>
      </w:pPr>
      <w:r>
        <w:rPr>
          <w:rFonts w:ascii="Source Serif 4" w:hAnsi="Source Serif 4" w:cs="Source Serif 4" w:eastAsia="Source Serif 4"/>
          <w:b/>
          <w:i w:val="0"/>
          <w:color w:val="16191C"/>
          <w:sz w:val="21"/>
        </w:rPr>
        <w:t>A correction supersedes; it does not rewrite.</w:t>
      </w:r>
      <w:r>
        <w:rPr>
          <w:rFonts w:ascii="Source Serif 4" w:hAnsi="Source Serif 4" w:cs="Source Serif 4" w:eastAsia="Source Serif 4"/>
          <w:b w:val="0"/>
          <w:i w:val="0"/>
          <w:color w:val="16191C"/>
          <w:sz w:val="21"/>
        </w:rPr>
        <w:t xml:space="preserve"> A document overtaken by an amendment is replaced by a new one that supersedes it, with a reason, and both survive. A document issued in error is voided and still prints, marked void, because refusing to print it would leave whoever holds a copy unable to learn that it was withdrawn.</w:t>
      </w:r>
    </w:p>
    <w:p>
      <w:pPr>
        <w:spacing w:after="120" w:before="0" w:line="300" w:lineRule="auto"/>
        <w:jc w:val="both"/>
      </w:pPr>
      <w:r>
        <w:rPr>
          <w:rFonts w:ascii="Source Serif 4" w:hAnsi="Source Serif 4" w:cs="Source Serif 4" w:eastAsia="Source Serif 4"/>
          <w:b/>
          <w:i w:val="0"/>
          <w:color w:val="16191C"/>
          <w:sz w:val="21"/>
        </w:rPr>
        <w:t>And one engine, not one per document.</w:t>
      </w:r>
      <w:r>
        <w:rPr>
          <w:rFonts w:ascii="Source Serif 4" w:hAnsi="Source Serif 4" w:cs="Source Serif 4" w:eastAsia="Source Serif 4"/>
          <w:b w:val="0"/>
          <w:i w:val="0"/>
          <w:color w:val="16191C"/>
          <w:sz w:val="21"/>
        </w:rPr>
        <w:t xml:space="preserve"> A report card and a doctoral completion statement differ in which sections they contain and what the institution calls them. If they differ in code, the product has six things to maintain and an institution that needs a seventh has to wait for a release.</w:t>
      </w:r>
    </w:p>
    <w:p>
      <w:pPr>
        <w:spacing w:after="100" w:before="280" w:line="300" w:lineRule="auto"/>
        <w:outlineLvl w:val="3"/>
      </w:pPr>
      <w:r>
        <w:rPr>
          <w:rFonts w:ascii="Inter" w:hAnsi="Inter" w:cs="Inter" w:eastAsia="Inter"/>
          <w:b/>
          <w:color w:val="6B7178"/>
          <w:sz w:val="20"/>
        </w:rPr>
        <w:t xml:space="preserve">8.7  </w:t>
      </w:r>
      <w:r>
        <w:rPr>
          <w:rFonts w:ascii="Inter" w:hAnsi="Inter" w:cs="Inter" w:eastAsia="Inter"/>
          <w:b/>
          <w:i w:val="0"/>
          <w:color w:val="16324F"/>
          <w:sz w:val="22"/>
        </w:rPr>
        <w:t>The principle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institution defines its academic world. EdirasX provides the technology to represent it.</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pPr>
        <w:spacing w:after="100" w:before="280" w:line="300" w:lineRule="auto"/>
        <w:outlineLvl w:val="3"/>
      </w:pPr>
      <w:r>
        <w:rPr>
          <w:rFonts w:ascii="Inter" w:hAnsi="Inter" w:cs="Inter" w:eastAsia="Inter"/>
          <w:b/>
          <w:color w:val="6B7178"/>
          <w:sz w:val="20"/>
        </w:rPr>
        <w:t xml:space="preserve">9.1  </w:t>
      </w:r>
      <w:r>
        <w:rPr>
          <w:rFonts w:ascii="Inter" w:hAnsi="Inter" w:cs="Inter" w:eastAsia="Inter"/>
          <w:b/>
          <w:i w:val="0"/>
          <w:color w:val="16324F"/>
          <w:sz w:val="22"/>
        </w:rPr>
        <w:t>Assert, prove, endure</w:t>
      </w:r>
    </w:p>
    <w:p>
      <w:pPr>
        <w:spacing w:after="120" w:before="0" w:line="300" w:lineRule="auto"/>
        <w:jc w:val="both"/>
      </w:pPr>
      <w:r>
        <w:rPr>
          <w:rFonts w:ascii="Source Serif 4" w:hAnsi="Source Serif 4" w:cs="Source Serif 4" w:eastAsia="Source Serif 4"/>
          <w:b w:val="0"/>
          <w:i w:val="0"/>
          <w:color w:val="16191C"/>
          <w:sz w:val="21"/>
        </w:rPr>
        <w:t xml:space="preserve">Adopted from the credential architecture studied in </w:t>
      </w:r>
      <w:r>
        <w:rPr>
          <w:rFonts w:ascii="IBM Plex Mono" w:hAnsi="IBM Plex Mono" w:cs="IBM Plex Mono" w:eastAsia="IBM Plex Mono"/>
          <w:b w:val="0"/>
          <w:i w:val="0"/>
          <w:color w:val="16191C"/>
          <w:sz w:val="19"/>
        </w:rPr>
        <w:t>ahmadsulaimiy1/Sultan-</w:t>
      </w:r>
      <w:r>
        <w:rPr>
          <w:rFonts w:ascii="Source Serif 4" w:hAnsi="Source Serif 4" w:cs="Source Serif 4" w:eastAsia="Source Serif 4"/>
          <w:b w:val="0"/>
          <w:i w:val="0"/>
          <w:color w:val="16191C"/>
          <w:sz w:val="21"/>
        </w:rPr>
        <w:t>, because it is a better frame than the one this document had. Every EdirasX artefact that an institution puts its name to does three things, in this order:</w:t>
      </w:r>
    </w:p>
    <w:p>
      <w:pPr>
        <w:spacing w:after="120" w:before="0" w:line="300" w:lineRule="auto"/>
        <w:jc w:val="both"/>
      </w:pPr>
      <w:r>
        <w:rPr>
          <w:rFonts w:ascii="Source Serif 4" w:hAnsi="Source Serif 4" w:cs="Source Serif 4" w:eastAsia="Source Serif 4"/>
          <w:b/>
          <w:i w:val="0"/>
          <w:color w:val="16191C"/>
          <w:sz w:val="21"/>
        </w:rPr>
        <w:t>Assert.</w:t>
      </w:r>
      <w:r>
        <w:rPr>
          <w:rFonts w:ascii="Source Serif 4" w:hAnsi="Source Serif 4" w:cs="Source Serif 4" w:eastAsia="Source Serif 4"/>
          <w:b w:val="0"/>
          <w:i w:val="0"/>
          <w:color w:val="16191C"/>
          <w:sz w:val="21"/>
        </w:rPr>
        <w:t xml:space="preserve"> The instant a human looks at it, before reading a word, it must communicate that a serious institution issued it. This happens below the level of conscious reading — weight, restraint, generosity of margin, the confidence of the type.</w:t>
      </w:r>
    </w:p>
    <w:p>
      <w:pPr>
        <w:spacing w:after="120" w:before="0" w:line="300" w:lineRule="auto"/>
        <w:jc w:val="both"/>
      </w:pPr>
      <w:r>
        <w:rPr>
          <w:rFonts w:ascii="Source Serif 4" w:hAnsi="Source Serif 4" w:cs="Source Serif 4" w:eastAsia="Source Serif 4"/>
          <w:b/>
          <w:i w:val="0"/>
          <w:color w:val="16191C"/>
          <w:sz w:val="21"/>
        </w:rPr>
        <w:t>Prove.</w:t>
      </w:r>
      <w:r>
        <w:rPr>
          <w:rFonts w:ascii="Source Serif 4" w:hAnsi="Source Serif 4" w:cs="Source Serif 4" w:eastAsia="Source Serif 4"/>
          <w:b w:val="0"/>
          <w:i w:val="0"/>
          <w:color w:val="16191C"/>
          <w:sz w:val="21"/>
        </w:rPr>
        <w:t xml:space="preserve"> It must survive an adversarial or simply careful reader: an immigration officer, a foreign registrar, an employer’s HR department. The security architecture is designed </w:t>
      </w:r>
      <w:r>
        <w:rPr>
          <w:rFonts w:ascii="Source Serif 4" w:hAnsi="Source Serif 4" w:cs="Source Serif 4" w:eastAsia="Source Serif 4"/>
          <w:b w:val="0"/>
          <w:i/>
          <w:color w:val="16191C"/>
          <w:sz w:val="21"/>
        </w:rPr>
        <w:t>as</w:t>
      </w:r>
      <w:r>
        <w:rPr>
          <w:rFonts w:ascii="Source Serif 4" w:hAnsi="Source Serif 4" w:cs="Source Serif 4" w:eastAsia="Source Serif 4"/>
          <w:b w:val="0"/>
          <w:i w:val="0"/>
          <w:color w:val="16191C"/>
          <w:sz w:val="21"/>
        </w:rPr>
        <w:t xml:space="preserve"> the layout, never bolted onto a finished one.</w:t>
      </w:r>
    </w:p>
    <w:p>
      <w:pPr>
        <w:spacing w:after="120" w:before="0" w:line="300" w:lineRule="auto"/>
        <w:jc w:val="both"/>
      </w:pPr>
      <w:r>
        <w:rPr>
          <w:rFonts w:ascii="Source Serif 4" w:hAnsi="Source Serif 4" w:cs="Source Serif 4" w:eastAsia="Source Serif 4"/>
          <w:b/>
          <w:i w:val="0"/>
          <w:color w:val="16191C"/>
          <w:sz w:val="21"/>
        </w:rPr>
        <w:t>Endure.</w:t>
      </w:r>
      <w:r>
        <w:rPr>
          <w:rFonts w:ascii="Source Serif 4" w:hAnsi="Source Serif 4" w:cs="Source Serif 4" w:eastAsia="Source Serif 4"/>
          <w:b w:val="0"/>
          <w:i w:val="0"/>
          <w:color w:val="16191C"/>
          <w:sz w:val="21"/>
        </w:rPr>
        <w:t xml:space="preserve"> It must look correct in 2026 and still look correct, not dated, in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Which rules out anything trend-driven — and is most of the argument for</w:t>
      </w:r>
    </w:p>
    <w:p>
      <w:pPr>
        <w:spacing w:after="120" w:before="0" w:line="300" w:lineRule="auto"/>
        <w:jc w:val="both"/>
      </w:pPr>
      <w:r>
        <w:rPr>
          <w:rFonts w:ascii="Source Serif 4" w:hAnsi="Source Serif 4" w:cs="Source Serif 4" w:eastAsia="Source Serif 4"/>
          <w:b w:val="0"/>
          <w:i w:val="0"/>
          <w:color w:val="16191C"/>
          <w:sz w:val="21"/>
        </w:rPr>
        <w:t>the restraint the design system enforces.</w:t>
      </w:r>
    </w:p>
    <w:p>
      <w:pPr>
        <w:spacing w:after="120" w:before="0" w:line="300" w:lineRule="auto"/>
        <w:jc w:val="both"/>
      </w:pPr>
      <w:r>
        <w:rPr>
          <w:rFonts w:ascii="Source Serif 4" w:hAnsi="Source Serif 4" w:cs="Source Serif 4" w:eastAsia="Source Serif 4"/>
          <w:b w:val="0"/>
          <w:i w:val="0"/>
          <w:color w:val="16191C"/>
          <w:sz w:val="21"/>
        </w:rPr>
        <w:t>And the discipline that governs all three: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Never claim a security property the implementation does not actually provide.</w:t>
      </w:r>
    </w:p>
    <w:p>
      <w:pPr>
        <w:spacing w:after="120" w:before="0" w:line="300" w:lineRule="auto"/>
        <w:jc w:val="both"/>
      </w:pPr>
      <w:r>
        <w:rPr>
          <w:rFonts w:ascii="Source Serif 4" w:hAnsi="Source Serif 4" w:cs="Source Serif 4" w:eastAsia="Source Serif 4"/>
          <w:b w:val="0"/>
          <w:i w:val="0"/>
          <w:color w:val="16191C"/>
          <w:sz w:val="21"/>
        </w:rPr>
        <w:t>A plain digest presented as tamper-evidence, tiny text described as microprint, a watermark called screenshot-proof, an invisible-ink layer a rendering pipeline cannot specify — each is a claim the product cannot keep, and a reader who discovers one stops believing the ones that are true. Where a property is real, say exactly what it defeats. Where it is a deterrent, call it a deterrent. Where it needs infrastructure that is not built, name it as unbuilt rather than letting it read as shipped.</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 xml:space="preserve">A cross-tenant data access path — including a cross-tenant </w:t>
      </w:r>
      <w:r>
        <w:rPr>
          <w:rFonts w:ascii="Source Serif 4" w:hAnsi="Source Serif 4" w:cs="Source Serif 4" w:eastAsia="Source Serif 4"/>
          <w:b w:val="0"/>
          <w:i/>
          <w:color w:val="16191C"/>
          <w:sz w:val="21"/>
        </w:rPr>
        <w:t>reference</w:t>
      </w:r>
      <w:r>
        <w:rPr>
          <w:rFonts w:ascii="Source Serif 4" w:hAnsi="Source Serif 4" w:cs="Source Serif 4" w:eastAsia="Source Serif 4"/>
          <w:b w:val="0"/>
          <w:i w:val="0"/>
          <w:color w:val="16191C"/>
          <w:sz w:val="21"/>
        </w:rPr>
        <w:t>, since</w:t>
      </w:r>
    </w:p>
    <w:p>
      <w:pPr>
        <w:spacing w:after="120" w:before="0" w:line="300" w:lineRule="auto"/>
        <w:jc w:val="both"/>
      </w:pPr>
      <w:r>
        <w:rPr>
          <w:rFonts w:ascii="Source Serif 4" w:hAnsi="Source Serif 4" w:cs="Source Serif 4" w:eastAsia="Source Serif 4"/>
          <w:b w:val="0"/>
          <w:i w:val="0"/>
          <w:color w:val="16191C"/>
          <w:sz w:val="21"/>
        </w:rPr>
        <w:t>a foreign key that reaches into another institution’s records is a disclosure as well as a corruption.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A required flow that is unusable on a 360px viewport.</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change that makes a student’s academic history editable in place.</w:t>
      </w:r>
    </w:p>
    <w:p>
      <w:pPr>
        <w:spacing w:after="60" w:before="0" w:line="300" w:lineRule="auto"/>
        <w:ind w:left="461" w:hanging="461"/>
      </w:pPr>
      <w:r>
        <w:rPr>
          <w:rFonts w:ascii="Inter" w:hAnsi="Inter" w:cs="Inter" w:eastAsia="Inter"/>
          <w:b/>
          <w:color w:val="2E6EA8"/>
          <w:sz w:val="18"/>
        </w:rPr>
        <w:t xml:space="preserve">9 </w:t>
      </w:r>
      <w:r>
        <w:rPr>
          <w:rFonts w:ascii="Source Serif 4" w:hAnsi="Source Serif 4" w:cs="Source Serif 4" w:eastAsia="Source Serif 4"/>
          <w:b w:val="0"/>
          <w:i w:val="0"/>
          <w:color w:val="16191C"/>
          <w:sz w:val="21"/>
        </w:rPr>
        <w:t>A change that makes an issued academic document say something other than</w:t>
      </w:r>
    </w:p>
    <w:p>
      <w:pPr>
        <w:spacing w:after="120" w:before="0" w:line="300" w:lineRule="auto"/>
        <w:jc w:val="both"/>
      </w:pPr>
      <w:r>
        <w:rPr>
          <w:rFonts w:ascii="Source Serif 4" w:hAnsi="Source Serif 4" w:cs="Source Serif 4" w:eastAsia="Source Serif 4"/>
          <w:b w:val="0"/>
          <w:i w:val="0"/>
          <w:color w:val="16191C"/>
          <w:sz w:val="21"/>
        </w:rPr>
        <w:t>what it said when it was issued.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An institutional customization that is published despite failing the</w:t>
      </w:r>
    </w:p>
    <w:p>
      <w:pPr>
        <w:spacing w:after="120" w:before="0" w:line="300" w:lineRule="auto"/>
        <w:jc w:val="both"/>
      </w:pPr>
      <w:r>
        <w:rPr>
          <w:rFonts w:ascii="Source Serif 4" w:hAnsi="Source Serif 4" w:cs="Source Serif 4" w:eastAsia="Source Serif 4"/>
          <w:b w:val="0"/>
          <w:i w:val="0"/>
          <w:color w:val="16191C"/>
          <w:sz w:val="21"/>
        </w:rPr>
        <w:t>accessibility guardrails, or one that is silently corrected instead of being explained.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security property claimed in an interface, a document, or a specification</w:t>
      </w:r>
    </w:p>
    <w:p>
      <w:pPr>
        <w:spacing w:after="120" w:before="0" w:line="300" w:lineRule="auto"/>
        <w:jc w:val="both"/>
      </w:pPr>
      <w:r>
        <w:rPr>
          <w:rFonts w:ascii="Source Serif 4" w:hAnsi="Source Serif 4" w:cs="Source Serif 4" w:eastAsia="Source Serif 4"/>
          <w:b w:val="0"/>
          <w:i w:val="0"/>
          <w:color w:val="16191C"/>
          <w:sz w:val="21"/>
        </w:rPr>
        <w:t>that the implementation does not actually provide.</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Responsive behaviour verified at 360 / 768 / 1280</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verified: keyboard path, focus order, labels, contrast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