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I</w:t>
            </w:r>
          </w:p>
          <w:p>
            <w:pPr>
              <w:spacing w:after="700" w:line="1350"/>
            </w:pPr>
            <w:r>
              <w:rPr>
                <w:rFonts w:ascii="DejaVu Serif" w:cs="DejaVu Serif" w:eastAsia="DejaVu Serif" w:hAnsi="DejaVu Serif"/>
                <w:b/>
                <w:bCs/>
                <w:color w:val="FFFFFF"/>
                <w:sz w:val="150"/>
                <w:szCs w:val="150"/>
              </w:rPr>
              <w:t xml:space="preserve">I</w:t>
            </w:r>
          </w:p>
          <w:p>
            <w:pPr>
              <w:spacing w:after="200" w:line="657"/>
            </w:pPr>
            <w:r>
              <w:rPr>
                <w:rFonts w:ascii="DejaVu Serif" w:cs="DejaVu Serif" w:eastAsia="DejaVu Serif" w:hAnsi="DejaVu Serif"/>
                <w:b/>
                <w:bCs/>
                <w:color w:val="1B6EF3"/>
                <w:sz w:val="62"/>
                <w:szCs w:val="62"/>
              </w:rPr>
              <w:t xml:space="preserve">The Constitution</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Vision · Philosophy · Governance · Culture · Brand</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ENTRENCHED &amp; CONSTITUTIONAL</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I</w:t>
      </w:r>
    </w:p>
    <w:p>
      <w:pPr>
        <w:spacing w:after="220" w:before="160" w:line="594"/>
      </w:pPr>
      <w:r>
        <w:rPr>
          <w:rFonts w:ascii="DejaVu Serif" w:cs="DejaVu Serif" w:eastAsia="DejaVu Serif" w:hAnsi="DejaVu Serif"/>
          <w:b/>
          <w:bCs/>
          <w:color w:val="0D1117"/>
          <w:sz w:val="56"/>
          <w:szCs w:val="56"/>
        </w:rPr>
        <w:t xml:space="preserve">The Constitution</w:t>
      </w:r>
    </w:p>
    <w:p>
      <w:pPr>
        <w:spacing w:after="700"/>
      </w:pPr>
      <w:r>
        <w:rPr>
          <w:rFonts w:ascii="Liberation Serif" w:cs="Liberation Serif" w:eastAsia="Liberation Serif" w:hAnsi="Liberation Serif"/>
          <w:color w:val="38414D"/>
          <w:sz w:val="22"/>
          <w:szCs w:val="22"/>
        </w:rPr>
        <w:t xml:space="preserve">Vision · Philosophy · Governance · Culture · Brand</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I is the root of the corpus; every other volume derives its authority from it. It states why StromeX exists — that the gap between what an institution could be and what it is has little to do with ambition and everything to do with access to competent execution — and sets the doctrine of ecosystems, in which eight architectural layers are shared across every sector so that breadth becomes affordable. It establishes the eleven product principles, the value-before-revenue doctrine, the Free Constitution (including the permanent commitment that credential verification is free for the verifier), the Commercial Constitution and its regional price bands, the Ethics Constitution, the group structure and decision rights, the amendment protocol with its four tiers of authority, the brand system and the logo decision, the editorial voice, the design philosophy and the standing non-goals.</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 The Constitution</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Entrenched &amp; Constitutional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Office of the Founder; Board for entrenched provisions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 or on any Board-tier amendment</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docs/bible/VOLUME-I-CONSTITUTION.md,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rule</w:t>
      </w:r>
      <w:r>
        <w:rPr>
          <w:rFonts w:ascii="DejaVu Sans" w:cs="DejaVu Sans" w:eastAsia="DejaVu Sans" w:hAnsi="DejaVu Sans"/>
          <w:color w:val="0B3C91"/>
          <w:sz w:val="16"/>
          <w:szCs w:val="16"/>
        </w:rPr>
        <w:t xml:space="preserve">	4</w:t>
      </w:r>
    </w:p>
    <w:p>
      <w:pPr>
        <w:tabs>
          <w:tab w:val="right" w:pos="8866" w:leader="dot"/>
        </w:tabs>
        <w:spacing w:after="20" w:before="0" w:line="260"/>
        <w:ind w:left="0" w:right="200" w:hanging="0"/>
      </w:pPr>
      <w:r>
        <w:rPr>
          <w:b/>
          <w:bCs/>
          <w:sz w:val="17"/>
          <w:szCs w:val="17"/>
        </w:rPr>
        <w:t xml:space="preserve">Table 2</w:t>
      </w:r>
      <w:r>
        <w:rPr>
          <w:sz w:val="17"/>
          <w:szCs w:val="17"/>
        </w:rPr>
        <w:t xml:space="preserve">  The tier ladder</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3</w:t>
      </w:r>
      <w:r>
        <w:rPr>
          <w:sz w:val="17"/>
          <w:szCs w:val="17"/>
        </w:rPr>
        <w:t xml:space="preserve">  Open source policy</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4</w:t>
      </w:r>
      <w:r>
        <w:rPr>
          <w:sz w:val="17"/>
          <w:szCs w:val="17"/>
        </w:rPr>
        <w:t xml:space="preserve">  The eleven revenue engines</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5</w:t>
      </w:r>
      <w:r>
        <w:rPr>
          <w:sz w:val="17"/>
          <w:szCs w:val="17"/>
        </w:rPr>
        <w:t xml:space="preserve">  Regional price bands</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6</w:t>
      </w:r>
      <w:r>
        <w:rPr>
          <w:sz w:val="17"/>
          <w:szCs w:val="17"/>
        </w:rPr>
        <w:t xml:space="preserve">  The revenue-per-relationship ladder</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7</w:t>
      </w:r>
      <w:r>
        <w:rPr>
          <w:sz w:val="17"/>
          <w:szCs w:val="17"/>
        </w:rPr>
        <w:t xml:space="preserve">  Decision rights</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8</w:t>
      </w:r>
      <w:r>
        <w:rPr>
          <w:sz w:val="17"/>
          <w:szCs w:val="17"/>
        </w:rPr>
        <w:t xml:space="preserve">  Tiers of authority</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9</w:t>
      </w:r>
      <w:r>
        <w:rPr>
          <w:sz w:val="17"/>
          <w:szCs w:val="17"/>
        </w:rPr>
        <w:t xml:space="preserve">  The logo decision</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10</w:t>
      </w:r>
      <w:r>
        <w:rPr>
          <w:sz w:val="17"/>
          <w:szCs w:val="17"/>
        </w:rPr>
        <w:t xml:space="preserve">  The identity system</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11</w:t>
      </w:r>
      <w:r>
        <w:rPr>
          <w:sz w:val="17"/>
          <w:szCs w:val="17"/>
        </w:rPr>
        <w:t xml:space="preserve">  The identity system</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12</w:t>
      </w:r>
      <w:r>
        <w:rPr>
          <w:sz w:val="17"/>
          <w:szCs w:val="17"/>
        </w:rPr>
        <w:t xml:space="preserve">  The voice</w:t>
      </w:r>
      <w:r>
        <w:rPr>
          <w:rFonts w:ascii="DejaVu Sans" w:cs="DejaVu Sans" w:eastAsia="DejaVu Sans" w:hAnsi="DejaVu Sans"/>
          <w:color w:val="0B3C91"/>
          <w:sz w:val="16"/>
          <w:szCs w:val="16"/>
        </w:rPr>
        <w:t xml:space="preserve">	23</w:t>
      </w:r>
    </w:p>
    <w:p>
      <w:pPr>
        <w:tabs>
          <w:tab w:val="right" w:pos="8866" w:leader="dot"/>
        </w:tabs>
        <w:spacing w:after="20" w:before="0" w:line="260"/>
        <w:ind w:left="0" w:right="200" w:hanging="0"/>
      </w:pPr>
      <w:r>
        <w:rPr>
          <w:b/>
          <w:bCs/>
          <w:sz w:val="17"/>
          <w:szCs w:val="17"/>
        </w:rPr>
        <w:t xml:space="preserve">Table 13</w:t>
      </w:r>
      <w:r>
        <w:rPr>
          <w:sz w:val="17"/>
          <w:szCs w:val="17"/>
        </w:rPr>
        <w:t xml:space="preserve">  The operating rhythm</w:t>
      </w:r>
      <w:r>
        <w:rPr>
          <w:rFonts w:ascii="DejaVu Sans" w:cs="DejaVu Sans" w:eastAsia="DejaVu Sans" w:hAnsi="DejaVu Sans"/>
          <w:color w:val="0B3C91"/>
          <w:sz w:val="16"/>
          <w:szCs w:val="16"/>
        </w:rPr>
        <w:t xml:space="preserve">	25</w:t>
      </w:r>
    </w:p>
    <w:p>
      <w:pPr>
        <w:tabs>
          <w:tab w:val="right" w:pos="8866" w:leader="dot"/>
        </w:tabs>
        <w:spacing w:after="20" w:before="0" w:line="260"/>
        <w:ind w:left="0" w:right="200" w:hanging="0"/>
      </w:pPr>
      <w:r>
        <w:rPr>
          <w:b/>
          <w:bCs/>
          <w:sz w:val="17"/>
          <w:szCs w:val="17"/>
        </w:rPr>
        <w:t xml:space="preserve">Table 14</w:t>
      </w:r>
      <w:r>
        <w:rPr>
          <w:sz w:val="17"/>
          <w:szCs w:val="17"/>
        </w:rPr>
        <w:t xml:space="preserve">  Glossary of terms</w:t>
      </w:r>
      <w:r>
        <w:rPr>
          <w:rFonts w:ascii="DejaVu Sans" w:cs="DejaVu Sans" w:eastAsia="DejaVu Sans" w:hAnsi="DejaVu Sans"/>
          <w:color w:val="0B3C91"/>
          <w:sz w:val="16"/>
          <w:szCs w:val="16"/>
        </w:rPr>
        <w:t xml:space="preserve">	29</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tabs>
          <w:tab w:val="right" w:pos="8866" w:leader="dot"/>
        </w:tabs>
        <w:spacing w:after="20" w:before="0" w:line="260"/>
        <w:ind w:left="0" w:right="200" w:hanging="0"/>
      </w:pPr>
      <w:r>
        <w:rPr>
          <w:b/>
          <w:bCs/>
          <w:sz w:val="17"/>
          <w:szCs w:val="17"/>
        </w:rPr>
        <w:t xml:space="preserve">Figure 1</w:t>
      </w:r>
      <w:r>
        <w:rPr>
          <w:sz w:val="17"/>
          <w:szCs w:val="17"/>
        </w:rPr>
        <w:t xml:space="preserve">  The anatomy of an ecosystem</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Figure 2</w:t>
      </w:r>
      <w:r>
        <w:rPr>
          <w:sz w:val="17"/>
          <w:szCs w:val="17"/>
        </w:rPr>
        <w:t xml:space="preserve">  Group structure</w:t>
      </w:r>
      <w:r>
        <w:rPr>
          <w:rFonts w:ascii="DejaVu Sans" w:cs="DejaVu Sans" w:eastAsia="DejaVu Sans" w:hAnsi="DejaVu Sans"/>
          <w:color w:val="0B3C91"/>
          <w:sz w:val="16"/>
          <w:szCs w:val="16"/>
        </w:rPr>
        <w:t xml:space="preserve">	17</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w:t>
            </w:r>
          </w:p>
          <w:p>
            <w:pPr>
              <w:pStyle w:val="Heading1"/>
              <w:spacing w:after="160" w:before="0" w:line="648"/>
            </w:pPr>
            <w:r>
              <w:rPr>
                <w:rFonts w:ascii="DejaVu Serif" w:cs="DejaVu Serif" w:eastAsia="DejaVu Serif" w:hAnsi="DejaVu Serif"/>
                <w:b/>
                <w:bCs/>
                <w:color w:val="FFFFFF"/>
                <w:sz w:val="60"/>
                <w:szCs w:val="60"/>
              </w:rPr>
              <w:t xml:space="preserve">The Constitution</w:t>
            </w:r>
          </w:p>
          <w:p>
            <w:pPr>
              <w:spacing w:after="0"/>
            </w:pPr>
            <w:r>
              <w:rPr>
                <w:rFonts w:ascii="Liberation Serif" w:cs="Liberation Serif" w:eastAsia="Liberation Serif" w:hAnsi="Liberation Serif"/>
                <w:color w:val="8C97A4"/>
                <w:sz w:val="21"/>
                <w:szCs w:val="21"/>
              </w:rPr>
              <w:t xml:space="preserve">Vision · Philosophy · Governance · Culture · Brand</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Entrenched &amp; Constitutional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 is the root of the corpus; every other volume derives its authority from it. It states why StromeX exists — that the gap between what an institution could be and what it is has little to do with ambition and everything to do with access to competent execution — and sets the doctrine of ecosystems, in which eight architectural layers are shared across every sector so that breadth becomes affordable. It establishes the eleven product principles, the value-before-revenue doctrine, the Free Constitution (including the permanent commitment that credential verification is free for the verifier), the Commercial Constitution and its regional price bands, the Ethics Constitution, the group structure and decision rights, the amendment protocol with its four tiers of authority, the brand system and the logo decision, the editorial voice, the design philosophy and the standing non-goals.</w:t>
      </w:r>
    </w:p>
    <w:p>
      <w:pPr>
        <w:pBdr>
          <w:bottom w:val="single" w:color="C9CFD9" w:sz="4" w:space="1"/>
        </w:pBdr>
        <w:spacing w:after="200" w:before="160"/>
      </w:pPr>
      <w:r>
        <w:t xml:space="preserve"/>
      </w:r>
    </w:p>
    <w:p>
      <w:pPr>
        <w:pStyle w:val="Heading2"/>
        <w:pageBreakBefore/>
      </w:pPr>
      <w:r>
        <w:t xml:space="preserve">CHAPTER 1 — WHY STROMEX EXISTS</w:t>
      </w:r>
    </w:p>
    <w:p>
      <w:pPr>
        <w:pStyle w:val="Heading3"/>
      </w:pPr>
      <w:r>
        <w:t xml:space="preserve">1.1 The observation the company is built on</w:t>
      </w:r>
    </w:p>
    <w:p>
      <w:pPr>
        <w:pStyle w:val="BodyText"/>
      </w:pPr>
      <w:r>
        <w:t xml:space="preserve">Across most of the world, the gap between what an institution </w:t>
      </w:r>
      <w:r>
        <w:rPr>
          <w:i/>
          <w:iCs/>
        </w:rPr>
        <w:t xml:space="preserve">could</w:t>
      </w:r>
      <w:r>
        <w:t xml:space="preserve"> be and what it </w:t>
      </w:r>
      <w:r>
        <w:rPr>
          <w:i/>
          <w:iCs/>
        </w:rPr>
        <w:t xml:space="preserve">is</w:t>
      </w:r>
      <w:r>
        <w:t xml:space="preserve"> has almost nothing to do with ambition and almost everything to do with access to competent execution.</w:t>
      </w:r>
    </w:p>
    <w:p>
      <w:pPr>
        <w:pStyle w:val="BodyText"/>
      </w:pPr>
      <w:r>
        <w:t xml:space="preserve">A school in Kano knows perfectly well that its certificates should be verifiable, that parents should see results on a phone, that admissions should not consume six weeks of a registrar’s life, and that its textbooks should not be photocopies of a photocopy. It does not lack the desire. It lacks a vendor it can trust, a price it can plan around, and a supplier who will still be there in year three.</w:t>
      </w:r>
    </w:p>
    <w:p>
      <w:pPr>
        <w:pStyle w:val="BodyText"/>
      </w:pPr>
      <w:r>
        <w:t xml:space="preserve">A hospital in Lagos, a ministry in Abuja, a law firm in Manchester, a publisher in Cairo, a factory in Ogun — the same shape of gap, different vocabulary. Each of them is quoted a number by a consultancy that is either so high it is unserious or so low it guarantees abandonment. Each of them ends up with four disconnected systems from four vendors, none of which speak to each other, and a staff member whose actual job has become manually reconciling them.</w:t>
      </w:r>
    </w:p>
    <w:p>
      <w:pPr>
        <w:pStyle w:val="BodyText"/>
      </w:pPr>
      <w:r>
        <w:t xml:space="preserve">The world does not have a shortage of software. It has a shortage of </w:t>
      </w:r>
      <w:r>
        <w:rPr>
          <w:b/>
          <w:bCs/>
        </w:rPr>
        <w:t xml:space="preserve">finished transformation</w:t>
      </w:r>
      <w:r>
        <w:t xml:space="preserve">: someone who takes responsibility for the whole outcome, prices it honestly, builds it properly, and stays.</w:t>
      </w:r>
    </w:p>
    <w:p>
      <w:pPr>
        <w:pStyle w:val="Heading3"/>
      </w:pPr>
      <w:r>
        <w:t xml:space="preserve">1.2 The mission</w:t>
      </w:r>
    </w:p>
    <w:p>
      <w:pPr>
        <w:pStyle w:val="BodyText"/>
      </w:pPr>
      <w:r>
        <w:rPr>
          <w:b/>
          <w:bCs/>
        </w:rPr>
        <w:t xml:space="preserve">To digitise, automate, modernise and intelligently transform organisations across every sector we can serve competently — and to make world-class execution available at a price the institution can actually plan around.</w:t>
      </w:r>
    </w:p>
    <w:p>
      <w:pPr>
        <w:pStyle w:val="BodyText"/>
      </w:pPr>
      <w:r>
        <w:t xml:space="preserve">Three clauses, each load-bearing:</w:t>
      </w:r>
    </w:p>
    <w:p>
      <w:pPr>
        <w:pStyle w:val="ListParagraph"/>
        <w:numPr>
          <w:ilvl w:val="0"/>
          <w:numId w:val="2"/>
        </w:numPr>
        <w:spacing w:after="40" w:before="40" w:line="276"/>
      </w:pPr>
      <w:r>
        <w:rPr>
          <w:i/>
          <w:iCs/>
        </w:rPr>
        <w:t xml:space="preserve">Every sector we can serve competently</w:t>
      </w:r>
      <w:r>
        <w:t xml:space="preserve"> — breadth is the strategy, but competence is the gate. We do not enter a sector because it is large. We enter when we have, or can hire, a person who has actually done the work inside that sector.</w:t>
      </w:r>
    </w:p>
    <w:p>
      <w:pPr>
        <w:pStyle w:val="ListParagraph"/>
        <w:numPr>
          <w:ilvl w:val="0"/>
          <w:numId w:val="2"/>
        </w:numPr>
        <w:spacing w:after="40" w:before="40" w:line="276"/>
      </w:pPr>
      <w:r>
        <w:rPr>
          <w:i/>
          <w:iCs/>
        </w:rPr>
        <w:t xml:space="preserve">Transform</w:t>
      </w:r>
      <w:r>
        <w:t xml:space="preserve"> — not “supply software to”. The deliverable is the institution working better, measured in the institution’s own units: days-to-admit, fee collection rate, certificate fraud incidents, hours of staff time returned.</w:t>
      </w:r>
    </w:p>
    <w:p>
      <w:pPr>
        <w:pStyle w:val="ListParagraph"/>
        <w:numPr>
          <w:ilvl w:val="0"/>
          <w:numId w:val="2"/>
        </w:numPr>
        <w:spacing w:after="40" w:before="40" w:line="276"/>
      </w:pPr>
      <w:r>
        <w:rPr>
          <w:i/>
          <w:iCs/>
        </w:rPr>
        <w:t xml:space="preserve">A price the institution can plan around</w:t>
      </w:r>
      <w:r>
        <w:t xml:space="preserve"> — transparent, itemised, published. Pricing opacity is the primary mechanism by which institutions in emerging markets are overcharged. Removing it is both an ethical position and our sharpest competitive weapon.</w:t>
      </w:r>
    </w:p>
    <w:p>
      <w:pPr>
        <w:pStyle w:val="Heading3"/>
      </w:pPr>
      <w:r>
        <w:t xml:space="preserve">1.3 The twenty-year ambition, stated honestly</w:t>
      </w:r>
    </w:p>
    <w:p>
      <w:pPr>
        <w:pStyle w:val="BodyText"/>
      </w:pPr>
      <w:r>
        <w:t xml:space="preserve">We intend to build a globally significant technology group with diversified product lines, majority-recurring revenue, operations on at least three continents, and a reputation for trustworthiness that is the company’s most valuable asset.</w:t>
      </w:r>
    </w:p>
    <w:p>
      <w:pPr>
        <w:pStyle w:val="BodyText"/>
      </w:pPr>
      <w:r>
        <w:t xml:space="preserve">The founder’s stated target is a group valued in the </w:t>
      </w:r>
      <w:r>
        <w:rPr>
          <w:b/>
          <w:bCs/>
        </w:rPr>
        <w:t xml:space="preserve">$15–40 billion</w:t>
      </w:r>
      <w:r>
        <w:t xml:space="preserve"> range within ten to twenty years. This corpus takes that target seriously enough to model it properly in Volume VIII rather than repeat it as a slogan. The honest position is this:</w:t>
      </w:r>
    </w:p>
    <w:p>
      <w:pPr>
        <w:pStyle w:val="PullQuote"/>
        <w:spacing w:after="220" w:before="200"/>
      </w:pPr>
      <w:r>
        <w:t xml:space="preserve">A target of that magnitude is achievable only under a specific and demanding conjunction of conditions — sustained ~55–70% compound revenue growth through the first decade, a durable gross margin above 65%, net revenue retention above 115%, successful entry into at least two developed markets, and access to growth capital at each stage. It is not a forecast. It is a design specification: </w:t>
      </w:r>
      <w:r>
        <w:rPr>
          <w:i/>
          <w:iCs/>
        </w:rPr>
        <w:t xml:space="preserve">build the company so that, if execution is excellent and conditions are favourable, an outcome of that magnitude is structurally possible.</w:t>
      </w:r>
      <w:r>
        <w:t xml:space="preserve"> Volume VIII models the conservative, expected and optimistic paths side by side, states every assumption, and is explicit that the conservative path — a valuable, profitable, independent company an order of magnitude below the headline — is the most probable good outcome, and is not a failure.</w:t>
      </w:r>
    </w:p>
    <w:p>
      <w:pPr>
        <w:pStyle w:val="BodyText"/>
      </w:pPr>
      <w:r>
        <w:t xml:space="preserve">Anyone in this company who repeats the headline number without the qualification is misrepresenting the company. Anyone who dismisses the ambition because it is hard is misunderstanding the job.</w:t>
      </w:r>
    </w:p>
    <w:p>
      <w:pPr>
        <w:pStyle w:val="Heading3"/>
      </w:pPr>
      <w:r>
        <w:t xml:space="preserve">1.4 What SHRS is and is not</w:t>
      </w:r>
    </w:p>
    <w:p>
      <w:pPr>
        <w:pStyle w:val="BodyText"/>
      </w:pPr>
      <w:r>
        <w:t xml:space="preserve">Sultan Hanafi Royal Schools is </w:t>
      </w:r>
      <w:r>
        <w:rPr>
          <w:b/>
          <w:bCs/>
        </w:rPr>
        <w:t xml:space="preserve">Reference Implementation №1</w:t>
      </w:r>
      <w:r>
        <w:t xml:space="preserve">. It is where the group learned, on a real institution with real consequences, that:</w:t>
      </w:r>
    </w:p>
    <w:p>
      <w:pPr>
        <w:pStyle w:val="ListParagraph"/>
        <w:numPr>
          <w:ilvl w:val="0"/>
          <w:numId w:val="2"/>
        </w:numPr>
        <w:spacing w:after="40" w:before="40" w:line="276"/>
      </w:pPr>
      <w:r>
        <w:t xml:space="preserve">an institution’s website, portal, admissions, results, certificates, identity and payments are one system wearing five costumes, and building them separately is the original error;</w:t>
      </w:r>
    </w:p>
    <w:p>
      <w:pPr>
        <w:pStyle w:val="ListParagraph"/>
        <w:numPr>
          <w:ilvl w:val="0"/>
          <w:numId w:val="2"/>
        </w:numPr>
        <w:spacing w:after="40" w:before="40" w:line="276"/>
      </w:pPr>
      <w:r>
        <w:t xml:space="preserve">the binding constraint on delivery is almost never the code, it is the institution’s own data hygiene and decision latency;</w:t>
      </w:r>
    </w:p>
    <w:p>
      <w:pPr>
        <w:pStyle w:val="ListParagraph"/>
        <w:numPr>
          <w:ilvl w:val="0"/>
          <w:numId w:val="2"/>
        </w:numPr>
        <w:spacing w:after="40" w:before="40" w:line="276"/>
      </w:pPr>
      <w:r>
        <w:t xml:space="preserve">verifiable credentials change the institution’s relationship with its own alumni, which is a bigger deal than the feature list suggests;</w:t>
      </w:r>
    </w:p>
    <w:p>
      <w:pPr>
        <w:pStyle w:val="ListParagraph"/>
        <w:numPr>
          <w:ilvl w:val="0"/>
          <w:numId w:val="2"/>
        </w:numPr>
        <w:spacing w:after="40" w:before="40" w:line="276"/>
      </w:pPr>
      <w:r>
        <w:t xml:space="preserve">a beautifully executed deployment is a permanent sales asset, and one real reference outsells ten decks.</w:t>
      </w:r>
    </w:p>
    <w:p>
      <w:pPr>
        <w:pStyle w:val="BodyText"/>
      </w:pPr>
      <w:r>
        <w:t xml:space="preserve">SHRS is not the ceiling, not the template every client receives, and not the reason a decision gets made. Any sentence in this company beginning “because that’s how we did it at SHRS” must be followed by “and here is why it generalises” or it is not an argument.</w:t>
      </w:r>
    </w:p>
    <w:p>
      <w:pPr>
        <w:pStyle w:val="Heading2"/>
        <w:pageBreakBefore/>
      </w:pPr>
      <w:r>
        <w:t xml:space="preserve">CHAPTER 2 — THE DOCTRINE OF ECOSYSTEMS</w:t>
      </w:r>
      <w:fldSimple w:instr="XE &quot;Ecosystem&quot;"/>
    </w:p>
    <w:p>
      <w:pPr>
        <w:pStyle w:val="Heading3"/>
      </w:pPr>
      <w:r>
        <w:t xml:space="preserve">2.1 The rule</w:t>
      </w:r>
    </w:p>
    <w:p>
      <w:pPr>
        <w:pStyle w:val="BodyText"/>
      </w:pPr>
      <w:r>
        <w:rPr>
          <w:b/>
          <w:bCs/>
        </w:rPr>
        <w:t xml:space="preserve">We do not sell components. We build ecosystems and sell entry into them at whatever depth the customer can afford today.</w:t>
      </w:r>
    </w:p>
    <w:p>
      <w:pPr>
        <w:pStyle w:val="BodyText"/>
      </w:pPr>
      <w:r>
        <w:t xml:space="preserve">The distinction is not marketing. It determines architecture, pricing, sales motion, and org design.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Component thinking</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Ecosystem thinking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build school websites.”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build complete education ecosystems.”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Deliverable is a 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Deliverable is an institution that runs on StromeX</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ends at handover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compounds for a decade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Each sale starts from zero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Each sale starts from an installed base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can replace one part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must replace a nervous system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relationship is transactional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relationship is infrastructural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rule</w:t>
      </w:r>
    </w:p>
    <w:p>
      <w:pPr>
        <w:pStyle w:val="Heading3"/>
      </w:pPr>
      <w:r>
        <w:t xml:space="preserve">2.2 The ecosystem inventory</w:t>
      </w:r>
    </w:p>
    <w:p>
      <w:pPr>
        <w:pStyle w:val="BodyText"/>
      </w:pPr>
      <w:r>
        <w:t xml:space="preserve">Each of the following is a designated ecosystem. Each is destined to become its own division with its own P&amp;L, its own domain experts, and its own chapter in Volume VII. The list is open — additions follow the Volume I, Chapter 9 protocol.</w:t>
      </w:r>
    </w:p>
    <w:p>
      <w:pPr>
        <w:pStyle w:val="BodyText"/>
      </w:pPr>
      <w:r>
        <w:t xml:space="preserve">Wave numbering is bound to the three-phase roadmap ratified in Volume VIII, Chapter 1 (</w:t>
      </w:r>
      <w:r>
        <w:rPr>
          <w:b/>
          <w:bCs/>
        </w:rPr>
        <w:t xml:space="preserve">Phase I Foundation 2027–2030 · Phase II Race 2031–2035 · Phase III Global Scale 2036–2040</w:t>
      </w:r>
      <w:r>
        <w:t xml:space="preserve">). No wave may open early because an opportunity looks attractive; the phase gates in Volume VIII, Chapter 2 govern.</w:t>
      </w:r>
    </w:p>
    <w:p>
      <w:pPr>
        <w:pStyle w:val="BodyText"/>
      </w:pPr>
      <w:r>
        <w:rPr>
          <w:b/>
          <w:bCs/>
        </w:rPr>
        <w:t xml:space="preserve">Wave 1 — proven or adjacent · opens in Phase I (2027–2030)</w:t>
      </w:r>
      <w:r>
        <w:t xml:space="preserve"> Education (K-12) · Higher Education · Publishing · Faith Institutions · Professional Services (law, accounting, consulting) · SME &amp; Retail</w:t>
      </w:r>
    </w:p>
    <w:p>
      <w:pPr>
        <w:pStyle w:val="BodyText"/>
      </w:pPr>
      <w:r>
        <w:rPr>
          <w:b/>
          <w:bCs/>
        </w:rPr>
        <w:t xml:space="preserve">Wave 2 — high fit, requires domain hire · opens in Phase II (2031–2035)</w:t>
      </w:r>
      <w:r>
        <w:t xml:space="preserve"> Healthcare · Government &amp; Public Sector · Financial Services &amp; Fintech · NGO &amp; Development · Hospitality · Real Estate &amp; Construction</w:t>
      </w:r>
    </w:p>
    <w:p>
      <w:pPr>
        <w:pStyle w:val="BodyText"/>
      </w:pPr>
      <w:r>
        <w:rPr>
          <w:b/>
          <w:bCs/>
        </w:rPr>
        <w:t xml:space="preserve">Wave 3 — large, slow, high-value · opens in Phase III (2036–2040)</w:t>
      </w:r>
      <w:r>
        <w:t xml:space="preserve"> Manufacturing &amp; Industry · Agriculture &amp; Agritech · Logistics &amp; Transport · Media &amp; Broadcast · Energy &amp; Utilities · Telecommunications · Research Institutions · Smart Cities</w:t>
      </w:r>
    </w:p>
    <w:p>
      <w:pPr>
        <w:pStyle w:val="Heading3"/>
      </w:pPr>
      <w:r>
        <w:t xml:space="preserve">2.3 The anatomy of an ecosystem</w:t>
      </w:r>
    </w:p>
    <w:p>
      <w:pPr>
        <w:pStyle w:val="BodyText"/>
      </w:pPr>
      <w:r>
        <w:t xml:space="preserve">Every ecosystem, in every sector, decomposes into the same eight layers. This is the group’s central architectural insight and the reason breadth is affordable: </w:t>
      </w:r>
      <w:r>
        <w:rPr>
          <w:b/>
          <w:bCs/>
        </w:rPr>
        <w:t xml:space="preserve">the layers are shared; only the top layer is sector-specific.</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 8 │ SECTOR SURFACE      Sector-specific apps, vocabulary, workflows, compliance</w:t>
            </w:r>
          </w:p>
          <w:p>
            <w:pPr>
              <w:spacing w:after="0" w:before="0" w:line="230"/>
            </w:pPr>
            <w:r>
              <w:rPr>
                <w:rFonts w:ascii="DejaVu Sans Mono" w:cs="DejaVu Sans Mono" w:eastAsia="DejaVu Sans Mono" w:hAnsi="DejaVu Sans Mono"/>
                <w:color w:val="0D1117"/>
                <w:sz w:val="14"/>
                <w:szCs w:val="14"/>
              </w:rPr>
              <w:t xml:space="preserve"> 7 │ INTELLIGENCE        AI agents, analytics, forecasting, decision support</w:t>
            </w:r>
          </w:p>
          <w:p>
            <w:pPr>
              <w:spacing w:after="0" w:before="0" w:line="230"/>
            </w:pPr>
            <w:r>
              <w:rPr>
                <w:rFonts w:ascii="DejaVu Sans Mono" w:cs="DejaVu Sans Mono" w:eastAsia="DejaVu Sans Mono" w:hAnsi="DejaVu Sans Mono"/>
                <w:color w:val="0D1117"/>
                <w:sz w:val="14"/>
                <w:szCs w:val="14"/>
              </w:rPr>
              <w:t xml:space="preserve"> 6 │ AUTOMATION          Workflow engine, approvals, document generation, integrations</w:t>
            </w:r>
          </w:p>
          <w:p>
            <w:pPr>
              <w:spacing w:after="0" w:before="0" w:line="230"/>
            </w:pPr>
            <w:r>
              <w:rPr>
                <w:rFonts w:ascii="DejaVu Sans Mono" w:cs="DejaVu Sans Mono" w:eastAsia="DejaVu Sans Mono" w:hAnsi="DejaVu Sans Mono"/>
                <w:color w:val="0D1117"/>
                <w:sz w:val="14"/>
                <w:szCs w:val="14"/>
              </w:rPr>
              <w:t xml:space="preserve"> 5 │ RECORDS             The system of record: people, money, assets, documents, events</w:t>
            </w:r>
          </w:p>
          <w:p>
            <w:pPr>
              <w:spacing w:after="0" w:before="0" w:line="230"/>
            </w:pPr>
            <w:r>
              <w:rPr>
                <w:rFonts w:ascii="DejaVu Sans Mono" w:cs="DejaVu Sans Mono" w:eastAsia="DejaVu Sans Mono" w:hAnsi="DejaVu Sans Mono"/>
                <w:color w:val="0D1117"/>
                <w:sz w:val="14"/>
                <w:szCs w:val="14"/>
              </w:rPr>
              <w:t xml:space="preserve"> 4 │ IDENTITY            Who is who: accounts, roles, cards, biometrics, credentials</w:t>
            </w:r>
          </w:p>
          <w:p>
            <w:pPr>
              <w:spacing w:after="0" w:before="0" w:line="230"/>
            </w:pPr>
            <w:r>
              <w:rPr>
                <w:rFonts w:ascii="DejaVu Sans Mono" w:cs="DejaVu Sans Mono" w:eastAsia="DejaVu Sans Mono" w:hAnsi="DejaVu Sans Mono"/>
                <w:color w:val="0D1117"/>
                <w:sz w:val="14"/>
                <w:szCs w:val="14"/>
              </w:rPr>
              <w:t xml:space="preserve"> 3 │ EXPERIENCE          Web, mobile, portals, kiosks, print — every surface</w:t>
            </w:r>
          </w:p>
          <w:p>
            <w:pPr>
              <w:spacing w:after="0" w:before="0" w:line="230"/>
            </w:pPr>
            <w:r>
              <w:rPr>
                <w:rFonts w:ascii="DejaVu Sans Mono" w:cs="DejaVu Sans Mono" w:eastAsia="DejaVu Sans Mono" w:hAnsi="DejaVu Sans Mono"/>
                <w:color w:val="0D1117"/>
                <w:sz w:val="14"/>
                <w:szCs w:val="14"/>
              </w:rPr>
              <w:t xml:space="preserve"> 2 │ PLATFORM            Auth, storage, search, messaging, payments, audit</w:t>
            </w:r>
          </w:p>
          <w:p>
            <w:pPr>
              <w:spacing w:after="0" w:before="0" w:line="230"/>
            </w:pPr>
            <w:r>
              <w:rPr>
                <w:rFonts w:ascii="DejaVu Sans Mono" w:cs="DejaVu Sans Mono" w:eastAsia="DejaVu Sans Mono" w:hAnsi="DejaVu Sans Mono"/>
                <w:color w:val="0D1117"/>
                <w:sz w:val="14"/>
                <w:szCs w:val="14"/>
              </w:rPr>
              <w:t xml:space="preserve"> 1 │ INFRASTRUCTURE      Compute, network, database, backup, security, observability</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anatomy of an ecosystem</w:t>
      </w:r>
    </w:p>
    <w:p>
      <w:pPr>
        <w:pStyle w:val="BodyText"/>
      </w:pPr>
      <w:r>
        <w:t xml:space="preserve">A hospital and a school differ almost entirely at layer 8 and partially at layer 5. Layers 1–4 are identical. This is why StromeX can credibly serve twenty sectors with an engineering organisation sized for three — and it is why any proposal to fork the lower layers for a single customer requires executive approval (Volume IV, Chapter 3).</w:t>
      </w:r>
    </w:p>
    <w:p>
      <w:pPr>
        <w:pStyle w:val="Heading3"/>
      </w:pPr>
      <w:r>
        <w:t xml:space="preserve">2.4 Depth before breadth, within a wave</w:t>
      </w:r>
      <w:fldSimple w:instr="XE &quot;Wave&quot;"/>
    </w:p>
    <w:p>
      <w:pPr>
        <w:pStyle w:val="BodyText"/>
      </w:pPr>
      <w:r>
        <w:t xml:space="preserve">Breadth across sectors is the twenty-year plan. Within any twelve-month window, the rule inverts: </w:t>
      </w:r>
      <w:r>
        <w:rPr>
          <w:b/>
          <w:bCs/>
        </w:rPr>
        <w:t xml:space="preserve">go deeper in one ecosystem before opening another.</w:t>
      </w:r>
      <w:r>
        <w:t xml:space="preserve"> An ecosystem is “deep enough to leave” when it has ≥25 paying institutions, ≥110% net revenue retention, a reference customer willing to take calls, and a partner who can deliver without headquarters. Until then, opening a new sector is dilution wearing the costume of ambition.</w:t>
      </w:r>
    </w:p>
    <w:p>
      <w:pPr>
        <w:pStyle w:val="Heading2"/>
        <w:pageBreakBefore/>
      </w:pPr>
      <w:r>
        <w:t xml:space="preserve">CHAPTER 3 — PRODUCT PHILOSOPHY</w:t>
      </w:r>
    </w:p>
    <w:p>
      <w:pPr>
        <w:pStyle w:val="Heading3"/>
      </w:pPr>
      <w:r>
        <w:t xml:space="preserve">3.1 What StromeX is</w:t>
      </w:r>
    </w:p>
    <w:p>
      <w:pPr>
        <w:pStyle w:val="ListParagraph"/>
        <w:numPr>
          <w:ilvl w:val="0"/>
          <w:numId w:val="2"/>
        </w:numPr>
        <w:spacing w:after="40" w:before="40" w:line="276"/>
      </w:pPr>
      <w:r>
        <w:t xml:space="preserve">An </w:t>
      </w:r>
      <w:r>
        <w:rPr>
          <w:b/>
          <w:bCs/>
        </w:rPr>
        <w:t xml:space="preserve">institutional operating system</w:t>
      </w:r>
      <w:r>
        <w:t xml:space="preserve"> — the persistent substrate on which an organisation’s people, money, documents, credentials and decisions live.</w:t>
      </w:r>
    </w:p>
    <w:p>
      <w:pPr>
        <w:pStyle w:val="ListParagraph"/>
        <w:numPr>
          <w:ilvl w:val="0"/>
          <w:numId w:val="2"/>
        </w:numPr>
        <w:spacing w:after="40" w:before="40" w:line="276"/>
      </w:pPr>
      <w:r>
        <w:t xml:space="preserve">A </w:t>
      </w:r>
      <w:r>
        <w:rPr>
          <w:b/>
          <w:bCs/>
        </w:rPr>
        <w:t xml:space="preserve">transformation partner</w:t>
      </w:r>
      <w:r>
        <w:t xml:space="preserve"> — software plus the humans, design, consulting and hardware required to make the software actually land.</w:t>
      </w:r>
    </w:p>
    <w:p>
      <w:pPr>
        <w:pStyle w:val="ListParagraph"/>
        <w:numPr>
          <w:ilvl w:val="0"/>
          <w:numId w:val="2"/>
        </w:numPr>
        <w:spacing w:after="40" w:before="40" w:line="276"/>
      </w:pPr>
      <w:r>
        <w:t xml:space="preserve">A </w:t>
      </w:r>
      <w:r>
        <w:rPr>
          <w:b/>
          <w:bCs/>
        </w:rPr>
        <w:t xml:space="preserve">compounding record</w:t>
      </w:r>
      <w:r>
        <w:t xml:space="preserve"> — the longer an institution runs on StromeX, the more it would cost them to leave, not because we lock them in, but because the accumulated record is genuinely valuable.</w:t>
      </w:r>
    </w:p>
    <w:p>
      <w:pPr>
        <w:pStyle w:val="Heading3"/>
      </w:pPr>
      <w:r>
        <w:t xml:space="preserve">3.2 What StromeX is not</w:t>
      </w:r>
    </w:p>
    <w:p>
      <w:pPr>
        <w:pStyle w:val="ListParagraph"/>
        <w:numPr>
          <w:ilvl w:val="0"/>
          <w:numId w:val="2"/>
        </w:numPr>
        <w:spacing w:after="40" w:before="40" w:line="276"/>
      </w:pPr>
      <w:r>
        <w:t xml:space="preserve">Not a website agency. Websites are layer 3 of eight.</w:t>
      </w:r>
    </w:p>
    <w:p>
      <w:pPr>
        <w:pStyle w:val="ListParagraph"/>
        <w:numPr>
          <w:ilvl w:val="0"/>
          <w:numId w:val="2"/>
        </w:numPr>
        <w:spacing w:after="40" w:before="40" w:line="276"/>
      </w:pPr>
      <w:r>
        <w:t xml:space="preserve">Not a systems integrator that resells other people’s software with a margin.</w:t>
      </w:r>
    </w:p>
    <w:p>
      <w:pPr>
        <w:pStyle w:val="ListParagraph"/>
        <w:numPr>
          <w:ilvl w:val="0"/>
          <w:numId w:val="2"/>
        </w:numPr>
        <w:spacing w:after="40" w:before="40" w:line="276"/>
      </w:pPr>
      <w:r>
        <w:t xml:space="preserve">Not an outsourcing shop that sells hours.</w:t>
      </w:r>
    </w:p>
    <w:p>
      <w:pPr>
        <w:pStyle w:val="ListParagraph"/>
        <w:numPr>
          <w:ilvl w:val="0"/>
          <w:numId w:val="2"/>
        </w:numPr>
        <w:spacing w:after="40" w:before="40" w:line="276"/>
      </w:pPr>
      <w:r>
        <w:t xml:space="preserve">Not an engagement-maximising, ad-funded attention product.</w:t>
      </w:r>
    </w:p>
    <w:p>
      <w:pPr>
        <w:pStyle w:val="ListParagraph"/>
        <w:numPr>
          <w:ilvl w:val="0"/>
          <w:numId w:val="2"/>
        </w:numPr>
        <w:spacing w:after="40" w:before="40" w:line="276"/>
      </w:pPr>
      <w:r>
        <w:t xml:space="preserve">Not a company that ships a demo and calls it a deployment.</w:t>
      </w:r>
    </w:p>
    <w:p>
      <w:pPr>
        <w:pStyle w:val="ListParagraph"/>
        <w:numPr>
          <w:ilvl w:val="0"/>
          <w:numId w:val="2"/>
        </w:numPr>
        <w:spacing w:after="40" w:before="40" w:line="276"/>
      </w:pPr>
      <w:r>
        <w:t xml:space="preserve">Not a company that will take a contract it cannot deliver in order to make a quarter.</w:t>
      </w:r>
    </w:p>
    <w:p>
      <w:pPr>
        <w:pStyle w:val="Heading3"/>
      </w:pPr>
      <w:r>
        <w:t xml:space="preserve">3.3 The eleven product principles</w:t>
      </w:r>
    </w:p>
    <w:p>
      <w:pPr>
        <w:pStyle w:val="BodyText"/>
      </w:pPr>
      <w:r>
        <w:rPr>
          <w:b/>
          <w:bCs/>
        </w:rPr>
        <w:t xml:space="preserve">P1 — Modularity is a right, not a feature.</w:t>
      </w:r>
      <w:r>
        <w:t xml:space="preserve"> Every offering decomposes to a line item the customer can accept or decline. If a customer wants a website with no chatbot, no CRM and no app, that is a valid, respected, profitably-served configuration. Bundles exist to </w:t>
      </w:r>
      <w:r>
        <w:rPr>
          <w:i/>
          <w:iCs/>
        </w:rPr>
        <w:t xml:space="preserve">simplify</w:t>
      </w:r>
      <w:r>
        <w:t xml:space="preserve">, never to force.</w:t>
      </w:r>
    </w:p>
    <w:p>
      <w:pPr>
        <w:pStyle w:val="BodyText"/>
      </w:pPr>
      <w:r>
        <w:rPr>
          <w:b/>
          <w:bCs/>
        </w:rPr>
        <w:t xml:space="preserve">P2 — Every capability is specified before it is priced.</w:t>
      </w:r>
      <w:r>
        <w:t xml:space="preserve"> No line item enters Volume III without: purpose, target user, feature list, technical specification, delivery time, what is explicitly excluded, and the price. “Excluded” is mandatory. Most disputes in this industry originate in an unstated exclusion.</w:t>
      </w:r>
    </w:p>
    <w:p>
      <w:pPr>
        <w:pStyle w:val="BodyText"/>
      </w:pPr>
      <w:r>
        <w:rPr>
          <w:b/>
          <w:bCs/>
        </w:rPr>
        <w:t xml:space="preserve">P3 — Progressive disclosure.</w:t>
      </w:r>
      <w:r>
        <w:t xml:space="preserve"> A first-time visitor sees six choices. A procurement officer building a 60-module configuration sees everything. Same product, different depth. Complexity is available, never imposed.</w:t>
      </w:r>
    </w:p>
    <w:p>
      <w:pPr>
        <w:pStyle w:val="BodyText"/>
      </w:pPr>
      <w:r>
        <w:rPr>
          <w:b/>
          <w:bCs/>
        </w:rPr>
        <w:t xml:space="preserve">P4 — The free tier must be genuinely, embarrassingly good.</w:t>
      </w:r>
      <w:r>
        <w:t xml:space="preserve"> Governed by Chapter 5. A crippled demo is a broken promise with a countdown timer.</w:t>
      </w:r>
    </w:p>
    <w:p>
      <w:pPr>
        <w:pStyle w:val="BodyText"/>
      </w:pPr>
      <w:r>
        <w:rPr>
          <w:b/>
          <w:bCs/>
        </w:rPr>
        <w:t xml:space="preserve">P5 — Nothing important is unexportable.</w:t>
      </w:r>
      <w:r>
        <w:t xml:space="preserve"> Every customer can export every record they own, in an open format, at any time, without asking, without a fee. Lock-in earned by quality is legitimate; lock-in engineered through data hostage-taking is forbidden and will be treated as a P0 defect.</w:t>
      </w:r>
    </w:p>
    <w:p>
      <w:pPr>
        <w:pStyle w:val="BodyText"/>
      </w:pPr>
      <w:r>
        <w:rPr>
          <w:b/>
          <w:bCs/>
        </w:rPr>
        <w:t xml:space="preserve">P6 — Boring where it matters, ambitious where it counts.</w:t>
      </w:r>
      <w:r>
        <w:t xml:space="preserve"> Payments, auth, backups and audit logs are built conservatively with proven technology. Novelty is spent on the customer-visible frontier, not on the parts that must never fail.</w:t>
      </w:r>
    </w:p>
    <w:p>
      <w:pPr>
        <w:pStyle w:val="BodyText"/>
      </w:pPr>
      <w:r>
        <w:rPr>
          <w:b/>
          <w:bCs/>
        </w:rPr>
        <w:t xml:space="preserve">P7 — Reversibility.</w:t>
      </w:r>
      <w:r>
        <w:t xml:space="preserve"> Every destructive user action has an undo or a recovery window. Every deployment has a rollback. Every migration has a tested reverse path.</w:t>
      </w:r>
    </w:p>
    <w:p>
      <w:pPr>
        <w:pStyle w:val="BodyText"/>
      </w:pPr>
      <w:r>
        <w:rPr>
          <w:b/>
          <w:bCs/>
        </w:rPr>
        <w:t xml:space="preserve">P8 — Offline and low-bandwidth are first-class.</w:t>
      </w:r>
      <w:r>
        <w:t xml:space="preserve"> Large parts of our market operate at 2–5 Mbps with intermittent power. A product that assumes fibre and mains electricity is not a product for our market. Every surface has a defined degraded mode.</w:t>
      </w:r>
    </w:p>
    <w:p>
      <w:pPr>
        <w:pStyle w:val="BodyText"/>
      </w:pPr>
      <w:r>
        <w:rPr>
          <w:b/>
          <w:bCs/>
        </w:rPr>
        <w:t xml:space="preserve">P9 — One institution, one record.</w:t>
      </w:r>
      <w:r>
        <w:t xml:space="preserve"> No customer should ever be asked for data StromeX already holds. Re-keying is a defect.</w:t>
      </w:r>
    </w:p>
    <w:p>
      <w:pPr>
        <w:pStyle w:val="BodyText"/>
      </w:pPr>
      <w:r>
        <w:rPr>
          <w:b/>
          <w:bCs/>
        </w:rPr>
        <w:t xml:space="preserve">P10 — Human-in-the-loop where stakes are high.</w:t>
      </w:r>
      <w:r>
        <w:t xml:space="preserve"> Religious rulings, legal conclusions, medical diagnosis, disciplinary outcomes, admission rejections and financial write-offs are surfaced to a qualified human, never adjudicated silently by a model. Volume IV, Chapter 8 specifies the enforcement.</w:t>
      </w:r>
    </w:p>
    <w:p>
      <w:pPr>
        <w:pStyle w:val="BodyText"/>
      </w:pPr>
      <w:r>
        <w:rPr>
          <w:b/>
          <w:bCs/>
        </w:rPr>
        <w:t xml:space="preserve">P11 — Speed is a feature and slowness is a bug.</w:t>
      </w:r>
      <w:r>
        <w:t xml:space="preserve"> Perceived performance targets are contractual with ourselves: first meaningful paint under 1.8s on a 3G connection, interactive under 3.5s, API p95 under 400ms. A regression against these is a release blocker.</w:t>
      </w:r>
    </w:p>
    <w:p>
      <w:pPr>
        <w:pStyle w:val="Heading3"/>
      </w:pPr>
      <w:r>
        <w:t xml:space="preserve">3.4 The tier ladder</w:t>
      </w:r>
    </w:p>
    <w:p>
      <w:pPr>
        <w:pStyle w:val="BodyText"/>
      </w:pPr>
      <w:r>
        <w:t xml:space="preserve">Every offering that can be tiered uses this ladder, and only this ladder. No division invents its own tier names.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For</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Commercial character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Anyone, forever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Genuinely useful. No time limit, no credit card.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 institutions, SMEs, individuals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Affordable, self-serve, transparent, no negotiation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Established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default serious choice; most customers belong here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or demanding institutions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Deeper modules, faster support, priority 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Flagship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Bespoke design, named team, contractual SLAs, on-site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Multi-site groups, corporates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Custom-scoped, negotiated, multi-year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sector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Procurement-track, tender-responsive, compliance-heavy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Global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Multinational deployments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Multi-jurisdiction, multi-currency, multi-residency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tier ladder</w:t>
      </w:r>
    </w:p>
    <w:p>
      <w:pPr>
        <w:pStyle w:val="BodyText"/>
      </w:pPr>
      <w:r>
        <w:rPr>
          <w:b/>
          <w:bCs/>
        </w:rPr>
        <w:t xml:space="preserve">The upgrade rule:</w:t>
      </w:r>
      <w:r>
        <w:t xml:space="preserve"> upgrades happen because the customer outgrew the tier, never because we degraded the one below it. Deliberately withholding a trivially cheap capability from a lower tier purely to force an upgrade is prohibited. The legitimate reasons a capability sits in a higher tier are: it costs us materially more to deliver; it is only meaningful at that scale; or it carries risk requiring a higher-touch relationship.</w:t>
      </w:r>
    </w:p>
    <w:p>
      <w:pPr>
        <w:pStyle w:val="Heading2"/>
        <w:pageBreakBefore/>
      </w:pPr>
      <w:r>
        <w:t xml:space="preserve">CHAPTER 4 — THE VALUE-BEFORE-REVENUE DOCTRINE</w:t>
      </w:r>
    </w:p>
    <w:p>
      <w:pPr>
        <w:pStyle w:val="Heading3"/>
      </w:pPr>
      <w:r>
        <w:t xml:space="preserve">4.1 The doctrine</w:t>
      </w:r>
    </w:p>
    <w:p>
      <w:pPr>
        <w:pStyle w:val="BodyText"/>
      </w:pPr>
      <w:r>
        <w:rPr>
          <w:b/>
          <w:bCs/>
        </w:rPr>
        <w:t xml:space="preserve">Maximise trust. Maximise usefulness. Maximise delight. Revenue is the consequence, never the objective function.</w:t>
      </w:r>
    </w:p>
    <w:p>
      <w:pPr>
        <w:pStyle w:val="BodyText"/>
      </w:pPr>
      <w:r>
        <w:t xml:space="preserve">This is not sentiment; it is the observed mechanism by which the companies we admire actually became large. Cloudflare gave away DDoS protection that competitors charged five figures for. GitHub gave away unlimited public repositories. Figma gave away the entire editor to viewers. Canva gave away a design tool good enough that most users never paid. Visual Studio Code was given away outright, and the ecosystem it created was worth more than any licence revenue would have been. In each case the free layer was not marketing spend — it was the distribution strategy, and it worked because the free thing was </w:t>
      </w:r>
      <w:r>
        <w:rPr>
          <w:i/>
          <w:iCs/>
        </w:rPr>
        <w:t xml:space="preserve">genuinely excellent</w:t>
      </w:r>
      <w:r>
        <w:t xml:space="preserve"> rather than strategically hobbled.</w:t>
      </w:r>
    </w:p>
    <w:p>
      <w:pPr>
        <w:pStyle w:val="Heading3"/>
      </w:pPr>
      <w:r>
        <w:t xml:space="preserve">4.2 The three-sentence test</w:t>
      </w:r>
    </w:p>
    <w:p>
      <w:pPr>
        <w:pStyle w:val="BodyText"/>
      </w:pPr>
      <w:r>
        <w:t xml:space="preserve">Before any offering ships, it must pass:</w:t>
      </w:r>
    </w:p>
    <w:p>
      <w:pPr>
        <w:pStyle w:val="ListParagraph"/>
        <w:numPr>
          <w:ilvl w:val="0"/>
          <w:numId w:val="3"/>
        </w:numPr>
        <w:spacing w:after="40" w:before="40" w:line="276"/>
      </w:pPr>
      <w:r>
        <w:rPr>
          <w:b/>
          <w:bCs/>
        </w:rPr>
        <w:t xml:space="preserve">Would a stranger recommend this to a colleague without being asked?</w:t>
      </w:r>
    </w:p>
    <w:p>
      <w:pPr>
        <w:pStyle w:val="ListParagraph"/>
        <w:numPr>
          <w:ilvl w:val="0"/>
          <w:numId w:val="3"/>
        </w:numPr>
        <w:spacing w:after="40" w:before="40" w:line="276"/>
      </w:pPr>
      <w:r>
        <w:rPr>
          <w:b/>
          <w:bCs/>
        </w:rPr>
        <w:t xml:space="preserve">Does the customer save more than we charge — and can they name the number?</w:t>
      </w:r>
    </w:p>
    <w:p>
      <w:pPr>
        <w:pStyle w:val="ListParagraph"/>
        <w:numPr>
          <w:ilvl w:val="0"/>
          <w:numId w:val="3"/>
        </w:numPr>
        <w:spacing w:after="40" w:before="40" w:line="276"/>
      </w:pPr>
      <w:r>
        <w:rPr>
          <w:b/>
          <w:bCs/>
        </w:rPr>
        <w:t xml:space="preserve">If we doubled the price tomorrow, would we be ashamed, or merely nervous?</w:t>
      </w:r>
      <w:r>
        <w:t xml:space="preserve"> (Shame = the price is not earned. Nervous = the price is fine.)</w:t>
      </w:r>
    </w:p>
    <w:p>
      <w:pPr>
        <w:pStyle w:val="Heading3"/>
      </w:pPr>
      <w:r>
        <w:t xml:space="preserve">4.3 Trust is the balance sheet</w:t>
      </w:r>
    </w:p>
    <w:p>
      <w:pPr>
        <w:pStyle w:val="BodyText"/>
      </w:pPr>
      <w:r>
        <w:t xml:space="preserve">The group’s most valuable asset is never in the accounts: it is the willingness of an institution to act on StromeX output without independently re-checking it. That asset takes years to build and one incident to destroy. Consequently:</w:t>
      </w:r>
    </w:p>
    <w:p>
      <w:pPr>
        <w:pStyle w:val="ListParagraph"/>
        <w:numPr>
          <w:ilvl w:val="0"/>
          <w:numId w:val="2"/>
        </w:numPr>
        <w:spacing w:after="40" w:before="40" w:line="276"/>
      </w:pPr>
      <w:r>
        <w:t xml:space="preserve">We disclose incidents before we are asked, in public, with a timeline and a fix.</w:t>
      </w:r>
    </w:p>
    <w:p>
      <w:pPr>
        <w:pStyle w:val="ListParagraph"/>
        <w:numPr>
          <w:ilvl w:val="0"/>
          <w:numId w:val="2"/>
        </w:numPr>
        <w:spacing w:after="40" w:before="40" w:line="276"/>
      </w:pPr>
      <w:r>
        <w:t xml:space="preserve">We never quietly change a price on an existing customer mid-term.</w:t>
      </w:r>
    </w:p>
    <w:p>
      <w:pPr>
        <w:pStyle w:val="ListParagraph"/>
        <w:numPr>
          <w:ilvl w:val="0"/>
          <w:numId w:val="2"/>
        </w:numPr>
        <w:spacing w:after="40" w:before="40" w:line="276"/>
      </w:pPr>
      <w:r>
        <w:t xml:space="preserve">We never ship a “dark pattern”: no manufactured urgency, no obstacle-course cancellation, no pre-ticked upsells, no auto-renewal without notice, no “contact sales to downgrade”.</w:t>
      </w:r>
    </w:p>
    <w:p>
      <w:pPr>
        <w:pStyle w:val="ListParagraph"/>
        <w:numPr>
          <w:ilvl w:val="0"/>
          <w:numId w:val="2"/>
        </w:numPr>
        <w:spacing w:after="40" w:before="40" w:line="276"/>
      </w:pPr>
      <w:r>
        <w:t xml:space="preserve">Cancelling must take fewer clicks than subscribing. This is measured and reported.</w:t>
      </w:r>
    </w:p>
    <w:p>
      <w:pPr>
        <w:pStyle w:val="ListParagraph"/>
        <w:numPr>
          <w:ilvl w:val="0"/>
          <w:numId w:val="2"/>
        </w:numPr>
        <w:spacing w:after="40" w:before="40" w:line="276"/>
      </w:pPr>
      <w:r>
        <w:t xml:space="preserve">When we are wrong we say “we were wrong” in those words, without a passive voice.</w:t>
      </w:r>
    </w:p>
    <w:p>
      <w:pPr>
        <w:pStyle w:val="Heading3"/>
      </w:pPr>
      <w:r>
        <w:t xml:space="preserve">4.4 The value ledger</w:t>
      </w:r>
      <w:fldSimple w:instr="XE &quot;Value ledger&quot;"/>
    </w:p>
    <w:p>
      <w:pPr>
        <w:pStyle w:val="BodyText"/>
      </w:pPr>
      <w:r>
        <w:t xml:space="preserve">Every customer relationship maintains a </w:t>
      </w:r>
      <w:r>
        <w:rPr>
          <w:b/>
          <w:bCs/>
        </w:rPr>
        <w:t xml:space="preserve">value ledger</w:t>
      </w:r>
      <w:r>
        <w:t xml:space="preserve"> — a running, honest account of what the institution has gained: staff-hours returned, fraud incidents prevented, collection rate improvement, admissions cycle-time reduction, print cost avoided. It is shown to the customer at every renewal, including the periods where the number is unimpressive. A renewal conversation that cannot point to a value ledger is a renewal we have not earned.</w:t>
      </w:r>
    </w:p>
    <w:p>
      <w:pPr>
        <w:pStyle w:val="Heading2"/>
        <w:pageBreakBefore/>
      </w:pPr>
      <w:r>
        <w:t xml:space="preserve">CHAPTER 5 — THE FREE CONSTITUTION</w:t>
      </w:r>
    </w:p>
    <w:p>
      <w:pPr>
        <w:pStyle w:val="Heading3"/>
      </w:pPr>
      <w:r>
        <w:t xml:space="preserve">5.1 The standard</w:t>
      </w:r>
    </w:p>
    <w:p>
      <w:pPr>
        <w:pStyle w:val="BodyText"/>
      </w:pPr>
      <w:r>
        <w:t xml:space="preserve">The Foundation tier must provoke the reaction: </w:t>
      </w:r>
      <w:r>
        <w:rPr>
          <w:b/>
          <w:bCs/>
        </w:rPr>
        <w:t xml:space="preserve">“I cannot believe this is free.”</w:t>
      </w:r>
    </w:p>
    <w:p>
      <w:pPr>
        <w:pStyle w:val="BodyText"/>
      </w:pPr>
      <w:r>
        <w:t xml:space="preserve">Not a trial. Not a demo. Not a watermarked tease. A permanently free set of tools that measurably improves the working life of a registrar, a bursar, a teacher, an imam, a small-business owner, a designer or a student who will never pay us a naira.</w:t>
      </w:r>
    </w:p>
    <w:p>
      <w:pPr>
        <w:pStyle w:val="Heading3"/>
      </w:pPr>
      <w:r>
        <w:t xml:space="preserve">5.2 Why this is commercially rational, not charitable</w:t>
      </w:r>
    </w:p>
    <w:p>
      <w:pPr>
        <w:pStyle w:val="BodyText"/>
      </w:pPr>
      <w:r>
        <w:t xml:space="preserve">Four mechanisms, each independently sufficient:</w:t>
      </w:r>
    </w:p>
    <w:p>
      <w:pPr>
        <w:pStyle w:val="ListParagraph"/>
        <w:numPr>
          <w:ilvl w:val="0"/>
          <w:numId w:val="3"/>
        </w:numPr>
        <w:spacing w:after="40" w:before="40" w:line="276"/>
      </w:pPr>
      <w:r>
        <w:rPr>
          <w:b/>
          <w:bCs/>
        </w:rPr>
        <w:t xml:space="preserve">Distribution.</w:t>
      </w:r>
      <w:r>
        <w:t xml:space="preserve"> Our market cannot be reached economically by paid acquisition. A registrar who found a free timetable optimiser at 11pm is a cheaper, warmer lead than any advertisement.</w:t>
      </w:r>
    </w:p>
    <w:p>
      <w:pPr>
        <w:pStyle w:val="ListParagraph"/>
        <w:numPr>
          <w:ilvl w:val="0"/>
          <w:numId w:val="3"/>
        </w:numPr>
        <w:spacing w:after="40" w:before="40" w:line="276"/>
      </w:pPr>
      <w:r>
        <w:rPr>
          <w:b/>
          <w:bCs/>
        </w:rPr>
        <w:t xml:space="preserve">Trust transfer.</w:t>
      </w:r>
      <w:r>
        <w:t xml:space="preserve"> An institution that has used a free StromeX tool for a year has already answered the hardest question in enterprise sales: “are these people real?”</w:t>
      </w:r>
    </w:p>
    <w:p>
      <w:pPr>
        <w:pStyle w:val="ListParagraph"/>
        <w:numPr>
          <w:ilvl w:val="0"/>
          <w:numId w:val="3"/>
        </w:numPr>
        <w:spacing w:after="40" w:before="40" w:line="276"/>
      </w:pPr>
      <w:r>
        <w:rPr>
          <w:b/>
          <w:bCs/>
        </w:rPr>
        <w:t xml:space="preserve">Data-free product intelligence.</w:t>
      </w:r>
      <w:r>
        <w:t xml:space="preserve"> Aggregate, anonymised usage of free tools tells us which sectors have which pain, months before a sales team could discover it.</w:t>
      </w:r>
    </w:p>
    <w:p>
      <w:pPr>
        <w:pStyle w:val="ListParagraph"/>
        <w:numPr>
          <w:ilvl w:val="0"/>
          <w:numId w:val="3"/>
        </w:numPr>
        <w:spacing w:after="40" w:before="40" w:line="276"/>
      </w:pPr>
      <w:r>
        <w:rPr>
          <w:b/>
          <w:bCs/>
        </w:rPr>
        <w:t xml:space="preserve">Standard-setting.</w:t>
      </w:r>
      <w:r>
        <w:t xml:space="preserve"> A free template used by 40,000 schools becomes the de-facto format. Whoever owns the format owns the workflow that surrounds it.</w:t>
      </w:r>
    </w:p>
    <w:p>
      <w:pPr>
        <w:pStyle w:val="Heading3"/>
      </w:pPr>
      <w:r>
        <w:t xml:space="preserve">5.3 The Foundation catalogue</w:t>
      </w:r>
      <w:fldSimple w:instr="XE &quot;Foundation&quot;"/>
    </w:p>
    <w:p>
      <w:pPr>
        <w:pStyle w:val="BodyText"/>
      </w:pPr>
      <w:r>
        <w:t xml:space="preserve">Permanently free, no account required unless marked †, no time limit, no watermark unless marked ‡.</w:t>
      </w:r>
    </w:p>
    <w:p>
      <w:pPr>
        <w:pStyle w:val="BodyText"/>
      </w:pPr>
      <w:r>
        <w:rPr>
          <w:b/>
          <w:bCs/>
        </w:rPr>
        <w:t xml:space="preserve">Documents, templates and policy</w:t>
      </w:r>
      <w:r>
        <w:t xml:space="preserve"> School admission forms · Examination and result templates · Report card templates · Transcript templates · Staff contract templates · Employee handbook skeleton · Student handbook skeleton · Parent handbook skeleton · Safeguarding policy generator · Data protection policy generator (NDPA/GDPR-aware) · Acceptable use policy generator · Anti-bullying policy generator · Fee policy templates · Procurement policy templates · Board charter templates · Governance calendar · HR letter library (offer, warning, promotion, exit) · Payroll spreadsheet templates · Accounting chart-of-accounts starters for schools, clinics, mosques and SMEs · Petty cash and requisition forms · Asset register template · Inventory templates · Meeting minute templates · Risk register template</w:t>
      </w:r>
    </w:p>
    <w:p>
      <w:pPr>
        <w:pStyle w:val="BodyText"/>
      </w:pPr>
      <w:r>
        <w:rPr>
          <w:b/>
          <w:bCs/>
        </w:rPr>
        <w:t xml:space="preserve">Design and brand</w:t>
      </w:r>
      <w:r>
        <w:t xml:space="preserve"> Logo preview generator ‡ · Colour system builder · Type-pairing tool · Icon pack (500+, open licence) · Certificate templates (25 designs) ‡ · ID card templates ‡ · Letterhead templates · Business card templates · Social media kit · Presentation templates · School branding starter kit · Signage templates · Prospectus template · Newsletter templates</w:t>
      </w:r>
    </w:p>
    <w:p>
      <w:pPr>
        <w:pStyle w:val="BodyText"/>
      </w:pPr>
      <w:r>
        <w:rPr>
          <w:b/>
          <w:bCs/>
        </w:rPr>
        <w:t xml:space="preserve">Utilities</w:t>
      </w:r>
      <w:r>
        <w:t xml:space="preserve"> QR code generator (unlimited, no expiry, no tracking) · Barcode generator · Website speed and SEO audit · Accessibility audit · Broken-link checker · Domain and SSL expiry checker · Image compressor · PDF merge/split/compress · Document format converter · Timetable conflict checker · GPA and grade calculators (multiple national systems) · Fee instalment calculator · Payroll tax estimators (NG, UK, US) · Currency and unit converters · Hijri/Gregorian calendar converter · Prayer time generator · Zakat calculator</w:t>
      </w:r>
    </w:p>
    <w:p>
      <w:pPr>
        <w:pStyle w:val="BodyText"/>
      </w:pPr>
      <w:r>
        <w:rPr>
          <w:b/>
          <w:bCs/>
        </w:rPr>
        <w:t xml:space="preserve">Education</w:t>
      </w:r>
      <w:r>
        <w:t xml:space="preserve"> Curriculum framework templates · Scheme of work templates · Lesson plan templates · Question bank starter (10,000 items, CC-licensed) · Marking rubric library · Reading list builder · Continuous assessment templates · Timetable optimiser (up to 30 classes) † · Attendance register (up to 200 students) † · Parent communication templates</w:t>
      </w:r>
    </w:p>
    <w:p>
      <w:pPr>
        <w:pStyle w:val="BodyText"/>
      </w:pPr>
      <w:r>
        <w:rPr>
          <w:b/>
          <w:bCs/>
        </w:rPr>
        <w:t xml:space="preserve">Islamic and faith resources</w:t>
      </w:r>
      <w:r>
        <w:t xml:space="preserve"> Qur’an text, translations and recitation index · Memorisation tracker † · Tajweed reference · Arabic learning starter pack · Hijri calendar tools · Mosque service schedule templates · Khutbah planning templates · Madrasah register templates · Islamic certificate templates ‡ · Waqf and endowment record templates</w:t>
      </w:r>
    </w:p>
    <w:p>
      <w:pPr>
        <w:pStyle w:val="BodyText"/>
      </w:pPr>
      <w:r>
        <w:rPr>
          <w:b/>
          <w:bCs/>
        </w:rPr>
        <w:t xml:space="preserve">Developer and open source</w:t>
      </w:r>
      <w:r>
        <w:t xml:space="preserve"> StromeX Design System (open source) · Component library · Arabic-first typography toolkit · Credential verification API (10,000 free verifications/month) · QR verification widget · Open-format exporters for every StromeX record type · Public status page and incident history · Documentation for every public API</w:t>
      </w:r>
    </w:p>
    <w:p>
      <w:pPr>
        <w:pStyle w:val="BodyText"/>
      </w:pPr>
      <w:r>
        <w:rPr>
          <w:b/>
          <w:bCs/>
        </w:rPr>
        <w:t xml:space="preserve">Verification — permanently free, on principle</w:t>
      </w:r>
      <w:r>
        <w:t xml:space="preserve"> Anyone, anywhere, may verify any StromeX-issued credential, forever, at no cost, without an account. The </w:t>
      </w:r>
      <w:r>
        <w:rPr>
          <w:i/>
          <w:iCs/>
        </w:rPr>
        <w:t xml:space="preserve">issuer</w:t>
      </w:r>
      <w:r>
        <w:t xml:space="preserve"> pays. The </w:t>
      </w:r>
      <w:r>
        <w:rPr>
          <w:i/>
          <w:iCs/>
        </w:rPr>
        <w:t xml:space="preserve">verifier</w:t>
      </w:r>
      <w:r>
        <w:t xml:space="preserve"> — an employer, a university admissions officer, a visa officer, a parent — never pays and never will. This is a constitutional commitment, not a pricing decision, and amending it requires the supermajority threshold in Chapter 9.</w:t>
      </w:r>
    </w:p>
    <w:p>
      <w:pPr>
        <w:pStyle w:val="Heading3"/>
      </w:pPr>
      <w:r>
        <w:t xml:space="preserve">5.4 What Foundation deliberately excludes</w:t>
      </w:r>
    </w:p>
    <w:p>
      <w:pPr>
        <w:pStyle w:val="BodyText"/>
      </w:pPr>
      <w:r>
        <w:t xml:space="preserve">Free stops where our marginal cost becomes material or where the capability only matters at institutional scale:</w:t>
      </w:r>
    </w:p>
    <w:p>
      <w:pPr>
        <w:pStyle w:val="ListParagraph"/>
        <w:numPr>
          <w:ilvl w:val="0"/>
          <w:numId w:val="2"/>
        </w:numPr>
        <w:spacing w:after="40" w:before="40" w:line="276"/>
      </w:pPr>
      <w:r>
        <w:t xml:space="preserve">Sustained compute (hosting, AI inference beyond the monthly allowance, video transcoding)</w:t>
      </w:r>
    </w:p>
    <w:p>
      <w:pPr>
        <w:pStyle w:val="ListParagraph"/>
        <w:numPr>
          <w:ilvl w:val="0"/>
          <w:numId w:val="2"/>
        </w:numPr>
        <w:spacing w:after="40" w:before="40" w:line="276"/>
      </w:pPr>
      <w:r>
        <w:t xml:space="preserve">Human labour (design services, consulting, editing, support beyond community and documentation)</w:t>
      </w:r>
    </w:p>
    <w:p>
      <w:pPr>
        <w:pStyle w:val="ListParagraph"/>
        <w:numPr>
          <w:ilvl w:val="0"/>
          <w:numId w:val="2"/>
        </w:numPr>
        <w:spacing w:after="40" w:before="40" w:line="276"/>
      </w:pPr>
      <w:r>
        <w:t xml:space="preserve">Physical goods (cards, hardware, printing)</w:t>
      </w:r>
    </w:p>
    <w:p>
      <w:pPr>
        <w:pStyle w:val="ListParagraph"/>
        <w:numPr>
          <w:ilvl w:val="0"/>
          <w:numId w:val="2"/>
        </w:numPr>
        <w:spacing w:after="40" w:before="40" w:line="276"/>
      </w:pPr>
      <w:r>
        <w:t xml:space="preserve">Institution-scale operation (unlimited students, multi-site, custom domains, SSO, SLAs)</w:t>
      </w:r>
    </w:p>
    <w:p>
      <w:pPr>
        <w:pStyle w:val="ListParagraph"/>
        <w:numPr>
          <w:ilvl w:val="0"/>
          <w:numId w:val="2"/>
        </w:numPr>
        <w:spacing w:after="40" w:before="40" w:line="276"/>
      </w:pPr>
      <w:r>
        <w:t xml:space="preserve">Compliance surface (audit exports, data residency, DPAs, penetration test reports)</w:t>
      </w:r>
    </w:p>
    <w:p>
      <w:pPr>
        <w:pStyle w:val="BodyText"/>
      </w:pPr>
      <w:r>
        <w:t xml:space="preserve">Stating the boundary plainly is part of the gift. A free tier whose limits are hidden until you hit them is a trap, and traps are prohibited.</w:t>
      </w:r>
    </w:p>
    <w:p>
      <w:pPr>
        <w:pStyle w:val="Heading3"/>
      </w:pPr>
      <w:r>
        <w:t xml:space="preserve">5.5 Open source policy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goes here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 (permissive)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component library, Arabic typography toolkit, SDKs, exporters, verification widget, document format specs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Adoption is worth more than protection; these define standards and cost us little to give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 (copyleft)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implementations of credential formats, integration adapters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want derivatives to stay open so the format stays honest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Source-available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modules where a customer needs to audit or self-host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and government require inspectability; commercial terms still apply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Proprietary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Orchestration and agent layer, pricing/configuration engine, fraud and anomaly detection, operational tooling, the aggregated model of how institutions actually work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These are the accumulated advantage; giving them away funds a competitor without buying us adoption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Open source policy</w:t>
      </w:r>
    </w:p>
    <w:p>
      <w:pPr>
        <w:pStyle w:val="BodyText"/>
      </w:pPr>
      <w:r>
        <w:t xml:space="preserve">The test: </w:t>
      </w:r>
      <w:r>
        <w:rPr>
          <w:b/>
          <w:bCs/>
        </w:rPr>
        <w:t xml:space="preserve">open what spreads the standard; hold what compounds the advantage.</w:t>
      </w:r>
    </w:p>
    <w:p>
      <w:pPr>
        <w:pStyle w:val="Heading2"/>
        <w:pageBreakBefore/>
      </w:pPr>
      <w:r>
        <w:t xml:space="preserve">CHAPTER 6 — THE COMMERCIAL CONSTITUTION</w:t>
      </w:r>
    </w:p>
    <w:p>
      <w:pPr>
        <w:pStyle w:val="Heading3"/>
      </w:pPr>
      <w:r>
        <w:t xml:space="preserve">6.1 The monetisation principle, stated carefully</w:t>
      </w:r>
    </w:p>
    <w:p>
      <w:pPr>
        <w:pStyle w:val="BodyText"/>
      </w:pPr>
      <w:r>
        <w:t xml:space="preserve">The founder’s instruction is that everything of value should be monetisable, and that the cumulative total should be substantial without any individual price being frightening. That instruction is adopted, with one binding qualification that makes it durable rather than extractive:</w:t>
      </w:r>
    </w:p>
    <w:p>
      <w:pPr>
        <w:pStyle w:val="PullQuote"/>
        <w:spacing w:after="220" w:before="200"/>
      </w:pPr>
      <w:r>
        <w:rPr>
          <w:b/>
          <w:bCs/>
        </w:rPr>
        <w:t xml:space="preserve">If it creates measurable value for the customer, it may carry a price. If it does not create measurable value, it must not carry a price — no matter how easily it could.</w:t>
      </w:r>
    </w:p>
    <w:p>
      <w:pPr>
        <w:pStyle w:val="BodyText"/>
      </w:pPr>
      <w:r>
        <w:t xml:space="preserve">The failure mode we are guarding against is the airline model: a low headline price surrounded by fees for things that cost the seller nothing and that the customer reasonably expected to be included. That model produces revenue and destroys affection. We are building the opposite: a fair headline price, an itemised menu where each item is real, and a customer who feels they got more than they paid for.</w:t>
      </w:r>
    </w:p>
    <w:p>
      <w:pPr>
        <w:pStyle w:val="BodyText"/>
      </w:pPr>
      <w:r>
        <w:t xml:space="preserve">Concretely, the following must never be separately charged: basic SSL, standard backups, security patches, uptime, the ability to export your own data, cancellation, or being spoken to by a human when something we built is broken.</w:t>
      </w:r>
    </w:p>
    <w:p>
      <w:pPr>
        <w:pStyle w:val="Heading3"/>
      </w:pPr>
      <w:r>
        <w:t xml:space="preserve">6.2 The eleven revenue engines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Character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Gross margin band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Subscription software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per-institution or per-seat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78–88%</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Consumption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credits, compute, storage, verifications, messages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55–70%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Implementation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One-time setup, migration, configuration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40–55%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 services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Consulting, curriculum, policy, accreditation</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Creative services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publishing, editing, translation, media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Print &amp; fulfilment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International print coordination, cards, signage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22–35%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Hardware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Gates, readers, kiosks, printers, IoT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18–30%</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 infrastructure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Hosting, VMs, storage, GPU, email, domains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Marketplace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Third-party templates, agents, modules (rev-share)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70–85% on our share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Licensing &amp; white-label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Partners deploying under their own brand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80–90%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Financial services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facilitation, instalment plans, fee financing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35–55%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eleven revenue engines</w:t>
      </w:r>
    </w:p>
    <w:p>
      <w:pPr>
        <w:pStyle w:val="BodyText"/>
      </w:pPr>
      <w:r>
        <w:rPr>
          <w:b/>
          <w:bCs/>
        </w:rPr>
        <w:t xml:space="preserve">The portfolio rule:</w:t>
      </w:r>
      <w:r>
        <w:t xml:space="preserve"> by 2031, engines 1, 2, 8 and 10 — the recurring, high-margin engines — must together exceed </w:t>
      </w:r>
      <w:r>
        <w:rPr>
          <w:b/>
          <w:bCs/>
        </w:rPr>
        <w:t xml:space="preserve">65% of group revenue</w:t>
      </w:r>
      <w:r>
        <w:t xml:space="preserve">. Services and hardware are strategically essential (they win deals nobody else can win and they create the relationship) but they do not compound, and a group whose majority revenue is human-hours cannot reach the scale described in Chapter 1.</w:t>
      </w:r>
    </w:p>
    <w:p>
      <w:pPr>
        <w:pStyle w:val="Heading3"/>
      </w:pPr>
      <w:r>
        <w:t xml:space="preserve">6.3 Pricing philosophy</w:t>
      </w:r>
    </w:p>
    <w:p>
      <w:pPr>
        <w:pStyle w:val="BodyText"/>
      </w:pPr>
      <w:r>
        <w:rPr>
          <w:b/>
          <w:bCs/>
        </w:rPr>
        <w:t xml:space="preserve">Six rules, binding on every division:</w:t>
      </w:r>
    </w:p>
    <w:p>
      <w:pPr>
        <w:pStyle w:val="ListParagraph"/>
        <w:numPr>
          <w:ilvl w:val="0"/>
          <w:numId w:val="3"/>
        </w:numPr>
        <w:spacing w:after="40" w:before="40" w:line="276"/>
      </w:pPr>
      <w:r>
        <w:rPr>
          <w:b/>
          <w:bCs/>
        </w:rPr>
        <w:t xml:space="preserve">Published by default.</w:t>
      </w:r>
      <w:r>
        <w:t xml:space="preserve"> Standard, Professional and Premium tier prices are public on the website, for everyone, in the customer’s currency. Only Elite, Enterprise, Government and Global are quote-based, and only because their scope genuinely varies.</w:t>
      </w:r>
    </w:p>
    <w:p>
      <w:pPr>
        <w:pStyle w:val="ListParagraph"/>
        <w:numPr>
          <w:ilvl w:val="0"/>
          <w:numId w:val="3"/>
        </w:numPr>
        <w:spacing w:after="40" w:before="40" w:line="276"/>
      </w:pPr>
      <w:r>
        <w:rPr>
          <w:b/>
          <w:bCs/>
        </w:rPr>
        <w:t xml:space="preserve">Priced against value delivered, not cost incurred.</w:t>
      </w:r>
      <w:r>
        <w:t xml:space="preserve"> Cost sets the floor. Value sets the price. Competitors set the sanity check.</w:t>
      </w:r>
    </w:p>
    <w:p>
      <w:pPr>
        <w:pStyle w:val="ListParagraph"/>
        <w:numPr>
          <w:ilvl w:val="0"/>
          <w:numId w:val="3"/>
        </w:numPr>
        <w:spacing w:after="40" w:before="40" w:line="276"/>
      </w:pPr>
      <w:r>
        <w:rPr>
          <w:b/>
          <w:bCs/>
        </w:rPr>
        <w:t xml:space="preserve">Regionally fair.</w:t>
      </w:r>
      <w:r>
        <w:t xml:space="preserve"> Purchasing power differs by more than an order of magnitude across our markets. Charging Lagos and London the same number is not fairness, it is arithmetic. See §6.4.</w:t>
      </w:r>
    </w:p>
    <w:p>
      <w:pPr>
        <w:pStyle w:val="ListParagraph"/>
        <w:numPr>
          <w:ilvl w:val="0"/>
          <w:numId w:val="3"/>
        </w:numPr>
        <w:spacing w:after="40" w:before="40" w:line="276"/>
      </w:pPr>
      <w:r>
        <w:rPr>
          <w:b/>
          <w:bCs/>
        </w:rPr>
        <w:t xml:space="preserve">No surprise.</w:t>
      </w:r>
      <w:r>
        <w:t xml:space="preserve"> The configurator shows the running total, the annual total, and the three-year total </w:t>
      </w:r>
      <w:r>
        <w:rPr>
          <w:i/>
          <w:iCs/>
        </w:rPr>
        <w:t xml:space="preserve">before</w:t>
      </w:r>
      <w:r>
        <w:t xml:space="preserve"> the customer gives us their name.</w:t>
      </w:r>
    </w:p>
    <w:p>
      <w:pPr>
        <w:pStyle w:val="ListParagraph"/>
        <w:numPr>
          <w:ilvl w:val="0"/>
          <w:numId w:val="3"/>
        </w:numPr>
        <w:spacing w:after="40" w:before="40" w:line="276"/>
      </w:pPr>
      <w:r>
        <w:rPr>
          <w:b/>
          <w:bCs/>
        </w:rPr>
        <w:t xml:space="preserve">The premium tiers must look premium.</w:t>
      </w:r>
      <w:r>
        <w:t xml:space="preserve"> An Elite price that looks cheap signals that the work is cheap. Where we do our finest work, the price must carry the same confidence as the work.</w:t>
      </w:r>
    </w:p>
    <w:p>
      <w:pPr>
        <w:pStyle w:val="ListParagraph"/>
        <w:numPr>
          <w:ilvl w:val="0"/>
          <w:numId w:val="3"/>
        </w:numPr>
        <w:spacing w:after="40" w:before="40" w:line="276"/>
      </w:pPr>
      <w:r>
        <w:rPr>
          <w:b/>
          <w:bCs/>
        </w:rPr>
        <w:t xml:space="preserve">Grandfathering.</w:t>
      </w:r>
      <w:r>
        <w:t xml:space="preserve"> A customer’s price is fixed for their contract term. Increases apply at renewal, with 90 days’ notice, and never exceed 12% annually without a documented, communicated increase in delivered scope.</w:t>
      </w:r>
    </w:p>
    <w:p>
      <w:pPr>
        <w:pStyle w:val="Heading3"/>
      </w:pPr>
      <w:r>
        <w:t xml:space="preserve">6.4 Regional price bands</w:t>
      </w:r>
    </w:p>
    <w:p>
      <w:pPr>
        <w:pStyle w:val="BodyText"/>
      </w:pPr>
      <w:r>
        <w:t xml:space="preserve">All prices in Volume III are quoted in </w:t>
      </w:r>
      <w:r>
        <w:rPr>
          <w:b/>
          <w:bCs/>
        </w:rPr>
        <w:t xml:space="preserve">USD at Band C (list)</w:t>
      </w:r>
      <w:r>
        <w:t xml:space="preserve">. Two multipliers derive the other bands.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Markets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Multiplier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Rationale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West Africa, most of Sub-Saharan Africa, South Asia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0.32×</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Serves the founding market at a price institutions can actually pay; still gross-margin positive because delivery labour is local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B</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MENA, South-East Asia, Latin America, Eastern &amp; Southern Europe, Turkey, South Africa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0.65×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Middle-income institutions with real budgets and real alternatives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C</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 United Kingdom, EU, Canada, Australia, GCC premium, Singapore, Japan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1.00×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 Priced against Western competitors, undercutting on transparency rather than on rate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Regional price bands</w:t>
      </w:r>
    </w:p>
    <w:p>
      <w:pPr>
        <w:pStyle w:val="BodyText"/>
      </w:pPr>
      <w:r>
        <w:t xml:space="preserve">Hardware, print and third-party pass-through costs are </w:t>
      </w:r>
      <w:r>
        <w:rPr>
          <w:b/>
          <w:bCs/>
        </w:rPr>
        <w:t xml:space="preserve">band-invariant</w:t>
      </w:r>
      <w:r>
        <w:t xml:space="preserve"> — a card printer costs what it costs. Only labour- and software-derived prices band.</w:t>
      </w:r>
    </w:p>
    <w:p>
      <w:pPr>
        <w:pStyle w:val="BodyText"/>
      </w:pPr>
      <w:r>
        <w:rPr>
          <w:b/>
          <w:bCs/>
        </w:rPr>
        <w:t xml:space="preserve">Anti-arbitrage:</w:t>
      </w:r>
      <w:r>
        <w:t xml:space="preserve"> the band follows the </w:t>
      </w:r>
      <w:r>
        <w:rPr>
          <w:i/>
          <w:iCs/>
        </w:rPr>
        <w:t xml:space="preserve">institution’s operating jurisdiction</w:t>
      </w:r>
      <w:r>
        <w:t xml:space="preserve">, verified at contract, not the billing address or the buyer’s passport. A UK school group with a Lagos campus pays Band A for the Lagos campus and Band C for the UK ones.</w:t>
      </w:r>
    </w:p>
    <w:p>
      <w:pPr>
        <w:pStyle w:val="Heading3"/>
      </w:pPr>
      <w:r>
        <w:t xml:space="preserve">6.5 The revenue-per-relationship ladder</w:t>
      </w:r>
    </w:p>
    <w:p>
      <w:pPr>
        <w:pStyle w:val="BodyText"/>
      </w:pPr>
      <w:r>
        <w:t xml:space="preserve">The commercial objective for any institution is not the first invoice; it is the ten-year trajectory. A typical Professional-tier secondary school in Band A illustrates the intended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Engaged surface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Indicative annual value (Band A)</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tools, then website + basic portal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 setup + $780/yr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Admissions, results, parent app, certificates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Payments, ID cards, AI assistants, SMS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Full ERP, HR/payroll, library, transport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$6,300/yr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Smart campus hardware, publishing, custom textbooks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Multi-campus, analytics, white-label parent brand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fully resident on StromeX</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$19,000–24,000/yr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revenue-per-relationship ladder</w:t>
      </w:r>
    </w:p>
    <w:p>
      <w:pPr>
        <w:pStyle w:val="EditorialNote"/>
      </w:pPr>
      <w:r>
        <w:t xml:space="preserve">Assumption stated: this ladder assumes no fee inflation, no student-roll growth, and successful cross-sell at the historical attach rates modelled in Volume VIII, Chapter 4. It is an illustration of the intended commercial shape, not a projection.</w:t>
      </w:r>
    </w:p>
    <w:p>
      <w:pPr>
        <w:pStyle w:val="Heading3"/>
      </w:pPr>
      <w:r>
        <w:t xml:space="preserve">6.6 Prohibited commercial practices</w:t>
      </w:r>
    </w:p>
    <w:p>
      <w:pPr>
        <w:pStyle w:val="BodyText"/>
      </w:pPr>
      <w:r>
        <w:t xml:space="preserve">Absolutely and permanently prohibited, in every market, regardless of local norm or competitive pressure:</w:t>
      </w:r>
    </w:p>
    <w:p>
      <w:pPr>
        <w:pStyle w:val="ListParagraph"/>
        <w:numPr>
          <w:ilvl w:val="0"/>
          <w:numId w:val="2"/>
        </w:numPr>
        <w:spacing w:after="40" w:before="40" w:line="276"/>
      </w:pPr>
      <w:r>
        <w:t xml:space="preserve">Bribery, facilitation payments, or “processing fees” to officials</w:t>
      </w:r>
    </w:p>
    <w:p>
      <w:pPr>
        <w:pStyle w:val="ListParagraph"/>
        <w:numPr>
          <w:ilvl w:val="0"/>
          <w:numId w:val="2"/>
        </w:numPr>
        <w:spacing w:after="40" w:before="40" w:line="276"/>
      </w:pPr>
      <w:r>
        <w:t xml:space="preserve">Bid-rigging, collusive tendering, or shell-company bidding</w:t>
      </w:r>
    </w:p>
    <w:p>
      <w:pPr>
        <w:pStyle w:val="ListParagraph"/>
        <w:numPr>
          <w:ilvl w:val="0"/>
          <w:numId w:val="2"/>
        </w:numPr>
        <w:spacing w:after="40" w:before="40" w:line="276"/>
      </w:pPr>
      <w:r>
        <w:t xml:space="preserve">Charging for security patches, uptime, or data export</w:t>
      </w:r>
    </w:p>
    <w:p>
      <w:pPr>
        <w:pStyle w:val="ListParagraph"/>
        <w:numPr>
          <w:ilvl w:val="0"/>
          <w:numId w:val="2"/>
        </w:numPr>
        <w:spacing w:after="40" w:before="40" w:line="276"/>
      </w:pPr>
      <w:r>
        <w:t xml:space="preserve">Auto-renewal without notice, or cancellation flows that exceed sign-up flows in length</w:t>
      </w:r>
    </w:p>
    <w:p>
      <w:pPr>
        <w:pStyle w:val="ListParagraph"/>
        <w:numPr>
          <w:ilvl w:val="0"/>
          <w:numId w:val="2"/>
        </w:numPr>
        <w:spacing w:after="40" w:before="40" w:line="276"/>
      </w:pPr>
      <w:r>
        <w:t xml:space="preserve">Contracts that claim ownership of customer data or student records</w:t>
      </w:r>
    </w:p>
    <w:p>
      <w:pPr>
        <w:pStyle w:val="ListParagraph"/>
        <w:numPr>
          <w:ilvl w:val="0"/>
          <w:numId w:val="2"/>
        </w:numPr>
        <w:spacing w:after="40" w:before="40" w:line="276"/>
      </w:pPr>
      <w:r>
        <w:t xml:space="preserve">Selling, brokering, or training third-party models on customer data (Volume IV, Chapter 9)</w:t>
      </w:r>
    </w:p>
    <w:p>
      <w:pPr>
        <w:pStyle w:val="ListParagraph"/>
        <w:numPr>
          <w:ilvl w:val="0"/>
          <w:numId w:val="2"/>
        </w:numPr>
        <w:spacing w:after="40" w:before="40" w:line="276"/>
      </w:pPr>
      <w:r>
        <w:t xml:space="preserve">Deliberately degrading a lower tier to manufacture an upgrade</w:t>
      </w:r>
    </w:p>
    <w:p>
      <w:pPr>
        <w:pStyle w:val="ListParagraph"/>
        <w:numPr>
          <w:ilvl w:val="0"/>
          <w:numId w:val="2"/>
        </w:numPr>
        <w:spacing w:after="40" w:before="40" w:line="276"/>
      </w:pPr>
      <w:r>
        <w:t xml:space="preserve">Quoting a price we know will need to be revised upward after signature</w:t>
      </w:r>
    </w:p>
    <w:p>
      <w:pPr>
        <w:pStyle w:val="ListParagraph"/>
        <w:numPr>
          <w:ilvl w:val="0"/>
          <w:numId w:val="2"/>
        </w:numPr>
        <w:spacing w:after="40" w:before="40" w:line="276"/>
      </w:pPr>
      <w:r>
        <w:t xml:space="preserve">Overstating what has been built. A demo is called a demo, in writing, always.</w:t>
      </w:r>
    </w:p>
    <w:p>
      <w:pPr>
        <w:pStyle w:val="Heading2"/>
        <w:pageBreakBefore/>
      </w:pPr>
      <w:r>
        <w:t xml:space="preserve">CHAPTER 7 — THE ETHICS CONSTITUTION</w:t>
      </w:r>
    </w:p>
    <w:p>
      <w:pPr>
        <w:pStyle w:val="Heading3"/>
      </w:pPr>
      <w:r>
        <w:t xml:space="preserve">7.1 The automation question</w:t>
      </w:r>
    </w:p>
    <w:p>
      <w:pPr>
        <w:pStyle w:val="BodyText"/>
      </w:pPr>
      <w:r>
        <w:t xml:space="preserve">We sell automation. Automation displaces tasks and sometimes people. The founder’s framing — that with StromeX “not much more people will be required” — is commercially accurate and must be handled with precision rather than either denial or indifference.</w:t>
      </w:r>
    </w:p>
    <w:p>
      <w:pPr>
        <w:pStyle w:val="BodyText"/>
      </w:pPr>
      <w:r>
        <w:rPr>
          <w:b/>
          <w:bCs/>
        </w:rPr>
        <w:t xml:space="preserve">Our position:</w:t>
      </w:r>
      <w:r>
        <w:t xml:space="preserve"> we automate </w:t>
      </w:r>
      <w:r>
        <w:rPr>
          <w:i/>
          <w:iCs/>
        </w:rPr>
        <w:t xml:space="preserve">tasks</w:t>
      </w:r>
      <w:r>
        <w:t xml:space="preserve">, and we take responsibility for helping institutions redeploy </w:t>
      </w:r>
      <w:r>
        <w:rPr>
          <w:i/>
          <w:iCs/>
        </w:rPr>
        <w:t xml:space="preserve">people</w:t>
      </w:r>
      <w:r>
        <w:t xml:space="preserve">.</w:t>
      </w:r>
    </w:p>
    <w:p>
      <w:pPr>
        <w:pStyle w:val="ListParagraph"/>
        <w:numPr>
          <w:ilvl w:val="0"/>
          <w:numId w:val="2"/>
        </w:numPr>
        <w:spacing w:after="40" w:before="40" w:line="276"/>
      </w:pPr>
      <w:r>
        <w:t xml:space="preserve">Every automation proposal above $10,000 in contract value includes a </w:t>
      </w:r>
      <w:r>
        <w:rPr>
          <w:b/>
          <w:bCs/>
        </w:rPr>
        <w:t xml:space="preserve">workforce impact note</w:t>
      </w:r>
      <w:r>
        <w:t xml:space="preserve">: which roles are affected, which tasks disappear, which new capacity is created.</w:t>
      </w:r>
    </w:p>
    <w:p>
      <w:pPr>
        <w:pStyle w:val="ListParagraph"/>
        <w:numPr>
          <w:ilvl w:val="0"/>
          <w:numId w:val="2"/>
        </w:numPr>
        <w:spacing w:after="40" w:before="40" w:line="276"/>
      </w:pPr>
      <w:r>
        <w:t xml:space="preserve">We offer </w:t>
      </w:r>
      <w:r>
        <w:rPr>
          <w:b/>
          <w:bCs/>
        </w:rPr>
        <w:t xml:space="preserve">redeployment training at no charge</w:t>
      </w:r>
      <w:r>
        <w:t xml:space="preserve"> for staff whose roles are materially changed by a StromeX deployment, capped at a defined number of seats per contract. It costs us little and it is the difference between being welcomed and being resisted — and resistance from staff is, practically, the single largest cause of failed deployments.</w:t>
      </w:r>
    </w:p>
    <w:p>
      <w:pPr>
        <w:pStyle w:val="ListParagraph"/>
        <w:numPr>
          <w:ilvl w:val="0"/>
          <w:numId w:val="2"/>
        </w:numPr>
        <w:spacing w:after="40" w:before="40" w:line="276"/>
      </w:pPr>
      <w:r>
        <w:t xml:space="preserve">We do not market on headcount reduction. We market on capacity, accuracy and speed. A registrar who no longer spends six weeks on admissions is a registrar who can run alumni relations, which the institution never had.</w:t>
      </w:r>
    </w:p>
    <w:p>
      <w:pPr>
        <w:pStyle w:val="ListParagraph"/>
        <w:numPr>
          <w:ilvl w:val="0"/>
          <w:numId w:val="2"/>
        </w:numPr>
        <w:spacing w:after="40" w:before="40" w:line="276"/>
      </w:pPr>
      <w:r>
        <w:t xml:space="preserve">Where a client’s explicit goal is mass redundancy, we may still serve them — that is their lawful decision — but we will say plainly what we think, and we will not design the communication strategy for it.</w:t>
      </w:r>
    </w:p>
    <w:p>
      <w:pPr>
        <w:pStyle w:val="Heading3"/>
      </w:pPr>
      <w:r>
        <w:t xml:space="preserve">7.2 The AI honesty rules</w:t>
      </w:r>
    </w:p>
    <w:p>
      <w:pPr>
        <w:pStyle w:val="ListParagraph"/>
        <w:numPr>
          <w:ilvl w:val="0"/>
          <w:numId w:val="3"/>
        </w:numPr>
        <w:spacing w:after="40" w:before="40" w:line="276"/>
      </w:pPr>
      <w:r>
        <w:rPr>
          <w:b/>
          <w:bCs/>
        </w:rPr>
        <w:t xml:space="preserve">We disclose that AI is involved.</w:t>
      </w:r>
      <w:r>
        <w:t xml:space="preserve"> The founder’s instruction was that our blend of AI and human effort should be seamless, not that it should be concealed. Seamless is a quality standard. Concealment is a lie, and in publishing, education and credentialing it is a disqualifying one. We say “AI-assisted, human-reviewed” and we make it true.</w:t>
      </w:r>
    </w:p>
    <w:p>
      <w:pPr>
        <w:pStyle w:val="ListParagraph"/>
        <w:numPr>
          <w:ilvl w:val="0"/>
          <w:numId w:val="3"/>
        </w:numPr>
        <w:spacing w:after="40" w:before="40" w:line="276"/>
      </w:pPr>
      <w:r>
        <w:rPr>
          <w:b/>
          <w:bCs/>
        </w:rPr>
        <w:t xml:space="preserve">Human review is real or it is not claimed.</w:t>
      </w:r>
      <w:r>
        <w:t xml:space="preserve"> If a deliverable is marketed as human-reviewed, a named human reviewed it and is accountable for it.</w:t>
      </w:r>
    </w:p>
    <w:p>
      <w:pPr>
        <w:pStyle w:val="ListParagraph"/>
        <w:numPr>
          <w:ilvl w:val="0"/>
          <w:numId w:val="3"/>
        </w:numPr>
        <w:spacing w:after="40" w:before="40" w:line="276"/>
      </w:pPr>
      <w:r>
        <w:rPr>
          <w:b/>
          <w:bCs/>
        </w:rPr>
        <w:t xml:space="preserve">No fabricated authority.</w:t>
      </w:r>
      <w:r>
        <w:t xml:space="preserve"> No invented citations, no fictional expert quotes, no imaginary case studies, no synthetic testimonials, no fake reviews. Ever, anywhere, including in marketing.</w:t>
      </w:r>
    </w:p>
    <w:p>
      <w:pPr>
        <w:pStyle w:val="ListParagraph"/>
        <w:numPr>
          <w:ilvl w:val="0"/>
          <w:numId w:val="3"/>
        </w:numPr>
        <w:spacing w:after="40" w:before="40" w:line="276"/>
      </w:pPr>
      <w:r>
        <w:rPr>
          <w:b/>
          <w:bCs/>
        </w:rPr>
        <w:t xml:space="preserve">Refuse where stakes exceed competence.</w:t>
      </w:r>
      <w:r>
        <w:t xml:space="preserve"> Religious rulings, legal conclusions, medical diagnoses, and formal assessment decisions are escalated to qualified humans. Volume IV, Chapter 8.</w:t>
      </w:r>
    </w:p>
    <w:p>
      <w:pPr>
        <w:pStyle w:val="ListParagraph"/>
        <w:numPr>
          <w:ilvl w:val="0"/>
          <w:numId w:val="3"/>
        </w:numPr>
        <w:spacing w:after="40" w:before="40" w:line="276"/>
      </w:pPr>
      <w:r>
        <w:rPr>
          <w:b/>
          <w:bCs/>
        </w:rPr>
        <w:t xml:space="preserve">Attribution and licensing.</w:t>
      </w:r>
      <w:r>
        <w:t xml:space="preserve"> Training data, fonts, images, code and text used in deliverables are licensed. Volume VI, Chapter 9.</w:t>
      </w:r>
    </w:p>
    <w:p>
      <w:pPr>
        <w:pStyle w:val="Heading3"/>
      </w:pPr>
      <w:r>
        <w:t xml:space="preserve">7.3 Data and privacy</w:t>
      </w:r>
    </w:p>
    <w:p>
      <w:pPr>
        <w:pStyle w:val="ListParagraph"/>
        <w:numPr>
          <w:ilvl w:val="0"/>
          <w:numId w:val="2"/>
        </w:numPr>
        <w:spacing w:after="40" w:before="40" w:line="276"/>
      </w:pPr>
      <w:r>
        <w:t xml:space="preserve">Customer data belongs to the customer. Full stop.</w:t>
      </w:r>
    </w:p>
    <w:p>
      <w:pPr>
        <w:pStyle w:val="ListParagraph"/>
        <w:numPr>
          <w:ilvl w:val="0"/>
          <w:numId w:val="2"/>
        </w:numPr>
        <w:spacing w:after="40" w:before="40" w:line="276"/>
      </w:pPr>
      <w:r>
        <w:t xml:space="preserve">We are a processor, not an owner. We do not sell, broker, or monetise customer data, and we do not train third-party models on it.</w:t>
      </w:r>
    </w:p>
    <w:p>
      <w:pPr>
        <w:pStyle w:val="ListParagraph"/>
        <w:numPr>
          <w:ilvl w:val="0"/>
          <w:numId w:val="2"/>
        </w:numPr>
        <w:spacing w:after="40" w:before="40" w:line="276"/>
      </w:pPr>
      <w:r>
        <w:t xml:space="preserve">Children’s data (a large share of our record, given education) receives the strictest handling in the group: minimisation, short retention, no behavioural profiling, no advertising use, parental access rights.</w:t>
      </w:r>
    </w:p>
    <w:p>
      <w:pPr>
        <w:pStyle w:val="ListParagraph"/>
        <w:numPr>
          <w:ilvl w:val="0"/>
          <w:numId w:val="2"/>
        </w:numPr>
        <w:spacing w:after="40" w:before="40" w:line="276"/>
      </w:pPr>
      <w:r>
        <w:t xml:space="preserve">Data residency is offered where the law or the customer requires it, and honoured technically rather than contractually.</w:t>
      </w:r>
    </w:p>
    <w:p>
      <w:pPr>
        <w:pStyle w:val="ListParagraph"/>
        <w:numPr>
          <w:ilvl w:val="0"/>
          <w:numId w:val="2"/>
        </w:numPr>
        <w:spacing w:after="40" w:before="40" w:line="276"/>
      </w:pPr>
      <w:r>
        <w:t xml:space="preserve">Breach notification: customers within 24 hours of confirmation, regulators per statute, public disclosure with a full timeline. No exceptions for embarrassment.</w:t>
      </w:r>
    </w:p>
    <w:p>
      <w:pPr>
        <w:pStyle w:val="Heading3"/>
      </w:pPr>
      <w:r>
        <w:t xml:space="preserve">7.4 Sectors and work we decline</w:t>
      </w:r>
    </w:p>
    <w:p>
      <w:pPr>
        <w:pStyle w:val="ListParagraph"/>
        <w:numPr>
          <w:ilvl w:val="0"/>
          <w:numId w:val="2"/>
        </w:numPr>
        <w:spacing w:after="40" w:before="40" w:line="276"/>
      </w:pPr>
      <w:r>
        <w:t xml:space="preserve">Surveillance systems whose purpose is political monitoring, or biometric systems intended to track individuals outside a consented institutional context</w:t>
      </w:r>
    </w:p>
    <w:p>
      <w:pPr>
        <w:pStyle w:val="ListParagraph"/>
        <w:numPr>
          <w:ilvl w:val="0"/>
          <w:numId w:val="2"/>
        </w:numPr>
        <w:spacing w:after="40" w:before="40" w:line="276"/>
      </w:pPr>
      <w:r>
        <w:t xml:space="preserve">Weapons, munitions, and military targeting systems</w:t>
      </w:r>
    </w:p>
    <w:p>
      <w:pPr>
        <w:pStyle w:val="ListParagraph"/>
        <w:numPr>
          <w:ilvl w:val="0"/>
          <w:numId w:val="2"/>
        </w:numPr>
        <w:spacing w:after="40" w:before="40" w:line="276"/>
      </w:pPr>
      <w:r>
        <w:t xml:space="preserve">Gambling, predatory lending, and payday-loan style products</w:t>
      </w:r>
    </w:p>
    <w:p>
      <w:pPr>
        <w:pStyle w:val="ListParagraph"/>
        <w:numPr>
          <w:ilvl w:val="0"/>
          <w:numId w:val="2"/>
        </w:numPr>
        <w:spacing w:after="40" w:before="40" w:line="276"/>
      </w:pPr>
      <w:r>
        <w:t xml:space="preserve">Disinformation operations, astroturfing, or engineered political persuasion</w:t>
      </w:r>
    </w:p>
    <w:p>
      <w:pPr>
        <w:pStyle w:val="ListParagraph"/>
        <w:numPr>
          <w:ilvl w:val="0"/>
          <w:numId w:val="2"/>
        </w:numPr>
        <w:spacing w:after="40" w:before="40" w:line="276"/>
      </w:pPr>
      <w:r>
        <w:t xml:space="preserve">Credential systems designed to be forgeable, or “verification” that does not verify</w:t>
      </w:r>
    </w:p>
    <w:p>
      <w:pPr>
        <w:pStyle w:val="ListParagraph"/>
        <w:numPr>
          <w:ilvl w:val="0"/>
          <w:numId w:val="2"/>
        </w:numPr>
        <w:spacing w:after="40" w:before="40" w:line="276"/>
      </w:pPr>
      <w:r>
        <w:t xml:space="preserve">Any deployment where we have credible reason to believe the output will be used to persecute a group</w:t>
      </w:r>
    </w:p>
    <w:p>
      <w:pPr>
        <w:pStyle w:val="BodyText"/>
      </w:pPr>
      <w:r>
        <w:t xml:space="preserve">A refusal is documented, communicated in one paragraph without moralising, and the nearest legitimate service we </w:t>
      </w:r>
      <w:r>
        <w:rPr>
          <w:i/>
          <w:iCs/>
        </w:rPr>
        <w:t xml:space="preserve">can</w:t>
      </w:r>
      <w:r>
        <w:t xml:space="preserve"> provide is offered.</w:t>
      </w:r>
    </w:p>
    <w:p>
      <w:pPr>
        <w:pStyle w:val="Heading3"/>
      </w:pPr>
      <w:r>
        <w:t xml:space="preserve">7.5 Faith and cultural fidelity</w:t>
      </w:r>
    </w:p>
    <w:p>
      <w:pPr>
        <w:pStyle w:val="BodyText"/>
      </w:pPr>
      <w:r>
        <w:t xml:space="preserve">A significant part of our founding market is Muslim, and a significant part of our work touches Islamic education, publishing and institutions. The standard is exacting:</w:t>
      </w:r>
    </w:p>
    <w:p>
      <w:pPr>
        <w:pStyle w:val="ListParagraph"/>
        <w:numPr>
          <w:ilvl w:val="0"/>
          <w:numId w:val="2"/>
        </w:numPr>
        <w:spacing w:after="40" w:before="40" w:line="276"/>
      </w:pPr>
      <w:r>
        <w:t xml:space="preserve">Qur’anic text is never generated, paraphrased, or altered — only reproduced from verified sources with established provenance.</w:t>
      </w:r>
    </w:p>
    <w:p>
      <w:pPr>
        <w:pStyle w:val="ListParagraph"/>
        <w:numPr>
          <w:ilvl w:val="0"/>
          <w:numId w:val="2"/>
        </w:numPr>
        <w:spacing w:after="40" w:before="40" w:line="276"/>
      </w:pPr>
      <w:r>
        <w:t xml:space="preserve">Translation and tafsir are attributed to their named scholars and editions.</w:t>
      </w:r>
    </w:p>
    <w:p>
      <w:pPr>
        <w:pStyle w:val="ListParagraph"/>
        <w:numPr>
          <w:ilvl w:val="0"/>
          <w:numId w:val="2"/>
        </w:numPr>
        <w:spacing w:after="40" w:before="40" w:line="276"/>
      </w:pPr>
      <w:r>
        <w:t xml:space="preserve">No novel religious ruling is issued by a StromeX system. Questions of ruling are routed to qualified human scholars, with the routing visible to the user.</w:t>
      </w:r>
    </w:p>
    <w:p>
      <w:pPr>
        <w:pStyle w:val="ListParagraph"/>
        <w:numPr>
          <w:ilvl w:val="0"/>
          <w:numId w:val="2"/>
        </w:numPr>
        <w:spacing w:after="40" w:before="40" w:line="276"/>
      </w:pPr>
      <w:r>
        <w:t xml:space="preserve">Islamic design work respects the conventions of the tradition it serves, and where conventions differ between traditions we ask rather than assume.</w:t>
      </w:r>
    </w:p>
    <w:p>
      <w:pPr>
        <w:pStyle w:val="ListParagraph"/>
        <w:numPr>
          <w:ilvl w:val="0"/>
          <w:numId w:val="2"/>
        </w:numPr>
        <w:spacing w:after="40" w:before="40" w:line="276"/>
      </w:pPr>
      <w:r>
        <w:t xml:space="preserve">The same standard of fidelity applies to every faith and culture we serve. We do not have a “primary” tradition and a set of afterthoughts.</w:t>
      </w:r>
    </w:p>
    <w:p>
      <w:pPr>
        <w:pStyle w:val="Heading2"/>
        <w:pageBreakBefore/>
      </w:pPr>
      <w:r>
        <w:t xml:space="preserve">CHAPTER 8 — CORPORATE STRUCTURE &amp; GOVERNANCE</w:t>
      </w:r>
    </w:p>
    <w:p>
      <w:pPr>
        <w:pStyle w:val="Heading3"/>
      </w:pPr>
      <w:r>
        <w:t xml:space="preserve">8.1 Group structure</w:t>
      </w:r>
    </w:p>
    <w:p>
      <w:pPr>
        <w:pStyle w:val="BodyText"/>
      </w:pPr>
      <w:r>
        <w:t xml:space="preserve">The intended structure, to be established as the group grows into it. Nothing here is a claim about the present state.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                      STROMEX GROUP HOLDINGS</w:t>
            </w:r>
          </w:p>
          <w:p>
            <w:pPr>
              <w:spacing w:after="0" w:before="0" w:line="230"/>
            </w:pPr>
            <w:r>
              <w:rPr>
                <w:rFonts w:ascii="DejaVu Sans Mono" w:cs="DejaVu Sans Mono" w:eastAsia="DejaVu Sans Mono" w:hAnsi="DejaVu Sans Mono"/>
                <w:color w:val="0D1117"/>
                <w:sz w:val="14"/>
                <w:szCs w:val="14"/>
              </w:rPr>
              <w:t xml:space="preserve">                     (holding company, IP owner)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              │             │             │              │</w:t>
            </w:r>
          </w:p>
          <w:p>
            <w:pPr>
              <w:spacing w:after="0" w:before="0" w:line="230"/>
            </w:pPr>
            <w:r>
              <w:rPr>
                <w:rFonts w:ascii="DejaVu Sans Mono" w:cs="DejaVu Sans Mono" w:eastAsia="DejaVu Sans Mono" w:hAnsi="DejaVu Sans Mono"/>
                <w:color w:val="0D1117"/>
                <w:sz w:val="14"/>
                <w:szCs w:val="14"/>
              </w:rPr>
              <w:t xml:space="preserve">STROMEX      STROMEX        STROMEX       STROMEX        STROMEX</w:t>
            </w:r>
          </w:p>
          <w:p>
            <w:pPr>
              <w:spacing w:after="0" w:before="0" w:line="230"/>
            </w:pPr>
            <w:r>
              <w:rPr>
                <w:rFonts w:ascii="DejaVu Sans Mono" w:cs="DejaVu Sans Mono" w:eastAsia="DejaVu Sans Mono" w:hAnsi="DejaVu Sans Mono"/>
                <w:color w:val="0D1117"/>
                <w:sz w:val="14"/>
                <w:szCs w:val="14"/>
              </w:rPr>
              <w:t xml:space="preserve">TECHNOLOGY   CLOUD          CREATIVE      SERVICES       VENTURES</w:t>
            </w:r>
          </w:p>
          <w:p>
            <w:pPr>
              <w:spacing w:after="0" w:before="0" w:line="230"/>
            </w:pPr>
            <w:r>
              <w:rPr>
                <w:rFonts w:ascii="DejaVu Sans Mono" w:cs="DejaVu Sans Mono" w:eastAsia="DejaVu Sans Mono" w:hAnsi="DejaVu Sans Mono"/>
                <w:color w:val="0D1117"/>
                <w:sz w:val="14"/>
                <w:szCs w:val="14"/>
              </w:rPr>
              <w:t xml:space="preserve">(products,   (infra,        (publishing,  (consulting,   (investments,</w:t>
            </w:r>
          </w:p>
          <w:p>
            <w:pPr>
              <w:spacing w:after="0" w:before="0" w:line="230"/>
            </w:pPr>
            <w:r>
              <w:rPr>
                <w:rFonts w:ascii="DejaVu Sans Mono" w:cs="DejaVu Sans Mono" w:eastAsia="DejaVu Sans Mono" w:hAnsi="DejaVu Sans Mono"/>
                <w:color w:val="0D1117"/>
                <w:sz w:val="14"/>
                <w:szCs w:val="14"/>
              </w:rPr>
              <w:t xml:space="preserve"> platform,   hosting,       design,       training,      acquisitions,</w:t>
            </w:r>
          </w:p>
          <w:p>
            <w:pPr>
              <w:spacing w:after="0" w:before="0" w:line="230"/>
            </w:pPr>
            <w:r>
              <w:rPr>
                <w:rFonts w:ascii="DejaVu Sans Mono" w:cs="DejaVu Sans Mono" w:eastAsia="DejaVu Sans Mono" w:hAnsi="DejaVu Sans Mono"/>
                <w:color w:val="0D1117"/>
                <w:sz w:val="14"/>
                <w:szCs w:val="14"/>
              </w:rPr>
              <w:t xml:space="preserve"> AI)         identity)      print, media) implementation) partner fund)</w:t>
            </w:r>
          </w:p>
          <w:p>
            <w:pPr>
              <w:spacing w:after="0" w:before="0" w:line="230"/>
            </w:pPr>
            <w:r>
              <w:rPr>
                <w:rFonts w:ascii="DejaVu Sans Mono" w:cs="DejaVu Sans Mono" w:eastAsia="DejaVu Sans Mono" w:hAnsi="DejaVu Sans Mono"/>
                <w:color w:val="0D1117"/>
                <w:sz w:val="14"/>
                <w:szCs w:val="14"/>
              </w:rPr>
              <w:t xml:space="preserve">   │              │             │             │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OPERATING ENTITIES BY JURISDICTION</w:t>
            </w:r>
          </w:p>
          <w:p>
            <w:pPr>
              <w:spacing w:after="0" w:before="0" w:line="230"/>
            </w:pPr>
            <w:r>
              <w:rPr>
                <w:rFonts w:ascii="DejaVu Sans Mono" w:cs="DejaVu Sans Mono" w:eastAsia="DejaVu Sans Mono" w:hAnsi="DejaVu Sans Mono"/>
                <w:color w:val="0D1117"/>
                <w:sz w:val="14"/>
                <w:szCs w:val="14"/>
              </w:rPr>
              <w:t xml:space="preserve">      StromeX Nigeria · StromeX UK · StromeX US · StromeX MENA ...</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Group structure</w:t>
      </w:r>
    </w:p>
    <w:p>
      <w:pPr>
        <w:pStyle w:val="BodyText"/>
      </w:pPr>
      <w:r>
        <w:rPr>
          <w:b/>
          <w:bCs/>
        </w:rPr>
        <w:t xml:space="preserve">Why a holding structure:</w:t>
      </w:r>
      <w:r>
        <w:t xml:space="preserve"> it isolates liability by division (hardware and print carry different risk than SaaS), permits jurisdiction-specific compliance and data residency, allows divisions to be capitalised or partnered separately, and keeps IP ownership clean at the top — which matters enormously at any future financing or transaction.</w:t>
      </w:r>
    </w:p>
    <w:p>
      <w:pPr>
        <w:pStyle w:val="Heading3"/>
      </w:pPr>
      <w:r>
        <w:t xml:space="preserve">8.2 Divisional P&amp;L discipline</w:t>
      </w:r>
    </w:p>
    <w:p>
      <w:pPr>
        <w:pStyle w:val="BodyText"/>
      </w:pPr>
      <w:r>
        <w:t xml:space="preserve">Each division owns a real P&amp;L with its own gross margin target (Chapter 6.2), its own headcount plan, and its own quarterly review. Cross-division work is transfer-priced at documented internal rates. A division that persistently misses its margin band is restructured, repriced, or closed — breadth is not a licence to subsidise indefinitely.</w:t>
      </w:r>
    </w:p>
    <w:p>
      <w:pPr>
        <w:pStyle w:val="BodyText"/>
      </w:pPr>
      <w:r>
        <w:t xml:space="preserve">Exception: </w:t>
      </w:r>
      <w:r>
        <w:rPr>
          <w:b/>
          <w:bCs/>
        </w:rPr>
        <w:t xml:space="preserve">Foundation (free) tier costs are borne centrally</w:t>
      </w:r>
      <w:r>
        <w:t xml:space="preserve">, not charged to divisions. Otherwise every division has an incentive to erode the free tier, which is the one thing this constitution most wants to protect.</w:t>
      </w:r>
    </w:p>
    <w:p>
      <w:pPr>
        <w:pStyle w:val="Heading3"/>
      </w:pPr>
      <w:r>
        <w:t xml:space="preserve">8.3 Decision rights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Decision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Authority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 within an approved roadmap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 lead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module in Volume III</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 + 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Spec, price, margin model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change &gt;10%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Impact analysis, customer comms plan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sector entry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hire secured, Vol. VII chapter drafted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country entry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Board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 VIII entry checklist complete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 &gt;$250k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capacity confirmed in writing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touching Ch. 5 (Free) or Ch. 7 (Ethics)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Supermajority per Ch. 9</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Fork of platform layers 1–4 for one customer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CTO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justification, sunset date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Decision rights</w:t>
      </w:r>
    </w:p>
    <w:p>
      <w:pPr>
        <w:pStyle w:val="Heading3"/>
      </w:pPr>
      <w:r>
        <w:t xml:space="preserve">8.4 The Pricing Council</w:t>
      </w:r>
      <w:fldSimple w:instr="XE &quot;Pricing Council&quot;"/>
    </w:p>
    <w:p>
      <w:pPr>
        <w:pStyle w:val="BodyText"/>
      </w:pPr>
      <w:r>
        <w:t xml:space="preserve">A standing body — commercial, delivery, finance, and one engineer — meeting quarterly. It owns Volume III. Its duties: review every price against actual delivered margin, kill line items that nobody buys, add line items customers keep asking for, audit for creeping unfairness, and publish the changelog. Its single most important duty is to say no to prices that would work commercially and fail the Chapter 6.1 test.</w:t>
      </w:r>
    </w:p>
    <w:p>
      <w:pPr>
        <w:pStyle w:val="Heading3"/>
      </w:pPr>
      <w:r>
        <w:t xml:space="preserve">8.5 The Ethics Review</w:t>
      </w:r>
    </w:p>
    <w:p>
      <w:pPr>
        <w:pStyle w:val="BodyText"/>
      </w:pPr>
      <w:r>
        <w:t xml:space="preserve">Any of the following triggers a written ethics review before work starts: government surveillance adjacency, biometric deployment, work in a jurisdiction under active sanctions, a client whose stated goal is mass redundancy, religious content for a tradition we do not have a qualified reviewer for, or any deployment involving children’s biometric data. The review is a memo, not a committee ritual, and it is filed and kept.</w:t>
      </w:r>
    </w:p>
    <w:p>
      <w:pPr>
        <w:pStyle w:val="Heading3"/>
      </w:pPr>
      <w:r>
        <w:t xml:space="preserve">8.6 Board composition (target state)</w:t>
      </w:r>
    </w:p>
    <w:p>
      <w:pPr>
        <w:pStyle w:val="BodyText"/>
      </w:pPr>
      <w:r>
        <w:t xml:space="preserve">Founder-led, with independent voices earned rather than decorative: at least one independent director with operating experience at scale, one with sector depth in education or public sector, and — once the group operates in three countries — one with international expansion experience. An audit function independent of the finance function from the point the group exceeds $25M revenue.</w:t>
      </w:r>
    </w:p>
    <w:p>
      <w:pPr>
        <w:pStyle w:val="Heading2"/>
        <w:pageBreakBefore/>
      </w:pPr>
      <w:r>
        <w:t xml:space="preserve">CHAPTER 9 — THE AMENDMENT PROTOCOL</w:t>
      </w:r>
    </w:p>
    <w:p>
      <w:pPr>
        <w:pStyle w:val="Heading3"/>
      </w:pPr>
      <w:r>
        <w:t xml:space="preserve">9.1 Tiers of authority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To amend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Entrenched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 5 §5.3 (free verification forever), Ch. 6.6 (prohibited practices), Ch. 7 (ethics), P5 (data export)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supermajority (≥75%), written rationale published internally, 30-day notice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Constitutional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rest of Volume 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consensus + board notification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Strategic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Volumes II, VII, VIII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approval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Volumes III, IV, V, VI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 + relevant council; Vol. III additionally requires Pricing Council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Tiers of authority</w:t>
      </w:r>
    </w:p>
    <w:p>
      <w:pPr>
        <w:pStyle w:val="Heading3"/>
      </w:pPr>
      <w:r>
        <w:t xml:space="preserve">9.2 Mechanics</w:t>
      </w:r>
    </w:p>
    <w:p>
      <w:pPr>
        <w:pStyle w:val="ListParagraph"/>
        <w:numPr>
          <w:ilvl w:val="0"/>
          <w:numId w:val="3"/>
        </w:numPr>
        <w:spacing w:after="40" w:before="40" w:line="276"/>
      </w:pPr>
      <w:r>
        <w:t xml:space="preserve">Amendments are proposed as pull requests against </w:t>
      </w:r>
      <w:r>
        <w:rPr>
          <w:rFonts w:ascii="DejaVu Sans Mono" w:cs="DejaVu Sans Mono" w:eastAsia="DejaVu Sans Mono" w:hAnsi="DejaVu Sans Mono"/>
          <w:color w:val="0B3C91"/>
          <w:sz w:val="17"/>
          <w:szCs w:val="17"/>
        </w:rPr>
        <w:t xml:space="preserve">docs/bible/</w:t>
      </w:r>
      <w:r>
        <w:t xml:space="preserve">.</w:t>
      </w:r>
    </w:p>
    <w:p>
      <w:pPr>
        <w:pStyle w:val="ListParagraph"/>
        <w:numPr>
          <w:ilvl w:val="0"/>
          <w:numId w:val="3"/>
        </w:numPr>
        <w:spacing w:after="40" w:before="40" w:line="276"/>
      </w:pPr>
      <w:r>
        <w:t xml:space="preserve">Every amendment states: what changes, why, what it supersedes, and what becomes false if it is wrong.</w:t>
      </w:r>
    </w:p>
    <w:p>
      <w:pPr>
        <w:pStyle w:val="ListParagraph"/>
        <w:numPr>
          <w:ilvl w:val="0"/>
          <w:numId w:val="3"/>
        </w:numPr>
        <w:spacing w:after="40" w:before="40" w:line="276"/>
      </w:pPr>
      <w:r>
        <w:t xml:space="preserve">Amendments to Volume III carry a mandatory impact note: affected customers, revenue delta, migration path for existing contracts.</w:t>
      </w:r>
    </w:p>
    <w:p>
      <w:pPr>
        <w:pStyle w:val="ListParagraph"/>
        <w:numPr>
          <w:ilvl w:val="0"/>
          <w:numId w:val="3"/>
        </w:numPr>
        <w:spacing w:after="40" w:before="40" w:line="276"/>
      </w:pPr>
      <w:r>
        <w:t xml:space="preserve">Superseded text is struck through and dated for one edition, then archived — never silently deleted. The record of what we used to believe is part of the corpus.</w:t>
      </w:r>
    </w:p>
    <w:p>
      <w:pPr>
        <w:pStyle w:val="ListParagraph"/>
        <w:numPr>
          <w:ilvl w:val="0"/>
          <w:numId w:val="3"/>
        </w:numPr>
        <w:spacing w:after="40" w:before="40" w:line="276"/>
      </w:pPr>
      <w:r>
        <w:t xml:space="preserve">Every volume carries a review date. Overdue review is a flag, not a failure — but an unreviewed chapter may not be cited as authority in a dispute.</w:t>
      </w:r>
    </w:p>
    <w:p>
      <w:pPr>
        <w:pStyle w:val="Heading3"/>
      </w:pPr>
      <w:r>
        <w:t xml:space="preserve">9.3 The dissent record</w:t>
      </w:r>
    </w:p>
    <w:p>
      <w:pPr>
        <w:pStyle w:val="BodyText"/>
      </w:pPr>
      <w:r>
        <w:t xml:space="preserve">Any employee may attach a dissent to any amendment. Dissents are preserved with the amendment permanently. A company that cannot remember who disagreed cannot learn from being wrong.</w:t>
      </w:r>
    </w:p>
    <w:p>
      <w:pPr>
        <w:pStyle w:val="Heading2"/>
        <w:pageBreakBefore/>
      </w:pPr>
      <w:r>
        <w:t xml:space="preserve">CHAPTER 10 — BRAND, IDENTITY &amp; THE LOGO DECISION</w:t>
      </w:r>
    </w:p>
    <w:p>
      <w:pPr>
        <w:pStyle w:val="Heading3"/>
      </w:pPr>
      <w:r>
        <w:t xml:space="preserve">10.1 The logo decision</w:t>
      </w:r>
    </w:p>
    <w:p>
      <w:pPr>
        <w:pStyle w:val="BodyText"/>
      </w:pPr>
      <w:r>
        <w:t xml:space="preserve">Four identity candidates were presented. This chapter records the decision and the reasoning, because the reasoning will outlive the decision.</w:t>
      </w:r>
    </w:p>
    <w:p>
      <w:pPr>
        <w:pStyle w:val="BodyText"/>
      </w:pPr>
      <w:r>
        <w:rPr>
          <w:b/>
          <w:bCs/>
        </w:rPr>
        <w:t xml:space="preserve">The evaluation criteria</w:t>
      </w:r>
      <w:r>
        <w:t xml:space="preserve">, in priority order, derived from what this company actually is:</w:t>
      </w:r>
    </w:p>
    <w:p>
      <w:pPr>
        <w:pStyle w:val="ListParagraph"/>
        <w:numPr>
          <w:ilvl w:val="0"/>
          <w:numId w:val="3"/>
        </w:numPr>
        <w:spacing w:after="40" w:before="40" w:line="276"/>
      </w:pPr>
      <w:r>
        <w:rPr>
          <w:b/>
          <w:bCs/>
        </w:rPr>
        <w:t xml:space="preserve">Reduction</w:t>
      </w:r>
      <w:r>
        <w:t xml:space="preserve"> — does it survive at 16px in a browser tab, embossed on a PVC card, and etched on a turnstile?</w:t>
      </w:r>
    </w:p>
    <w:p>
      <w:pPr>
        <w:pStyle w:val="ListParagraph"/>
        <w:numPr>
          <w:ilvl w:val="0"/>
          <w:numId w:val="3"/>
        </w:numPr>
        <w:spacing w:after="40" w:before="40" w:line="276"/>
      </w:pPr>
      <w:r>
        <w:rPr>
          <w:b/>
          <w:bCs/>
        </w:rPr>
        <w:t xml:space="preserve">Monochrome integrity</w:t>
      </w:r>
      <w:r>
        <w:t xml:space="preserve"> — does it work in one colour, on a fax, on a stamp, in a newspaper tender notice?</w:t>
      </w:r>
    </w:p>
    <w:p>
      <w:pPr>
        <w:pStyle w:val="ListParagraph"/>
        <w:numPr>
          <w:ilvl w:val="0"/>
          <w:numId w:val="3"/>
        </w:numPr>
        <w:spacing w:after="40" w:before="40" w:line="276"/>
      </w:pPr>
      <w:r>
        <w:rPr>
          <w:b/>
          <w:bCs/>
        </w:rPr>
        <w:t xml:space="preserve">Reproduction cost</w:t>
      </w:r>
      <w:r>
        <w:t xml:space="preserve"> — can a Lagos printer reproduce it correctly on the first attempt without a colour proof?</w:t>
      </w:r>
    </w:p>
    <w:p>
      <w:pPr>
        <w:pStyle w:val="ListParagraph"/>
        <w:numPr>
          <w:ilvl w:val="0"/>
          <w:numId w:val="3"/>
        </w:numPr>
        <w:spacing w:after="40" w:before="40" w:line="276"/>
      </w:pPr>
      <w:r>
        <w:rPr>
          <w:b/>
          <w:bCs/>
        </w:rPr>
        <w:t xml:space="preserve">Category signal</w:t>
      </w:r>
      <w:r>
        <w:t xml:space="preserve"> — does it read as </w:t>
      </w:r>
      <w:r>
        <w:rPr>
          <w:i/>
          <w:iCs/>
        </w:rPr>
        <w:t xml:space="preserve">enterprise infrastructure</w:t>
      </w:r>
      <w:r>
        <w:t xml:space="preserve"> (Stripe, Microsoft, Oracle) rather than as luxury goods, crypto, or a gaming brand?</w:t>
      </w:r>
    </w:p>
    <w:p>
      <w:pPr>
        <w:pStyle w:val="ListParagraph"/>
        <w:numPr>
          <w:ilvl w:val="0"/>
          <w:numId w:val="3"/>
        </w:numPr>
        <w:spacing w:after="40" w:before="40" w:line="276"/>
      </w:pPr>
      <w:r>
        <w:rPr>
          <w:b/>
          <w:bCs/>
        </w:rPr>
        <w:t xml:space="preserve">Longevity</w:t>
      </w:r>
      <w:r>
        <w:t xml:space="preserve"> — will it look deliberate in 2046, or will it date to the rendering fashions of the mid-2020s?</w:t>
      </w:r>
    </w:p>
    <w:p>
      <w:pPr>
        <w:pStyle w:val="ListParagraph"/>
        <w:numPr>
          <w:ilvl w:val="0"/>
          <w:numId w:val="3"/>
        </w:numPr>
        <w:spacing w:after="40" w:before="40" w:line="276"/>
      </w:pPr>
      <w:r>
        <w:rPr>
          <w:b/>
          <w:bCs/>
        </w:rPr>
        <w:t xml:space="preserve">Ownability</w:t>
      </w:r>
      <w:r>
        <w:t xml:space="preserve"> — is the mark distinctive enough to be protected and recognised without the wordmark?</w:t>
      </w:r>
    </w:p>
    <w:p>
      <w:pPr>
        <w:pStyle w:val="BodyText"/>
      </w:pPr>
      <w:r>
        <w:rPr>
          <w:b/>
          <w:bCs/>
        </w:rPr>
        <w:t xml:space="preserve">Assessment: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Candidate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Verdict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 Chrome double-chevron X, blue gradient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Confident and legible, but the chevron pair is a heavily occupied space in tech identity (media players, logistics, fintech). Ownability is the weakness.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 — Blue/silver ribbon infinity-S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most beautiful of the four as an image, and the weakest as a logo. Multi-stop gradients, self-intersecting ribbons and a dotted texture collapse below ~64px, cannot be embossed, and cannot be printed reliably in one colour. It is an illustration, not an identity.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 — Gold-and-silver hexagonal S with full system sheet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most </w:t>
            </w:r>
            <w:r>
              <w:rPr>
                <w:rFonts w:ascii="DejaVu Sans" w:cs="DejaVu Sans" w:eastAsia="DejaVu Sans" w:hAnsi="DejaVu Sans"/>
                <w:i/>
                <w:iCs/>
                <w:color w:val="0D1117"/>
                <w:sz w:val="16"/>
                <w:szCs w:val="16"/>
              </w:rPr>
              <w:t xml:space="preserve">complete</w:t>
            </w:r>
            <w:r>
              <w:rPr>
                <w:rFonts w:ascii="DejaVu Sans" w:cs="DejaVu Sans" w:eastAsia="DejaVu Sans" w:hAnsi="DejaVu Sans"/>
                <w:color w:val="0D1117"/>
                <w:sz w:val="16"/>
                <w:szCs w:val="16"/>
              </w:rPr>
              <w:t xml:space="preserve"> submission — it already thinks in app icon, monochrome, embossed, neon and gold variants, which is exactly the right instinct. But gold-on-black with a beveled isometric cube reads luxury/crypto rather than institutional infrastructure, and it is the hardest and most expensive of the four to reproduce faithfully at volume.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 — Interlocking ribbon S, silver with single blue accent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Selected.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logo decision</w:t>
      </w:r>
    </w:p>
    <w:p>
      <w:pPr>
        <w:pStyle w:val="Heading4"/>
      </w:pPr>
      <w:r>
        <w:t xml:space="preserve">The decision: Candidate D is the primary StromeX identity</w:t>
      </w:r>
      <w:fldSimple w:instr="XE &quot;StromeX Identity&quot;"/>
    </w:p>
    <w:p>
      <w:pPr>
        <w:pStyle w:val="BodyText"/>
      </w:pPr>
      <w:r>
        <w:rPr>
          <w:b/>
          <w:bCs/>
        </w:rPr>
        <w:t xml:space="preserve">Reasoning.</w:t>
      </w:r>
      <w:r>
        <w:t xml:space="preserve"> Candidate D is the only one of the four that is </w:t>
      </w:r>
      <w:r>
        <w:rPr>
          <w:i/>
          <w:iCs/>
        </w:rPr>
        <w:t xml:space="preserve">geometrically</w:t>
      </w:r>
      <w:r>
        <w:t xml:space="preserve"> rather than </w:t>
      </w:r>
      <w:r>
        <w:rPr>
          <w:i/>
          <w:iCs/>
        </w:rPr>
        <w:t xml:space="preserve">pictorially</w:t>
      </w:r>
      <w:r>
        <w:t xml:space="preserve"> constructed. The mark is a single interlocking form with one accent element — which means it reduces cleanly to a favicon, survives single-colour reproduction, embosses on a card, cuts in vinyl, engraves on metal, and prints correctly on a Lagos press without a proof cycle. It carries the wordmark’s blue X accent as a deliberate system rather than a coincidence, giving the identity an internal logic that scales into sub-brands. It reads as infrastructure — the category we are actually in — rather than as luxury, and its restraint is the visual argument for the Chapter 12 design philosophy. It is the mark that will still look correct when it is stamped on a government contract, a smart gate, a textbook spine and a 16px browser tab on the same day.</w:t>
      </w:r>
    </w:p>
    <w:p>
      <w:pPr>
        <w:pStyle w:val="BodyText"/>
      </w:pPr>
      <w:r>
        <w:rPr>
          <w:b/>
          <w:bCs/>
        </w:rPr>
        <w:t xml:space="preserve">Candidate C’s system sheet is adopted as the specification template</w:t>
      </w:r>
      <w:r>
        <w:t xml:space="preserve"> for the brand kit: every StromeX identity asset ships with app icon, monochrome, embossed, reversed and digital variants, exactly as C proposed. C’s </w:t>
      </w:r>
      <w:r>
        <w:rPr>
          <w:i/>
          <w:iCs/>
        </w:rPr>
        <w:t xml:space="preserve">method</w:t>
      </w:r>
      <w:r>
        <w:t xml:space="preserve"> was right even though C’s </w:t>
      </w:r>
      <w:r>
        <w:rPr>
          <w:i/>
          <w:iCs/>
        </w:rPr>
        <w:t xml:space="preserve">mark</w:t>
      </w:r>
      <w:r>
        <w:t xml:space="preserve"> is not the one we ship.</w:t>
      </w:r>
    </w:p>
    <w:p>
      <w:pPr>
        <w:pStyle w:val="BodyText"/>
      </w:pPr>
      <w:r>
        <w:rPr>
          <w:b/>
          <w:bCs/>
        </w:rPr>
        <w:t xml:space="preserve">Candidate C is retained</w:t>
      </w:r>
      <w:r>
        <w:t xml:space="preserve"> as the approved treatment for the </w:t>
      </w:r>
      <w:r>
        <w:rPr>
          <w:b/>
          <w:bCs/>
        </w:rPr>
        <w:t xml:space="preserve">StromeX Elite</w:t>
      </w:r>
      <w:r>
        <w:t xml:space="preserve"> service line and premium publishing imprints, where a heavier, more ornamental register is appropriate and reproduction is controlled. Candidates A and B are archived and not used.</w:t>
      </w:r>
    </w:p>
    <w:p>
      <w:pPr>
        <w:pStyle w:val="Heading3"/>
      </w:pPr>
      <w:r>
        <w:t xml:space="preserve">10.2 The identity system</w:t>
      </w:r>
    </w:p>
    <w:p>
      <w:pPr>
        <w:pStyle w:val="BodyText"/>
      </w:pPr>
      <w:r>
        <w:rPr>
          <w:b/>
          <w:bCs/>
        </w:rPr>
        <w:t xml:space="preserve">Primary mark:</w:t>
      </w:r>
      <w:r>
        <w:t xml:space="preserve"> Candidate D, interlocking S. </w:t>
      </w:r>
      <w:r>
        <w:rPr>
          <w:b/>
          <w:bCs/>
        </w:rPr>
        <w:t xml:space="preserve">Wordmark:</w:t>
      </w:r>
      <w:r>
        <w:t xml:space="preserve"> STROMEX, extended letterspacing, with the terminal X in the accent blue. </w:t>
      </w:r>
      <w:r>
        <w:rPr>
          <w:b/>
          <w:bCs/>
        </w:rPr>
        <w:t xml:space="preserve">Lockups:</w:t>
      </w:r>
      <w:r>
        <w:t xml:space="preserve"> vertical (mark above wordmark), horizontal (mark left of wordmark), mark-only (≥24px), wordmark-only (for constrained horizontal spaces). </w:t>
      </w:r>
      <w:r>
        <w:rPr>
          <w:b/>
          <w:bCs/>
        </w:rPr>
        <w:t xml:space="preserve">Clear space:</w:t>
      </w:r>
      <w:r>
        <w:t xml:space="preserve"> minimum of one mark-height on all sides. Non-negotiable. </w:t>
      </w:r>
      <w:r>
        <w:rPr>
          <w:b/>
          <w:bCs/>
        </w:rPr>
        <w:t xml:space="preserve">Minimum sizes:</w:t>
      </w:r>
      <w:r>
        <w:t xml:space="preserve"> mark-only 16px digital / 8mm print. Full lockup 96px digital / 25mm print.</w:t>
      </w:r>
    </w:p>
    <w:p>
      <w:pPr>
        <w:pStyle w:val="BodyText"/>
      </w:pPr>
      <w:r>
        <w:rPr>
          <w:b/>
          <w:bCs/>
        </w:rPr>
        <w:t xml:space="preserve">Palette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Name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Obsidian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#05070A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dark ground, hero surfaces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 (light)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Paper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#FBFBFD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Light-mode ground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Blue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#1B6EF3</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accent. Actions, the X, focus states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deep</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Depth Blue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#0B3C91</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Gradient anchor, pressed states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Platinum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#D9DEE5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 rendering, dividers on dark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Metal shadow</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Graphite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#6B7480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Secondary text on dark</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#0D1117</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Body text on light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Success / Warning / Danger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#12A150</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#D98A00</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#D62B34</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Semantic only, never decorative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accent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Brass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#C9A227</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 tier and premium imprints only.</w:t>
            </w:r>
            <w:r>
              <w:rPr>
                <w:rFonts w:ascii="DejaVu Sans" w:cs="DejaVu Sans" w:eastAsia="DejaVu Sans" w:hAnsi="DejaVu Sans"/>
                <w:color w:val="0D1117"/>
                <w:sz w:val="16"/>
                <w:szCs w:val="16"/>
              </w:rPr>
              <w:t xml:space="preserve"> Prohibited in core product UI.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identity system</w:t>
      </w:r>
    </w:p>
    <w:p>
      <w:pPr>
        <w:pStyle w:val="BodyText"/>
      </w:pPr>
      <w:r>
        <w:rPr>
          <w:b/>
          <w:bCs/>
        </w:rPr>
        <w:t xml:space="preserve">Typography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Family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Rationale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Display / headings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Archivo (or Archivo Expanded at large sizes)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Geometric, wide, engineered — matches the mark</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Body / UI</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Optimised for screen at small sizes, huge language coverage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Cairo (UI), Amiri (literary and Qur’anic)</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Cairo for interface parity, Amiri for texts requiring traditional letterforms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Editorial / imprints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Fraunces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publishing voice; not used in product UI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JetBrains Mono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identity system</w:t>
      </w:r>
    </w:p>
    <w:p>
      <w:pPr>
        <w:pStyle w:val="BodyText"/>
      </w:pPr>
      <w:r>
        <w:t xml:space="preserve">Arabic is never rendered in a Latin font’s fallback. Bidirectional layout is a first-class requirement of every surface, not a localisation task (Volume IV, Chapter 11).</w:t>
      </w:r>
    </w:p>
    <w:p>
      <w:pPr>
        <w:pStyle w:val="Heading3"/>
      </w:pPr>
      <w:r>
        <w:t xml:space="preserve">10.3 Sub-brand architecture</w:t>
      </w:r>
    </w:p>
    <w:p>
      <w:pPr>
        <w:pStyle w:val="BodyText"/>
      </w:pPr>
      <w:r>
        <w:t xml:space="preserve">A </w:t>
      </w:r>
      <w:r>
        <w:rPr>
          <w:b/>
          <w:bCs/>
        </w:rPr>
        <w:t xml:space="preserve">branded house</w:t>
      </w:r>
      <w:r>
        <w:t xml:space="preserve">: everything is StromeX, with a descriptor. This maximises the transfer of trust from one division to another, which is the entire point of building a group rather than a portfolio.</w:t>
      </w:r>
    </w:p>
    <w:p>
      <w:pPr>
        <w:pStyle w:val="BodyText"/>
      </w:pPr>
      <w:r>
        <w:rPr>
          <w:rFonts w:ascii="DejaVu Sans Mono" w:cs="DejaVu Sans Mono" w:eastAsia="DejaVu Sans Mono" w:hAnsi="DejaVu Sans Mono"/>
          <w:color w:val="0B3C91"/>
          <w:sz w:val="17"/>
          <w:szCs w:val="17"/>
        </w:rPr>
        <w:t xml:space="preserve">StromeX Cloud</w:t>
      </w:r>
      <w:r>
        <w:t xml:space="preserve"> · </w:t>
      </w:r>
      <w:r>
        <w:rPr>
          <w:rFonts w:ascii="DejaVu Sans Mono" w:cs="DejaVu Sans Mono" w:eastAsia="DejaVu Sans Mono" w:hAnsi="DejaVu Sans Mono"/>
          <w:color w:val="0B3C91"/>
          <w:sz w:val="17"/>
          <w:szCs w:val="17"/>
        </w:rPr>
        <w:t xml:space="preserve">StromeX AI</w:t>
      </w:r>
      <w:r>
        <w:t xml:space="preserve"> · </w:t>
      </w:r>
      <w:r>
        <w:rPr>
          <w:rFonts w:ascii="DejaVu Sans Mono" w:cs="DejaVu Sans Mono" w:eastAsia="DejaVu Sans Mono" w:hAnsi="DejaVu Sans Mono"/>
          <w:color w:val="0B3C91"/>
          <w:sz w:val="17"/>
          <w:szCs w:val="17"/>
        </w:rPr>
        <w:t xml:space="preserve">StromeX Identity</w:t>
      </w:r>
      <w:r>
        <w:t xml:space="preserve"> · </w:t>
      </w:r>
      <w:r>
        <w:rPr>
          <w:rFonts w:ascii="DejaVu Sans Mono" w:cs="DejaVu Sans Mono" w:eastAsia="DejaVu Sans Mono" w:hAnsi="DejaVu Sans Mono"/>
          <w:color w:val="0B3C91"/>
          <w:sz w:val="17"/>
          <w:szCs w:val="17"/>
        </w:rPr>
        <w:t xml:space="preserve">StromeX Pay</w:t>
      </w:r>
      <w:r>
        <w:t xml:space="preserve"> · </w:t>
      </w:r>
      <w:r>
        <w:rPr>
          <w:rFonts w:ascii="DejaVu Sans Mono" w:cs="DejaVu Sans Mono" w:eastAsia="DejaVu Sans Mono" w:hAnsi="DejaVu Sans Mono"/>
          <w:color w:val="0B3C91"/>
          <w:sz w:val="17"/>
          <w:szCs w:val="17"/>
        </w:rPr>
        <w:t xml:space="preserve">StromeX Learn</w:t>
      </w:r>
      <w:r>
        <w:t xml:space="preserve"> · </w:t>
      </w:r>
      <w:r>
        <w:rPr>
          <w:rFonts w:ascii="DejaVu Sans Mono" w:cs="DejaVu Sans Mono" w:eastAsia="DejaVu Sans Mono" w:hAnsi="DejaVu Sans Mono"/>
          <w:color w:val="0B3C91"/>
          <w:sz w:val="17"/>
          <w:szCs w:val="17"/>
        </w:rPr>
        <w:t xml:space="preserve">StromeX Health</w:t>
      </w:r>
      <w:r>
        <w:t xml:space="preserve"> · </w:t>
      </w:r>
      <w:r>
        <w:rPr>
          <w:rFonts w:ascii="DejaVu Sans Mono" w:cs="DejaVu Sans Mono" w:eastAsia="DejaVu Sans Mono" w:hAnsi="DejaVu Sans Mono"/>
          <w:color w:val="0B3C91"/>
          <w:sz w:val="17"/>
          <w:szCs w:val="17"/>
        </w:rPr>
        <w:t xml:space="preserve">StromeX Gov</w:t>
      </w:r>
      <w:r>
        <w:t xml:space="preserve"> · </w:t>
      </w:r>
      <w:r>
        <w:rPr>
          <w:rFonts w:ascii="DejaVu Sans Mono" w:cs="DejaVu Sans Mono" w:eastAsia="DejaVu Sans Mono" w:hAnsi="DejaVu Sans Mono"/>
          <w:color w:val="0B3C91"/>
          <w:sz w:val="17"/>
          <w:szCs w:val="17"/>
        </w:rPr>
        <w:t xml:space="preserve">StromeX Press</w:t>
      </w:r>
      <w:r>
        <w:t xml:space="preserve"> (publishing) · </w:t>
      </w:r>
      <w:r>
        <w:rPr>
          <w:rFonts w:ascii="DejaVu Sans Mono" w:cs="DejaVu Sans Mono" w:eastAsia="DejaVu Sans Mono" w:hAnsi="DejaVu Sans Mono"/>
          <w:color w:val="0B3C91"/>
          <w:sz w:val="17"/>
          <w:szCs w:val="17"/>
        </w:rPr>
        <w:t xml:space="preserve">StromeX Studio</w:t>
      </w:r>
      <w:r>
        <w:t xml:space="preserve"> (design) · </w:t>
      </w:r>
      <w:r>
        <w:rPr>
          <w:rFonts w:ascii="DejaVu Sans Mono" w:cs="DejaVu Sans Mono" w:eastAsia="DejaVu Sans Mono" w:hAnsi="DejaVu Sans Mono"/>
          <w:color w:val="0B3C91"/>
          <w:sz w:val="17"/>
          <w:szCs w:val="17"/>
        </w:rPr>
        <w:t xml:space="preserve">StromeX Intelligence</w:t>
      </w:r>
      <w:r>
        <w:t xml:space="preserve"> (analytics) · </w:t>
      </w:r>
      <w:r>
        <w:rPr>
          <w:rFonts w:ascii="DejaVu Sans Mono" w:cs="DejaVu Sans Mono" w:eastAsia="DejaVu Sans Mono" w:hAnsi="DejaVu Sans Mono"/>
          <w:color w:val="0B3C91"/>
          <w:sz w:val="17"/>
          <w:szCs w:val="17"/>
        </w:rPr>
        <w:t xml:space="preserve">StromeX Marketplace</w:t>
      </w:r>
      <w:r>
        <w:t xml:space="preserve"> · </w:t>
      </w:r>
      <w:r>
        <w:rPr>
          <w:rFonts w:ascii="DejaVu Sans Mono" w:cs="DejaVu Sans Mono" w:eastAsia="DejaVu Sans Mono" w:hAnsi="DejaVu Sans Mono"/>
          <w:color w:val="0B3C91"/>
          <w:sz w:val="17"/>
          <w:szCs w:val="17"/>
        </w:rPr>
        <w:t xml:space="preserve">StromeX Academy</w:t>
      </w:r>
      <w:r>
        <w:t xml:space="preserve"> (training &amp; certification) · </w:t>
      </w:r>
      <w:r>
        <w:rPr>
          <w:rFonts w:ascii="DejaVu Sans Mono" w:cs="DejaVu Sans Mono" w:eastAsia="DejaVu Sans Mono" w:hAnsi="DejaVu Sans Mono"/>
          <w:color w:val="0B3C91"/>
          <w:sz w:val="17"/>
          <w:szCs w:val="17"/>
        </w:rPr>
        <w:t xml:space="preserve">StromeX Labs</w:t>
      </w:r>
      <w:r>
        <w:t xml:space="preserve"> (R&amp;D) · </w:t>
      </w:r>
      <w:r>
        <w:rPr>
          <w:rFonts w:ascii="DejaVu Sans Mono" w:cs="DejaVu Sans Mono" w:eastAsia="DejaVu Sans Mono" w:hAnsi="DejaVu Sans Mono"/>
          <w:color w:val="0B3C91"/>
          <w:sz w:val="17"/>
          <w:szCs w:val="17"/>
        </w:rPr>
        <w:t xml:space="preserve">StromeX Ventures</w:t>
      </w:r>
    </w:p>
    <w:p>
      <w:pPr>
        <w:pStyle w:val="BodyText"/>
      </w:pPr>
      <w:r>
        <w:t xml:space="preserve">Sub-brands share the mark, the palette and the type system. They differ only in the descriptor and, where useful, a single accent variation. No sub-brand gets its own logo. Ever.</w:t>
      </w:r>
    </w:p>
    <w:p>
      <w:pPr>
        <w:pStyle w:val="Heading3"/>
      </w:pPr>
      <w:r>
        <w:t xml:space="preserve">10.4 The naming rules</w:t>
      </w:r>
    </w:p>
    <w:p>
      <w:pPr>
        <w:pStyle w:val="ListParagraph"/>
        <w:numPr>
          <w:ilvl w:val="0"/>
          <w:numId w:val="2"/>
        </w:numPr>
        <w:spacing w:after="40" w:before="40" w:line="276"/>
      </w:pPr>
      <w:r>
        <w:t xml:space="preserve">Descriptive over clever. </w:t>
      </w:r>
      <w:r>
        <w:rPr>
          <w:rFonts w:ascii="DejaVu Sans Mono" w:cs="DejaVu Sans Mono" w:eastAsia="DejaVu Sans Mono" w:hAnsi="DejaVu Sans Mono"/>
          <w:color w:val="0B3C91"/>
          <w:sz w:val="17"/>
          <w:szCs w:val="17"/>
        </w:rPr>
        <w:t xml:space="preserve">StromeX Admissions</w:t>
      </w:r>
      <w:r>
        <w:t xml:space="preserve">, not </w:t>
      </w:r>
      <w:r>
        <w:rPr>
          <w:rFonts w:ascii="DejaVu Sans Mono" w:cs="DejaVu Sans Mono" w:eastAsia="DejaVu Sans Mono" w:hAnsi="DejaVu Sans Mono"/>
          <w:color w:val="0B3C91"/>
          <w:sz w:val="17"/>
          <w:szCs w:val="17"/>
        </w:rPr>
        <w:t xml:space="preserve">Gateway</w:t>
      </w:r>
      <w:r>
        <w:t xml:space="preserve">.</w:t>
      </w:r>
    </w:p>
    <w:p>
      <w:pPr>
        <w:pStyle w:val="ListParagraph"/>
        <w:numPr>
          <w:ilvl w:val="0"/>
          <w:numId w:val="2"/>
        </w:numPr>
        <w:spacing w:after="40" w:before="40" w:line="276"/>
      </w:pPr>
      <w:r>
        <w:t xml:space="preserve">No invented words for products. The company name is the only coined word we ask people to learn.</w:t>
      </w:r>
    </w:p>
    <w:p>
      <w:pPr>
        <w:pStyle w:val="ListParagraph"/>
        <w:numPr>
          <w:ilvl w:val="0"/>
          <w:numId w:val="2"/>
        </w:numPr>
        <w:spacing w:after="40" w:before="40" w:line="276"/>
      </w:pPr>
      <w:r>
        <w:t xml:space="preserve">No version numbers in product names.</w:t>
      </w:r>
    </w:p>
    <w:p>
      <w:pPr>
        <w:pStyle w:val="ListParagraph"/>
        <w:numPr>
          <w:ilvl w:val="0"/>
          <w:numId w:val="2"/>
        </w:numPr>
        <w:spacing w:after="40" w:before="40" w:line="276"/>
      </w:pPr>
      <w:r>
        <w:t xml:space="preserve">No internal codenames in customer-facing material.</w:t>
      </w:r>
    </w:p>
    <w:p>
      <w:pPr>
        <w:pStyle w:val="ListParagraph"/>
        <w:numPr>
          <w:ilvl w:val="0"/>
          <w:numId w:val="2"/>
        </w:numPr>
        <w:spacing w:after="40" w:before="40" w:line="276"/>
      </w:pPr>
      <w:r>
        <w:t xml:space="preserve">Sector products take the sector’s own vocabulary: schools have a </w:t>
      </w:r>
      <w:r>
        <w:rPr>
          <w:i/>
          <w:iCs/>
        </w:rPr>
        <w:t xml:space="preserve">registrar</w:t>
      </w:r>
      <w:r>
        <w:t xml:space="preserve">, hospitals have </w:t>
      </w:r>
      <w:r>
        <w:rPr>
          <w:i/>
          <w:iCs/>
        </w:rPr>
        <w:t xml:space="preserve">records</w:t>
      </w:r>
      <w:r>
        <w:t xml:space="preserve">, ministries have </w:t>
      </w:r>
      <w:r>
        <w:rPr>
          <w:i/>
          <w:iCs/>
        </w:rPr>
        <w:t xml:space="preserve">case files</w:t>
      </w:r>
      <w:r>
        <w:t xml:space="preserve">. We adopt their word.</w:t>
      </w:r>
    </w:p>
    <w:p>
      <w:pPr>
        <w:pStyle w:val="Heading2"/>
        <w:pageBreakBefore/>
      </w:pPr>
      <w:r>
        <w:t xml:space="preserve">CHAPTER 11 — VOICE &amp; EDITORIAL STANDARDS</w:t>
      </w:r>
    </w:p>
    <w:p>
      <w:pPr>
        <w:pStyle w:val="Heading3"/>
      </w:pPr>
      <w:r>
        <w:t xml:space="preserve">11.1 The voice</w:t>
      </w:r>
    </w:p>
    <w:p>
      <w:pPr>
        <w:pStyle w:val="BodyText"/>
      </w:pPr>
      <w:r>
        <w:rPr>
          <w:b/>
          <w:bCs/>
        </w:rPr>
        <w:t xml:space="preserve">Precise, warm, confident, unpretentious.</w:t>
      </w:r>
      <w:r>
        <w:t xml:space="preserve"> We sound like a very good engineer who respects your intelligence and your time.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 are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 are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Simplistic</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Confident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Boastful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Chummy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Serious about the 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Serious about ourselves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voice</w:t>
      </w:r>
    </w:p>
    <w:p>
      <w:pPr>
        <w:pStyle w:val="Heading3"/>
      </w:pPr>
      <w:r>
        <w:t xml:space="preserve">11.2 Rules of writing</w:t>
      </w:r>
    </w:p>
    <w:p>
      <w:pPr>
        <w:pStyle w:val="ListParagraph"/>
        <w:numPr>
          <w:ilvl w:val="0"/>
          <w:numId w:val="3"/>
        </w:numPr>
        <w:spacing w:after="40" w:before="40" w:line="276"/>
      </w:pPr>
      <w:r>
        <w:t xml:space="preserve">Lead with what the reader gets, not with what we built.</w:t>
      </w:r>
    </w:p>
    <w:p>
      <w:pPr>
        <w:pStyle w:val="ListParagraph"/>
        <w:numPr>
          <w:ilvl w:val="0"/>
          <w:numId w:val="3"/>
        </w:numPr>
        <w:spacing w:after="40" w:before="40" w:line="276"/>
      </w:pPr>
      <w:r>
        <w:t xml:space="preserve">One idea per sentence. Short sentences carry authority; long sentences hide in it.</w:t>
      </w:r>
    </w:p>
    <w:p>
      <w:pPr>
        <w:pStyle w:val="ListParagraph"/>
        <w:numPr>
          <w:ilvl w:val="0"/>
          <w:numId w:val="3"/>
        </w:numPr>
        <w:spacing w:after="40" w:before="40" w:line="276"/>
      </w:pPr>
      <w:r>
        <w:t xml:space="preserve">Name the number. “Admissions in four days” beats “dramatically faster admissions”.</w:t>
      </w:r>
    </w:p>
    <w:p>
      <w:pPr>
        <w:pStyle w:val="ListParagraph"/>
        <w:numPr>
          <w:ilvl w:val="0"/>
          <w:numId w:val="3"/>
        </w:numPr>
        <w:spacing w:after="40" w:before="40" w:line="276"/>
      </w:pPr>
      <w:r>
        <w:t xml:space="preserve">Active voice, especially when reporting failure. “We lost the data” — not “data loss occurred”.</w:t>
      </w:r>
    </w:p>
    <w:p>
      <w:pPr>
        <w:pStyle w:val="ListParagraph"/>
        <w:numPr>
          <w:ilvl w:val="0"/>
          <w:numId w:val="3"/>
        </w:numPr>
        <w:spacing w:after="40" w:before="40" w:line="276"/>
      </w:pPr>
      <w:r>
        <w:t xml:space="preserve">No superlatives we cannot defend. Banned unless independently substantiated: </w:t>
      </w:r>
      <w:r>
        <w:rPr>
          <w:i/>
          <w:iCs/>
        </w:rPr>
        <w:t xml:space="preserve">world-class, cutting-edge, revolutionary, best-in-class, unparalleled, game-changing, seamless</w:t>
      </w:r>
      <w:r>
        <w:t xml:space="preserve"> (as a claim rather than a standard), </w:t>
      </w:r>
      <w:r>
        <w:rPr>
          <w:i/>
          <w:iCs/>
        </w:rPr>
        <w:t xml:space="preserve">AI-powered</w:t>
      </w:r>
      <w:r>
        <w:t xml:space="preserve"> used as a synonym for “good”.</w:t>
      </w:r>
    </w:p>
    <w:p>
      <w:pPr>
        <w:pStyle w:val="ListParagraph"/>
        <w:numPr>
          <w:ilvl w:val="0"/>
          <w:numId w:val="3"/>
        </w:numPr>
        <w:spacing w:after="40" w:before="40" w:line="276"/>
      </w:pPr>
      <w:r>
        <w:t xml:space="preserve">No fear-selling. We do not sell by frightening a registrar about certificate fraud; we show them what verification does and let the comparison work.</w:t>
      </w:r>
    </w:p>
    <w:p>
      <w:pPr>
        <w:pStyle w:val="ListParagraph"/>
        <w:numPr>
          <w:ilvl w:val="0"/>
          <w:numId w:val="3"/>
        </w:numPr>
        <w:spacing w:after="40" w:before="40" w:line="276"/>
      </w:pPr>
      <w:r>
        <w:t xml:space="preserve">Plain-language first. Every technical document opens with a paragraph a non-technical trustee could read aloud in a board meeting.</w:t>
      </w:r>
    </w:p>
    <w:p>
      <w:pPr>
        <w:pStyle w:val="ListParagraph"/>
        <w:numPr>
          <w:ilvl w:val="0"/>
          <w:numId w:val="3"/>
        </w:numPr>
        <w:spacing w:after="40" w:before="40" w:line="276"/>
      </w:pPr>
      <w:r>
        <w:t xml:space="preserve">Localise, don’t translate. Nigerian English, British English and American English are all correct in their own market. Arabic is written by an Arabic writer, never machine-translated for publication.</w:t>
      </w:r>
    </w:p>
    <w:p>
      <w:pPr>
        <w:pStyle w:val="ListParagraph"/>
        <w:numPr>
          <w:ilvl w:val="0"/>
          <w:numId w:val="3"/>
        </w:numPr>
        <w:spacing w:after="40" w:before="40" w:line="276"/>
      </w:pPr>
      <w:r>
        <w:t xml:space="preserve">Say “we don’t know” when we don’t know.</w:t>
      </w:r>
    </w:p>
    <w:p>
      <w:pPr>
        <w:pStyle w:val="ListParagraph"/>
        <w:numPr>
          <w:ilvl w:val="0"/>
          <w:numId w:val="3"/>
        </w:numPr>
        <w:spacing w:after="40" w:before="40" w:line="276"/>
      </w:pPr>
      <w:r>
        <w:t xml:space="preserve">Never write a sentence about a customer that we would not read to them.</w:t>
      </w:r>
    </w:p>
    <w:p>
      <w:pPr>
        <w:pStyle w:val="Heading3"/>
      </w:pPr>
      <w:r>
        <w:t xml:space="preserve">11.3 Document standards</w:t>
      </w:r>
    </w:p>
    <w:p>
      <w:pPr>
        <w:pStyle w:val="BodyText"/>
      </w:pPr>
      <w:r>
        <w:t xml:space="preserve">Every customer-facing document carries: a title, a version, a date, an owner, and a statement of what it supersedes. Every proposal carries a scope, an explicit exclusion list, a delivery timeline with dependencies on the customer named, and a total that does not move after signature unless the customer changes the scope in writing.</w:t>
      </w:r>
    </w:p>
    <w:p>
      <w:pPr>
        <w:pStyle w:val="Heading2"/>
        <w:pageBreakBefore/>
      </w:pPr>
      <w:r>
        <w:t xml:space="preserve">CHAPTER 12 — DESIGN PHILOSOPHY</w:t>
      </w:r>
    </w:p>
    <w:p>
      <w:pPr>
        <w:pStyle w:val="Heading3"/>
      </w:pPr>
      <w:r>
        <w:t xml:space="preserve">12.1 The eleven qualities</w:t>
      </w:r>
    </w:p>
    <w:p>
      <w:pPr>
        <w:pStyle w:val="BodyText"/>
      </w:pPr>
      <w:r>
        <w:t xml:space="preserve">Every StromeX surface — product UI, website, certificate, ID card, book, proposal, invoice, signage, kiosk — must be: </w:t>
      </w:r>
      <w:r>
        <w:rPr>
          <w:b/>
          <w:bCs/>
        </w:rPr>
        <w:t xml:space="preserve">premium, elegant, minimalist, fast, reliable, beautiful, professional, accessible, human, modern, timeless.</w:t>
      </w:r>
    </w:p>
    <w:p>
      <w:pPr>
        <w:pStyle w:val="BodyText"/>
      </w:pPr>
      <w:r>
        <w:t xml:space="preserve">“Timeless” is the demanding one. It rules out the styling that is currently fashionable and will read as dated in five years: heavy glassmorphism, animated gradient meshes as decoration, oversized rounded corners, illustration styles tied to a single era. It rules in typography, spacing, hierarchy, restraint and craft — which have never dated.</w:t>
      </w:r>
    </w:p>
    <w:p>
      <w:pPr>
        <w:pStyle w:val="Heading3"/>
      </w:pPr>
      <w:r>
        <w:t xml:space="preserve">12.2 The design laws</w:t>
      </w:r>
    </w:p>
    <w:p>
      <w:pPr>
        <w:pStyle w:val="ListParagraph"/>
        <w:numPr>
          <w:ilvl w:val="0"/>
          <w:numId w:val="3"/>
        </w:numPr>
        <w:spacing w:after="40" w:before="40" w:line="276"/>
      </w:pPr>
      <w:r>
        <w:rPr>
          <w:b/>
          <w:bCs/>
        </w:rPr>
        <w:t xml:space="preserve">Typography is the interface.</w:t>
      </w:r>
      <w:r>
        <w:t xml:space="preserve"> Get the type scale and rhythm right and most layout problems disappear.</w:t>
      </w:r>
    </w:p>
    <w:p>
      <w:pPr>
        <w:pStyle w:val="ListParagraph"/>
        <w:numPr>
          <w:ilvl w:val="0"/>
          <w:numId w:val="3"/>
        </w:numPr>
        <w:spacing w:after="40" w:before="40" w:line="276"/>
      </w:pPr>
      <w:r>
        <w:rPr>
          <w:b/>
          <w:bCs/>
        </w:rPr>
        <w:t xml:space="preserve">Space is a component.</w:t>
      </w:r>
      <w:r>
        <w:t xml:space="preserve"> Whitespace is designed, budgeted and reviewed like any element.</w:t>
      </w:r>
    </w:p>
    <w:p>
      <w:pPr>
        <w:pStyle w:val="ListParagraph"/>
        <w:numPr>
          <w:ilvl w:val="0"/>
          <w:numId w:val="3"/>
        </w:numPr>
        <w:spacing w:after="40" w:before="40" w:line="276"/>
      </w:pPr>
      <w:r>
        <w:rPr>
          <w:b/>
          <w:bCs/>
        </w:rPr>
        <w:t xml:space="preserve">Motion explains, never entertains.</w:t>
      </w:r>
      <w:r>
        <w:t xml:space="preserve"> Animation communicates state, causality or continuity. Under 200ms for state, under 400ms for transition. </w:t>
      </w:r>
      <w:r>
        <w:rPr>
          <w:rFonts w:ascii="DejaVu Sans Mono" w:cs="DejaVu Sans Mono" w:eastAsia="DejaVu Sans Mono" w:hAnsi="DejaVu Sans Mono"/>
          <w:color w:val="0B3C91"/>
          <w:sz w:val="17"/>
          <w:szCs w:val="17"/>
        </w:rPr>
        <w:t xml:space="preserve">prefers-reduced-motion</w:t>
      </w:r>
      <w:r>
        <w:t xml:space="preserve"> is honoured everywhere.</w:t>
      </w:r>
    </w:p>
    <w:p>
      <w:pPr>
        <w:pStyle w:val="ListParagraph"/>
        <w:numPr>
          <w:ilvl w:val="0"/>
          <w:numId w:val="3"/>
        </w:numPr>
        <w:spacing w:after="40" w:before="40" w:line="276"/>
      </w:pPr>
      <w:r>
        <w:rPr>
          <w:b/>
          <w:bCs/>
        </w:rPr>
        <w:t xml:space="preserve">Colour carries meaning.</w:t>
      </w:r>
      <w:r>
        <w:t xml:space="preserve"> Semantic colours mean one thing. Decorative colour is rationed.</w:t>
      </w:r>
    </w:p>
    <w:p>
      <w:pPr>
        <w:pStyle w:val="ListParagraph"/>
        <w:numPr>
          <w:ilvl w:val="0"/>
          <w:numId w:val="3"/>
        </w:numPr>
        <w:spacing w:after="40" w:before="40" w:line="276"/>
      </w:pPr>
      <w:r>
        <w:rPr>
          <w:b/>
          <w:bCs/>
        </w:rPr>
        <w:t xml:space="preserve">Contrast is non-negotiable.</w:t>
      </w:r>
      <w:r>
        <w:t xml:space="preserve"> WCAG 2.2 AA minimum, AAA for body text where achievable. Verified in CI, not by eye.</w:t>
      </w:r>
    </w:p>
    <w:p>
      <w:pPr>
        <w:pStyle w:val="ListParagraph"/>
        <w:numPr>
          <w:ilvl w:val="0"/>
          <w:numId w:val="3"/>
        </w:numPr>
        <w:spacing w:after="40" w:before="40" w:line="276"/>
      </w:pPr>
      <w:r>
        <w:rPr>
          <w:b/>
          <w:bCs/>
        </w:rPr>
        <w:t xml:space="preserve">One-handed on a phone.</w:t>
      </w:r>
      <w:r>
        <w:t xml:space="preserve"> Primary actions inside the thumb arc.</w:t>
      </w:r>
    </w:p>
    <w:p>
      <w:pPr>
        <w:pStyle w:val="ListParagraph"/>
        <w:numPr>
          <w:ilvl w:val="0"/>
          <w:numId w:val="3"/>
        </w:numPr>
        <w:spacing w:after="40" w:before="40" w:line="276"/>
      </w:pPr>
      <w:r>
        <w:rPr>
          <w:b/>
          <w:bCs/>
        </w:rPr>
        <w:t xml:space="preserve">Empty states teach.</w:t>
      </w:r>
      <w:r>
        <w:t xml:space="preserve"> A blank screen is the highest-attention moment in the product and must be designed harder than the full one.</w:t>
      </w:r>
    </w:p>
    <w:p>
      <w:pPr>
        <w:pStyle w:val="ListParagraph"/>
        <w:numPr>
          <w:ilvl w:val="0"/>
          <w:numId w:val="3"/>
        </w:numPr>
        <w:spacing w:after="40" w:before="40" w:line="276"/>
      </w:pPr>
      <w:r>
        <w:rPr>
          <w:b/>
          <w:bCs/>
        </w:rPr>
        <w:t xml:space="preserve">Errors are apologies with instructions.</w:t>
      </w:r>
      <w:r>
        <w:t xml:space="preserve"> State what happened, what it means, what to do, and how to reach a human.</w:t>
      </w:r>
    </w:p>
    <w:p>
      <w:pPr>
        <w:pStyle w:val="ListParagraph"/>
        <w:numPr>
          <w:ilvl w:val="0"/>
          <w:numId w:val="3"/>
        </w:numPr>
        <w:spacing w:after="40" w:before="40" w:line="276"/>
      </w:pPr>
      <w:r>
        <w:rPr>
          <w:b/>
          <w:bCs/>
        </w:rPr>
        <w:t xml:space="preserve">Print is a design surface.</w:t>
      </w:r>
      <w:r>
        <w:t xml:space="preserve"> Certificates, cards, reports and books carry the same standard as the screen. Bleed, trim, colour profile, paper stock and binding are design decisions, not production details.</w:t>
      </w:r>
    </w:p>
    <w:p>
      <w:pPr>
        <w:pStyle w:val="ListParagraph"/>
        <w:numPr>
          <w:ilvl w:val="0"/>
          <w:numId w:val="3"/>
        </w:numPr>
        <w:spacing w:after="40" w:before="40" w:line="276"/>
      </w:pPr>
      <w:r>
        <w:rPr>
          <w:b/>
          <w:bCs/>
        </w:rPr>
        <w:t xml:space="preserve">Test on the real device.</w:t>
      </w:r>
      <w:r>
        <w:t xml:space="preserve"> A 5-year-old Android on 3G in a room with bad light is the reference environment, not a MacBook on fibre.</w:t>
      </w:r>
    </w:p>
    <w:p>
      <w:pPr>
        <w:pStyle w:val="ListParagraph"/>
        <w:numPr>
          <w:ilvl w:val="0"/>
          <w:numId w:val="3"/>
        </w:numPr>
        <w:spacing w:after="40" w:before="40" w:line="276"/>
      </w:pPr>
      <w:r>
        <w:rPr>
          <w:b/>
          <w:bCs/>
        </w:rPr>
        <w:t xml:space="preserve">Every product is bidirectional.</w:t>
      </w:r>
      <w:r>
        <w:t xml:space="preserve"> RTL is not a mode we add. It is a state the design is verified in before ship.</w:t>
      </w:r>
    </w:p>
    <w:p>
      <w:pPr>
        <w:pStyle w:val="Heading3"/>
      </w:pPr>
      <w:r>
        <w:t xml:space="preserve">12.3 The design system</w:t>
      </w:r>
    </w:p>
    <w:p>
      <w:pPr>
        <w:pStyle w:val="BodyText"/>
      </w:pPr>
      <w:r>
        <w:rPr>
          <w:rFonts w:ascii="DejaVu Sans Mono" w:cs="DejaVu Sans Mono" w:eastAsia="DejaVu Sans Mono" w:hAnsi="DejaVu Sans Mono"/>
          <w:color w:val="0B3C91"/>
          <w:sz w:val="17"/>
          <w:szCs w:val="17"/>
        </w:rPr>
        <w:t xml:space="preserve">StromeX Design System</w:t>
      </w:r>
      <w:r>
        <w:t xml:space="preserve"> (open source, per Chapter 5.5) is the single source of truth: tokens, primitives, components, patterns, and per-sector theme layers. Divisions may extend it; they may not fork it. A component that exists in three products belongs in the system, and the third team to need it is responsible for promoting it there.</w:t>
      </w:r>
    </w:p>
    <w:p>
      <w:pPr>
        <w:pStyle w:val="Heading2"/>
        <w:pageBreakBefore/>
      </w:pPr>
      <w:r>
        <w:t xml:space="preserve">CHAPTER 13 — CULTURE &amp; THE OPERATING RHYTHM</w:t>
      </w:r>
    </w:p>
    <w:p>
      <w:pPr>
        <w:pStyle w:val="Heading3"/>
      </w:pPr>
      <w:r>
        <w:t xml:space="preserve">13.1 The nine cultural principles</w:t>
      </w:r>
    </w:p>
    <w:p>
      <w:pPr>
        <w:pStyle w:val="BodyText"/>
      </w:pPr>
      <w:r>
        <w:rPr>
          <w:b/>
          <w:bCs/>
        </w:rPr>
        <w:t xml:space="preserve">1. Craft is the differentiator.</w:t>
      </w:r>
      <w:r>
        <w:t xml:space="preserve"> In a market where most vendors ship “good enough”, finished work is a competitive moat. The last 10% of polish is 50% of the perceived value and nearly all of the referral.</w:t>
      </w:r>
    </w:p>
    <w:p>
      <w:pPr>
        <w:pStyle w:val="BodyText"/>
      </w:pPr>
      <w:r>
        <w:rPr>
          <w:b/>
          <w:bCs/>
        </w:rPr>
        <w:t xml:space="preserve">2. Own the outcome, not the ticket.</w:t>
      </w:r>
      <w:r>
        <w:t xml:space="preserve"> “It’s not my module” is not an answer available to anyone here.</w:t>
      </w:r>
    </w:p>
    <w:p>
      <w:pPr>
        <w:pStyle w:val="BodyText"/>
      </w:pPr>
      <w:r>
        <w:rPr>
          <w:b/>
          <w:bCs/>
        </w:rPr>
        <w:t xml:space="preserve">3. Write it down.</w:t>
      </w:r>
      <w:r>
        <w:t xml:space="preserve"> Decisions of consequence are written, with the reasoning, in the repository. A decision that exists only in someone’s head does not survive their annual leave, let alone their departure.</w:t>
      </w:r>
    </w:p>
    <w:p>
      <w:pPr>
        <w:pStyle w:val="BodyText"/>
      </w:pPr>
      <w:r>
        <w:rPr>
          <w:b/>
          <w:bCs/>
        </w:rPr>
        <w:t xml:space="preserve">4. Bad news travels fastest.</w:t>
      </w:r>
      <w:r>
        <w:t xml:space="preserve"> Escalating a problem early is rewarded, always, including when it turns out to be nothing. Concealing a problem is the one performance issue that is not coached — it is a trust breach.</w:t>
      </w:r>
    </w:p>
    <w:p>
      <w:pPr>
        <w:pStyle w:val="BodyText"/>
      </w:pPr>
      <w:r>
        <w:rPr>
          <w:b/>
          <w:bCs/>
        </w:rPr>
        <w:t xml:space="preserve">5. Show the work.</w:t>
      </w:r>
      <w:r>
        <w:t xml:space="preserve"> Demos over status updates. Working software over slides. Real data over lorem ipsum.</w:t>
      </w:r>
    </w:p>
    <w:p>
      <w:pPr>
        <w:pStyle w:val="BodyText"/>
      </w:pPr>
      <w:r>
        <w:rPr>
          <w:b/>
          <w:bCs/>
        </w:rPr>
        <w:t xml:space="preserve">6. Argue hard, then commit.</w:t>
      </w:r>
      <w:r>
        <w:t xml:space="preserve"> Disagreement is expected before a decision and disloyal after it. Dissent goes in the record (Chapter 9.3), and then everyone rows.</w:t>
      </w:r>
    </w:p>
    <w:p>
      <w:pPr>
        <w:pStyle w:val="BodyText"/>
      </w:pPr>
      <w:r>
        <w:rPr>
          <w:b/>
          <w:bCs/>
        </w:rPr>
        <w:t xml:space="preserve">7. The customer’s constraint is the design constraint.</w:t>
      </w:r>
      <w:r>
        <w:t xml:space="preserve"> Bad connectivity, unreliable power, low device specs, staff with limited digital confidence, a bursar who trusts paper — these are the requirements, not the excuses.</w:t>
      </w:r>
    </w:p>
    <w:p>
      <w:pPr>
        <w:pStyle w:val="BodyText"/>
      </w:pPr>
      <w:r>
        <w:rPr>
          <w:b/>
          <w:bCs/>
        </w:rPr>
        <w:t xml:space="preserve">8. Hire for judgement.</w:t>
      </w:r>
      <w:r>
        <w:t xml:space="preserve"> Skills are teachable at pace; judgement is not. In interviews we weight “tell me about a decision you got wrong and what you changed” above credentials.</w:t>
      </w:r>
    </w:p>
    <w:p>
      <w:pPr>
        <w:pStyle w:val="BodyText"/>
      </w:pPr>
      <w:r>
        <w:rPr>
          <w:b/>
          <w:bCs/>
        </w:rPr>
        <w:t xml:space="preserve">9. Sustainable pace.</w:t>
      </w:r>
      <w:r>
        <w:t xml:space="preserve"> Heroics indicate a planning failure. We build for twenty years, and people who are exhausted in year three do not reach year twenty.</w:t>
      </w:r>
    </w:p>
    <w:p>
      <w:pPr>
        <w:pStyle w:val="Heading3"/>
      </w:pPr>
      <w:r>
        <w:t xml:space="preserve">13.2 The operating rhythm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Cadence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Ritual</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Output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Daily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Team standup, ≤15 min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Blockers named and owned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Weekly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review per active engagement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RAG status, escalations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Bi-weekly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Ship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actually shipped, demoed live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P&amp;L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Margin vs. band, pipeline, capacity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value ledger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Renewal risk flagged 90 days out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amendments + changelog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Corpus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Which chapters are stale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Ethics review docket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Cases reviewed and decided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Half-yearly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readiness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Which ecosystem is deep enough to leave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Strategy offsite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roadmap amendment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operating rhythm</w:t>
      </w:r>
    </w:p>
    <w:p>
      <w:pPr>
        <w:pStyle w:val="Heading3"/>
      </w:pPr>
      <w:r>
        <w:t xml:space="preserve">13.3 What gets someone promoted here</w:t>
      </w:r>
    </w:p>
    <w:p>
      <w:pPr>
        <w:pStyle w:val="BodyText"/>
      </w:pPr>
      <w:r>
        <w:t xml:space="preserve">Judgement demonstrated under uncertainty. Work that other people build on. Customers who ask for them by name. Documents that outlive the project. Mistakes surfaced early and learned from publicly. Colleagues who are better because they work alongside them.</w:t>
      </w:r>
    </w:p>
    <w:p>
      <w:pPr>
        <w:pStyle w:val="BodyText"/>
      </w:pPr>
      <w:r>
        <w:t xml:space="preserve">Not: hours worked, tickets closed, lines written, meetings attended, or proximity to the founder.</w:t>
      </w:r>
    </w:p>
    <w:p>
      <w:pPr>
        <w:pStyle w:val="Heading2"/>
        <w:pageBreakBefore/>
      </w:pPr>
      <w:r>
        <w:t xml:space="preserve">CHAPTER 14 — THE STANDING NON-GOALS</w:t>
      </w:r>
    </w:p>
    <w:p>
      <w:pPr>
        <w:pStyle w:val="BodyText"/>
      </w:pPr>
      <w:r>
        <w:t xml:space="preserve">Stated plainly so that no one has to guess, and so that a future employee can point at this page and decline.</w:t>
      </w:r>
    </w:p>
    <w:p>
      <w:pPr>
        <w:pStyle w:val="ListParagraph"/>
        <w:numPr>
          <w:ilvl w:val="0"/>
          <w:numId w:val="3"/>
        </w:numPr>
        <w:spacing w:after="40" w:before="40" w:line="276"/>
      </w:pPr>
      <w:r>
        <w:rPr>
          <w:b/>
          <w:bCs/>
        </w:rPr>
        <w:t xml:space="preserve">We will not become an outsourcing body shop.</w:t>
      </w:r>
      <w:r>
        <w:t xml:space="preserve"> Selling undifferentiated hours has no margin, no compounding and no ceiling worth climbing.</w:t>
      </w:r>
    </w:p>
    <w:p>
      <w:pPr>
        <w:pStyle w:val="ListParagraph"/>
        <w:numPr>
          <w:ilvl w:val="0"/>
          <w:numId w:val="3"/>
        </w:numPr>
        <w:spacing w:after="40" w:before="40" w:line="276"/>
      </w:pPr>
      <w:r>
        <w:rPr>
          <w:b/>
          <w:bCs/>
        </w:rPr>
        <w:t xml:space="preserve">We will not take a contract we cannot deliver.</w:t>
      </w:r>
      <w:r>
        <w:t xml:space="preserve"> Ever, for any amount, in any quarter, for any reason.</w:t>
      </w:r>
    </w:p>
    <w:p>
      <w:pPr>
        <w:pStyle w:val="ListParagraph"/>
        <w:numPr>
          <w:ilvl w:val="0"/>
          <w:numId w:val="3"/>
        </w:numPr>
        <w:spacing w:after="40" w:before="40" w:line="276"/>
      </w:pPr>
      <w:r>
        <w:rPr>
          <w:b/>
          <w:bCs/>
        </w:rPr>
        <w:t xml:space="preserve">We will not build an advertising business.</w:t>
      </w:r>
      <w:r>
        <w:t xml:space="preserve"> Our record contains children’s education data. It will never be monetised through attention.</w:t>
      </w:r>
    </w:p>
    <w:p>
      <w:pPr>
        <w:pStyle w:val="ListParagraph"/>
        <w:numPr>
          <w:ilvl w:val="0"/>
          <w:numId w:val="3"/>
        </w:numPr>
        <w:spacing w:after="40" w:before="40" w:line="276"/>
      </w:pPr>
      <w:r>
        <w:rPr>
          <w:b/>
          <w:bCs/>
        </w:rPr>
        <w:t xml:space="preserve">We will not compete on being cheapest.</w:t>
      </w:r>
      <w:r>
        <w:t xml:space="preserve"> We compete on being clearest, most complete, and most reliable. There will always be someone cheaper and they will always be worse.</w:t>
      </w:r>
    </w:p>
    <w:p>
      <w:pPr>
        <w:pStyle w:val="ListParagraph"/>
        <w:numPr>
          <w:ilvl w:val="0"/>
          <w:numId w:val="3"/>
        </w:numPr>
        <w:spacing w:after="40" w:before="40" w:line="276"/>
      </w:pPr>
      <w:r>
        <w:rPr>
          <w:b/>
          <w:bCs/>
        </w:rPr>
        <w:t xml:space="preserve">We will not grow headcount as a signal.</w:t>
      </w:r>
      <w:r>
        <w:t xml:space="preserve"> Revenue per employee is a tracked metric; headcount is a cost.</w:t>
      </w:r>
    </w:p>
    <w:p>
      <w:pPr>
        <w:pStyle w:val="ListParagraph"/>
        <w:numPr>
          <w:ilvl w:val="0"/>
          <w:numId w:val="3"/>
        </w:numPr>
        <w:spacing w:after="40" w:before="40" w:line="276"/>
      </w:pPr>
      <w:r>
        <w:rPr>
          <w:b/>
          <w:bCs/>
        </w:rPr>
        <w:t xml:space="preserve">We will not enter a sector without a domain expert.</w:t>
      </w:r>
      <w:r>
        <w:t xml:space="preserve"> Confidence is not competence.</w:t>
      </w:r>
    </w:p>
    <w:p>
      <w:pPr>
        <w:pStyle w:val="ListParagraph"/>
        <w:numPr>
          <w:ilvl w:val="0"/>
          <w:numId w:val="3"/>
        </w:numPr>
        <w:spacing w:after="40" w:before="40" w:line="276"/>
      </w:pPr>
      <w:r>
        <w:rPr>
          <w:b/>
          <w:bCs/>
        </w:rPr>
        <w:t xml:space="preserve">We will not ship a demo as a product.</w:t>
      </w:r>
      <w:r>
        <w:t xml:space="preserve"> A demo is labelled a demo, in writing, in the same font size.</w:t>
      </w:r>
    </w:p>
    <w:p>
      <w:pPr>
        <w:pStyle w:val="ListParagraph"/>
        <w:numPr>
          <w:ilvl w:val="0"/>
          <w:numId w:val="3"/>
        </w:numPr>
        <w:spacing w:after="40" w:before="40" w:line="276"/>
      </w:pPr>
      <w:r>
        <w:rPr>
          <w:b/>
          <w:bCs/>
        </w:rPr>
        <w:t xml:space="preserve">We will not hold customer data hostage.</w:t>
      </w:r>
      <w:r>
        <w:t xml:space="preserve"> Export is free, complete, open-format and immediate.</w:t>
      </w:r>
    </w:p>
    <w:p>
      <w:pPr>
        <w:pStyle w:val="ListParagraph"/>
        <w:numPr>
          <w:ilvl w:val="0"/>
          <w:numId w:val="3"/>
        </w:numPr>
        <w:spacing w:after="40" w:before="40" w:line="276"/>
      </w:pPr>
      <w:r>
        <w:rPr>
          <w:b/>
          <w:bCs/>
        </w:rPr>
        <w:t xml:space="preserve">We will not chase a valuation at the expense of the constitution.</w:t>
      </w:r>
      <w:r>
        <w:t xml:space="preserve"> If a term sheet requires amending Chapter 5 or Chapter 7, we decline the term sheet.</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kpr0kqidngev81szigblu">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fu6qu2rn_v2c47ic3twrf">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qxzsksw4szql_h-wvfsgc">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i98wqof6e96rnry6hrhjn">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ugfar5qdhufjyjlqs55rp">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r61wyupiy2schrmeqpzgj">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9xlrmuwip_j-iiqtdjvao">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iiukq1t1tns09dqgs0x9g">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wyly_q8l_r9tge55ztshs">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ducorvoujy2nezakanhtn">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xjtqoqgukjiylpnqlpgeg">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28, 30, 32</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13, 28, 32</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12, 13, 28, 32</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5, 6, 10, 16, 28, 31, 32</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1, 4, 5, 32</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30, 32</w:t>
      </w:r>
    </w:p>
    <w:p>
      <w:pPr>
        <w:spacing w:after="30" w:before="0" w:line="250"/>
        <w:ind w:left="240" w:hanging="240"/>
      </w:pPr>
      <w:r>
        <w:rPr>
          <w:sz w:val="17"/>
          <w:szCs w:val="17"/>
        </w:rPr>
        <w:t xml:space="preserve">Foundation tier</w:t>
      </w:r>
      <w:r>
        <w:rPr>
          <w:rFonts w:ascii="DejaVu Sans" w:cs="DejaVu Sans" w:eastAsia="DejaVu Sans" w:hAnsi="DejaVu Sans"/>
          <w:color w:val="6B7480"/>
          <w:sz w:val="16"/>
          <w:szCs w:val="16"/>
        </w:rPr>
        <w:t xml:space="preserve">  9, 32</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21, 28, 32</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30, 32</w:t>
      </w:r>
    </w:p>
    <w:p>
      <w:pPr>
        <w:pBdr>
          <w:bottom w:val="single" w:color="C9CFD9" w:sz="3" w:space="4"/>
        </w:pBdr>
        <w:spacing w:after="100" w:before="240"/>
      </w:pPr>
      <w:r>
        <w:rPr>
          <w:rFonts w:ascii="DejaVu Serif" w:cs="DejaVu Serif" w:eastAsia="DejaVu Serif" w:hAnsi="DejaVu Serif"/>
          <w:b/>
          <w:bCs/>
          <w:color w:val="1B6EF3"/>
          <w:sz w:val="22"/>
          <w:szCs w:val="22"/>
        </w:rPr>
        <w:t xml:space="preserve">H</w:t>
      </w:r>
    </w:p>
    <w:p>
      <w:pPr>
        <w:spacing w:after="30" w:before="0" w:line="250"/>
        <w:ind w:left="240" w:hanging="240"/>
      </w:pPr>
      <w:r>
        <w:rPr>
          <w:sz w:val="17"/>
          <w:szCs w:val="17"/>
        </w:rPr>
        <w:t xml:space="preserve">Human-in-the-loop</w:t>
      </w:r>
      <w:r>
        <w:rPr>
          <w:rFonts w:ascii="DejaVu Sans" w:cs="DejaVu Sans" w:eastAsia="DejaVu Sans" w:hAnsi="DejaVu Sans"/>
          <w:color w:val="6B7480"/>
          <w:sz w:val="16"/>
          <w:szCs w:val="16"/>
        </w:rPr>
        <w:t xml:space="preserve">  7, 32</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29, 30, 32</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29</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29, 30</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10, 30</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17, 18, 29</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31</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System of record</w:t>
      </w:r>
      <w:r>
        <w:rPr>
          <w:rFonts w:ascii="DejaVu Sans" w:cs="DejaVu Sans" w:eastAsia="DejaVu Sans" w:hAnsi="DejaVu Sans"/>
          <w:color w:val="6B7480"/>
          <w:sz w:val="16"/>
          <w:szCs w:val="16"/>
        </w:rPr>
        <w:t xml:space="preserve">  5, 33</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Value ledger</w:t>
      </w:r>
      <w:r>
        <w:rPr>
          <w:rFonts w:ascii="DejaVu Sans" w:cs="DejaVu Sans" w:eastAsia="DejaVu Sans" w:hAnsi="DejaVu Sans"/>
          <w:color w:val="6B7480"/>
          <w:sz w:val="16"/>
          <w:szCs w:val="16"/>
        </w:rPr>
        <w:t xml:space="preserve">  8, 33</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10, 16, 19, 29, 31, 33</w:t>
      </w:r>
    </w:p>
    <w:p>
      <w:pPr>
        <w:pBdr>
          <w:bottom w:val="single" w:color="C9CFD9" w:sz="3" w:space="4"/>
        </w:pBdr>
        <w:spacing w:after="100" w:before="240"/>
      </w:pPr>
      <w:r>
        <w:rPr>
          <w:rFonts w:ascii="DejaVu Serif" w:cs="DejaVu Serif" w:eastAsia="DejaVu Serif" w:hAnsi="DejaVu Serif"/>
          <w:b/>
          <w:bCs/>
          <w:color w:val="1B6EF3"/>
          <w:sz w:val="22"/>
          <w:szCs w:val="22"/>
        </w:rPr>
        <w:t xml:space="preserve">W</w:t>
      </w:r>
    </w:p>
    <w:p>
      <w:pPr>
        <w:spacing w:after="30" w:before="0" w:line="250"/>
        <w:ind w:left="240" w:hanging="240"/>
      </w:pPr>
      <w:r>
        <w:rPr>
          <w:sz w:val="17"/>
          <w:szCs w:val="17"/>
        </w:rPr>
        <w:t xml:space="preserve">Wave</w:t>
      </w:r>
      <w:r>
        <w:rPr>
          <w:rFonts w:ascii="DejaVu Sans" w:cs="DejaVu Sans" w:eastAsia="DejaVu Sans" w:hAnsi="DejaVu Sans"/>
          <w:color w:val="6B7480"/>
          <w:sz w:val="16"/>
          <w:szCs w:val="16"/>
        </w:rPr>
        <w:t xml:space="preserve">  4, 33</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kpr0kqidngev81szigblu" Type="http://schemas.openxmlformats.org/officeDocument/2006/relationships/hyperlink" Target="https://emis.education.gov.ng/portal/" TargetMode="External"/><Relationship Id="rIdfu6qu2rn_v2c47ic3twrf" Type="http://schemas.openxmlformats.org/officeDocument/2006/relationships/hyperlink" Target="https://www.growthspreeofficial.com/blogs/b2b-saas-nrr-grr-net-gross-revenue-retention-benchmarks-2026-by-acv-stage-vertical" TargetMode="External"/><Relationship Id="rIdqxzsksw4szql_h-wvfsgc" Type="http://schemas.openxmlformats.org/officeDocument/2006/relationships/hyperlink" Target="https://www.digitalapplied.com/blog/net-revenue-retention-benchmarks-2026-saas-expansion-data" TargetMode="External"/><Relationship Id="rIdi98wqof6e96rnry6hrhjn" Type="http://schemas.openxmlformats.org/officeDocument/2006/relationships/hyperlink" Target="https://valueaddvc.com/saas-valuations" TargetMode="External"/><Relationship Id="rIdugfar5qdhufjyjlqs55rp" Type="http://schemas.openxmlformats.org/officeDocument/2006/relationships/hyperlink" Target="https://aventis-advisors.com/saas-valuation-multiples/" TargetMode="External"/><Relationship Id="rIdr61wyupiy2schrmeqpzgj" Type="http://schemas.openxmlformats.org/officeDocument/2006/relationships/hyperlink" Target="https://www.l40.com/insights/saas-multiples" TargetMode="External"/><Relationship Id="rId9xlrmuwip_j-iiqtdjvao" Type="http://schemas.openxmlformats.org/officeDocument/2006/relationships/hyperlink" Target="https://eqvista.com/saas-index-revenue-multiples-valuations-market-trends/" TargetMode="External"/><Relationship Id="rIdiiukq1t1tns09dqgs0x9g" Type="http://schemas.openxmlformats.org/officeDocument/2006/relationships/hyperlink" Target="https://prioridata.com/data/messaging-app-stats/" TargetMode="External"/><Relationship Id="rIdwyly_q8l_r9tge55ztshs" Type="http://schemas.openxmlformats.org/officeDocument/2006/relationships/hyperlink" Target="https://www.theregister.com/on-prem/2026/02/09/matrix-messaging-gaining-ground-in-government-it/4663932" TargetMode="External"/><Relationship Id="rIdducorvoujy2nezakanhtn" Type="http://schemas.openxmlformats.org/officeDocument/2006/relationships/hyperlink" Target="https://element.io/blog/sweden-goes-live-with-matrix-based-federation/" TargetMode="External"/><Relationship Id="rIdxjtqoqgukjiylpnqlpgeg"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 — The Constitution · The StromeX Editorial Bible</dc:title>
  <dc:subject>StromeX Executive Knowledge System</dc:subject>
  <dc:creator>StromeX Group Holdings</dc:creator>
  <dc:description>Vision · Philosophy · Governance · Culture · Brand</dc:description>
  <cp:lastModifiedBy>StromeX Group Holdings</cp:lastModifiedBy>
  <cp:revision>1</cp:revision>
  <dcterms:created xsi:type="dcterms:W3CDTF">2026-08-13T08:38:54.025Z</dcterms:created>
  <dcterms:modified xsi:type="dcterms:W3CDTF">2026-08-13T08:38:54.026Z</dcterms:modified>
</cp:coreProperties>
</file>

<file path=docProps/custom.xml><?xml version="1.0" encoding="utf-8"?>
<Properties xmlns="http://schemas.openxmlformats.org/officeDocument/2006/custom-properties" xmlns:vt="http://schemas.openxmlformats.org/officeDocument/2006/docPropsVTypes"/>
</file>