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05070A" w:color="auto" w:val="clear"/>
            <w:tcMar>
              <w:top w:type="dxa" w:w="1900"/>
              <w:left w:type="dxa" w:w="1580"/>
              <w:bottom w:type="dxa" w:w="1500"/>
              <w:right w:type="dxa" w:w="1400"/>
            </w:tcMar>
            <w:vAlign w:val="center"/>
          </w:tcPr>
          <w:p>
            <w:pPr>
              <w:spacing w:after="0"/>
            </w:pPr>
            <w:r>
              <w:rPr>
                <w:rFonts w:ascii="DejaVu Sans" w:cs="DejaVu Sans" w:eastAsia="DejaVu Sans" w:hAnsi="DejaVu Sans"/>
                <w:b/>
                <w:bCs/>
                <w:color w:val="FFFFFF"/>
                <w:spacing w:val="240"/>
                <w:sz w:val="26"/>
                <w:szCs w:val="26"/>
              </w:rPr>
              <w:t xml:space="preserve">STROMEX</w:t>
            </w:r>
          </w:p>
          <w:p>
            <w:pPr>
              <w:spacing w:after="240" w:before="120"/>
            </w:pPr>
            <w:r>
              <w:rPr>
                <w:rFonts w:ascii="DejaVu Sans" w:cs="DejaVu Sans" w:eastAsia="DejaVu Sans" w:hAnsi="DejaVu Sans"/>
                <w:b/>
                <w:bCs/>
                <w:color w:val="1B6EF3"/>
                <w:spacing w:val="200"/>
                <w:sz w:val="14"/>
                <w:szCs w:val="14"/>
              </w:rPr>
              <w:t xml:space="preserve">EXECUTIVE KNOWLEDGE SYSTEM</w:t>
            </w:r>
          </w:p>
          <w:p>
            <w:pPr>
              <w:spacing w:after="60"/>
            </w:pPr>
            <w:r>
              <w:rPr>
                <w:rFonts w:ascii="DejaVu Sans" w:cs="DejaVu Sans" w:eastAsia="DejaVu Sans" w:hAnsi="DejaVu Sans"/>
                <w:b/>
                <w:bCs/>
                <w:color w:val="7C8794"/>
                <w:spacing w:val="220"/>
                <w:sz w:val="15"/>
                <w:szCs w:val="15"/>
              </w:rPr>
              <w:t xml:space="preserve">BOOK III</w:t>
            </w:r>
          </w:p>
          <w:p>
            <w:pPr>
              <w:spacing w:after="700" w:line="1350"/>
            </w:pPr>
            <w:r>
              <w:rPr>
                <w:rFonts w:ascii="DejaVu Serif" w:cs="DejaVu Serif" w:eastAsia="DejaVu Serif" w:hAnsi="DejaVu Serif"/>
                <w:b/>
                <w:bCs/>
                <w:color w:val="FFFFFF"/>
                <w:sz w:val="150"/>
                <w:szCs w:val="150"/>
              </w:rPr>
              <w:t xml:space="preserve">III</w:t>
            </w:r>
          </w:p>
          <w:p>
            <w:pPr>
              <w:spacing w:after="200" w:line="657"/>
            </w:pPr>
            <w:r>
              <w:rPr>
                <w:rFonts w:ascii="DejaVu Serif" w:cs="DejaVu Serif" w:eastAsia="DejaVu Serif" w:hAnsi="DejaVu Serif"/>
                <w:b/>
                <w:bCs/>
                <w:color w:val="1B6EF3"/>
                <w:sz w:val="62"/>
                <w:szCs w:val="62"/>
              </w:rPr>
              <w:t xml:space="preserve">The Catalogue</w:t>
            </w:r>
          </w:p>
          <w:p>
            <w:pPr>
              <w:pBdr>
                <w:bottom w:val="single" w:color="1B6EF3" w:sz="8" w:space="12"/>
              </w:pBdr>
              <w:spacing w:after="140"/>
            </w:pPr>
            <w:r>
              <w:rPr>
                <w:rFonts w:ascii="Liberation Serif" w:cs="Liberation Serif" w:eastAsia="Liberation Serif" w:hAnsi="Liberation Serif"/>
              </w:rPr>
              <w:t xml:space="preserve"/>
            </w:r>
          </w:p>
          <w:p>
            <w:pPr>
              <w:spacing w:after="90"/>
            </w:pPr>
            <w:r>
              <w:rPr>
                <w:rFonts w:ascii="Liberation Serif" w:cs="Liberation Serif" w:eastAsia="Liberation Serif" w:hAnsi="Liberation Serif"/>
                <w:color w:val="D9DEE5"/>
                <w:sz w:val="23"/>
                <w:szCs w:val="23"/>
              </w:rPr>
              <w:t xml:space="preserve">Products · Services · Modules · Transparent Pricing</w:t>
            </w:r>
          </w:p>
          <w:p>
            <w:pPr>
              <w:spacing w:after="1200"/>
            </w:pPr>
            <w:r>
              <w:rPr>
                <w:rFonts w:ascii="Liberation Serif" w:cs="Liberation Serif" w:eastAsia="Liberation Serif" w:hAnsi="Liberation Serif"/>
                <w:color w:val="7C8794"/>
                <w:sz w:val="19"/>
                <w:szCs w:val="19"/>
              </w:rPr>
              <w:t xml:space="preserve">The StromeX Editorial Bible  ·  Edition II</w:t>
            </w:r>
          </w:p>
          <w:p>
            <w:pPr>
              <w:spacing w:after="40"/>
            </w:pPr>
            <w:r>
              <w:rPr>
                <w:rFonts w:ascii="DejaVu Sans" w:cs="DejaVu Sans" w:eastAsia="DejaVu Sans" w:hAnsi="DejaVu Sans"/>
                <w:b/>
                <w:bCs/>
                <w:color w:val="9AA5B1"/>
                <w:spacing w:val="40"/>
                <w:sz w:val="13"/>
                <w:szCs w:val="13"/>
              </w:rPr>
              <w:t xml:space="preserve">AUTHORITY — OPERATIONAL — PRICING COUNCIL</w:t>
            </w:r>
          </w:p>
          <w:p>
            <w:r>
              <w:rPr>
                <w:rFonts w:ascii="DejaVu Sans" w:cs="DejaVu Sans" w:eastAsia="DejaVu Sans" w:hAnsi="DejaVu Sans"/>
                <w:color w:val="7C8794"/>
                <w:spacing w:val="40"/>
                <w:sz w:val="13"/>
                <w:szCs w:val="13"/>
              </w:rPr>
              <w:t xml:space="preserve">13 AUGUST 2026  ·  VERSION 2.0</w:t>
            </w:r>
          </w:p>
        </w:tc>
      </w:tr>
    </w:tbl>
    <w:p>
      <w:pPr>
        <w:sectPr>
          <w:pgSz w:w="11906" w:h="16838" w:orient="portrait"/>
          <w:pgMar w:top="0" w:right="0" w:bottom="0" w:left="0" w:header="0" w:footer="0" w:gutter="0"/>
          <w:pgNumType/>
          <w:docGrid w:linePitch="360"/>
        </w:sectPr>
      </w:pPr>
    </w:p>
    <w:p>
      <w:pPr>
        <w:spacing w:after="0" w:before="1400"/>
      </w:pPr>
      <w:r>
        <w:rPr>
          <w:rFonts w:ascii="DejaVu Sans" w:cs="DejaVu Sans" w:eastAsia="DejaVu Sans" w:hAnsi="DejaVu Sans"/>
          <w:b/>
          <w:bCs/>
          <w:color w:val="1B6EF3"/>
          <w:spacing w:val="160"/>
          <w:sz w:val="15"/>
          <w:szCs w:val="15"/>
        </w:rPr>
        <w:t xml:space="preserve">STROMEX GROUP  ·  EXECUTIVE KNOWLEDGE SYSTEM</w:t>
      </w:r>
    </w:p>
    <w:p>
      <w:pPr>
        <w:pBdr>
          <w:bottom w:val="single" w:color="C9CFD9" w:sz="4" w:space="1"/>
        </w:pBdr>
        <w:spacing w:after="640" w:before="200"/>
      </w:pPr>
      <w:r>
        <w:rPr>
          <w:rFonts w:ascii="Liberation Serif" w:cs="Liberation Serif" w:eastAsia="Liberation Serif" w:hAnsi="Liberation Serif"/>
        </w:rPr>
        <w:t xml:space="preserve"/>
      </w:r>
    </w:p>
    <w:p>
      <w:pPr>
        <w:spacing w:after="0"/>
      </w:pPr>
      <w:r>
        <w:rPr>
          <w:rFonts w:ascii="DejaVu Sans" w:cs="DejaVu Sans" w:eastAsia="DejaVu Sans" w:hAnsi="DejaVu Sans"/>
          <w:b/>
          <w:bCs/>
          <w:color w:val="6B7480"/>
          <w:spacing w:val="200"/>
          <w:sz w:val="16"/>
          <w:szCs w:val="16"/>
        </w:rPr>
        <w:t xml:space="preserve">BOOK III</w:t>
      </w:r>
    </w:p>
    <w:p>
      <w:pPr>
        <w:spacing w:after="220" w:before="160" w:line="594"/>
      </w:pPr>
      <w:r>
        <w:rPr>
          <w:rFonts w:ascii="DejaVu Serif" w:cs="DejaVu Serif" w:eastAsia="DejaVu Serif" w:hAnsi="DejaVu Serif"/>
          <w:b/>
          <w:bCs/>
          <w:color w:val="0D1117"/>
          <w:sz w:val="56"/>
          <w:szCs w:val="56"/>
        </w:rPr>
        <w:t xml:space="preserve">The Catalogue</w:t>
      </w:r>
    </w:p>
    <w:p>
      <w:pPr>
        <w:spacing w:after="700"/>
      </w:pPr>
      <w:r>
        <w:rPr>
          <w:rFonts w:ascii="Liberation Serif" w:cs="Liberation Serif" w:eastAsia="Liberation Serif" w:hAnsi="Liberation Serif"/>
          <w:color w:val="38414D"/>
          <w:sz w:val="22"/>
          <w:szCs w:val="22"/>
        </w:rPr>
        <w:t xml:space="preserve">Products · Services · Modules · Transparent Pricing</w:t>
      </w:r>
    </w:p>
    <w:p>
      <w:pPr>
        <w:spacing w:after="140"/>
      </w:pPr>
      <w:r>
        <w:rPr>
          <w:rFonts w:ascii="DejaVu Sans" w:cs="DejaVu Sans" w:eastAsia="DejaVu Sans" w:hAnsi="DejaVu Sans"/>
          <w:b/>
          <w:bCs/>
          <w:color w:val="1B6EF3"/>
          <w:spacing w:val="110"/>
          <w:sz w:val="13"/>
          <w:szCs w:val="13"/>
        </w:rPr>
        <w:t xml:space="preserve">EXECUTIVE SUMMARY</w:t>
      </w:r>
    </w:p>
    <w:p>
      <w:pPr>
        <w:pStyle w:val="ExecSummary"/>
      </w:pPr>
      <w:r>
        <w:t xml:space="preserve">Volume III is the commercial heart of the corpus and the sole authority on StromeX prices. Seventeen divisions carry itemised, published, module-level pricing — web and digital presence, the institutional platform, identity and credentials, cloud, AI, payments, automation, mobile, intelligence, security, hardware and smart campus, design, publishing and print, consulting, the academy, the marketplace, and support — each line stating its purpose, specification, price, exclusions and upgrade path. It defines the regional band multipliers, discount authority, credits and verification tokens, and the anti-bill-shock rules. Every line is marked according to whether it is built, partial, or specified but not yet built. Four worked configurations show what an institution actually pays, including a state ministry deployment at approximately $1.48 per student per year.</w:t>
      </w:r>
    </w:p>
    <w:p>
      <w:pPr>
        <w:pBdr>
          <w:bottom w:val="single" w:color="C9CFD9" w:sz="4" w:space="1"/>
        </w:pBdr>
        <w:spacing w:after="200" w:before="500"/>
      </w:pPr>
      <w:r>
        <w:rPr>
          <w:rFonts w:ascii="Liberation Serif" w:cs="Liberation Serif" w:eastAsia="Liberation Serif" w:hAnsi="Liberation Serif"/>
        </w:rPr>
        <w:t xml:space="preserve"/>
      </w:r>
    </w:p>
    <w:p>
      <w:r>
        <w:rPr>
          <w:rFonts w:ascii="Liberation Serif" w:cs="Liberation Serif" w:eastAsia="Liberation Serif" w:hAnsi="Liberation Serif"/>
          <w:color w:val="6B7480"/>
          <w:sz w:val="16"/>
          <w:szCs w:val="16"/>
        </w:rPr>
        <w:t xml:space="preserve">One book of ten. The corpus index and the other nine are at docs/library/.</w:t>
      </w:r>
    </w:p>
    <w:p>
      <w:r>
        <w:br w:type="page"/>
      </w:r>
    </w:p>
    <w:p>
      <w:pPr>
        <w:spacing w:after="300" w:before="260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The StromeX Editorial Bible, Edition II.</w:t>
      </w:r>
    </w:p>
    <w:p>
      <w:pPr>
        <w:spacing w:after="0" w:line="270"/>
        <w:jc w:val="left"/>
      </w:pPr>
      <w:r>
        <w:rPr>
          <w:rFonts w:ascii="Liberation Serif" w:cs="Liberation Serif" w:eastAsia="Liberation Serif" w:hAnsi="Liberation Serif"/>
          <w:color w:val="38414D"/>
          <w:sz w:val="16"/>
          <w:szCs w:val="16"/>
        </w:rPr>
        <w:t xml:space="preserve">Version 2.0. Published 13 August 2026.</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 2026–2027 StromeX Group Holdings. All rights reserved.</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This corpus is the confidential and proprietary property of StromeX Group Holdings. It is issued to directors, officers, employees, certified partners and such external parties as the Executive may authorise in writing. It may not be reproduced, redistributed, published or disclosed, in whole or in part, without prior written authorisation.</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The StromeX name, the StromeX mark and the sub-brand names recorded in Volume I, Chapter 10 are trademarks of StromeX Group Holdings. Third-party names appearing in this corpus are the trademarks of their respective owners and are used for identification and comparison only.</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This document contains forward-looking statements, including the financial scenarios in Volume VIII. Those scenarios are estimates constructed from stated assumptions. They are not forecasts of record, projections of guaranteed outcome, or a representation that any particular result will be achieved. Actual outcomes will differ, and may differ materially. Nothing in this corpus constitutes an offer of securities, investment advice, or a solicitation of any kind.</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External data cited in this corpus is attributed at the point of use and listed in the Bibliography. Figures describing the group’s own delivered work are drawn from the sources recorded in Internal Sources.</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Composed for A4. The text is set in a serif book face with a companion sans for tabular and navigational matter, following the typographic roles defined in Volume I, Chapter 10; the StromeX brand faces Archivo and Fraunces are shipped alongside this edition and are selected by the build when they are present in the rendering environment. The press-quality PDF edition is generated from this master and the two are content-identical.</w:t>
      </w:r>
    </w:p>
    <w:p>
      <w:r>
        <w:br w:type="page"/>
      </w:r>
    </w:p>
    <w:p>
      <w:pPr>
        <w:spacing w:after="220" w:before="0"/>
      </w:pPr>
      <w:r>
        <w:rPr>
          <w:rFonts w:ascii="DejaVu Sans" w:cs="DejaVu Sans" w:eastAsia="DejaVu Sans" w:hAnsi="DejaVu Sans"/>
          <w:b/>
          <w:bCs/>
          <w:color w:val="6B7480"/>
          <w:spacing w:val="60"/>
          <w:sz w:val="14"/>
          <w:szCs w:val="14"/>
        </w:rPr>
        <w:t xml:space="preserve">DOCUMENT CONTROL</w:t>
      </w:r>
    </w:p>
    <w:p>
      <w:pPr>
        <w:spacing w:after="260"/>
      </w:pPr>
      <w:r>
        <w:rPr>
          <w:rFonts w:ascii="DejaVu Serif" w:cs="DejaVu Serif" w:eastAsia="DejaVu Serif" w:hAnsi="DejaVu Serif"/>
          <w:b/>
          <w:bCs/>
          <w:color w:val="0B3C91"/>
          <w:sz w:val="40"/>
          <w:szCs w:val="40"/>
        </w:rPr>
        <w:t xml:space="preserve">Document Control</w:t>
      </w: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6326"/>
      </w:tblGrid>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BOOK</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III — The Catalogue</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SERIES</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The StromeX Editorial Bible — Executive Knowledge System</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EDITION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Edition II</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VERSION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2.0</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STATUS</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Ratified · Price Book v2.0</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CLASSIFICATION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Confidential — internal and authorised parties</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AUTHORITY TIER</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Operational — Pricing Council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OWNER</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Pricing Council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REVIEW CYCLE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Quarterly</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AMENDMENT PROTOCOL</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I, Chapter 9. Four tiers: Entrenched, Constitutional, Strategic, Operational.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PRECEDENCE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I governs. Where this book conflicts with Book I, Book I wins until formally amended.</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MASTER SOURCE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The DOCX edition of this book. The PDF is generated from it and is content-identical.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SOURCE OF RECORD</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docs/bible/VOLUME-III-CATALOGUE-AND-PRICING.md, under version control.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ISSUED</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13 August 2026</w:t>
            </w:r>
          </w:p>
        </w:tc>
      </w:tr>
    </w:tbl>
    <w:p>
      <w:r>
        <w:br w:type="page"/>
      </w:r>
    </w:p>
    <w:p>
      <w:pPr>
        <w:spacing w:after="220" w:before="0"/>
      </w:pPr>
      <w:r>
        <w:rPr>
          <w:rFonts w:ascii="DejaVu Sans" w:cs="DejaVu Sans" w:eastAsia="DejaVu Sans" w:hAnsi="DejaVu Sans"/>
          <w:b/>
          <w:bCs/>
          <w:color w:val="6B7480"/>
          <w:spacing w:val="60"/>
          <w:sz w:val="14"/>
          <w:szCs w:val="14"/>
        </w:rPr>
        <w:t xml:space="preserve">NAVIGATION</w:t>
      </w:r>
    </w:p>
    <w:p>
      <w:pPr>
        <w:spacing w:after="200"/>
      </w:pPr>
      <w:r>
        <w:rPr>
          <w:rFonts w:ascii="DejaVu Serif" w:cs="DejaVu Serif" w:eastAsia="DejaVu Serif" w:hAnsi="DejaVu Serif"/>
          <w:b/>
          <w:bCs/>
          <w:color w:val="0B3C91"/>
          <w:sz w:val="40"/>
          <w:szCs w:val="40"/>
        </w:rPr>
        <w:t xml:space="preserve">Contents</w:t>
      </w:r>
    </w:p>
    <w:p>
      <w:pPr>
        <w:pStyle w:val="EditorialNote"/>
        <w:spacing w:after="300"/>
      </w:pPr>
      <w:r>
        <w:t xml:space="preserve">A live Word field. In Microsoft Word press Ctrl+A then F9 (⌘A then fn+F9 on macOS) to repaginate it, or right-click and choose Update Field; every entry is an internal hyperlink. The lists of tables and figures and the index that follow are generated by the build and already carry final page numbers.</w:t>
      </w:r>
    </w:p>
    <w:sdt>
      <w:sdtPr>
        <w:alias w:val="Contents"/>
      </w:sdtPr>
      <w:sdtContent>
        <w:p>
          <w:r>
            <w:fldChar w:fldCharType="begin" w:dirty="true"/>
            <w:instrText xml:space="preserve">TOC \o "1-3"</w:instrText>
            <w:fldChar w:fldCharType="separate"/>
          </w:r>
        </w:p>
        <w:p>
          <w:r>
            <w:fldChar w:fldCharType="end"/>
          </w:r>
        </w:p>
      </w:sdtContent>
    </w:sdt>
    <w:p>
      <w:r>
        <w:br w:type="page"/>
      </w:r>
    </w:p>
    <w:p>
      <w:pPr>
        <w:spacing w:after="220" w:before="0"/>
      </w:pPr>
      <w:r>
        <w:rPr>
          <w:rFonts w:ascii="DejaVu Sans" w:cs="DejaVu Sans" w:eastAsia="DejaVu Sans" w:hAnsi="DejaVu Sans"/>
          <w:b/>
          <w:bCs/>
          <w:color w:val="6B7480"/>
          <w:spacing w:val="60"/>
          <w:sz w:val="14"/>
          <w:szCs w:val="14"/>
        </w:rPr>
        <w:t xml:space="preserve">APPARATUS</w:t>
      </w:r>
    </w:p>
    <w:p>
      <w:pPr>
        <w:spacing w:after="300"/>
      </w:pPr>
      <w:r>
        <w:rPr>
          <w:rFonts w:ascii="DejaVu Serif" w:cs="DejaVu Serif" w:eastAsia="DejaVu Serif" w:hAnsi="DejaVu Serif"/>
          <w:b/>
          <w:bCs/>
          <w:color w:val="0B3C91"/>
          <w:sz w:val="40"/>
          <w:szCs w:val="40"/>
        </w:rPr>
        <w:t xml:space="preserve">List of Tables</w:t>
      </w:r>
    </w:p>
    <w:p>
      <w:pPr>
        <w:pStyle w:val="EditorialNote"/>
        <w:spacing w:after="260"/>
      </w:pPr>
      <w:r>
        <w:t xml:space="preserve">Generated by the build from the corpus. Every table in the ten volumes is listed in order of appearance, grouped by volume.</w:t>
      </w:r>
    </w:p>
    <w:p>
      <w:pPr>
        <w:tabs>
          <w:tab w:val="right" w:pos="8866" w:leader="dot"/>
        </w:tabs>
        <w:spacing w:after="20" w:before="0" w:line="260"/>
        <w:ind w:left="0" w:right="200" w:hanging="0"/>
      </w:pPr>
      <w:r>
        <w:rPr>
          <w:b/>
          <w:bCs/>
          <w:sz w:val="17"/>
          <w:szCs w:val="17"/>
        </w:rPr>
        <w:t xml:space="preserve">Table 1</w:t>
      </w:r>
      <w:r>
        <w:rPr>
          <w:sz w:val="17"/>
          <w:szCs w:val="17"/>
        </w:rPr>
        <w:t xml:space="preserve">  Discount authority</w:t>
      </w:r>
      <w:r>
        <w:rPr>
          <w:rFonts w:ascii="DejaVu Sans" w:cs="DejaVu Sans" w:eastAsia="DejaVu Sans" w:hAnsi="DejaVu Sans"/>
          <w:color w:val="0B3C91"/>
          <w:sz w:val="16"/>
          <w:szCs w:val="16"/>
        </w:rPr>
        <w:t xml:space="preserve">	3</w:t>
      </w:r>
    </w:p>
    <w:p>
      <w:pPr>
        <w:tabs>
          <w:tab w:val="right" w:pos="8866" w:leader="dot"/>
        </w:tabs>
        <w:spacing w:after="20" w:before="0" w:line="260"/>
        <w:ind w:left="0" w:right="200" w:hanging="0"/>
      </w:pPr>
      <w:r>
        <w:rPr>
          <w:b/>
          <w:bCs/>
          <w:sz w:val="17"/>
          <w:szCs w:val="17"/>
        </w:rPr>
        <w:t xml:space="preserve">Table 2</w:t>
      </w:r>
      <w:r>
        <w:rPr>
          <w:sz w:val="17"/>
          <w:szCs w:val="17"/>
        </w:rPr>
        <w:t xml:space="preserve">  Website tiers</w:t>
      </w:r>
      <w:r>
        <w:rPr>
          <w:rFonts w:ascii="DejaVu Sans" w:cs="DejaVu Sans" w:eastAsia="DejaVu Sans" w:hAnsi="DejaVu Sans"/>
          <w:color w:val="0B3C91"/>
          <w:sz w:val="16"/>
          <w:szCs w:val="16"/>
        </w:rPr>
        <w:t xml:space="preserve">	5</w:t>
      </w:r>
    </w:p>
    <w:p>
      <w:pPr>
        <w:tabs>
          <w:tab w:val="right" w:pos="8866" w:leader="dot"/>
        </w:tabs>
        <w:spacing w:after="20" w:before="0" w:line="260"/>
        <w:ind w:left="0" w:right="200" w:hanging="0"/>
      </w:pPr>
      <w:r>
        <w:rPr>
          <w:b/>
          <w:bCs/>
          <w:sz w:val="17"/>
          <w:szCs w:val="17"/>
        </w:rPr>
        <w:t xml:space="preserve">Table 3</w:t>
      </w:r>
      <w:r>
        <w:rPr>
          <w:sz w:val="17"/>
          <w:szCs w:val="17"/>
        </w:rPr>
        <w:t xml:space="preserve">  Page-level and structural add-ons</w:t>
      </w:r>
      <w:r>
        <w:rPr>
          <w:rFonts w:ascii="DejaVu Sans" w:cs="DejaVu Sans" w:eastAsia="DejaVu Sans" w:hAnsi="DejaVu Sans"/>
          <w:color w:val="0B3C91"/>
          <w:sz w:val="16"/>
          <w:szCs w:val="16"/>
        </w:rPr>
        <w:t xml:space="preserve">	6</w:t>
      </w:r>
    </w:p>
    <w:p>
      <w:pPr>
        <w:tabs>
          <w:tab w:val="right" w:pos="8866" w:leader="dot"/>
        </w:tabs>
        <w:spacing w:after="20" w:before="0" w:line="260"/>
        <w:ind w:left="0" w:right="200" w:hanging="0"/>
      </w:pPr>
      <w:r>
        <w:rPr>
          <w:b/>
          <w:bCs/>
          <w:sz w:val="17"/>
          <w:szCs w:val="17"/>
        </w:rPr>
        <w:t xml:space="preserve">Table 4</w:t>
      </w:r>
      <w:r>
        <w:rPr>
          <w:sz w:val="17"/>
          <w:szCs w:val="17"/>
        </w:rPr>
        <w:t xml:space="preserve">  Content</w:t>
      </w:r>
      <w:r>
        <w:rPr>
          <w:rFonts w:ascii="DejaVu Sans" w:cs="DejaVu Sans" w:eastAsia="DejaVu Sans" w:hAnsi="DejaVu Sans"/>
          <w:color w:val="0B3C91"/>
          <w:sz w:val="16"/>
          <w:szCs w:val="16"/>
        </w:rPr>
        <w:t xml:space="preserve">	7</w:t>
      </w:r>
    </w:p>
    <w:p>
      <w:pPr>
        <w:tabs>
          <w:tab w:val="right" w:pos="8866" w:leader="dot"/>
        </w:tabs>
        <w:spacing w:after="20" w:before="0" w:line="260"/>
        <w:ind w:left="0" w:right="200" w:hanging="0"/>
      </w:pPr>
      <w:r>
        <w:rPr>
          <w:b/>
          <w:bCs/>
          <w:sz w:val="17"/>
          <w:szCs w:val="17"/>
        </w:rPr>
        <w:t xml:space="preserve">Table 5</w:t>
      </w:r>
      <w:r>
        <w:rPr>
          <w:sz w:val="17"/>
          <w:szCs w:val="17"/>
        </w:rPr>
        <w:t xml:space="preserve">  Multilingual</w:t>
      </w:r>
      <w:r>
        <w:rPr>
          <w:rFonts w:ascii="DejaVu Sans" w:cs="DejaVu Sans" w:eastAsia="DejaVu Sans" w:hAnsi="DejaVu Sans"/>
          <w:color w:val="0B3C91"/>
          <w:sz w:val="16"/>
          <w:szCs w:val="16"/>
        </w:rPr>
        <w:t xml:space="preserve">	7</w:t>
      </w:r>
    </w:p>
    <w:p>
      <w:pPr>
        <w:tabs>
          <w:tab w:val="right" w:pos="8866" w:leader="dot"/>
        </w:tabs>
        <w:spacing w:after="20" w:before="0" w:line="260"/>
        <w:ind w:left="0" w:right="200" w:hanging="0"/>
      </w:pPr>
      <w:r>
        <w:rPr>
          <w:b/>
          <w:bCs/>
          <w:sz w:val="17"/>
          <w:szCs w:val="17"/>
        </w:rPr>
        <w:t xml:space="preserve">Table 6</w:t>
      </w:r>
      <w:r>
        <w:rPr>
          <w:sz w:val="17"/>
          <w:szCs w:val="17"/>
        </w:rPr>
        <w:t xml:space="preserve">  SEO, performance &amp; accessibility</w:t>
      </w:r>
      <w:r>
        <w:rPr>
          <w:rFonts w:ascii="DejaVu Sans" w:cs="DejaVu Sans" w:eastAsia="DejaVu Sans" w:hAnsi="DejaVu Sans"/>
          <w:color w:val="0B3C91"/>
          <w:sz w:val="16"/>
          <w:szCs w:val="16"/>
        </w:rPr>
        <w:t xml:space="preserve">	8</w:t>
      </w:r>
    </w:p>
    <w:p>
      <w:pPr>
        <w:tabs>
          <w:tab w:val="right" w:pos="8866" w:leader="dot"/>
        </w:tabs>
        <w:spacing w:after="20" w:before="0" w:line="260"/>
        <w:ind w:left="0" w:right="200" w:hanging="0"/>
      </w:pPr>
      <w:r>
        <w:rPr>
          <w:b/>
          <w:bCs/>
          <w:sz w:val="17"/>
          <w:szCs w:val="17"/>
        </w:rPr>
        <w:t xml:space="preserve">Table 7</w:t>
      </w:r>
      <w:r>
        <w:rPr>
          <w:sz w:val="17"/>
          <w:szCs w:val="17"/>
        </w:rPr>
        <w:t xml:space="preserve">  Domains &amp; DNS</w:t>
      </w:r>
      <w:r>
        <w:rPr>
          <w:rFonts w:ascii="DejaVu Sans" w:cs="DejaVu Sans" w:eastAsia="DejaVu Sans" w:hAnsi="DejaVu Sans"/>
          <w:color w:val="0B3C91"/>
          <w:sz w:val="16"/>
          <w:szCs w:val="16"/>
        </w:rPr>
        <w:t xml:space="preserve">	8</w:t>
      </w:r>
    </w:p>
    <w:p>
      <w:pPr>
        <w:tabs>
          <w:tab w:val="right" w:pos="8866" w:leader="dot"/>
        </w:tabs>
        <w:spacing w:after="20" w:before="0" w:line="260"/>
        <w:ind w:left="0" w:right="200" w:hanging="0"/>
      </w:pPr>
      <w:r>
        <w:rPr>
          <w:b/>
          <w:bCs/>
          <w:sz w:val="17"/>
          <w:szCs w:val="17"/>
        </w:rPr>
        <w:t xml:space="preserve">Table 8</w:t>
      </w:r>
      <w:r>
        <w:rPr>
          <w:sz w:val="17"/>
          <w:szCs w:val="17"/>
        </w:rPr>
        <w:t xml:space="preserve">  Certificates (TLS/SSL)</w:t>
      </w:r>
      <w:r>
        <w:rPr>
          <w:rFonts w:ascii="DejaVu Sans" w:cs="DejaVu Sans" w:eastAsia="DejaVu Sans" w:hAnsi="DejaVu Sans"/>
          <w:color w:val="0B3C91"/>
          <w:sz w:val="16"/>
          <w:szCs w:val="16"/>
        </w:rPr>
        <w:t xml:space="preserve">	9</w:t>
      </w:r>
    </w:p>
    <w:p>
      <w:pPr>
        <w:tabs>
          <w:tab w:val="right" w:pos="8866" w:leader="dot"/>
        </w:tabs>
        <w:spacing w:after="20" w:before="0" w:line="260"/>
        <w:ind w:left="0" w:right="200" w:hanging="0"/>
      </w:pPr>
      <w:r>
        <w:rPr>
          <w:b/>
          <w:bCs/>
          <w:sz w:val="17"/>
          <w:szCs w:val="17"/>
        </w:rPr>
        <w:t xml:space="preserve">Table 9</w:t>
      </w:r>
      <w:r>
        <w:rPr>
          <w:sz w:val="17"/>
          <w:szCs w:val="17"/>
        </w:rPr>
        <w:t xml:space="preserve">  Email</w:t>
      </w:r>
      <w:r>
        <w:rPr>
          <w:rFonts w:ascii="DejaVu Sans" w:cs="DejaVu Sans" w:eastAsia="DejaVu Sans" w:hAnsi="DejaVu Sans"/>
          <w:color w:val="0B3C91"/>
          <w:sz w:val="16"/>
          <w:szCs w:val="16"/>
        </w:rPr>
        <w:t xml:space="preserve">	9</w:t>
      </w:r>
    </w:p>
    <w:p>
      <w:pPr>
        <w:tabs>
          <w:tab w:val="right" w:pos="8866" w:leader="dot"/>
        </w:tabs>
        <w:spacing w:after="20" w:before="0" w:line="260"/>
        <w:ind w:left="0" w:right="200" w:hanging="0"/>
      </w:pPr>
      <w:r>
        <w:rPr>
          <w:b/>
          <w:bCs/>
          <w:sz w:val="17"/>
          <w:szCs w:val="17"/>
        </w:rPr>
        <w:t xml:space="preserve">Table 10</w:t>
      </w:r>
      <w:r>
        <w:rPr>
          <w:sz w:val="17"/>
          <w:szCs w:val="17"/>
        </w:rPr>
        <w:t xml:space="preserve">  Core platform</w:t>
      </w:r>
      <w:r>
        <w:rPr>
          <w:rFonts w:ascii="DejaVu Sans" w:cs="DejaVu Sans" w:eastAsia="DejaVu Sans" w:hAnsi="DejaVu Sans"/>
          <w:color w:val="0B3C91"/>
          <w:sz w:val="16"/>
          <w:szCs w:val="16"/>
        </w:rPr>
        <w:t xml:space="preserve">	10</w:t>
      </w:r>
    </w:p>
    <w:p>
      <w:pPr>
        <w:tabs>
          <w:tab w:val="right" w:pos="8866" w:leader="dot"/>
        </w:tabs>
        <w:spacing w:after="20" w:before="0" w:line="260"/>
        <w:ind w:left="0" w:right="200" w:hanging="0"/>
      </w:pPr>
      <w:r>
        <w:rPr>
          <w:b/>
          <w:bCs/>
          <w:sz w:val="17"/>
          <w:szCs w:val="17"/>
        </w:rPr>
        <w:t xml:space="preserve">Table 11</w:t>
      </w:r>
      <w:r>
        <w:rPr>
          <w:sz w:val="17"/>
          <w:szCs w:val="17"/>
        </w:rPr>
        <w:t xml:space="preserve">  Portals &amp; role surfaces</w:t>
      </w:r>
      <w:r>
        <w:rPr>
          <w:rFonts w:ascii="DejaVu Sans" w:cs="DejaVu Sans" w:eastAsia="DejaVu Sans" w:hAnsi="DejaVu Sans"/>
          <w:color w:val="0B3C91"/>
          <w:sz w:val="16"/>
          <w:szCs w:val="16"/>
        </w:rPr>
        <w:t xml:space="preserve">	11</w:t>
      </w:r>
    </w:p>
    <w:p>
      <w:pPr>
        <w:tabs>
          <w:tab w:val="right" w:pos="8866" w:leader="dot"/>
        </w:tabs>
        <w:spacing w:after="20" w:before="0" w:line="260"/>
        <w:ind w:left="0" w:right="200" w:hanging="0"/>
      </w:pPr>
      <w:r>
        <w:rPr>
          <w:b/>
          <w:bCs/>
          <w:sz w:val="17"/>
          <w:szCs w:val="17"/>
        </w:rPr>
        <w:t xml:space="preserve">Table 12</w:t>
      </w:r>
      <w:r>
        <w:rPr>
          <w:sz w:val="17"/>
          <w:szCs w:val="17"/>
        </w:rPr>
        <w:t xml:space="preserve">  Academic modules</w:t>
      </w:r>
      <w:r>
        <w:rPr>
          <w:rFonts w:ascii="DejaVu Sans" w:cs="DejaVu Sans" w:eastAsia="DejaVu Sans" w:hAnsi="DejaVu Sans"/>
          <w:color w:val="0B3C91"/>
          <w:sz w:val="16"/>
          <w:szCs w:val="16"/>
        </w:rPr>
        <w:t xml:space="preserve">	12</w:t>
      </w:r>
    </w:p>
    <w:p>
      <w:pPr>
        <w:tabs>
          <w:tab w:val="right" w:pos="8866" w:leader="dot"/>
        </w:tabs>
        <w:spacing w:after="20" w:before="0" w:line="260"/>
        <w:ind w:left="0" w:right="200" w:hanging="0"/>
      </w:pPr>
      <w:r>
        <w:rPr>
          <w:b/>
          <w:bCs/>
          <w:sz w:val="17"/>
          <w:szCs w:val="17"/>
        </w:rPr>
        <w:t xml:space="preserve">Table 13</w:t>
      </w:r>
      <w:r>
        <w:rPr>
          <w:sz w:val="17"/>
          <w:szCs w:val="17"/>
        </w:rPr>
        <w:t xml:space="preserve">  Administrative &amp; operational modules</w:t>
      </w:r>
      <w:r>
        <w:rPr>
          <w:rFonts w:ascii="DejaVu Sans" w:cs="DejaVu Sans" w:eastAsia="DejaVu Sans" w:hAnsi="DejaVu Sans"/>
          <w:color w:val="0B3C91"/>
          <w:sz w:val="16"/>
          <w:szCs w:val="16"/>
        </w:rPr>
        <w:t xml:space="preserve">	14</w:t>
      </w:r>
    </w:p>
    <w:p>
      <w:pPr>
        <w:tabs>
          <w:tab w:val="right" w:pos="8866" w:leader="dot"/>
        </w:tabs>
        <w:spacing w:after="20" w:before="0" w:line="260"/>
        <w:ind w:left="0" w:right="200" w:hanging="0"/>
      </w:pPr>
      <w:r>
        <w:rPr>
          <w:b/>
          <w:bCs/>
          <w:sz w:val="17"/>
          <w:szCs w:val="17"/>
        </w:rPr>
        <w:t xml:space="preserve">Table 14</w:t>
      </w:r>
      <w:r>
        <w:rPr>
          <w:sz w:val="17"/>
          <w:szCs w:val="17"/>
        </w:rPr>
        <w:t xml:space="preserve">  Communications</w:t>
      </w:r>
      <w:r>
        <w:rPr>
          <w:rFonts w:ascii="DejaVu Sans" w:cs="DejaVu Sans" w:eastAsia="DejaVu Sans" w:hAnsi="DejaVu Sans"/>
          <w:color w:val="0B3C91"/>
          <w:sz w:val="16"/>
          <w:szCs w:val="16"/>
        </w:rPr>
        <w:t xml:space="preserve">	14</w:t>
      </w:r>
    </w:p>
    <w:p>
      <w:pPr>
        <w:tabs>
          <w:tab w:val="right" w:pos="8866" w:leader="dot"/>
        </w:tabs>
        <w:spacing w:after="20" w:before="0" w:line="260"/>
        <w:ind w:left="0" w:right="200" w:hanging="0"/>
      </w:pPr>
      <w:r>
        <w:rPr>
          <w:b/>
          <w:bCs/>
          <w:sz w:val="17"/>
          <w:szCs w:val="17"/>
        </w:rPr>
        <w:t xml:space="preserve">Table 15</w:t>
      </w:r>
      <w:r>
        <w:rPr>
          <w:sz w:val="17"/>
          <w:szCs w:val="17"/>
        </w:rPr>
        <w:t xml:space="preserve">  Implementation &amp; migration</w:t>
      </w:r>
      <w:r>
        <w:rPr>
          <w:rFonts w:ascii="DejaVu Sans" w:cs="DejaVu Sans" w:eastAsia="DejaVu Sans" w:hAnsi="DejaVu Sans"/>
          <w:color w:val="0B3C91"/>
          <w:sz w:val="16"/>
          <w:szCs w:val="16"/>
        </w:rPr>
        <w:t xml:space="preserve">	15</w:t>
      </w:r>
    </w:p>
    <w:p>
      <w:pPr>
        <w:tabs>
          <w:tab w:val="right" w:pos="8866" w:leader="dot"/>
        </w:tabs>
        <w:spacing w:after="20" w:before="0" w:line="260"/>
        <w:ind w:left="0" w:right="200" w:hanging="0"/>
      </w:pPr>
      <w:r>
        <w:rPr>
          <w:b/>
          <w:bCs/>
          <w:sz w:val="17"/>
          <w:szCs w:val="17"/>
        </w:rPr>
        <w:t xml:space="preserve">Table 16</w:t>
      </w:r>
      <w:r>
        <w:rPr>
          <w:sz w:val="17"/>
          <w:szCs w:val="17"/>
        </w:rPr>
        <w:t xml:space="preserve">  Credential issuance</w:t>
      </w:r>
      <w:r>
        <w:rPr>
          <w:rFonts w:ascii="DejaVu Sans" w:cs="DejaVu Sans" w:eastAsia="DejaVu Sans" w:hAnsi="DejaVu Sans"/>
          <w:color w:val="0B3C91"/>
          <w:sz w:val="16"/>
          <w:szCs w:val="16"/>
        </w:rPr>
        <w:t xml:space="preserve">	16</w:t>
      </w:r>
    </w:p>
    <w:p>
      <w:pPr>
        <w:tabs>
          <w:tab w:val="right" w:pos="8866" w:leader="dot"/>
        </w:tabs>
        <w:spacing w:after="20" w:before="0" w:line="260"/>
        <w:ind w:left="0" w:right="200" w:hanging="0"/>
      </w:pPr>
      <w:r>
        <w:rPr>
          <w:b/>
          <w:bCs/>
          <w:sz w:val="17"/>
          <w:szCs w:val="17"/>
        </w:rPr>
        <w:t xml:space="preserve">Table 17</w:t>
      </w:r>
      <w:r>
        <w:rPr>
          <w:sz w:val="17"/>
          <w:szCs w:val="17"/>
        </w:rPr>
        <w:t xml:space="preserve">  Verification</w:t>
      </w:r>
      <w:r>
        <w:rPr>
          <w:rFonts w:ascii="DejaVu Sans" w:cs="DejaVu Sans" w:eastAsia="DejaVu Sans" w:hAnsi="DejaVu Sans"/>
          <w:color w:val="0B3C91"/>
          <w:sz w:val="16"/>
          <w:szCs w:val="16"/>
        </w:rPr>
        <w:t xml:space="preserve">	17</w:t>
      </w:r>
    </w:p>
    <w:p>
      <w:pPr>
        <w:tabs>
          <w:tab w:val="right" w:pos="8866" w:leader="dot"/>
        </w:tabs>
        <w:spacing w:after="20" w:before="0" w:line="260"/>
        <w:ind w:left="0" w:right="200" w:hanging="0"/>
      </w:pPr>
      <w:r>
        <w:rPr>
          <w:b/>
          <w:bCs/>
          <w:sz w:val="17"/>
          <w:szCs w:val="17"/>
        </w:rPr>
        <w:t xml:space="preserve">Table 18</w:t>
      </w:r>
      <w:r>
        <w:rPr>
          <w:sz w:val="17"/>
          <w:szCs w:val="17"/>
        </w:rPr>
        <w:t xml:space="preserve">  Digital identity</w:t>
      </w:r>
      <w:r>
        <w:rPr>
          <w:rFonts w:ascii="DejaVu Sans" w:cs="DejaVu Sans" w:eastAsia="DejaVu Sans" w:hAnsi="DejaVu Sans"/>
          <w:color w:val="0B3C91"/>
          <w:sz w:val="16"/>
          <w:szCs w:val="16"/>
        </w:rPr>
        <w:t xml:space="preserve">	18</w:t>
      </w:r>
    </w:p>
    <w:p>
      <w:pPr>
        <w:tabs>
          <w:tab w:val="right" w:pos="8866" w:leader="dot"/>
        </w:tabs>
        <w:spacing w:after="20" w:before="0" w:line="260"/>
        <w:ind w:left="0" w:right="200" w:hanging="0"/>
      </w:pPr>
      <w:r>
        <w:rPr>
          <w:b/>
          <w:bCs/>
          <w:sz w:val="17"/>
          <w:szCs w:val="17"/>
        </w:rPr>
        <w:t xml:space="preserve">Table 19</w:t>
      </w:r>
      <w:r>
        <w:rPr>
          <w:sz w:val="17"/>
          <w:szCs w:val="17"/>
        </w:rPr>
        <w:t xml:space="preserve">  Physical credential production</w:t>
      </w:r>
      <w:r>
        <w:rPr>
          <w:rFonts w:ascii="DejaVu Sans" w:cs="DejaVu Sans" w:eastAsia="DejaVu Sans" w:hAnsi="DejaVu Sans"/>
          <w:color w:val="0B3C91"/>
          <w:sz w:val="16"/>
          <w:szCs w:val="16"/>
        </w:rPr>
        <w:t xml:space="preserve">	19</w:t>
      </w:r>
    </w:p>
    <w:p>
      <w:pPr>
        <w:tabs>
          <w:tab w:val="right" w:pos="8866" w:leader="dot"/>
        </w:tabs>
        <w:spacing w:after="20" w:before="0" w:line="260"/>
        <w:ind w:left="0" w:right="200" w:hanging="0"/>
      </w:pPr>
      <w:r>
        <w:rPr>
          <w:b/>
          <w:bCs/>
          <w:sz w:val="17"/>
          <w:szCs w:val="17"/>
        </w:rPr>
        <w:t xml:space="preserve">Table 20</w:t>
      </w:r>
      <w:r>
        <w:rPr>
          <w:sz w:val="17"/>
          <w:szCs w:val="17"/>
        </w:rPr>
        <w:t xml:space="preserve">  The verification tokens</w:t>
      </w:r>
      <w:r>
        <w:rPr>
          <w:rFonts w:ascii="DejaVu Sans" w:cs="DejaVu Sans" w:eastAsia="DejaVu Sans" w:hAnsi="DejaVu Sans"/>
          <w:color w:val="0B3C91"/>
          <w:sz w:val="16"/>
          <w:szCs w:val="16"/>
        </w:rPr>
        <w:t xml:space="preserve">	19</w:t>
      </w:r>
    </w:p>
    <w:p>
      <w:pPr>
        <w:tabs>
          <w:tab w:val="right" w:pos="8866" w:leader="dot"/>
        </w:tabs>
        <w:spacing w:after="20" w:before="0" w:line="260"/>
        <w:ind w:left="0" w:right="200" w:hanging="0"/>
      </w:pPr>
      <w:r>
        <w:rPr>
          <w:b/>
          <w:bCs/>
          <w:sz w:val="17"/>
          <w:szCs w:val="17"/>
        </w:rPr>
        <w:t xml:space="preserve">Table 21</w:t>
      </w:r>
      <w:r>
        <w:rPr>
          <w:sz w:val="17"/>
          <w:szCs w:val="17"/>
        </w:rPr>
        <w:t xml:space="preserve">  Managed hosting</w:t>
      </w:r>
      <w:r>
        <w:rPr>
          <w:rFonts w:ascii="DejaVu Sans" w:cs="DejaVu Sans" w:eastAsia="DejaVu Sans" w:hAnsi="DejaVu Sans"/>
          <w:color w:val="0B3C91"/>
          <w:sz w:val="16"/>
          <w:szCs w:val="16"/>
        </w:rPr>
        <w:t xml:space="preserve">	20</w:t>
      </w:r>
    </w:p>
    <w:p>
      <w:pPr>
        <w:tabs>
          <w:tab w:val="right" w:pos="8866" w:leader="dot"/>
        </w:tabs>
        <w:spacing w:after="20" w:before="0" w:line="260"/>
        <w:ind w:left="0" w:right="200" w:hanging="0"/>
      </w:pPr>
      <w:r>
        <w:rPr>
          <w:b/>
          <w:bCs/>
          <w:sz w:val="17"/>
          <w:szCs w:val="17"/>
        </w:rPr>
        <w:t xml:space="preserve">Table 22</w:t>
      </w:r>
      <w:r>
        <w:rPr>
          <w:sz w:val="17"/>
          <w:szCs w:val="17"/>
        </w:rPr>
        <w:t xml:space="preserve">  Compute, storage &amp; network (metered)</w:t>
      </w:r>
      <w:r>
        <w:rPr>
          <w:rFonts w:ascii="DejaVu Sans" w:cs="DejaVu Sans" w:eastAsia="DejaVu Sans" w:hAnsi="DejaVu Sans"/>
          <w:color w:val="0B3C91"/>
          <w:sz w:val="16"/>
          <w:szCs w:val="16"/>
        </w:rPr>
        <w:t xml:space="preserve">	20</w:t>
      </w:r>
    </w:p>
    <w:p>
      <w:pPr>
        <w:tabs>
          <w:tab w:val="right" w:pos="8866" w:leader="dot"/>
        </w:tabs>
        <w:spacing w:after="20" w:before="0" w:line="260"/>
        <w:ind w:left="0" w:right="200" w:hanging="0"/>
      </w:pPr>
      <w:r>
        <w:rPr>
          <w:b/>
          <w:bCs/>
          <w:sz w:val="17"/>
          <w:szCs w:val="17"/>
        </w:rPr>
        <w:t xml:space="preserve">Table 23</w:t>
      </w:r>
      <w:r>
        <w:rPr>
          <w:sz w:val="17"/>
          <w:szCs w:val="17"/>
        </w:rPr>
        <w:t xml:space="preserve">  Managed data services</w:t>
      </w:r>
      <w:r>
        <w:rPr>
          <w:rFonts w:ascii="DejaVu Sans" w:cs="DejaVu Sans" w:eastAsia="DejaVu Sans" w:hAnsi="DejaVu Sans"/>
          <w:color w:val="0B3C91"/>
          <w:sz w:val="16"/>
          <w:szCs w:val="16"/>
        </w:rPr>
        <w:t xml:space="preserve">	21</w:t>
      </w:r>
    </w:p>
    <w:p>
      <w:pPr>
        <w:tabs>
          <w:tab w:val="right" w:pos="8866" w:leader="dot"/>
        </w:tabs>
        <w:spacing w:after="20" w:before="0" w:line="260"/>
        <w:ind w:left="0" w:right="200" w:hanging="0"/>
      </w:pPr>
      <w:r>
        <w:rPr>
          <w:b/>
          <w:bCs/>
          <w:sz w:val="17"/>
          <w:szCs w:val="17"/>
        </w:rPr>
        <w:t xml:space="preserve">Table 24</w:t>
      </w:r>
      <w:r>
        <w:rPr>
          <w:sz w:val="17"/>
          <w:szCs w:val="17"/>
        </w:rPr>
        <w:t xml:space="preserve">  GPU &amp; AI compute</w:t>
      </w:r>
      <w:r>
        <w:rPr>
          <w:rFonts w:ascii="DejaVu Sans" w:cs="DejaVu Sans" w:eastAsia="DejaVu Sans" w:hAnsi="DejaVu Sans"/>
          <w:color w:val="0B3C91"/>
          <w:sz w:val="16"/>
          <w:szCs w:val="16"/>
        </w:rPr>
        <w:t xml:space="preserve">	21</w:t>
      </w:r>
    </w:p>
    <w:p>
      <w:pPr>
        <w:tabs>
          <w:tab w:val="right" w:pos="8866" w:leader="dot"/>
        </w:tabs>
        <w:spacing w:after="20" w:before="0" w:line="260"/>
        <w:ind w:left="0" w:right="200" w:hanging="0"/>
      </w:pPr>
      <w:r>
        <w:rPr>
          <w:b/>
          <w:bCs/>
          <w:sz w:val="17"/>
          <w:szCs w:val="17"/>
        </w:rPr>
        <w:t xml:space="preserve">Table 25</w:t>
      </w:r>
      <w:r>
        <w:rPr>
          <w:sz w:val="17"/>
          <w:szCs w:val="17"/>
        </w:rPr>
        <w:t xml:space="preserve">  Platform services</w:t>
      </w:r>
      <w:r>
        <w:rPr>
          <w:rFonts w:ascii="DejaVu Sans" w:cs="DejaVu Sans" w:eastAsia="DejaVu Sans" w:hAnsi="DejaVu Sans"/>
          <w:color w:val="0B3C91"/>
          <w:sz w:val="16"/>
          <w:szCs w:val="16"/>
        </w:rPr>
        <w:t xml:space="preserve">	22</w:t>
      </w:r>
    </w:p>
    <w:p>
      <w:pPr>
        <w:tabs>
          <w:tab w:val="right" w:pos="8866" w:leader="dot"/>
        </w:tabs>
        <w:spacing w:after="20" w:before="0" w:line="260"/>
        <w:ind w:left="0" w:right="200" w:hanging="0"/>
      </w:pPr>
      <w:r>
        <w:rPr>
          <w:b/>
          <w:bCs/>
          <w:sz w:val="17"/>
          <w:szCs w:val="17"/>
        </w:rPr>
        <w:t xml:space="preserve">Table 26</w:t>
      </w:r>
      <w:r>
        <w:rPr>
          <w:sz w:val="17"/>
          <w:szCs w:val="17"/>
        </w:rPr>
        <w:t xml:space="preserve">  Data residency &amp; sovereignty</w:t>
      </w:r>
      <w:r>
        <w:rPr>
          <w:rFonts w:ascii="DejaVu Sans" w:cs="DejaVu Sans" w:eastAsia="DejaVu Sans" w:hAnsi="DejaVu Sans"/>
          <w:color w:val="0B3C91"/>
          <w:sz w:val="16"/>
          <w:szCs w:val="16"/>
        </w:rPr>
        <w:t xml:space="preserve">	22</w:t>
      </w:r>
    </w:p>
    <w:p>
      <w:pPr>
        <w:tabs>
          <w:tab w:val="right" w:pos="8866" w:leader="dot"/>
        </w:tabs>
        <w:spacing w:after="20" w:before="0" w:line="260"/>
        <w:ind w:left="0" w:right="200" w:hanging="0"/>
      </w:pPr>
      <w:r>
        <w:rPr>
          <w:b/>
          <w:bCs/>
          <w:sz w:val="17"/>
          <w:szCs w:val="17"/>
        </w:rPr>
        <w:t xml:space="preserve">Table 27</w:t>
      </w:r>
      <w:r>
        <w:rPr>
          <w:sz w:val="17"/>
          <w:szCs w:val="17"/>
        </w:rPr>
        <w:t xml:space="preserve">  AI agents — subscription per agent, per institution</w:t>
      </w:r>
      <w:r>
        <w:rPr>
          <w:rFonts w:ascii="DejaVu Sans" w:cs="DejaVu Sans" w:eastAsia="DejaVu Sans" w:hAnsi="DejaVu Sans"/>
          <w:color w:val="0B3C91"/>
          <w:sz w:val="16"/>
          <w:szCs w:val="16"/>
        </w:rPr>
        <w:t xml:space="preserve">	23</w:t>
      </w:r>
    </w:p>
    <w:p>
      <w:pPr>
        <w:tabs>
          <w:tab w:val="right" w:pos="8866" w:leader="dot"/>
        </w:tabs>
        <w:spacing w:after="20" w:before="0" w:line="260"/>
        <w:ind w:left="0" w:right="200" w:hanging="0"/>
      </w:pPr>
      <w:r>
        <w:rPr>
          <w:b/>
          <w:bCs/>
          <w:sz w:val="17"/>
          <w:szCs w:val="17"/>
        </w:rPr>
        <w:t xml:space="preserve">Table 28</w:t>
      </w:r>
      <w:r>
        <w:rPr>
          <w:sz w:val="17"/>
          <w:szCs w:val="17"/>
        </w:rPr>
        <w:t xml:space="preserve">  AI agents — subscription per agent, per institution</w:t>
      </w:r>
      <w:r>
        <w:rPr>
          <w:rFonts w:ascii="DejaVu Sans" w:cs="DejaVu Sans" w:eastAsia="DejaVu Sans" w:hAnsi="DejaVu Sans"/>
          <w:color w:val="0B3C91"/>
          <w:sz w:val="16"/>
          <w:szCs w:val="16"/>
        </w:rPr>
        <w:t xml:space="preserve">	24</w:t>
      </w:r>
    </w:p>
    <w:p>
      <w:pPr>
        <w:tabs>
          <w:tab w:val="right" w:pos="8866" w:leader="dot"/>
        </w:tabs>
        <w:spacing w:after="20" w:before="0" w:line="260"/>
        <w:ind w:left="0" w:right="200" w:hanging="0"/>
      </w:pPr>
      <w:r>
        <w:rPr>
          <w:b/>
          <w:bCs/>
          <w:sz w:val="17"/>
          <w:szCs w:val="17"/>
        </w:rPr>
        <w:t xml:space="preserve">Table 29</w:t>
      </w:r>
      <w:r>
        <w:rPr>
          <w:sz w:val="17"/>
          <w:szCs w:val="17"/>
        </w:rPr>
        <w:t xml:space="preserve">  AI agents — subscription per agent, per institution</w:t>
      </w:r>
      <w:r>
        <w:rPr>
          <w:rFonts w:ascii="DejaVu Sans" w:cs="DejaVu Sans" w:eastAsia="DejaVu Sans" w:hAnsi="DejaVu Sans"/>
          <w:color w:val="0B3C91"/>
          <w:sz w:val="16"/>
          <w:szCs w:val="16"/>
        </w:rPr>
        <w:t xml:space="preserve">	24</w:t>
      </w:r>
    </w:p>
    <w:p>
      <w:pPr>
        <w:tabs>
          <w:tab w:val="right" w:pos="8866" w:leader="dot"/>
        </w:tabs>
        <w:spacing w:after="20" w:before="0" w:line="260"/>
        <w:ind w:left="0" w:right="200" w:hanging="0"/>
      </w:pPr>
      <w:r>
        <w:rPr>
          <w:b/>
          <w:bCs/>
          <w:sz w:val="17"/>
          <w:szCs w:val="17"/>
        </w:rPr>
        <w:t xml:space="preserve">Table 30</w:t>
      </w:r>
      <w:r>
        <w:rPr>
          <w:sz w:val="17"/>
          <w:szCs w:val="17"/>
        </w:rPr>
        <w:t xml:space="preserve">  AI platform</w:t>
      </w:r>
      <w:r>
        <w:rPr>
          <w:rFonts w:ascii="DejaVu Sans" w:cs="DejaVu Sans" w:eastAsia="DejaVu Sans" w:hAnsi="DejaVu Sans"/>
          <w:color w:val="0B3C91"/>
          <w:sz w:val="16"/>
          <w:szCs w:val="16"/>
        </w:rPr>
        <w:t xml:space="preserve">	25</w:t>
      </w:r>
    </w:p>
    <w:p>
      <w:pPr>
        <w:tabs>
          <w:tab w:val="right" w:pos="8866" w:leader="dot"/>
        </w:tabs>
        <w:spacing w:after="20" w:before="0" w:line="260"/>
        <w:ind w:left="0" w:right="200" w:hanging="0"/>
      </w:pPr>
      <w:r>
        <w:rPr>
          <w:b/>
          <w:bCs/>
          <w:sz w:val="17"/>
          <w:szCs w:val="17"/>
        </w:rPr>
        <w:t xml:space="preserve">Table 31</w:t>
      </w:r>
      <w:r>
        <w:rPr>
          <w:sz w:val="17"/>
          <w:szCs w:val="17"/>
        </w:rPr>
        <w:t xml:space="preserve">  Stromex Pay</w:t>
      </w:r>
      <w:r>
        <w:rPr>
          <w:rFonts w:ascii="DejaVu Sans" w:cs="DejaVu Sans" w:eastAsia="DejaVu Sans" w:hAnsi="DejaVu Sans"/>
          <w:color w:val="0B3C91"/>
          <w:sz w:val="16"/>
          <w:szCs w:val="16"/>
        </w:rPr>
        <w:t xml:space="preserve">	26</w:t>
      </w:r>
    </w:p>
    <w:p>
      <w:pPr>
        <w:tabs>
          <w:tab w:val="right" w:pos="8866" w:leader="dot"/>
        </w:tabs>
        <w:spacing w:after="20" w:before="0" w:line="260"/>
        <w:ind w:left="0" w:right="200" w:hanging="0"/>
      </w:pPr>
      <w:r>
        <w:rPr>
          <w:b/>
          <w:bCs/>
          <w:sz w:val="17"/>
          <w:szCs w:val="17"/>
        </w:rPr>
        <w:t xml:space="preserve">Table 32</w:t>
      </w:r>
      <w:r>
        <w:rPr>
          <w:sz w:val="17"/>
          <w:szCs w:val="17"/>
        </w:rPr>
        <w:t xml:space="preserve">  Automation platform</w:t>
      </w:r>
      <w:r>
        <w:rPr>
          <w:rFonts w:ascii="DejaVu Sans" w:cs="DejaVu Sans" w:eastAsia="DejaVu Sans" w:hAnsi="DejaVu Sans"/>
          <w:color w:val="0B3C91"/>
          <w:sz w:val="16"/>
          <w:szCs w:val="16"/>
        </w:rPr>
        <w:t xml:space="preserve">	27</w:t>
      </w:r>
    </w:p>
    <w:p>
      <w:pPr>
        <w:tabs>
          <w:tab w:val="right" w:pos="8866" w:leader="dot"/>
        </w:tabs>
        <w:spacing w:after="20" w:before="0" w:line="260"/>
        <w:ind w:left="0" w:right="200" w:hanging="0"/>
      </w:pPr>
      <w:r>
        <w:rPr>
          <w:b/>
          <w:bCs/>
          <w:sz w:val="17"/>
          <w:szCs w:val="17"/>
        </w:rPr>
        <w:t xml:space="preserve">Table 33</w:t>
      </w:r>
      <w:r>
        <w:rPr>
          <w:sz w:val="17"/>
          <w:szCs w:val="17"/>
        </w:rPr>
        <w:t xml:space="preserve">  Prebuilt automation packs</w:t>
      </w:r>
      <w:r>
        <w:rPr>
          <w:rFonts w:ascii="DejaVu Sans" w:cs="DejaVu Sans" w:eastAsia="DejaVu Sans" w:hAnsi="DejaVu Sans"/>
          <w:color w:val="0B3C91"/>
          <w:sz w:val="16"/>
          <w:szCs w:val="16"/>
        </w:rPr>
        <w:t xml:space="preserve">	28</w:t>
      </w:r>
    </w:p>
    <w:p>
      <w:pPr>
        <w:tabs>
          <w:tab w:val="right" w:pos="8866" w:leader="dot"/>
        </w:tabs>
        <w:spacing w:after="20" w:before="0" w:line="260"/>
        <w:ind w:left="0" w:right="200" w:hanging="0"/>
      </w:pPr>
      <w:r>
        <w:rPr>
          <w:b/>
          <w:bCs/>
          <w:sz w:val="17"/>
          <w:szCs w:val="17"/>
        </w:rPr>
        <w:t xml:space="preserve">Table 34</w:t>
      </w:r>
      <w:r>
        <w:rPr>
          <w:sz w:val="17"/>
          <w:szCs w:val="17"/>
        </w:rPr>
        <w:t xml:space="preserve">  Integration</w:t>
      </w:r>
      <w:r>
        <w:rPr>
          <w:rFonts w:ascii="DejaVu Sans" w:cs="DejaVu Sans" w:eastAsia="DejaVu Sans" w:hAnsi="DejaVu Sans"/>
          <w:color w:val="0B3C91"/>
          <w:sz w:val="16"/>
          <w:szCs w:val="16"/>
        </w:rPr>
        <w:t xml:space="preserve">	29</w:t>
      </w:r>
    </w:p>
    <w:p>
      <w:pPr>
        <w:tabs>
          <w:tab w:val="right" w:pos="8866" w:leader="dot"/>
        </w:tabs>
        <w:spacing w:after="20" w:before="0" w:line="260"/>
        <w:ind w:left="0" w:right="200" w:hanging="0"/>
      </w:pPr>
      <w:r>
        <w:rPr>
          <w:b/>
          <w:bCs/>
          <w:sz w:val="17"/>
          <w:szCs w:val="17"/>
        </w:rPr>
        <w:t xml:space="preserve">Table 35</w:t>
      </w:r>
      <w:r>
        <w:rPr>
          <w:sz w:val="17"/>
          <w:szCs w:val="17"/>
        </w:rPr>
        <w:t xml:space="preserve">  Mobile &amp; Applications</w:t>
      </w:r>
      <w:r>
        <w:rPr>
          <w:rFonts w:ascii="DejaVu Sans" w:cs="DejaVu Sans" w:eastAsia="DejaVu Sans" w:hAnsi="DejaVu Sans"/>
          <w:color w:val="0B3C91"/>
          <w:sz w:val="16"/>
          <w:szCs w:val="16"/>
        </w:rPr>
        <w:t xml:space="preserve">	30</w:t>
      </w:r>
    </w:p>
    <w:p>
      <w:pPr>
        <w:tabs>
          <w:tab w:val="right" w:pos="8866" w:leader="dot"/>
        </w:tabs>
        <w:spacing w:after="20" w:before="0" w:line="260"/>
        <w:ind w:left="0" w:right="200" w:hanging="0"/>
      </w:pPr>
      <w:r>
        <w:rPr>
          <w:b/>
          <w:bCs/>
          <w:sz w:val="17"/>
          <w:szCs w:val="17"/>
        </w:rPr>
        <w:t xml:space="preserve">Table 36</w:t>
      </w:r>
      <w:r>
        <w:rPr>
          <w:sz w:val="17"/>
          <w:szCs w:val="17"/>
        </w:rPr>
        <w:t xml:space="preserve">  Intelligence &amp; Analytics</w:t>
      </w:r>
      <w:r>
        <w:rPr>
          <w:rFonts w:ascii="DejaVu Sans" w:cs="DejaVu Sans" w:eastAsia="DejaVu Sans" w:hAnsi="DejaVu Sans"/>
          <w:color w:val="0B3C91"/>
          <w:sz w:val="16"/>
          <w:szCs w:val="16"/>
        </w:rPr>
        <w:t xml:space="preserve">	31</w:t>
      </w:r>
    </w:p>
    <w:p>
      <w:pPr>
        <w:tabs>
          <w:tab w:val="right" w:pos="8866" w:leader="dot"/>
        </w:tabs>
        <w:spacing w:after="20" w:before="0" w:line="260"/>
        <w:ind w:left="0" w:right="200" w:hanging="0"/>
      </w:pPr>
      <w:r>
        <w:rPr>
          <w:b/>
          <w:bCs/>
          <w:sz w:val="17"/>
          <w:szCs w:val="17"/>
        </w:rPr>
        <w:t xml:space="preserve">Table 37</w:t>
      </w:r>
      <w:r>
        <w:rPr>
          <w:sz w:val="17"/>
          <w:szCs w:val="17"/>
        </w:rPr>
        <w:t xml:space="preserve">  Security &amp; Compliance</w:t>
      </w:r>
      <w:r>
        <w:rPr>
          <w:rFonts w:ascii="DejaVu Sans" w:cs="DejaVu Sans" w:eastAsia="DejaVu Sans" w:hAnsi="DejaVu Sans"/>
          <w:color w:val="0B3C91"/>
          <w:sz w:val="16"/>
          <w:szCs w:val="16"/>
        </w:rPr>
        <w:t xml:space="preserve">	33</w:t>
      </w:r>
    </w:p>
    <w:p>
      <w:pPr>
        <w:tabs>
          <w:tab w:val="right" w:pos="8866" w:leader="dot"/>
        </w:tabs>
        <w:spacing w:after="20" w:before="0" w:line="260"/>
        <w:ind w:left="0" w:right="200" w:hanging="0"/>
      </w:pPr>
      <w:r>
        <w:rPr>
          <w:b/>
          <w:bCs/>
          <w:sz w:val="17"/>
          <w:szCs w:val="17"/>
        </w:rPr>
        <w:t xml:space="preserve">Table 38</w:t>
      </w:r>
      <w:r>
        <w:rPr>
          <w:sz w:val="17"/>
          <w:szCs w:val="17"/>
        </w:rPr>
        <w:t xml:space="preserve">  Access &amp; security</w:t>
      </w:r>
      <w:r>
        <w:rPr>
          <w:rFonts w:ascii="DejaVu Sans" w:cs="DejaVu Sans" w:eastAsia="DejaVu Sans" w:hAnsi="DejaVu Sans"/>
          <w:color w:val="0B3C91"/>
          <w:sz w:val="16"/>
          <w:szCs w:val="16"/>
        </w:rPr>
        <w:t xml:space="preserve">	34</w:t>
      </w:r>
    </w:p>
    <w:p>
      <w:pPr>
        <w:tabs>
          <w:tab w:val="right" w:pos="8866" w:leader="dot"/>
        </w:tabs>
        <w:spacing w:after="20" w:before="0" w:line="260"/>
        <w:ind w:left="0" w:right="200" w:hanging="0"/>
      </w:pPr>
      <w:r>
        <w:rPr>
          <w:b/>
          <w:bCs/>
          <w:sz w:val="17"/>
          <w:szCs w:val="17"/>
        </w:rPr>
        <w:t xml:space="preserve">Table 39</w:t>
      </w:r>
      <w:r>
        <w:rPr>
          <w:sz w:val="17"/>
          <w:szCs w:val="17"/>
        </w:rPr>
        <w:t xml:space="preserve">  Identity &amp; issuance hardware</w:t>
      </w:r>
      <w:r>
        <w:rPr>
          <w:rFonts w:ascii="DejaVu Sans" w:cs="DejaVu Sans" w:eastAsia="DejaVu Sans" w:hAnsi="DejaVu Sans"/>
          <w:color w:val="0B3C91"/>
          <w:sz w:val="16"/>
          <w:szCs w:val="16"/>
        </w:rPr>
        <w:t xml:space="preserve">	35</w:t>
      </w:r>
    </w:p>
    <w:p>
      <w:pPr>
        <w:tabs>
          <w:tab w:val="right" w:pos="8866" w:leader="dot"/>
        </w:tabs>
        <w:spacing w:after="20" w:before="0" w:line="260"/>
        <w:ind w:left="0" w:right="200" w:hanging="0"/>
      </w:pPr>
      <w:r>
        <w:rPr>
          <w:b/>
          <w:bCs/>
          <w:sz w:val="17"/>
          <w:szCs w:val="17"/>
        </w:rPr>
        <w:t xml:space="preserve">Table 40</w:t>
      </w:r>
      <w:r>
        <w:rPr>
          <w:sz w:val="17"/>
          <w:szCs w:val="17"/>
        </w:rPr>
        <w:t xml:space="preserve">  Campus &amp; operations</w:t>
      </w:r>
      <w:r>
        <w:rPr>
          <w:rFonts w:ascii="DejaVu Sans" w:cs="DejaVu Sans" w:eastAsia="DejaVu Sans" w:hAnsi="DejaVu Sans"/>
          <w:color w:val="0B3C91"/>
          <w:sz w:val="16"/>
          <w:szCs w:val="16"/>
        </w:rPr>
        <w:t xml:space="preserve">	36</w:t>
      </w:r>
    </w:p>
    <w:p>
      <w:pPr>
        <w:tabs>
          <w:tab w:val="right" w:pos="8866" w:leader="dot"/>
        </w:tabs>
        <w:spacing w:after="20" w:before="0" w:line="260"/>
        <w:ind w:left="0" w:right="200" w:hanging="0"/>
      </w:pPr>
      <w:r>
        <w:rPr>
          <w:b/>
          <w:bCs/>
          <w:sz w:val="17"/>
          <w:szCs w:val="17"/>
        </w:rPr>
        <w:t xml:space="preserve">Table 41</w:t>
      </w:r>
      <w:r>
        <w:rPr>
          <w:sz w:val="17"/>
          <w:szCs w:val="17"/>
        </w:rPr>
        <w:t xml:space="preserve">  Smart campus packages</w:t>
      </w:r>
      <w:r>
        <w:rPr>
          <w:rFonts w:ascii="DejaVu Sans" w:cs="DejaVu Sans" w:eastAsia="DejaVu Sans" w:hAnsi="DejaVu Sans"/>
          <w:color w:val="0B3C91"/>
          <w:sz w:val="16"/>
          <w:szCs w:val="16"/>
        </w:rPr>
        <w:t xml:space="preserve">	36</w:t>
      </w:r>
    </w:p>
    <w:p>
      <w:pPr>
        <w:tabs>
          <w:tab w:val="right" w:pos="8866" w:leader="dot"/>
        </w:tabs>
        <w:spacing w:after="20" w:before="0" w:line="260"/>
        <w:ind w:left="0" w:right="200" w:hanging="0"/>
      </w:pPr>
      <w:r>
        <w:rPr>
          <w:b/>
          <w:bCs/>
          <w:sz w:val="17"/>
          <w:szCs w:val="17"/>
        </w:rPr>
        <w:t xml:space="preserve">Table 42</w:t>
      </w:r>
      <w:r>
        <w:rPr>
          <w:sz w:val="17"/>
          <w:szCs w:val="17"/>
        </w:rPr>
        <w:t xml:space="preserve">  Hardware services</w:t>
      </w:r>
      <w:r>
        <w:rPr>
          <w:rFonts w:ascii="DejaVu Sans" w:cs="DejaVu Sans" w:eastAsia="DejaVu Sans" w:hAnsi="DejaVu Sans"/>
          <w:color w:val="0B3C91"/>
          <w:sz w:val="16"/>
          <w:szCs w:val="16"/>
        </w:rPr>
        <w:t xml:space="preserve">	37</w:t>
      </w:r>
    </w:p>
    <w:p>
      <w:pPr>
        <w:tabs>
          <w:tab w:val="right" w:pos="8866" w:leader="dot"/>
        </w:tabs>
        <w:spacing w:after="20" w:before="0" w:line="260"/>
        <w:ind w:left="0" w:right="200" w:hanging="0"/>
      </w:pPr>
      <w:r>
        <w:rPr>
          <w:b/>
          <w:bCs/>
          <w:sz w:val="17"/>
          <w:szCs w:val="17"/>
        </w:rPr>
        <w:t xml:space="preserve">Table 43</w:t>
      </w:r>
      <w:r>
        <w:rPr>
          <w:sz w:val="17"/>
          <w:szCs w:val="17"/>
        </w:rPr>
        <w:t xml:space="preserve">  Brand identity</w:t>
      </w:r>
      <w:r>
        <w:rPr>
          <w:rFonts w:ascii="DejaVu Sans" w:cs="DejaVu Sans" w:eastAsia="DejaVu Sans" w:hAnsi="DejaVu Sans"/>
          <w:color w:val="0B3C91"/>
          <w:sz w:val="16"/>
          <w:szCs w:val="16"/>
        </w:rPr>
        <w:t xml:space="preserve">	38</w:t>
      </w:r>
    </w:p>
    <w:p>
      <w:pPr>
        <w:tabs>
          <w:tab w:val="right" w:pos="8866" w:leader="dot"/>
        </w:tabs>
        <w:spacing w:after="20" w:before="0" w:line="260"/>
        <w:ind w:left="0" w:right="200" w:hanging="0"/>
      </w:pPr>
      <w:r>
        <w:rPr>
          <w:b/>
          <w:bCs/>
          <w:sz w:val="17"/>
          <w:szCs w:val="17"/>
        </w:rPr>
        <w:t xml:space="preserve">Table 44</w:t>
      </w:r>
      <w:r>
        <w:rPr>
          <w:sz w:val="17"/>
          <w:szCs w:val="17"/>
        </w:rPr>
        <w:t xml:space="preserve">  Print &amp; collateral</w:t>
      </w:r>
      <w:r>
        <w:rPr>
          <w:rFonts w:ascii="DejaVu Sans" w:cs="DejaVu Sans" w:eastAsia="DejaVu Sans" w:hAnsi="DejaVu Sans"/>
          <w:color w:val="0B3C91"/>
          <w:sz w:val="16"/>
          <w:szCs w:val="16"/>
        </w:rPr>
        <w:t xml:space="preserve">	39</w:t>
      </w:r>
    </w:p>
    <w:p>
      <w:pPr>
        <w:tabs>
          <w:tab w:val="right" w:pos="8866" w:leader="dot"/>
        </w:tabs>
        <w:spacing w:after="20" w:before="0" w:line="260"/>
        <w:ind w:left="0" w:right="200" w:hanging="0"/>
      </w:pPr>
      <w:r>
        <w:rPr>
          <w:b/>
          <w:bCs/>
          <w:sz w:val="17"/>
          <w:szCs w:val="17"/>
        </w:rPr>
        <w:t xml:space="preserve">Table 45</w:t>
      </w:r>
      <w:r>
        <w:rPr>
          <w:sz w:val="17"/>
          <w:szCs w:val="17"/>
        </w:rPr>
        <w:t xml:space="preserve">  Digital &amp; product design</w:t>
      </w:r>
      <w:r>
        <w:rPr>
          <w:rFonts w:ascii="DejaVu Sans" w:cs="DejaVu Sans" w:eastAsia="DejaVu Sans" w:hAnsi="DejaVu Sans"/>
          <w:color w:val="0B3C91"/>
          <w:sz w:val="16"/>
          <w:szCs w:val="16"/>
        </w:rPr>
        <w:t xml:space="preserve">	40</w:t>
      </w:r>
    </w:p>
    <w:p>
      <w:pPr>
        <w:tabs>
          <w:tab w:val="right" w:pos="8866" w:leader="dot"/>
        </w:tabs>
        <w:spacing w:after="20" w:before="0" w:line="260"/>
        <w:ind w:left="0" w:right="200" w:hanging="0"/>
      </w:pPr>
      <w:r>
        <w:rPr>
          <w:b/>
          <w:bCs/>
          <w:sz w:val="17"/>
          <w:szCs w:val="17"/>
        </w:rPr>
        <w:t xml:space="preserve">Table 46</w:t>
      </w:r>
      <w:r>
        <w:rPr>
          <w:sz w:val="17"/>
          <w:szCs w:val="17"/>
        </w:rPr>
        <w:t xml:space="preserve">  Motion, 3D &amp; media</w:t>
      </w:r>
      <w:r>
        <w:rPr>
          <w:rFonts w:ascii="DejaVu Sans" w:cs="DejaVu Sans" w:eastAsia="DejaVu Sans" w:hAnsi="DejaVu Sans"/>
          <w:color w:val="0B3C91"/>
          <w:sz w:val="16"/>
          <w:szCs w:val="16"/>
        </w:rPr>
        <w:t xml:space="preserve">	40</w:t>
      </w:r>
    </w:p>
    <w:p>
      <w:pPr>
        <w:tabs>
          <w:tab w:val="right" w:pos="8866" w:leader="dot"/>
        </w:tabs>
        <w:spacing w:after="20" w:before="0" w:line="260"/>
        <w:ind w:left="0" w:right="200" w:hanging="0"/>
      </w:pPr>
      <w:r>
        <w:rPr>
          <w:b/>
          <w:bCs/>
          <w:sz w:val="17"/>
          <w:szCs w:val="17"/>
        </w:rPr>
        <w:t xml:space="preserve">Table 47</w:t>
      </w:r>
      <w:r>
        <w:rPr>
          <w:sz w:val="17"/>
          <w:szCs w:val="17"/>
        </w:rPr>
        <w:t xml:space="preserve">  Editorial</w:t>
      </w:r>
      <w:r>
        <w:rPr>
          <w:rFonts w:ascii="DejaVu Sans" w:cs="DejaVu Sans" w:eastAsia="DejaVu Sans" w:hAnsi="DejaVu Sans"/>
          <w:color w:val="0B3C91"/>
          <w:sz w:val="16"/>
          <w:szCs w:val="16"/>
        </w:rPr>
        <w:t xml:space="preserve">	41</w:t>
      </w:r>
    </w:p>
    <w:p>
      <w:pPr>
        <w:tabs>
          <w:tab w:val="right" w:pos="8866" w:leader="dot"/>
        </w:tabs>
        <w:spacing w:after="20" w:before="0" w:line="260"/>
        <w:ind w:left="0" w:right="200" w:hanging="0"/>
      </w:pPr>
      <w:r>
        <w:rPr>
          <w:b/>
          <w:bCs/>
          <w:sz w:val="17"/>
          <w:szCs w:val="17"/>
        </w:rPr>
        <w:t xml:space="preserve">Table 48</w:t>
      </w:r>
      <w:r>
        <w:rPr>
          <w:sz w:val="17"/>
          <w:szCs w:val="17"/>
        </w:rPr>
        <w:t xml:space="preserve">  Design &amp; production</w:t>
      </w:r>
      <w:r>
        <w:rPr>
          <w:rFonts w:ascii="DejaVu Sans" w:cs="DejaVu Sans" w:eastAsia="DejaVu Sans" w:hAnsi="DejaVu Sans"/>
          <w:color w:val="0B3C91"/>
          <w:sz w:val="16"/>
          <w:szCs w:val="16"/>
        </w:rPr>
        <w:t xml:space="preserve">	42</w:t>
      </w:r>
    </w:p>
    <w:p>
      <w:pPr>
        <w:tabs>
          <w:tab w:val="right" w:pos="8866" w:leader="dot"/>
        </w:tabs>
        <w:spacing w:after="20" w:before="0" w:line="260"/>
        <w:ind w:left="0" w:right="200" w:hanging="0"/>
      </w:pPr>
      <w:r>
        <w:rPr>
          <w:b/>
          <w:bCs/>
          <w:sz w:val="17"/>
          <w:szCs w:val="17"/>
        </w:rPr>
        <w:t xml:space="preserve">Table 49</w:t>
      </w:r>
      <w:r>
        <w:rPr>
          <w:sz w:val="17"/>
          <w:szCs w:val="17"/>
        </w:rPr>
        <w:t xml:space="preserve">  International print coordination</w:t>
      </w:r>
      <w:r>
        <w:rPr>
          <w:rFonts w:ascii="DejaVu Sans" w:cs="DejaVu Sans" w:eastAsia="DejaVu Sans" w:hAnsi="DejaVu Sans"/>
          <w:color w:val="0B3C91"/>
          <w:sz w:val="16"/>
          <w:szCs w:val="16"/>
        </w:rPr>
        <w:t xml:space="preserve">	43</w:t>
      </w:r>
    </w:p>
    <w:p>
      <w:pPr>
        <w:tabs>
          <w:tab w:val="right" w:pos="8866" w:leader="dot"/>
        </w:tabs>
        <w:spacing w:after="20" w:before="0" w:line="260"/>
        <w:ind w:left="0" w:right="200" w:hanging="0"/>
      </w:pPr>
      <w:r>
        <w:rPr>
          <w:b/>
          <w:bCs/>
          <w:sz w:val="17"/>
          <w:szCs w:val="17"/>
        </w:rPr>
        <w:t xml:space="preserve">Table 50</w:t>
      </w:r>
      <w:r>
        <w:rPr>
          <w:sz w:val="17"/>
          <w:szCs w:val="17"/>
        </w:rPr>
        <w:t xml:space="preserve">  International print coordination</w:t>
      </w:r>
      <w:r>
        <w:rPr>
          <w:rFonts w:ascii="DejaVu Sans" w:cs="DejaVu Sans" w:eastAsia="DejaVu Sans" w:hAnsi="DejaVu Sans"/>
          <w:color w:val="0B3C91"/>
          <w:sz w:val="16"/>
          <w:szCs w:val="16"/>
        </w:rPr>
        <w:t xml:space="preserve">	43</w:t>
      </w:r>
    </w:p>
    <w:p>
      <w:pPr>
        <w:tabs>
          <w:tab w:val="right" w:pos="8866" w:leader="dot"/>
        </w:tabs>
        <w:spacing w:after="20" w:before="0" w:line="260"/>
        <w:ind w:left="0" w:right="200" w:hanging="0"/>
      </w:pPr>
      <w:r>
        <w:rPr>
          <w:b/>
          <w:bCs/>
          <w:sz w:val="17"/>
          <w:szCs w:val="17"/>
        </w:rPr>
        <w:t xml:space="preserve">Table 51</w:t>
      </w:r>
      <w:r>
        <w:rPr>
          <w:sz w:val="17"/>
          <w:szCs w:val="17"/>
        </w:rPr>
        <w:t xml:space="preserve">  Audio &amp; interactive</w:t>
      </w:r>
      <w:r>
        <w:rPr>
          <w:rFonts w:ascii="DejaVu Sans" w:cs="DejaVu Sans" w:eastAsia="DejaVu Sans" w:hAnsi="DejaVu Sans"/>
          <w:color w:val="0B3C91"/>
          <w:sz w:val="16"/>
          <w:szCs w:val="16"/>
        </w:rPr>
        <w:t xml:space="preserve">	43</w:t>
      </w:r>
    </w:p>
    <w:p>
      <w:pPr>
        <w:tabs>
          <w:tab w:val="right" w:pos="8866" w:leader="dot"/>
        </w:tabs>
        <w:spacing w:after="20" w:before="0" w:line="260"/>
        <w:ind w:left="0" w:right="200" w:hanging="0"/>
      </w:pPr>
      <w:r>
        <w:rPr>
          <w:b/>
          <w:bCs/>
          <w:sz w:val="17"/>
          <w:szCs w:val="17"/>
        </w:rPr>
        <w:t xml:space="preserve">Table 52</w:t>
      </w:r>
      <w:r>
        <w:rPr>
          <w:sz w:val="17"/>
          <w:szCs w:val="17"/>
        </w:rPr>
        <w:t xml:space="preserve">  Institutional &amp; educational publishing</w:t>
      </w:r>
      <w:r>
        <w:rPr>
          <w:rFonts w:ascii="DejaVu Sans" w:cs="DejaVu Sans" w:eastAsia="DejaVu Sans" w:hAnsi="DejaVu Sans"/>
          <w:color w:val="0B3C91"/>
          <w:sz w:val="16"/>
          <w:szCs w:val="16"/>
        </w:rPr>
        <w:t xml:space="preserve">	44</w:t>
      </w:r>
    </w:p>
    <w:p>
      <w:pPr>
        <w:tabs>
          <w:tab w:val="right" w:pos="8866" w:leader="dot"/>
        </w:tabs>
        <w:spacing w:after="20" w:before="0" w:line="260"/>
        <w:ind w:left="0" w:right="200" w:hanging="0"/>
      </w:pPr>
      <w:r>
        <w:rPr>
          <w:b/>
          <w:bCs/>
          <w:sz w:val="17"/>
          <w:szCs w:val="17"/>
        </w:rPr>
        <w:t xml:space="preserve">Table 53</w:t>
      </w:r>
      <w:r>
        <w:rPr>
          <w:sz w:val="17"/>
          <w:szCs w:val="17"/>
        </w:rPr>
        <w:t xml:space="preserve">  Author &amp; publisher services</w:t>
      </w:r>
      <w:r>
        <w:rPr>
          <w:rFonts w:ascii="DejaVu Sans" w:cs="DejaVu Sans" w:eastAsia="DejaVu Sans" w:hAnsi="DejaVu Sans"/>
          <w:color w:val="0B3C91"/>
          <w:sz w:val="16"/>
          <w:szCs w:val="16"/>
        </w:rPr>
        <w:t xml:space="preserve">	45</w:t>
      </w:r>
    </w:p>
    <w:p>
      <w:pPr>
        <w:tabs>
          <w:tab w:val="right" w:pos="8866" w:leader="dot"/>
        </w:tabs>
        <w:spacing w:after="20" w:before="0" w:line="260"/>
        <w:ind w:left="0" w:right="200" w:hanging="0"/>
      </w:pPr>
      <w:r>
        <w:rPr>
          <w:b/>
          <w:bCs/>
          <w:sz w:val="17"/>
          <w:szCs w:val="17"/>
        </w:rPr>
        <w:t xml:space="preserve">Table 54</w:t>
      </w:r>
      <w:r>
        <w:rPr>
          <w:sz w:val="17"/>
          <w:szCs w:val="17"/>
        </w:rPr>
        <w:t xml:space="preserve">  Strategy &amp; transformation</w:t>
      </w:r>
      <w:r>
        <w:rPr>
          <w:rFonts w:ascii="DejaVu Sans" w:cs="DejaVu Sans" w:eastAsia="DejaVu Sans" w:hAnsi="DejaVu Sans"/>
          <w:color w:val="0B3C91"/>
          <w:sz w:val="16"/>
          <w:szCs w:val="16"/>
        </w:rPr>
        <w:t xml:space="preserve">	46</w:t>
      </w:r>
    </w:p>
    <w:p>
      <w:pPr>
        <w:tabs>
          <w:tab w:val="right" w:pos="8866" w:leader="dot"/>
        </w:tabs>
        <w:spacing w:after="20" w:before="0" w:line="260"/>
        <w:ind w:left="0" w:right="200" w:hanging="0"/>
      </w:pPr>
      <w:r>
        <w:rPr>
          <w:b/>
          <w:bCs/>
          <w:sz w:val="17"/>
          <w:szCs w:val="17"/>
        </w:rPr>
        <w:t xml:space="preserve">Table 55</w:t>
      </w:r>
      <w:r>
        <w:rPr>
          <w:sz w:val="17"/>
          <w:szCs w:val="17"/>
        </w:rPr>
        <w:t xml:space="preserve">  Education services</w:t>
      </w:r>
      <w:r>
        <w:rPr>
          <w:rFonts w:ascii="DejaVu Sans" w:cs="DejaVu Sans" w:eastAsia="DejaVu Sans" w:hAnsi="DejaVu Sans"/>
          <w:color w:val="0B3C91"/>
          <w:sz w:val="16"/>
          <w:szCs w:val="16"/>
        </w:rPr>
        <w:t xml:space="preserve">	47</w:t>
      </w:r>
    </w:p>
    <w:p>
      <w:pPr>
        <w:tabs>
          <w:tab w:val="right" w:pos="8866" w:leader="dot"/>
        </w:tabs>
        <w:spacing w:after="20" w:before="0" w:line="260"/>
        <w:ind w:left="0" w:right="200" w:hanging="0"/>
      </w:pPr>
      <w:r>
        <w:rPr>
          <w:b/>
          <w:bCs/>
          <w:sz w:val="17"/>
          <w:szCs w:val="17"/>
        </w:rPr>
        <w:t xml:space="preserve">Table 56</w:t>
      </w:r>
      <w:r>
        <w:rPr>
          <w:sz w:val="17"/>
          <w:szCs w:val="17"/>
        </w:rPr>
        <w:t xml:space="preserve">  Governance, policy &amp; compliance</w:t>
      </w:r>
      <w:r>
        <w:rPr>
          <w:rFonts w:ascii="DejaVu Sans" w:cs="DejaVu Sans" w:eastAsia="DejaVu Sans" w:hAnsi="DejaVu Sans"/>
          <w:color w:val="0B3C91"/>
          <w:sz w:val="16"/>
          <w:szCs w:val="16"/>
        </w:rPr>
        <w:t xml:space="preserve">	48</w:t>
      </w:r>
    </w:p>
    <w:p>
      <w:pPr>
        <w:tabs>
          <w:tab w:val="right" w:pos="8866" w:leader="dot"/>
        </w:tabs>
        <w:spacing w:after="20" w:before="0" w:line="260"/>
        <w:ind w:left="0" w:right="200" w:hanging="0"/>
      </w:pPr>
      <w:r>
        <w:rPr>
          <w:b/>
          <w:bCs/>
          <w:sz w:val="17"/>
          <w:szCs w:val="17"/>
        </w:rPr>
        <w:t xml:space="preserve">Table 57</w:t>
      </w:r>
      <w:r>
        <w:rPr>
          <w:sz w:val="17"/>
          <w:szCs w:val="17"/>
        </w:rPr>
        <w:t xml:space="preserve">  Marketing &amp; growth services</w:t>
      </w:r>
      <w:r>
        <w:rPr>
          <w:rFonts w:ascii="DejaVu Sans" w:cs="DejaVu Sans" w:eastAsia="DejaVu Sans" w:hAnsi="DejaVu Sans"/>
          <w:color w:val="0B3C91"/>
          <w:sz w:val="16"/>
          <w:szCs w:val="16"/>
        </w:rPr>
        <w:t xml:space="preserve">	49</w:t>
      </w:r>
    </w:p>
    <w:p>
      <w:pPr>
        <w:tabs>
          <w:tab w:val="right" w:pos="8866" w:leader="dot"/>
        </w:tabs>
        <w:spacing w:after="20" w:before="0" w:line="260"/>
        <w:ind w:left="0" w:right="200" w:hanging="0"/>
      </w:pPr>
      <w:r>
        <w:rPr>
          <w:b/>
          <w:bCs/>
          <w:sz w:val="17"/>
          <w:szCs w:val="17"/>
        </w:rPr>
        <w:t xml:space="preserve">Table 58</w:t>
      </w:r>
      <w:r>
        <w:rPr>
          <w:sz w:val="17"/>
          <w:szCs w:val="17"/>
        </w:rPr>
        <w:t xml:space="preserve">  Stromex Academy</w:t>
      </w:r>
      <w:r>
        <w:rPr>
          <w:rFonts w:ascii="DejaVu Sans" w:cs="DejaVu Sans" w:eastAsia="DejaVu Sans" w:hAnsi="DejaVu Sans"/>
          <w:color w:val="0B3C91"/>
          <w:sz w:val="16"/>
          <w:szCs w:val="16"/>
        </w:rPr>
        <w:t xml:space="preserve">	50</w:t>
      </w:r>
    </w:p>
    <w:p>
      <w:pPr>
        <w:tabs>
          <w:tab w:val="right" w:pos="8866" w:leader="dot"/>
        </w:tabs>
        <w:spacing w:after="20" w:before="0" w:line="260"/>
        <w:ind w:left="0" w:right="200" w:hanging="0"/>
      </w:pPr>
      <w:r>
        <w:rPr>
          <w:b/>
          <w:bCs/>
          <w:sz w:val="17"/>
          <w:szCs w:val="17"/>
        </w:rPr>
        <w:t xml:space="preserve">Table 59</w:t>
      </w:r>
      <w:r>
        <w:rPr>
          <w:sz w:val="17"/>
          <w:szCs w:val="17"/>
        </w:rPr>
        <w:t xml:space="preserve">  Marketplace</w:t>
      </w:r>
      <w:r>
        <w:rPr>
          <w:rFonts w:ascii="DejaVu Sans" w:cs="DejaVu Sans" w:eastAsia="DejaVu Sans" w:hAnsi="DejaVu Sans"/>
          <w:color w:val="0B3C91"/>
          <w:sz w:val="16"/>
          <w:szCs w:val="16"/>
        </w:rPr>
        <w:t xml:space="preserve">	51</w:t>
      </w:r>
    </w:p>
    <w:p>
      <w:pPr>
        <w:tabs>
          <w:tab w:val="right" w:pos="8866" w:leader="dot"/>
        </w:tabs>
        <w:spacing w:after="20" w:before="0" w:line="260"/>
        <w:ind w:left="0" w:right="200" w:hanging="0"/>
      </w:pPr>
      <w:r>
        <w:rPr>
          <w:b/>
          <w:bCs/>
          <w:sz w:val="17"/>
          <w:szCs w:val="17"/>
        </w:rPr>
        <w:t xml:space="preserve">Table 60</w:t>
      </w:r>
      <w:r>
        <w:rPr>
          <w:sz w:val="17"/>
          <w:szCs w:val="17"/>
        </w:rPr>
        <w:t xml:space="preserve">  White-label &amp; licensing</w:t>
      </w:r>
      <w:r>
        <w:rPr>
          <w:rFonts w:ascii="DejaVu Sans" w:cs="DejaVu Sans" w:eastAsia="DejaVu Sans" w:hAnsi="DejaVu Sans"/>
          <w:color w:val="0B3C91"/>
          <w:sz w:val="16"/>
          <w:szCs w:val="16"/>
        </w:rPr>
        <w:t xml:space="preserve">	52</w:t>
      </w:r>
    </w:p>
    <w:p>
      <w:pPr>
        <w:tabs>
          <w:tab w:val="right" w:pos="8866" w:leader="dot"/>
        </w:tabs>
        <w:spacing w:after="20" w:before="0" w:line="260"/>
        <w:ind w:left="0" w:right="200" w:hanging="0"/>
      </w:pPr>
      <w:r>
        <w:rPr>
          <w:b/>
          <w:bCs/>
          <w:sz w:val="17"/>
          <w:szCs w:val="17"/>
        </w:rPr>
        <w:t xml:space="preserve">Table 61</w:t>
      </w:r>
      <w:r>
        <w:rPr>
          <w:sz w:val="17"/>
          <w:szCs w:val="17"/>
        </w:rPr>
        <w:t xml:space="preserve">  Support tiers</w:t>
      </w:r>
      <w:r>
        <w:rPr>
          <w:rFonts w:ascii="DejaVu Sans" w:cs="DejaVu Sans" w:eastAsia="DejaVu Sans" w:hAnsi="DejaVu Sans"/>
          <w:color w:val="0B3C91"/>
          <w:sz w:val="16"/>
          <w:szCs w:val="16"/>
        </w:rPr>
        <w:t xml:space="preserve">	53</w:t>
      </w:r>
    </w:p>
    <w:p>
      <w:pPr>
        <w:tabs>
          <w:tab w:val="right" w:pos="8866" w:leader="dot"/>
        </w:tabs>
        <w:spacing w:after="20" w:before="0" w:line="260"/>
        <w:ind w:left="0" w:right="200" w:hanging="0"/>
      </w:pPr>
      <w:r>
        <w:rPr>
          <w:b/>
          <w:bCs/>
          <w:sz w:val="17"/>
          <w:szCs w:val="17"/>
        </w:rPr>
        <w:t xml:space="preserve">Table 62</w:t>
      </w:r>
      <w:r>
        <w:rPr>
          <w:sz w:val="17"/>
          <w:szCs w:val="17"/>
        </w:rPr>
        <w:t xml:space="preserve">  Service levels</w:t>
      </w:r>
      <w:r>
        <w:rPr>
          <w:rFonts w:ascii="DejaVu Sans" w:cs="DejaVu Sans" w:eastAsia="DejaVu Sans" w:hAnsi="DejaVu Sans"/>
          <w:color w:val="0B3C91"/>
          <w:sz w:val="16"/>
          <w:szCs w:val="16"/>
        </w:rPr>
        <w:t xml:space="preserve">	53</w:t>
      </w:r>
    </w:p>
    <w:p>
      <w:pPr>
        <w:tabs>
          <w:tab w:val="right" w:pos="8866" w:leader="dot"/>
        </w:tabs>
        <w:spacing w:after="20" w:before="0" w:line="260"/>
        <w:ind w:left="0" w:right="200" w:hanging="0"/>
      </w:pPr>
      <w:r>
        <w:rPr>
          <w:b/>
          <w:bCs/>
          <w:sz w:val="17"/>
          <w:szCs w:val="17"/>
        </w:rPr>
        <w:t xml:space="preserve">Table 63</w:t>
      </w:r>
      <w:r>
        <w:rPr>
          <w:sz w:val="17"/>
          <w:szCs w:val="17"/>
        </w:rPr>
        <w:t xml:space="preserve">  Managed services</w:t>
      </w:r>
      <w:r>
        <w:rPr>
          <w:rFonts w:ascii="DejaVu Sans" w:cs="DejaVu Sans" w:eastAsia="DejaVu Sans" w:hAnsi="DejaVu Sans"/>
          <w:color w:val="0B3C91"/>
          <w:sz w:val="16"/>
          <w:szCs w:val="16"/>
        </w:rPr>
        <w:t xml:space="preserve">	54</w:t>
      </w:r>
    </w:p>
    <w:p>
      <w:pPr>
        <w:tabs>
          <w:tab w:val="right" w:pos="8866" w:leader="dot"/>
        </w:tabs>
        <w:spacing w:after="20" w:before="0" w:line="260"/>
        <w:ind w:left="0" w:right="200" w:hanging="0"/>
      </w:pPr>
      <w:r>
        <w:rPr>
          <w:b/>
          <w:bCs/>
          <w:sz w:val="17"/>
          <w:szCs w:val="17"/>
        </w:rPr>
        <w:t xml:space="preserve">Table 64</w:t>
      </w:r>
      <w:r>
        <w:rPr>
          <w:sz w:val="17"/>
          <w:szCs w:val="17"/>
        </w:rPr>
        <w:t xml:space="preserve">  StromeX Credits</w:t>
      </w:r>
      <w:r>
        <w:rPr>
          <w:rFonts w:ascii="DejaVu Sans" w:cs="DejaVu Sans" w:eastAsia="DejaVu Sans" w:hAnsi="DejaVu Sans"/>
          <w:color w:val="0B3C91"/>
          <w:sz w:val="16"/>
          <w:szCs w:val="16"/>
        </w:rPr>
        <w:t xml:space="preserve">	55</w:t>
      </w:r>
    </w:p>
    <w:p>
      <w:pPr>
        <w:tabs>
          <w:tab w:val="right" w:pos="8866" w:leader="dot"/>
        </w:tabs>
        <w:spacing w:after="20" w:before="0" w:line="260"/>
        <w:ind w:left="0" w:right="200" w:hanging="0"/>
      </w:pPr>
      <w:r>
        <w:rPr>
          <w:b/>
          <w:bCs/>
          <w:sz w:val="17"/>
          <w:szCs w:val="17"/>
        </w:rPr>
        <w:t xml:space="preserve">Table 65</w:t>
      </w:r>
      <w:r>
        <w:rPr>
          <w:sz w:val="17"/>
          <w:szCs w:val="17"/>
        </w:rPr>
        <w:t xml:space="preserve">  StromeX Credits</w:t>
      </w:r>
      <w:r>
        <w:rPr>
          <w:rFonts w:ascii="DejaVu Sans" w:cs="DejaVu Sans" w:eastAsia="DejaVu Sans" w:hAnsi="DejaVu Sans"/>
          <w:color w:val="0B3C91"/>
          <w:sz w:val="16"/>
          <w:szCs w:val="16"/>
        </w:rPr>
        <w:t xml:space="preserve">	55</w:t>
      </w:r>
    </w:p>
    <w:p>
      <w:pPr>
        <w:tabs>
          <w:tab w:val="right" w:pos="8866" w:leader="dot"/>
        </w:tabs>
        <w:spacing w:after="20" w:before="0" w:line="260"/>
        <w:ind w:left="0" w:right="200" w:hanging="0"/>
      </w:pPr>
      <w:r>
        <w:rPr>
          <w:b/>
          <w:bCs/>
          <w:sz w:val="17"/>
          <w:szCs w:val="17"/>
        </w:rPr>
        <w:t xml:space="preserve">Table 66</w:t>
      </w:r>
      <w:r>
        <w:rPr>
          <w:sz w:val="17"/>
          <w:szCs w:val="17"/>
        </w:rPr>
        <w:t xml:space="preserve">  Education suites</w:t>
      </w:r>
      <w:r>
        <w:rPr>
          <w:rFonts w:ascii="DejaVu Sans" w:cs="DejaVu Sans" w:eastAsia="DejaVu Sans" w:hAnsi="DejaVu Sans"/>
          <w:color w:val="0B3C91"/>
          <w:sz w:val="16"/>
          <w:szCs w:val="16"/>
        </w:rPr>
        <w:t xml:space="preserve">	57</w:t>
      </w:r>
    </w:p>
    <w:p>
      <w:pPr>
        <w:tabs>
          <w:tab w:val="right" w:pos="8866" w:leader="dot"/>
        </w:tabs>
        <w:spacing w:after="20" w:before="0" w:line="260"/>
        <w:ind w:left="0" w:right="200" w:hanging="0"/>
      </w:pPr>
      <w:r>
        <w:rPr>
          <w:b/>
          <w:bCs/>
          <w:sz w:val="17"/>
          <w:szCs w:val="17"/>
        </w:rPr>
        <w:t xml:space="preserve">Table 67</w:t>
      </w:r>
      <w:r>
        <w:rPr>
          <w:sz w:val="17"/>
          <w:szCs w:val="17"/>
        </w:rPr>
        <w:t xml:space="preserve">  Other sector suites</w:t>
      </w:r>
      <w:r>
        <w:rPr>
          <w:rFonts w:ascii="DejaVu Sans" w:cs="DejaVu Sans" w:eastAsia="DejaVu Sans" w:hAnsi="DejaVu Sans"/>
          <w:color w:val="0B3C91"/>
          <w:sz w:val="16"/>
          <w:szCs w:val="16"/>
        </w:rPr>
        <w:t xml:space="preserve">	58</w:t>
      </w:r>
    </w:p>
    <w:p>
      <w:pPr>
        <w:tabs>
          <w:tab w:val="right" w:pos="8866" w:leader="dot"/>
        </w:tabs>
        <w:spacing w:after="20" w:before="0" w:line="260"/>
        <w:ind w:left="0" w:right="200" w:hanging="0"/>
      </w:pPr>
      <w:r>
        <w:rPr>
          <w:b/>
          <w:bCs/>
          <w:sz w:val="17"/>
          <w:szCs w:val="17"/>
        </w:rPr>
        <w:t xml:space="preserve">Table 68</w:t>
      </w:r>
      <w:r>
        <w:rPr>
          <w:sz w:val="17"/>
          <w:szCs w:val="17"/>
        </w:rPr>
        <w:t xml:space="preserve">  Cross-division bundles</w:t>
      </w:r>
      <w:r>
        <w:rPr>
          <w:rFonts w:ascii="DejaVu Sans" w:cs="DejaVu Sans" w:eastAsia="DejaVu Sans" w:hAnsi="DejaVu Sans"/>
          <w:color w:val="0B3C91"/>
          <w:sz w:val="16"/>
          <w:szCs w:val="16"/>
        </w:rPr>
        <w:t xml:space="preserve">	58</w:t>
      </w:r>
    </w:p>
    <w:p>
      <w:pPr>
        <w:tabs>
          <w:tab w:val="right" w:pos="8866" w:leader="dot"/>
        </w:tabs>
        <w:spacing w:after="20" w:before="0" w:line="260"/>
        <w:ind w:left="0" w:right="200" w:hanging="0"/>
      </w:pPr>
      <w:r>
        <w:rPr>
          <w:b/>
          <w:bCs/>
          <w:sz w:val="17"/>
          <w:szCs w:val="17"/>
        </w:rPr>
        <w:t xml:space="preserve">Table 69</w:t>
      </w:r>
      <w:r>
        <w:rPr>
          <w:sz w:val="17"/>
          <w:szCs w:val="17"/>
        </w:rPr>
        <w:t xml:space="preserve">  A 220-student primary school in Ikorodu, Lagos (Band A)</w:t>
      </w:r>
      <w:r>
        <w:rPr>
          <w:rFonts w:ascii="DejaVu Sans" w:cs="DejaVu Sans" w:eastAsia="DejaVu Sans" w:hAnsi="DejaVu Sans"/>
          <w:color w:val="0B3C91"/>
          <w:sz w:val="16"/>
          <w:szCs w:val="16"/>
        </w:rPr>
        <w:t xml:space="preserve">	59</w:t>
      </w:r>
    </w:p>
    <w:p>
      <w:pPr>
        <w:tabs>
          <w:tab w:val="right" w:pos="8866" w:leader="dot"/>
        </w:tabs>
        <w:spacing w:after="20" w:before="0" w:line="260"/>
        <w:ind w:left="0" w:right="200" w:hanging="0"/>
      </w:pPr>
      <w:r>
        <w:rPr>
          <w:b/>
          <w:bCs/>
          <w:sz w:val="17"/>
          <w:szCs w:val="17"/>
        </w:rPr>
        <w:t xml:space="preserve">Table 70</w:t>
      </w:r>
      <w:r>
        <w:rPr>
          <w:sz w:val="17"/>
          <w:szCs w:val="17"/>
        </w:rPr>
        <w:t xml:space="preserve">  An 1,800-student secondary school &amp; college group (Band A)</w:t>
      </w:r>
      <w:r>
        <w:rPr>
          <w:rFonts w:ascii="DejaVu Sans" w:cs="DejaVu Sans" w:eastAsia="DejaVu Sans" w:hAnsi="DejaVu Sans"/>
          <w:color w:val="0B3C91"/>
          <w:sz w:val="16"/>
          <w:szCs w:val="16"/>
        </w:rPr>
        <w:t xml:space="preserve">	60</w:t>
      </w:r>
    </w:p>
    <w:p>
      <w:pPr>
        <w:tabs>
          <w:tab w:val="right" w:pos="8866" w:leader="dot"/>
        </w:tabs>
        <w:spacing w:after="20" w:before="0" w:line="260"/>
        <w:ind w:left="0" w:right="200" w:hanging="0"/>
      </w:pPr>
      <w:r>
        <w:rPr>
          <w:b/>
          <w:bCs/>
          <w:sz w:val="17"/>
          <w:szCs w:val="17"/>
        </w:rPr>
        <w:t xml:space="preserve">Table 71</w:t>
      </w:r>
      <w:r>
        <w:rPr>
          <w:sz w:val="17"/>
          <w:szCs w:val="17"/>
        </w:rPr>
        <w:t xml:space="preserve">  An author publishing an Islamic title, UK print (mixed bands)</w:t>
      </w:r>
      <w:r>
        <w:rPr>
          <w:rFonts w:ascii="DejaVu Sans" w:cs="DejaVu Sans" w:eastAsia="DejaVu Sans" w:hAnsi="DejaVu Sans"/>
          <w:color w:val="0B3C91"/>
          <w:sz w:val="16"/>
          <w:szCs w:val="16"/>
        </w:rPr>
        <w:t xml:space="preserve">	61</w:t>
      </w:r>
    </w:p>
    <w:p>
      <w:pPr>
        <w:tabs>
          <w:tab w:val="right" w:pos="8866" w:leader="dot"/>
        </w:tabs>
        <w:spacing w:after="20" w:before="0" w:line="260"/>
        <w:ind w:left="0" w:right="200" w:hanging="0"/>
      </w:pPr>
      <w:r>
        <w:rPr>
          <w:b/>
          <w:bCs/>
          <w:sz w:val="17"/>
          <w:szCs w:val="17"/>
        </w:rPr>
        <w:t xml:space="preserve">Table 72</w:t>
      </w:r>
      <w:r>
        <w:rPr>
          <w:sz w:val="17"/>
          <w:szCs w:val="17"/>
        </w:rPr>
        <w:t xml:space="preserve">  A state ministry of education, 400 schools (Band A, Government tier)</w:t>
      </w:r>
      <w:r>
        <w:rPr>
          <w:rFonts w:ascii="DejaVu Sans" w:cs="DejaVu Sans" w:eastAsia="DejaVu Sans" w:hAnsi="DejaVu Sans"/>
          <w:color w:val="0B3C91"/>
          <w:sz w:val="16"/>
          <w:szCs w:val="16"/>
        </w:rPr>
        <w:t xml:space="preserve">	62</w:t>
      </w:r>
    </w:p>
    <w:p>
      <w:pPr>
        <w:tabs>
          <w:tab w:val="right" w:pos="8866" w:leader="dot"/>
        </w:tabs>
        <w:spacing w:after="20" w:before="0" w:line="260"/>
        <w:ind w:left="0" w:right="200" w:hanging="0"/>
      </w:pPr>
      <w:r>
        <w:rPr>
          <w:b/>
          <w:bCs/>
          <w:sz w:val="17"/>
          <w:szCs w:val="17"/>
        </w:rPr>
        <w:t xml:space="preserve">Table 73</w:t>
      </w:r>
      <w:r>
        <w:rPr>
          <w:sz w:val="17"/>
          <w:szCs w:val="17"/>
        </w:rPr>
        <w:t xml:space="preserve">  Price book governance</w:t>
      </w:r>
      <w:r>
        <w:rPr>
          <w:rFonts w:ascii="DejaVu Sans" w:cs="DejaVu Sans" w:eastAsia="DejaVu Sans" w:hAnsi="DejaVu Sans"/>
          <w:color w:val="0B3C91"/>
          <w:sz w:val="16"/>
          <w:szCs w:val="16"/>
        </w:rPr>
        <w:t xml:space="preserve">	62</w:t>
      </w:r>
    </w:p>
    <w:p>
      <w:pPr>
        <w:tabs>
          <w:tab w:val="right" w:pos="8866" w:leader="dot"/>
        </w:tabs>
        <w:spacing w:after="20" w:before="0" w:line="260"/>
        <w:ind w:left="0" w:right="200" w:hanging="0"/>
      </w:pPr>
      <w:r>
        <w:rPr>
          <w:b/>
          <w:bCs/>
          <w:sz w:val="17"/>
          <w:szCs w:val="17"/>
        </w:rPr>
        <w:t xml:space="preserve">Table 74</w:t>
      </w:r>
      <w:r>
        <w:rPr>
          <w:sz w:val="17"/>
          <w:szCs w:val="17"/>
        </w:rPr>
        <w:t xml:space="preserve">  Glossary of terms</w:t>
      </w:r>
      <w:r>
        <w:rPr>
          <w:rFonts w:ascii="DejaVu Sans" w:cs="DejaVu Sans" w:eastAsia="DejaVu Sans" w:hAnsi="DejaVu Sans"/>
          <w:color w:val="0B3C91"/>
          <w:sz w:val="16"/>
          <w:szCs w:val="16"/>
        </w:rPr>
        <w:t xml:space="preserve">	64</w:t>
      </w:r>
    </w:p>
    <w:p>
      <w:r>
        <w:br w:type="page"/>
      </w:r>
    </w:p>
    <w:p>
      <w:pPr>
        <w:spacing w:after="220" w:before="0"/>
      </w:pPr>
      <w:r>
        <w:rPr>
          <w:rFonts w:ascii="DejaVu Sans" w:cs="DejaVu Sans" w:eastAsia="DejaVu Sans" w:hAnsi="DejaVu Sans"/>
          <w:b/>
          <w:bCs/>
          <w:color w:val="6B7480"/>
          <w:spacing w:val="60"/>
          <w:sz w:val="14"/>
          <w:szCs w:val="14"/>
        </w:rPr>
        <w:t xml:space="preserve">APPARATUS</w:t>
      </w:r>
    </w:p>
    <w:p>
      <w:pPr>
        <w:spacing w:after="300"/>
      </w:pPr>
      <w:r>
        <w:rPr>
          <w:rFonts w:ascii="DejaVu Serif" w:cs="DejaVu Serif" w:eastAsia="DejaVu Serif" w:hAnsi="DejaVu Serif"/>
          <w:b/>
          <w:bCs/>
          <w:color w:val="0B3C91"/>
          <w:sz w:val="40"/>
          <w:szCs w:val="40"/>
        </w:rPr>
        <w:t xml:space="preserve">List of Figures</w:t>
      </w:r>
    </w:p>
    <w:p>
      <w:pPr>
        <w:pStyle w:val="EditorialNote"/>
        <w:spacing w:after="260"/>
      </w:pPr>
      <w:r>
        <w:t xml:space="preserve">Generated by the build from the corpus. Architecture, stack and process figures in order of appearance.</w:t>
      </w:r>
    </w:p>
    <w:p>
      <w:pPr>
        <w:pStyle w:val="EditorialNote"/>
      </w:pPr>
      <w:r>
        <w:t xml:space="preserve">This list is generated by the build. Rebuild the publication to populate it.</w:t>
      </w:r>
    </w:p>
    <w:p>
      <w:r>
        <w:br w:type="page"/>
      </w:r>
    </w:p>
    <w:p>
      <w:pPr>
        <w:sectPr>
          <w:footerReference w:type="default" r:id="rId7"/>
          <w:pgSz w:w="11906" w:h="16838" w:orient="portrait"/>
          <w:pgMar w:top="1300" w:right="1400" w:bottom="1240" w:left="1580" w:header="720" w:footer="680" w:gutter="0"/>
          <w:pgNumType w:start="1" w:fmt="lowerRoman"/>
          <w:docGrid w:linePitch="360"/>
        </w:sectPr>
      </w:pP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926"/>
      </w:tblGrid>
      <w:tr>
        <w:trPr>
          <w:trHeight w:val="8100" w:hRule="exact"/>
        </w:trPr>
        <w:tc>
          <w:tcPr>
            <w:tcW w:type="dxa" w:w="8926"/>
            <w:tcBorders>
              <w:top w:val="none" w:color="FFFFFF" w:sz="0"/>
              <w:left w:val="none" w:color="FFFFFF" w:sz="0"/>
              <w:bottom w:val="none" w:color="FFFFFF" w:sz="0"/>
              <w:right w:val="none" w:color="FFFFFF" w:sz="0"/>
            </w:tcBorders>
            <w:shd w:fill="05070A" w:color="auto" w:val="clear"/>
            <w:tcMar>
              <w:top w:type="dxa" w:w="900"/>
              <w:left w:type="dxa" w:w="620"/>
              <w:bottom w:type="dxa" w:w="900"/>
              <w:right w:type="dxa" w:w="620"/>
            </w:tcMar>
            <w:vAlign w:val="center"/>
          </w:tcPr>
          <w:p>
            <w:pPr>
              <w:spacing w:after="120"/>
            </w:pPr>
            <w:r>
              <w:rPr>
                <w:rFonts w:ascii="DejaVu Sans" w:cs="DejaVu Sans" w:eastAsia="DejaVu Sans" w:hAnsi="DejaVu Sans"/>
                <w:b/>
                <w:bCs/>
                <w:color w:val="1B6EF3"/>
                <w:spacing w:val="180"/>
                <w:sz w:val="16"/>
                <w:szCs w:val="16"/>
              </w:rPr>
              <w:t xml:space="preserve">VOLUME</w:t>
            </w:r>
          </w:p>
          <w:p>
            <w:pPr>
              <w:spacing w:after="240" w:line="1564"/>
            </w:pPr>
            <w:r>
              <w:rPr>
                <w:rFonts w:ascii="DejaVu Serif" w:cs="DejaVu Serif" w:eastAsia="DejaVu Serif" w:hAnsi="DejaVu Serif"/>
                <w:b/>
                <w:bCs/>
                <w:color w:val="FFFFFF"/>
                <w:sz w:val="170"/>
                <w:szCs w:val="170"/>
              </w:rPr>
              <w:t xml:space="preserve">III</w:t>
            </w:r>
          </w:p>
          <w:p>
            <w:pPr>
              <w:pStyle w:val="Heading1"/>
              <w:spacing w:after="160" w:before="0" w:line="648"/>
            </w:pPr>
            <w:r>
              <w:rPr>
                <w:rFonts w:ascii="DejaVu Serif" w:cs="DejaVu Serif" w:eastAsia="DejaVu Serif" w:hAnsi="DejaVu Serif"/>
                <w:b/>
                <w:bCs/>
                <w:color w:val="FFFFFF"/>
                <w:sz w:val="60"/>
                <w:szCs w:val="60"/>
              </w:rPr>
              <w:t xml:space="preserve">The Catalogue</w:t>
            </w:r>
          </w:p>
          <w:p>
            <w:pPr>
              <w:spacing w:after="0"/>
            </w:pPr>
            <w:r>
              <w:rPr>
                <w:rFonts w:ascii="Liberation Serif" w:cs="Liberation Serif" w:eastAsia="Liberation Serif" w:hAnsi="Liberation Serif"/>
                <w:color w:val="8C97A4"/>
                <w:sz w:val="21"/>
                <w:szCs w:val="21"/>
              </w:rPr>
              <w:t xml:space="preserve">Products · Services · Modules · Transparent Pricing</w:t>
            </w:r>
          </w:p>
        </w:tc>
      </w:tr>
    </w:tbl>
    <w:p>
      <w:pPr>
        <w:spacing w:after="60" w:before="320"/>
      </w:pPr>
      <w:r>
        <w:rPr>
          <w:rFonts w:ascii="DejaVu Sans" w:cs="DejaVu Sans" w:eastAsia="DejaVu Sans" w:hAnsi="DejaVu Sans"/>
          <w:b/>
          <w:bCs/>
          <w:color w:val="6B7480"/>
          <w:spacing w:val="110"/>
          <w:sz w:val="13"/>
          <w:szCs w:val="13"/>
        </w:rPr>
        <w:t xml:space="preserve">AUTHORITY</w:t>
      </w:r>
    </w:p>
    <w:p>
      <w:pPr>
        <w:spacing w:after="300"/>
      </w:pPr>
      <w:r>
        <w:rPr>
          <w:rFonts w:ascii="Liberation Serif" w:cs="Liberation Serif" w:eastAsia="Liberation Serif" w:hAnsi="Liberation Serif"/>
          <w:color w:val="0D1117"/>
          <w:sz w:val="18"/>
          <w:szCs w:val="18"/>
        </w:rPr>
        <w:t xml:space="preserve">Operational — Pricing Council</w:t>
      </w:r>
    </w:p>
    <w:p>
      <w:pPr>
        <w:pBdr>
          <w:bottom w:val="single" w:color="C9CFD9" w:sz="4" w:space="1"/>
        </w:pBdr>
        <w:spacing w:after="240" w:before="0"/>
      </w:pPr>
      <w:r>
        <w:rPr>
          <w:rFonts w:ascii="Liberation Serif" w:cs="Liberation Serif" w:eastAsia="Liberation Serif" w:hAnsi="Liberation Serif"/>
        </w:rPr>
        <w:t xml:space="preserve"/>
      </w:r>
    </w:p>
    <w:p>
      <w:pPr>
        <w:spacing w:after="140"/>
      </w:pPr>
      <w:r>
        <w:rPr>
          <w:rFonts w:ascii="DejaVu Sans" w:cs="DejaVu Sans" w:eastAsia="DejaVu Sans" w:hAnsi="DejaVu Sans"/>
          <w:b/>
          <w:bCs/>
          <w:color w:val="1B6EF3"/>
          <w:spacing w:val="110"/>
          <w:sz w:val="14"/>
          <w:szCs w:val="14"/>
        </w:rPr>
        <w:t xml:space="preserve">EXECUTIVE SUMMARY</w:t>
      </w:r>
    </w:p>
    <w:p>
      <w:pPr>
        <w:pStyle w:val="ExecSummary"/>
      </w:pPr>
      <w:r>
        <w:t xml:space="preserve">Volume III is the commercial heart of the corpus and the sole authority on StromeX prices. Seventeen divisions carry itemised, published, module-level pricing — web and digital presence, the institutional platform, identity and credentials, cloud, AI, payments, automation, mobile, intelligence, security, hardware and smart campus, design, publishing and print, consulting, the academy, the marketplace, and support — each line stating its purpose, specification, price, exclusions and upgrade path. It defines the regional band multipliers, discount authority, credits and verification tokens, and the anti-bill-shock rules. Every line is marked according to whether it is built, partial, or specified but not yet built. Four worked configurations show what an institution actually pays, including a state ministry deployment at approximately $1.48 per student per year.</w:t>
      </w:r>
    </w:p>
    <w:p>
      <w:pPr>
        <w:pStyle w:val="PullQuote"/>
        <w:spacing w:after="220" w:before="200"/>
      </w:pPr>
      <w:r>
        <w:rPr>
          <w:b/>
          <w:bCs/>
        </w:rPr>
        <w:t xml:space="preserve">A price quoted from memory, from a deck, from an email, or from a previous deal is not a StromeX price.</w:t>
      </w:r>
      <w:r>
        <w:t xml:space="preserve"> This volume is the sole authority. Where a signed contract differs, the contract is honoured for its term and this volume governs at renewal.</w:t>
      </w:r>
    </w:p>
    <w:p>
      <w:pPr>
        <w:pBdr>
          <w:bottom w:val="single" w:color="C9CFD9" w:sz="4" w:space="1"/>
        </w:pBdr>
        <w:spacing w:after="200" w:before="160"/>
      </w:pPr>
      <w:r>
        <w:t xml:space="preserve"/>
      </w:r>
    </w:p>
    <w:p>
      <w:pPr>
        <w:pStyle w:val="Heading2"/>
        <w:pageBreakBefore/>
      </w:pPr>
      <w:r>
        <w:t xml:space="preserve">CHAPTER 0 — HOW TO USE THIS PRICE BOOK</w:t>
      </w:r>
    </w:p>
    <w:p>
      <w:pPr>
        <w:pStyle w:val="Heading3"/>
      </w:pPr>
      <w:r>
        <w:t xml:space="preserve">0.1 Reading a price</w:t>
      </w:r>
    </w:p>
    <w:p>
      <w:pPr>
        <w:pStyle w:val="ListParagraph"/>
        <w:numPr>
          <w:ilvl w:val="0"/>
          <w:numId w:val="2"/>
        </w:numPr>
        <w:spacing w:after="40" w:before="40" w:line="276"/>
      </w:pPr>
      <w:r>
        <w:rPr>
          <w:b/>
          <w:bCs/>
        </w:rPr>
        <w:t xml:space="preserve">All prices are USD at Band C (list).</w:t>
      </w:r>
      <w:r>
        <w:t xml:space="preserve"> Apply the multiplier from Volume I §6.4 for other markets: </w:t>
      </w:r>
      <w:r>
        <w:rPr>
          <w:b/>
          <w:bCs/>
        </w:rPr>
        <w:t xml:space="preserve">Band A ×0.32</w:t>
      </w:r>
      <w:r>
        <w:t xml:space="preserve">, </w:t>
      </w:r>
      <w:r>
        <w:rPr>
          <w:b/>
          <w:bCs/>
        </w:rPr>
        <w:t xml:space="preserve">Band B ×0.65</w:t>
      </w:r>
      <w:r>
        <w:t xml:space="preserve">, </w:t>
      </w:r>
      <w:r>
        <w:rPr>
          <w:b/>
          <w:bCs/>
        </w:rPr>
        <w:t xml:space="preserve">Band C ×1.00</w:t>
      </w:r>
      <w:r>
        <w:t xml:space="preserve">.</w:t>
      </w:r>
    </w:p>
    <w:p>
      <w:pPr>
        <w:pStyle w:val="ListParagraph"/>
        <w:numPr>
          <w:ilvl w:val="0"/>
          <w:numId w:val="2"/>
        </w:numPr>
        <w:spacing w:after="40" w:before="40" w:line="276"/>
      </w:pPr>
      <w:r>
        <w:rPr>
          <w:rFonts w:ascii="DejaVu Sans Mono" w:cs="DejaVu Sans Mono" w:eastAsia="DejaVu Sans Mono" w:hAnsi="DejaVu Sans Mono"/>
          <w:color w:val="0B3C91"/>
          <w:sz w:val="17"/>
          <w:szCs w:val="17"/>
        </w:rPr>
        <w:t xml:space="preserve">/mo</w:t>
      </w:r>
      <w:r>
        <w:t xml:space="preserve"> = per month, billed monthly or annually (annual = 10× monthly — two months free).</w:t>
      </w:r>
    </w:p>
    <w:p>
      <w:pPr>
        <w:pStyle w:val="ListParagraph"/>
        <w:numPr>
          <w:ilvl w:val="0"/>
          <w:numId w:val="2"/>
        </w:numPr>
        <w:spacing w:after="40" w:before="40" w:line="276"/>
      </w:pPr>
      <w:r>
        <w:rPr>
          <w:rFonts w:ascii="DejaVu Sans Mono" w:cs="DejaVu Sans Mono" w:eastAsia="DejaVu Sans Mono" w:hAnsi="DejaVu Sans Mono"/>
          <w:color w:val="0B3C91"/>
          <w:sz w:val="17"/>
          <w:szCs w:val="17"/>
        </w:rPr>
        <w:t xml:space="preserve">/yr</w:t>
      </w:r>
      <w:r>
        <w:t xml:space="preserve"> = per year only.</w:t>
      </w:r>
    </w:p>
    <w:p>
      <w:pPr>
        <w:pStyle w:val="ListParagraph"/>
        <w:numPr>
          <w:ilvl w:val="0"/>
          <w:numId w:val="2"/>
        </w:numPr>
        <w:spacing w:after="40" w:before="40" w:line="276"/>
      </w:pPr>
      <w:r>
        <w:rPr>
          <w:b/>
          <w:bCs/>
        </w:rPr>
        <w:t xml:space="preserve">one-time</w:t>
      </w:r>
      <w:r>
        <w:t xml:space="preserve"> = single charge at delivery.</w:t>
      </w:r>
    </w:p>
    <w:p>
      <w:pPr>
        <w:pStyle w:val="ListParagraph"/>
        <w:numPr>
          <w:ilvl w:val="0"/>
          <w:numId w:val="2"/>
        </w:numPr>
        <w:spacing w:after="40" w:before="40" w:line="276"/>
      </w:pPr>
      <w:r>
        <w:rPr>
          <w:b/>
          <w:bCs/>
        </w:rPr>
        <w:t xml:space="preserve">Hardware, third-party licences, print, freight, duties and payment-processor fees are band-invariant pass-through</w:t>
      </w:r>
      <w:r>
        <w:t xml:space="preserve"> and are quoted at cost plus the stated coordination margin.</w:t>
      </w:r>
    </w:p>
    <w:p>
      <w:pPr>
        <w:pStyle w:val="ListParagraph"/>
        <w:numPr>
          <w:ilvl w:val="0"/>
          <w:numId w:val="2"/>
        </w:numPr>
        <w:spacing w:after="40" w:before="40" w:line="276"/>
      </w:pPr>
      <w:r>
        <w:t xml:space="preserve">Every line item shows </w:t>
      </w:r>
      <w:r>
        <w:rPr>
          <w:b/>
          <w:bCs/>
        </w:rPr>
        <w:t xml:space="preserve">what is excluded</w:t>
      </w:r>
      <w:r>
        <w:t xml:space="preserve">. Exclusions are contractual.</w:t>
      </w:r>
    </w:p>
    <w:p>
      <w:pPr>
        <w:pStyle w:val="Heading3"/>
      </w:pPr>
      <w:r>
        <w:t xml:space="preserve">0.2 The tier ladder</w:t>
      </w:r>
    </w:p>
    <w:p>
      <w:pPr>
        <w:pStyle w:val="BodyText"/>
      </w:pPr>
      <w:r>
        <w:t xml:space="preserve">Foundation (free) · Standard · Professional · Premium · Elite · Enterprise · Government · Global. Defined in Volume I §3.4. No division invents its own tier names.</w:t>
      </w:r>
    </w:p>
    <w:p>
      <w:pPr>
        <w:pStyle w:val="Heading3"/>
      </w:pPr>
      <w:r>
        <w:t xml:space="preserve">0.3 The configurator principle</w:t>
      </w:r>
    </w:p>
    <w:p>
      <w:pPr>
        <w:pStyle w:val="BodyText"/>
      </w:pPr>
      <w:r>
        <w:t xml:space="preserve">The customer assembles their own solution. Bundles (Chapter 19) exist to simplify a common shape, never to force one. Every bundle is decomposable to its line items, and the configurator shows the running total, annual total and three-year total before we ask for a name.</w:t>
      </w:r>
    </w:p>
    <w:p>
      <w:pPr>
        <w:pStyle w:val="Heading3"/>
      </w:pPr>
      <w:r>
        <w:t xml:space="preserve">0.4 Discount authority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Discount</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Who may approve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Condition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0–10%</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Sales lead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Multi-year or prepayment</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10–20%</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Division head</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Strategic reference, documented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20–35%</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Executive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Lighthouse account, written business case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&gt;35%</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Executive + Pricing Council</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Exceptional; must not become precedent</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Non-profit / low-fee school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Standing policy</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Up to 40% off software lines</w:t>
            </w:r>
            <w:r>
              <w:rPr>
                <w:rFonts w:ascii="DejaVu Sans" w:cs="DejaVu Sans" w:eastAsia="DejaVu Sans" w:hAnsi="DejaVu Sans"/>
                <w:color w:val="0D1117"/>
                <w:sz w:val="16"/>
                <w:szCs w:val="16"/>
              </w:rPr>
              <w:t xml:space="preserve">, applied by policy not negotiation, verified once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Public school / government primary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Standing policy</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Band A pricing regardless of geography for software lines</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Discount authority</w:t>
      </w:r>
    </w:p>
    <w:p>
      <w:pPr>
        <w:pStyle w:val="BodyText"/>
      </w:pPr>
      <w:r>
        <w:t xml:space="preserve">Discounting hardware, print or pass-through below cost is prohibited. Discount is never applied to make an Elite tier “affordable” — the correct answer is a lower tier.</w:t>
      </w:r>
    </w:p>
    <w:p>
      <w:pPr>
        <w:pStyle w:val="Heading3"/>
      </w:pPr>
      <w:r>
        <w:t xml:space="preserve">0.5 Margin governance</w:t>
      </w:r>
    </w:p>
    <w:p>
      <w:pPr>
        <w:pStyle w:val="BodyText"/>
      </w:pPr>
      <w:r>
        <w:t xml:space="preserve">Every line carries a target gross margin band (Volume I §6.2). The Pricing Council reviews delivered margin against target quarterly. A line item persistently below band is repriced, re-scoped, or retired.</w:t>
      </w:r>
    </w:p>
    <w:p>
      <w:pPr>
        <w:pStyle w:val="Heading3"/>
      </w:pPr>
      <w:r>
        <w:t xml:space="preserve">0.6 Evidence base</w:t>
      </w:r>
    </w:p>
    <w:p>
      <w:pPr>
        <w:pStyle w:val="BodyText"/>
      </w:pPr>
      <w:r>
        <w:t xml:space="preserve">The catalogue is grounded in delivered work, not aspiration. Reference implementations in the group’s repositories as of this edition include: a four-language (English, Arabic RTL, Yorùbá, French) institutional site with ~35 unique page templates per locale, four distinct verification surfaces (certificate, identity, receipt, graduation document), a certificate generation system with a documented identifier architecture, security model and cryptographic signing-key deployment, a digital identity and card system, a finance platform, parent/student/teacher/registrar/executive portals, a personalisation centre, push notifications, a marketplace surface, and a 73-table credential-and-commerce schema covering enrolments, assessments, competencies, evidence, awards, credential signatures, issued documents, verifying institutions, payments, refunds, instalment plans, promo codes, multi-currency routing, corporate accounts and alumni chapters.</w:t>
      </w:r>
    </w:p>
    <w:p>
      <w:pPr>
        <w:pStyle w:val="BodyText"/>
      </w:pPr>
      <w:r>
        <w:rPr>
          <w:b/>
          <w:bCs/>
        </w:rPr>
        <w:t xml:space="preserve">Line items marked ✅ are built and delivered somewhere in the group. Items marked ◐ are partially built. Items marked ○ are specified but not yet built — they may be sold only with a written delivery date and executive sign-off (Volume I §14.7: a demo is called a demo).</w:t>
      </w:r>
    </w:p>
    <w:p>
      <w:pPr>
        <w:pStyle w:val="Heading2"/>
        <w:pageBreakBefore/>
      </w:pPr>
      <w:r>
        <w:t xml:space="preserve">DIVISION 1 — WEB &amp; DIGITAL PRESENCE</w:t>
      </w:r>
    </w:p>
    <w:p>
      <w:pPr>
        <w:pStyle w:val="EditorialNote"/>
      </w:pPr>
      <w:r>
        <w:t xml:space="preserve">Target gross margin: 55–70% (build), 80%+ (recurring). Layer 3 of the ecosystem stack.</w:t>
      </w:r>
    </w:p>
    <w:p>
      <w:pPr>
        <w:pStyle w:val="Heading3"/>
      </w:pPr>
      <w:r>
        <w:t xml:space="preserve">1.1 Website tiers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7"/>
        <w:gridCol w:w="1487"/>
        <w:gridCol w:w="1487"/>
        <w:gridCol w:w="1487"/>
        <w:gridCol w:w="1487"/>
        <w:gridCol w:w="1491"/>
      </w:tblGrid>
      <w:tr>
        <w:trPr>
          <w:cantSplit w:val="false"/>
          <w:tblHeader/>
        </w:trPr>
        <w:tc>
          <w:tcPr>
            <w:tcW w:type="dxa" w:w="1487"/>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Tier</w:t>
            </w:r>
          </w:p>
        </w:tc>
        <w:tc>
          <w:tcPr>
            <w:tcW w:type="dxa" w:w="1487"/>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Pages</w:t>
            </w:r>
          </w:p>
        </w:tc>
        <w:tc>
          <w:tcPr>
            <w:tcW w:type="dxa" w:w="1487"/>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Build (one-time)</w:t>
            </w:r>
          </w:p>
        </w:tc>
        <w:tc>
          <w:tcPr>
            <w:tcW w:type="dxa" w:w="1487"/>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Care plan</w:t>
            </w:r>
          </w:p>
        </w:tc>
        <w:tc>
          <w:tcPr>
            <w:tcW w:type="dxa" w:w="1487"/>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Delivery</w:t>
            </w:r>
          </w:p>
        </w:tc>
        <w:tc>
          <w:tcPr>
            <w:tcW w:type="dxa" w:w="14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Status</w:t>
            </w:r>
          </w:p>
        </w:tc>
      </w:tr>
      <w:tr>
        <w:trPr>
          <w:cantSplit w:val="false"/>
          <w:tblHeader w:val="false"/>
        </w:trPr>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Foundation</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 (hosted subdomain)</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Instant</w:t>
            </w:r>
          </w:p>
        </w:tc>
        <w:tc>
          <w:tcPr>
            <w:tcW w:type="dxa" w:w="14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Landing</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 bespoke</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$19/mo</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 days</w:t>
            </w:r>
          </w:p>
        </w:tc>
        <w:tc>
          <w:tcPr>
            <w:tcW w:type="dxa" w:w="14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Portfolio</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3–5</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$780</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$29/mo</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 days</w:t>
            </w:r>
          </w:p>
        </w:tc>
        <w:tc>
          <w:tcPr>
            <w:tcW w:type="dxa" w:w="14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Standard</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6–10</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$1,650</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$45/mo</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 weeks</w:t>
            </w:r>
          </w:p>
        </w:tc>
        <w:tc>
          <w:tcPr>
            <w:tcW w:type="dxa" w:w="14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Professional</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11–25</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$4,200</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$89/mo</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 weeks</w:t>
            </w:r>
          </w:p>
        </w:tc>
        <w:tc>
          <w:tcPr>
            <w:tcW w:type="dxa" w:w="14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Premium</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26–50</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$9,500</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$179/mo</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 weeks</w:t>
            </w:r>
          </w:p>
        </w:tc>
        <w:tc>
          <w:tcPr>
            <w:tcW w:type="dxa" w:w="14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Elite</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51–120, bespoke art direction</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$24,000</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$390/mo</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12–16 weeks</w:t>
            </w:r>
          </w:p>
        </w:tc>
        <w:tc>
          <w:tcPr>
            <w:tcW w:type="dxa" w:w="14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Enterprise / Government</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Unlimited, multi-site</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$60,000</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$850/mo</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Scoped</w:t>
            </w:r>
          </w:p>
        </w:tc>
        <w:tc>
          <w:tcPr>
            <w:tcW w:type="dxa" w:w="14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Website tiers</w:t>
      </w:r>
    </w:p>
    <w:p>
      <w:pPr>
        <w:pStyle w:val="BodyText"/>
      </w:pPr>
      <w:r>
        <w:rPr>
          <w:b/>
          <w:bCs/>
        </w:rPr>
        <w:t xml:space="preserve">Every tier includes, at no extra charge:</w:t>
      </w:r>
      <w:r>
        <w:t xml:space="preserve"> responsive design to WCAG 2.2 AA, DV SSL, CDN, daily backups, security patching, uptime monitoring, a sitemap, structured data, an accessibility statement, analytics, a contact form, and complete source/content export. </w:t>
      </w:r>
      <w:r>
        <w:rPr>
          <w:i/>
          <w:iCs/>
        </w:rPr>
        <w:t xml:space="preserve">These are never separately charged (Volume I §6.1).</w:t>
      </w:r>
    </w:p>
    <w:p>
      <w:pPr>
        <w:pStyle w:val="BodyText"/>
      </w:pPr>
      <w:r>
        <w:rPr>
          <w:b/>
          <w:bCs/>
        </w:rPr>
        <w:t xml:space="preserve">Excluded from all tiers:</w:t>
      </w:r>
      <w:r>
        <w:t xml:space="preserve"> content writing (§1.3), photography (Division 12), translation (§1.4), third-party licences, domain registration, and any module below.</w:t>
      </w:r>
    </w:p>
    <w:p>
      <w:pPr>
        <w:pStyle w:val="Heading4"/>
      </w:pPr>
      <w:r>
        <w:t xml:space="preserve">The care plan, specified</w:t>
      </w:r>
    </w:p>
    <w:p>
      <w:pPr>
        <w:pStyle w:val="BodyText"/>
      </w:pPr>
      <w:r>
        <w:t xml:space="preserve">Not a vague retainer. Monthly: security patching, dependency updates, uptime monitoring with alerting, daily off-site backup with a tested restore, SSL renewal, broken-link scan, performance budget check, and a defined allowance of content edits (Landing 1 / Portfolio 2 / Standard 4 / Professional 8 / Premium 16 / Elite unlimited within reason, per month). Unused allowance does not roll over. Additional edits $28 each.</w:t>
      </w:r>
    </w:p>
    <w:p>
      <w:pPr>
        <w:pStyle w:val="Heading3"/>
      </w:pPr>
      <w:r>
        <w:t xml:space="preserve">1.2 Page-level and structural add-ons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Notes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Additional page (template reuse)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$95</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Additional page (bespoke layout)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Landing page for a campaign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Microsite (3 pages, own domain)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$650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Blog / news system</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 one-time + $12/mo</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Events &amp; calendar system</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 + $12/mo</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Gallery / media library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 + $9/mo</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Downloads &amp; document centre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$210 + $9/mo</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Announcements ribbon &amp; notice system</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 + $8/mo</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Policy / governance document library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$320 + $12/mo</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Staff &amp; faculty directory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 + $12/mo</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Careers / vacancies module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$260 + $12/mo</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FAQ / knowledge base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$220 + $9/mo</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Testimonials &amp; reviews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$160 + $6/mo</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On-site search (indexed, per-language)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$380 + $18/mo</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Personalisation centre (audience-tailored surfaces)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$1,400 + $45/mo</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Progressive Web App (installable, offline)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$680 + $22/mo</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Service-worker offline mode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 + $15/mo</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Dark mode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Print stylesheet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Page-level and structural add-ons</w:t>
      </w:r>
    </w:p>
    <w:p>
      <w:pPr>
        <w:pStyle w:val="Heading3"/>
      </w:pPr>
      <w:r>
        <w:t xml:space="preserve">1.3 Content</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Content audit of an existing site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Page copywriting (standard, ≤600 words)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$130/page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Page copywriting (premium, researched)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$290/page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Institutional prospectus copy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Blog article (900–1,200 words, SEO-structured)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Long-form article (2,000+ words, researched)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Editorial style guide for the institution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$850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Content migration from an existing site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$6/page, min $180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Content</w:t>
      </w:r>
    </w:p>
    <w:p>
      <w:pPr>
        <w:pStyle w:val="Heading3"/>
      </w:pPr>
      <w:r>
        <w:t xml:space="preserve">1.4 Multilingual</w:t>
      </w:r>
    </w:p>
    <w:p>
      <w:pPr>
        <w:pStyle w:val="BodyText"/>
      </w:pPr>
      <w:r>
        <w:t xml:space="preserve">Pricing follows the founder’s question directly: </w:t>
      </w:r>
      <w:r>
        <w:rPr>
          <w:b/>
          <w:bCs/>
        </w:rPr>
        <w:t xml:space="preserve">charge per language, per page, with a maintenance component</w:t>
      </w:r>
      <w:r>
        <w:t xml:space="preserve"> — because that is where the cost actually sits.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Additional language — setup (locale registry, fonts, bidi/RTL layout, hreflang, switcher)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$420 per language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Human translation, standard content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$11/page</w:t>
            </w:r>
            <w:r>
              <w:rPr>
                <w:rFonts w:ascii="DejaVu Sans" w:cs="DejaVu Sans" w:eastAsia="DejaVu Sans" w:hAnsi="DejaVu Sans"/>
                <w:color w:val="0D1117"/>
                <w:sz w:val="16"/>
                <w:szCs w:val="16"/>
              </w:rPr>
              <w:t xml:space="preserve"> (to 600 words)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Human translation, technical/legal/religious content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$24/page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AI-assisted translation, human-reviewed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$4.50/page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Right-to-left (RTL) layout engineering — Arabic, Hebrew, Urdu, Farsi</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$540 one-time per site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Non-Latin typography engineering (Arabic, Yorùbá diacritics, CJK, Devanagari)</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$260 per script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Multilingual maintenance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$0.90/page/language/mo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Full-site language audit (parity, missing strings, fallbacks)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Multilingual</w:t>
      </w:r>
    </w:p>
    <w:p>
      <w:pPr>
        <w:pStyle w:val="BodyText"/>
      </w:pPr>
      <w:r>
        <w:rPr>
          <w:b/>
          <w:bCs/>
        </w:rPr>
        <w:t xml:space="preserve">Standing practice (from the reference implementations):</w:t>
      </w:r>
      <w:r>
        <w:t xml:space="preserve"> locale strings live in one flat dot-keyed dictionary per language; chrome is a single language-neutral template carrying translation tokens rather than a hand-maintained copy per language. This is what makes the fourth language cost a fraction of the second, and it is why we price setup separately from per-page translation. </w:t>
      </w:r>
      <w:r>
        <w:rPr>
          <w:b/>
          <w:bCs/>
        </w:rPr>
        <w:t xml:space="preserve">We do not ship machine translation as finished work</w:t>
      </w:r>
      <w:r>
        <w:t xml:space="preserve"> — AI-assisted output is human-reviewed before publication, and Volume I §7.2 governs the disclosure.</w:t>
      </w:r>
    </w:p>
    <w:p>
      <w:pPr>
        <w:pStyle w:val="Heading3"/>
      </w:pPr>
      <w:r>
        <w:t xml:space="preserve">1.5 SEO, performance &amp; accessibility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SEO audit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Performance audit (Core Web Vitals)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Accessibility audit (WCAG 2.2)</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Technical SEO implementation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$480 one-time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Structured data / rich results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Local SEO &amp; business listings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 + $29/mo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SEO retainer — Starter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SEO retainer — Growth</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$780/mo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SEO retainer — Enterprise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$2,200/mo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Accessibility remediation to AA</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$640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Accessibility remediation to AAA</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$1,500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Performance optimisation engagement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$560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Multi-region CDN &amp; edge tuning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 + $35/mo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SEO, performance &amp; accessibility</w:t>
      </w:r>
    </w:p>
    <w:p>
      <w:pPr>
        <w:pStyle w:val="Heading3"/>
      </w:pPr>
      <w:r>
        <w:t xml:space="preserve">1.6 Domains &amp; DNS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Mono" w:cs="DejaVu Sans Mono" w:eastAsia="DejaVu Sans Mono" w:hAnsi="DejaVu Sans Mono"/>
                <w:color w:val="0B3C91"/>
                <w:sz w:val="14"/>
                <w:szCs w:val="14"/>
              </w:rPr>
              <w:t xml:space="preserve">.com</w:t>
            </w:r>
            <w:r>
              <w:rPr>
                <w:rFonts w:ascii="DejaVu Sans" w:cs="DejaVu Sans" w:eastAsia="DejaVu Sans" w:hAnsi="DejaVu Sans"/>
                <w:color w:val="0D1117"/>
                <w:sz w:val="16"/>
                <w:szCs w:val="16"/>
              </w:rPr>
              <w:t xml:space="preserve"> / </w:t>
            </w:r>
            <w:r>
              <w:rPr>
                <w:rFonts w:ascii="DejaVu Sans Mono" w:cs="DejaVu Sans Mono" w:eastAsia="DejaVu Sans Mono" w:hAnsi="DejaVu Sans Mono"/>
                <w:color w:val="0B3C91"/>
                <w:sz w:val="14"/>
                <w:szCs w:val="14"/>
              </w:rPr>
              <w:t xml:space="preserve">.net</w:t>
            </w:r>
            <w:r>
              <w:rPr>
                <w:rFonts w:ascii="DejaVu Sans" w:cs="DejaVu Sans" w:eastAsia="DejaVu Sans" w:hAnsi="DejaVu Sans"/>
                <w:color w:val="0D1117"/>
                <w:sz w:val="16"/>
                <w:szCs w:val="16"/>
              </w:rPr>
              <w:t xml:space="preserve"> / </w:t>
            </w:r>
            <w:r>
              <w:rPr>
                <w:rFonts w:ascii="DejaVu Sans Mono" w:cs="DejaVu Sans Mono" w:eastAsia="DejaVu Sans Mono" w:hAnsi="DejaVu Sans Mono"/>
                <w:color w:val="0B3C91"/>
                <w:sz w:val="14"/>
                <w:szCs w:val="14"/>
              </w:rPr>
              <w:t xml:space="preserve">.org</w:t>
            </w:r>
            <w:r>
              <w:rPr>
                <w:rFonts w:ascii="DejaVu Sans" w:cs="DejaVu Sans" w:eastAsia="DejaVu Sans" w:hAnsi="DejaVu Sans"/>
                <w:color w:val="0D1117"/>
                <w:sz w:val="16"/>
                <w:szCs w:val="16"/>
              </w:rPr>
              <w:t xml:space="preserve"> registration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$16/yr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Mono" w:cs="DejaVu Sans Mono" w:eastAsia="DejaVu Sans Mono" w:hAnsi="DejaVu Sans Mono"/>
                <w:color w:val="0B3C91"/>
                <w:sz w:val="14"/>
                <w:szCs w:val="14"/>
              </w:rPr>
              <w:t xml:space="preserve">.ng</w:t>
            </w:r>
            <w:r>
              <w:rPr>
                <w:rFonts w:ascii="DejaVu Sans" w:cs="DejaVu Sans" w:eastAsia="DejaVu Sans" w:hAnsi="DejaVu Sans"/>
                <w:color w:val="0D1117"/>
                <w:sz w:val="16"/>
                <w:szCs w:val="16"/>
              </w:rPr>
              <w:t xml:space="preserve"> / </w:t>
            </w:r>
            <w:r>
              <w:rPr>
                <w:rFonts w:ascii="DejaVu Sans Mono" w:cs="DejaVu Sans Mono" w:eastAsia="DejaVu Sans Mono" w:hAnsi="DejaVu Sans Mono"/>
                <w:color w:val="0B3C91"/>
                <w:sz w:val="14"/>
                <w:szCs w:val="14"/>
              </w:rPr>
              <w:t xml:space="preserve">.com.ng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$28/yr</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Mono" w:cs="DejaVu Sans Mono" w:eastAsia="DejaVu Sans Mono" w:hAnsi="DejaVu Sans Mono"/>
                <w:color w:val="0B3C91"/>
                <w:sz w:val="14"/>
                <w:szCs w:val="14"/>
              </w:rPr>
              <w:t xml:space="preserve">.edu.ng</w:t>
            </w:r>
            <w:r>
              <w:rPr>
                <w:rFonts w:ascii="DejaVu Sans" w:cs="DejaVu Sans" w:eastAsia="DejaVu Sans" w:hAnsi="DejaVu Sans"/>
                <w:color w:val="0D1117"/>
                <w:sz w:val="16"/>
                <w:szCs w:val="16"/>
              </w:rPr>
              <w:t xml:space="preserve"> / </w:t>
            </w:r>
            <w:r>
              <w:rPr>
                <w:rFonts w:ascii="DejaVu Sans Mono" w:cs="DejaVu Sans Mono" w:eastAsia="DejaVu Sans Mono" w:hAnsi="DejaVu Sans Mono"/>
                <w:color w:val="0B3C91"/>
                <w:sz w:val="14"/>
                <w:szCs w:val="14"/>
              </w:rPr>
              <w:t xml:space="preserve">.sch.ng</w:t>
            </w:r>
            <w:r>
              <w:rPr>
                <w:rFonts w:ascii="DejaVu Sans" w:cs="DejaVu Sans" w:eastAsia="DejaVu Sans" w:hAnsi="DejaVu Sans"/>
                <w:color w:val="0D1117"/>
                <w:sz w:val="16"/>
                <w:szCs w:val="16"/>
              </w:rPr>
              <w:t xml:space="preserve"> (with eligibility handling)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$65/yr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Mono" w:cs="DejaVu Sans Mono" w:eastAsia="DejaVu Sans Mono" w:hAnsi="DejaVu Sans Mono"/>
                <w:color w:val="0B3C91"/>
                <w:sz w:val="14"/>
                <w:szCs w:val="14"/>
              </w:rPr>
              <w:t xml:space="preserve">.co.uk</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$14/yr</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Mono" w:cs="DejaVu Sans Mono" w:eastAsia="DejaVu Sans Mono" w:hAnsi="DejaVu Sans Mono"/>
                <w:color w:val="0B3C91"/>
                <w:sz w:val="14"/>
                <w:szCs w:val="14"/>
              </w:rPr>
              <w:t xml:space="preserve">.ai</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$95/yr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Premium &amp; aftermarket domains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Market + 12%</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Domain transfer &amp; consolidation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Managed DNS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DNS with DDoS-resilient anycast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Domain privacy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$8/yr</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Multi-domain portfolio management (10+)</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$45/mo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Domains &amp; DNS</w:t>
      </w:r>
    </w:p>
    <w:p>
      <w:pPr>
        <w:pStyle w:val="Heading3"/>
      </w:pPr>
      <w:r>
        <w:t xml:space="preserve">1.7 Certificates (TLS/SSL)</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Note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DV SSL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always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Auto-renewing. Never charged, on principle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OV SSL (organisation validated)</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$89/yr</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Where a tender requires it</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 SSL (extended validation)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$279/yr</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Rarely necessary; we say so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Wildcard SSL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$169/yr</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Multi-domain (SAN, to 5)</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$210/yr</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Code-signing certificate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$340/yr</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For app distribution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Document-signing certificate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$290/yr</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For sealed PDFs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Certificate lifecycle management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$18/mo</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Expiry monitoring, auto-renewal, alerting</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Certificates (TLS/SSL)</w:t>
      </w:r>
    </w:p>
    <w:p>
      <w:pPr>
        <w:pStyle w:val="Heading3"/>
      </w:pPr>
      <w:r>
        <w:t xml:space="preserve">1.8 Email</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Business mailbox — Lite (10 GB)</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$2.20/mailbox/mo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Business mailbox — Standard (50 GB, calendar, contacts)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$4.60/mailbox/mo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Business mailbox — Pro (200 GB, archiving, retention)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$9.40/mailbox/mo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Role aliases (</w:t>
            </w:r>
            <w:r>
              <w:rPr>
                <w:rFonts w:ascii="DejaVu Sans Mono" w:cs="DejaVu Sans Mono" w:eastAsia="DejaVu Sans Mono" w:hAnsi="DejaVu Sans Mono"/>
                <w:color w:val="0B3C91"/>
                <w:sz w:val="14"/>
                <w:szCs w:val="14"/>
              </w:rPr>
              <w:t xml:space="preserve">info@</w:t>
            </w:r>
            <w:r>
              <w:rPr>
                <w:rFonts w:ascii="DejaVu Sans" w:cs="DejaVu Sans" w:eastAsia="DejaVu Sans" w:hAnsi="DejaVu Sans"/>
                <w:color w:val="0D1117"/>
                <w:sz w:val="16"/>
                <w:szCs w:val="16"/>
              </w:rPr>
              <w:t xml:space="preserve">, </w:t>
            </w:r>
            <w:r>
              <w:rPr>
                <w:rFonts w:ascii="DejaVu Sans Mono" w:cs="DejaVu Sans Mono" w:eastAsia="DejaVu Sans Mono" w:hAnsi="DejaVu Sans Mono"/>
                <w:color w:val="0B3C91"/>
                <w:sz w:val="14"/>
                <w:szCs w:val="14"/>
              </w:rPr>
              <w:t xml:space="preserve">admissions@</w:t>
            </w:r>
            <w:r>
              <w:rPr>
                <w:rFonts w:ascii="DejaVu Sans" w:cs="DejaVu Sans" w:eastAsia="DejaVu Sans" w:hAnsi="DejaVu Sans"/>
                <w:color w:val="0D1117"/>
                <w:sz w:val="16"/>
                <w:szCs w:val="16"/>
              </w:rPr>
              <w:t xml:space="preserve">, </w:t>
            </w:r>
            <w:r>
              <w:rPr>
                <w:rFonts w:ascii="DejaVu Sans Mono" w:cs="DejaVu Sans Mono" w:eastAsia="DejaVu Sans Mono" w:hAnsi="DejaVu Sans Mono"/>
                <w:color w:val="0B3C91"/>
                <w:sz w:val="14"/>
                <w:szCs w:val="14"/>
              </w:rPr>
              <w:t xml:space="preserve">bursary@</w:t>
            </w:r>
            <w:r>
              <w:rPr>
                <w:rFonts w:ascii="DejaVu Sans" w:cs="DejaVu Sans" w:eastAsia="DejaVu Sans" w:hAnsi="DejaVu Sans"/>
                <w:color w:val="0D1117"/>
                <w:sz w:val="16"/>
                <w:szCs w:val="16"/>
              </w:rPr>
              <w:t xml:space="preserve">, </w:t>
            </w:r>
            <w:r>
              <w:rPr>
                <w:rFonts w:ascii="DejaVu Sans Mono" w:cs="DejaVu Sans Mono" w:eastAsia="DejaVu Sans Mono" w:hAnsi="DejaVu Sans Mono"/>
                <w:color w:val="0B3C91"/>
                <w:sz w:val="14"/>
                <w:szCs w:val="14"/>
              </w:rPr>
              <w:t xml:space="preserve">ict@</w:t>
            </w:r>
            <w:r>
              <w:rPr>
                <w:rFonts w:ascii="DejaVu Sans" w:cs="DejaVu Sans" w:eastAsia="DejaVu Sans" w:hAnsi="DejaVu Sans"/>
                <w:color w:val="0D1117"/>
                <w:sz w:val="16"/>
                <w:szCs w:val="16"/>
              </w:rPr>
              <w:t xml:space="preserv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unlimited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Shared / departmental mailbox</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$3.20/mo each</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Email migration from another provider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$3.50/mailbox, min $60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SPF / DKIM / DMARC configuration &amp; monitoring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 one-time + $12/mo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Transactional email (API)</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$0.60 per 1,000, first 5,000/mo 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Bulk / newsletter email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$0.90 per 1,000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Email signature management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$1.20/user/mo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Email archiving &amp; legal hold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$2.80/mailbox/mo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Anti-phishing &amp; advanced threat protection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$2.40/mailbox/mo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Email</w:t>
      </w:r>
    </w:p>
    <w:p>
      <w:pPr>
        <w:pStyle w:val="Heading2"/>
        <w:pageBreakBefore/>
      </w:pPr>
      <w:r>
        <w:t xml:space="preserve">DIVISION 2 — THE INSTITUTIONAL PLATFORM</w:t>
      </w:r>
    </w:p>
    <w:p>
      <w:pPr>
        <w:pStyle w:val="EditorialNote"/>
      </w:pPr>
      <w:r>
        <w:t xml:space="preserve">The system of record. Layers 5–6. Target gross margin: 80–88%. Priced per institution per month unless stated. Student/staff counts are the primary scaling dimension.</w:t>
      </w:r>
    </w:p>
    <w:p>
      <w:pPr>
        <w:pStyle w:val="Heading3"/>
      </w:pPr>
      <w:r>
        <w:t xml:space="preserve">2.1 Core platform</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Tier</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Records included</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Foundation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50 students / 10 staff</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Standard</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300 students / 40 staff</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$89/mo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Professional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1,000 students / 120 staff</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$215/mo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Premium</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3,000 students / 400 staff</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$490/mo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Elite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8,000 students / 1,000 staff</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$1,100/mo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Enterprise / Multi-campus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Unlimited</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$2,400/mo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Core platform</w:t>
      </w:r>
    </w:p>
    <w:p>
      <w:pPr>
        <w:pStyle w:val="BodyText"/>
      </w:pPr>
      <w:r>
        <w:t xml:space="preserve">Additional students beyond tier: $0.14/student/mo. Additional staff: $0.70/staff/mo.</w:t>
      </w:r>
    </w:p>
    <w:p>
      <w:pPr>
        <w:pStyle w:val="BodyText"/>
      </w:pPr>
      <w:r>
        <w:rPr>
          <w:b/>
          <w:bCs/>
        </w:rPr>
        <w:t xml:space="preserve">Core includes:</w:t>
      </w:r>
      <w:r>
        <w:t xml:space="preserve"> people records, roles and permissions, org structure, document store, audit log, notifications, search, data export, and one administrative portal.</w:t>
      </w:r>
    </w:p>
    <w:p>
      <w:pPr>
        <w:pStyle w:val="Heading3"/>
      </w:pPr>
      <w:r>
        <w:t xml:space="preserve">2.2 Portals &amp; role surfaces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Module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One-time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Recurring</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Student portal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Parent / guardian portal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Staff / teacher portal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Registrar’s office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Bursary / finance portal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Executive / board reporting portal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$780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Founder / proprietor dashboard</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$560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Alumni portal &amp; chapters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$580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Applicant portal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Corporate / sponsor portal (seat management)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$690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Governor / trustee portal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Instructor review &amp; moderation console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$610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Role &amp; permission matrix configuration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included</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Portals &amp; role surfaces ✅</w:t>
      </w:r>
    </w:p>
    <w:p>
      <w:pPr>
        <w:pStyle w:val="Heading3"/>
      </w:pPr>
      <w:r>
        <w:t xml:space="preserve">2.3 Academic modules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Module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One-time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Recurring</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Admissions &amp; applications pipeline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$740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Enrolment &amp; enrolment-integrity events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Class, section &amp; cohort management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$310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Timetable &amp; scheduling</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timetable optimiser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Attendance (manual + kiosk + biometric-ready)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Gradebook &amp; continuous assessment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Examinations &amp; question banks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Online quizzes &amp; assessment engine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$540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Competency &amp; skills framework</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$610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Learning outcomes &amp; evidence mapping</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$580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Evidence centre (portfolio of proof)</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$720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Report cards &amp; result publication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$440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Transcripts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Curriculum &amp; scheme-of-work management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$490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Programme definition &amp; level architecture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$560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Course &amp; unit progression tracking</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$470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Time-on-task analytics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Learning management (LMS) &amp; course player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$860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Live session / virtual classroom integration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Assignment submission &amp; marking</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Plagiarism &amp; AI-authorship screening</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Spaced-repetition memorisation engine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Qur’an memorisation &amp; tajweed tracking</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Recitation recording &amp; pronunciation feedback</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$890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Listening lab / audio comprehension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Vocabulary &amp; exercise sets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$410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Self-check &amp; formative assessment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$330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Awards, distinctions &amp; honours register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Graduate profile &amp; graduate register</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$690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CPD records (staff development)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Academic bodies &amp; external relations register</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Scholarships &amp; bursaries administration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Academic modules ✅</w:t>
      </w:r>
    </w:p>
    <w:p>
      <w:pPr>
        <w:pStyle w:val="Heading3"/>
      </w:pPr>
      <w:r>
        <w:t xml:space="preserve">2.4 Administrative &amp; operational modules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Module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One-time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Recurring</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Fee management &amp; invoicing</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Instalment plans &amp; payment scheduling</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$410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Receipts &amp; receipt verification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HR &amp; staff records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$560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Payroll (per jurisdiction)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$740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$52/mo + $0.60/payslip</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Leave &amp; absence management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$310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Recruitment &amp; applicant tracking</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Performance review &amp; appraisal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Procurement &amp; requisitions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Approval workflow engine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$580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Inventory &amp; stores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$440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Asset register &amp; maintenance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Library management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Digital library &amp; e-resources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Hostel / boarding management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$580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Transport &amp; route management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Vehicle tracking integration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$32/mo + device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Catering &amp; meal management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Health / clinic records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$560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Discipline &amp; pastoral records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$440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Safeguarding case management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Visitor management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$360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Facilities &amp; room booking</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$390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Event management &amp; ticketing</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$470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Governance decisions &amp; resolution register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$580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Board pack generation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Statutory &amp; regulatory reporting</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$720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lifecycle &amp; retention register</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$490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ownership register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Administrative &amp; operational modules</w:t>
      </w:r>
    </w:p>
    <w:p>
      <w:pPr>
        <w:pStyle w:val="Heading3"/>
      </w:pPr>
      <w:r>
        <w:t xml:space="preserve">2.5 Communications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Module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One-time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Recurring</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In-app messaging &amp; inbox</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Push notifications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Email broadcast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SMS gateway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$16/mo + per-message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WhatsApp Business integration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$44/mo + per-conversation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Voice / IVR broadcast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$38/mo + per-minute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Emergency alert (multi-channel)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$560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Newsletter &amp; mailing lists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Parent–teacher appointment booking</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$390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Communications</w:t>
      </w:r>
    </w:p>
    <w:p>
      <w:pPr>
        <w:pStyle w:val="BodyText"/>
      </w:pPr>
      <w:r>
        <w:rPr>
          <w:b/>
          <w:bCs/>
        </w:rPr>
        <w:t xml:space="preserve">Per-message pass-through (band-invariant, at cost + 15%):</w:t>
      </w:r>
      <w:r>
        <w:t xml:space="preserve"> SMS from $0.021 (NG) / $0.032 (UK) / $0.009 (US); WhatsApp conversation from $0.014; voice from $0.031/min. Published live in the configurator; never marked up beyond the stated coordination margin.</w:t>
      </w:r>
    </w:p>
    <w:p>
      <w:pPr>
        <w:pStyle w:val="Heading3"/>
      </w:pPr>
      <w:r>
        <w:t xml:space="preserve">2.6 Implementation &amp; migration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Standard onboarding &amp; configuration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Professional implementation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Premium implementation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Elite implementation (named team, on-site)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Enterprise implementation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$30,000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migration — clean spreadsheet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$0.35/record, min $180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migration — messy or mixed sources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$0.85/record, min $420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migration — legacy system extraction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Historical records digitisation (scan + key + verify)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$0.55/page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Parallel-running support (per month, during transition)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Data-readiness assessment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Implementation &amp; migration</w:t>
      </w:r>
    </w:p>
    <w:p>
      <w:pPr>
        <w:pStyle w:val="EditorialNote"/>
      </w:pPr>
      <w:r>
        <w:t xml:space="preserve">Note on the data-readiness assessment being free: it is the single highest-value thing we do before a contract, it prevents most failed implementations, and charging for it would mean fewer institutions do it. It also qualifies the deal better than any sales call.</w:t>
      </w:r>
    </w:p>
    <w:p>
      <w:pPr>
        <w:pStyle w:val="Heading2"/>
        <w:pageBreakBefore/>
      </w:pPr>
      <w:r>
        <w:t xml:space="preserve">DIVISION 3 — IDENTITY, CREDENTIALS &amp; VERIFICATION</w:t>
      </w:r>
      <w:fldSimple w:instr="XE &quot;Credential&quot;"/>
      <w:fldSimple w:instr="XE &quot;verification&quot;"/>
      <w:fldSimple w:instr="XE &quot;credential&quot;"/>
    </w:p>
    <w:p>
      <w:pPr>
        <w:pStyle w:val="EditorialNote"/>
      </w:pPr>
      <w:r>
        <w:t xml:space="preserve">The strategic heart of the group. Layer 4. Target gross margin: 78–88% (software), 25–35% (physical cards).</w:t>
      </w:r>
    </w:p>
    <w:p>
      <w:pPr>
        <w:pStyle w:val="PullQuote"/>
        <w:spacing w:after="220" w:before="200"/>
      </w:pPr>
      <w:r>
        <w:rPr>
          <w:b/>
          <w:bCs/>
        </w:rPr>
        <w:t xml:space="preserve">Constitutional commitment (Volume I §5.3): verification is free for the verifier, forever.</w:t>
      </w:r>
      <w:r>
        <w:t xml:space="preserve"> An employer, university, immigration officer or parent checking a StromeX-issued credential never pays and never needs an account. The issuer pays. This is not amendable at division level.</w:t>
      </w:r>
    </w:p>
    <w:p>
      <w:pPr>
        <w:pStyle w:val="Heading3"/>
      </w:pPr>
      <w:r>
        <w:t xml:space="preserve">3.1 Credential issuance ✅</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Credential platform — base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 one-time + $46/mo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Certificate template design — Standard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$180/template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Certificate template design — Premium (guilloche, engraved seal, foil-ready)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$520/template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Certificate template design — Elite (bespoke security artwork, custom cartouche, press specification)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$1,400/template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Identifier architecture design (institution-wide numbering scheme)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$680 one-time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Cryptographic signing-key generation &amp; deployment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 one-time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Key rotation &amp; custody procedure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$260/yr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Certificate generation (bulk)</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$0.11 each</w:t>
            </w:r>
            <w:r>
              <w:rPr>
                <w:rFonts w:ascii="DejaVu Sans" w:cs="DejaVu Sans" w:eastAsia="DejaVu Sans" w:hAnsi="DejaVu Sans"/>
                <w:color w:val="0D1117"/>
                <w:sz w:val="16"/>
                <w:szCs w:val="16"/>
              </w:rPr>
              <w:t xml:space="preserve">, min 100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Certificate generation (on-demand, single)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$0.45 each</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Transcript generation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$0.90 each</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Graduation document generation (multi-page, sealed)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$1.60 each</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Receipt generation &amp; sealing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$0.06 each</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Issued-document register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 + $24/mo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Revocation register &amp; revocation workflow</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$280 + $20/mo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Batch issuance workflow &amp; approval chain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$460 + $30/mo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Certificate reissue / replacement handling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$0.80 each</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Credential issuance ✅</w:t>
      </w:r>
    </w:p>
    <w:p>
      <w:pPr>
        <w:pStyle w:val="Heading3"/>
      </w:pPr>
      <w:r>
        <w:t xml:space="preserve">3.2 Verification ✅</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Public verification portal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 one-time + $32/mo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Verification by the public</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unlimited, forever</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QR verification on every credential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Included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Verification API</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to 10,000 checks/mo, then $0.004/check</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Verifying-institution accounts (universities, employers, embassies)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Bulk verification for an employer / registry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to 50,000/mo, then $0.002/check</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Verification analytics for the issuer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Blockchain / public-ledger anchoring (optional)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$0.28/credential</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Tamper-evidence report for a disputed credential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$40/report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Legacy credential back-loading (pre-StromeX certificates)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$0.22/record</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Verification ✅</w:t>
      </w:r>
    </w:p>
    <w:p>
      <w:pPr>
        <w:pStyle w:val="Heading3"/>
      </w:pPr>
      <w:r>
        <w:t xml:space="preserve">3.3 Digital identity ✅</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Digital identity system — base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$580 one-time + $42/mo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Institutional identity number architecture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 one-time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Digital ID card (in-app, verifiable)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$0.22/holder/yr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Identity card design — Standard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Identity card design — Premium (guilloche, holographic-ready, portrait system)</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Identity card design — Elite (bespoke, security-printed specification)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Staff identity platform</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$480 + $32/mo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Executive / dignitary identity design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Photo capture &amp; normalisation workflow</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$0.18/portrait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Identity migration from a legacy scheme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$0.30/record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Single sign-on (SSO / SAML / OIDC)</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 + $44/mo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Multi-factor authentication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 + $0.30/user/mo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Passkey / WebAuthn support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 + $18/mo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Biometric enrolment (fingerprint / face template)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$620 + $0.35/enrolee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Profile sharing &amp; public graduate profile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$380 + $26/mo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Digital identity ✅</w:t>
      </w:r>
    </w:p>
    <w:p>
      <w:pPr>
        <w:pStyle w:val="Heading3"/>
      </w:pPr>
      <w:r>
        <w:t xml:space="preserve">3.4 Physical credential production</w:t>
      </w:r>
    </w:p>
    <w:p>
      <w:pPr>
        <w:pStyle w:val="EditorialNote"/>
      </w:pPr>
      <w:r>
        <w:t xml:space="preserve">Band-invariant. Card stock, printing and freight at cost + 22% coordination.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Unit 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PVC card, plain, edge-to-edge print, both sides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$2.10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PVC card, premium (matte, spot UV, signature panel)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Card with barcode / QR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$2.35</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Card with magnetic stripe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RFID / MIFARE proximity card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$3.60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NFC card (NTAG-class)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$4.10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Smart card with secure element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Composite / polycarbonate card (high durability, 5–10 yr)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Holographic overlay / hot-stamp foil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Laser-engraved personalisation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Lanyard, printed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Card holder / sleeve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$0.55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Certificate printing — 250gsm premium</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$1.90/sheet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Certificate printing — 300gsm cotton, deckled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$4.20/sheet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Certificate printing — security paper (watermark, UV fibres, microtext)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$6.80/sheet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Foil-blocked seal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Embossed / blind-debossed seal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Certificate folder / presentation case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$3.90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Personalisation &amp; issuance run (labour)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$0.40/item, min $45</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Physical credential production</w:t>
      </w:r>
    </w:p>
    <w:p>
      <w:pPr>
        <w:pStyle w:val="Heading3"/>
      </w:pPr>
      <w:r>
        <w:t xml:space="preserve">3.5 The verification tokens</w:t>
      </w:r>
      <w:fldSimple w:instr="XE &quot;Verification token&quot;"/>
    </w:p>
    <w:p>
      <w:pPr>
        <w:pStyle w:val="EditorialNote"/>
      </w:pPr>
      <w:r>
        <w:t xml:space="preserve">The founder’s token concept, formalised. These are prepaid consumption units for verification-adjacent services that carry a real marginal cost. Verification by the public remains free.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Token</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Buys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Check</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$0.50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One deep verification with a signed, timestamped, downloadable attestation PDF (for visa, employment or registry submission)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Attest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One institution-to-institution attestation with counter-signature and audit trail</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Seal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One notarial-grade sealed document pack (multi-credential, sealed, ledger-anchored)</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Legalise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$5.00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One credential prepared for consular/apostille submission, formatted to destination requirements</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verification tokens</w:t>
      </w:r>
    </w:p>
    <w:p>
      <w:pPr>
        <w:pStyle w:val="BodyText"/>
      </w:pPr>
      <w:r>
        <w:t xml:space="preserve">Sold in packs (100 / 500 / 2,000 / 10,000) with 8% / 14% / 20% / 26% volume discounts. Institutions may resell these to their own alumni at their own margin — a revenue line for the institution and a reason to stay.</w:t>
      </w:r>
    </w:p>
    <w:p>
      <w:pPr>
        <w:pStyle w:val="Heading2"/>
        <w:pageBreakBefore/>
      </w:pPr>
      <w:r>
        <w:t xml:space="preserve">DIVISION 4 — STROMEX CLOUD</w:t>
      </w:r>
      <w:fldSimple w:instr="XE &quot;StromeX Cloud&quot;"/>
    </w:p>
    <w:p>
      <w:pPr>
        <w:pStyle w:val="EditorialNote"/>
      </w:pPr>
      <w:r>
        <w:t xml:space="preserve">Target gross margin: 45–65%. Priced to be plannable, not to be the cheapest.</w:t>
      </w:r>
    </w:p>
    <w:p>
      <w:pPr>
        <w:pStyle w:val="Heading3"/>
      </w:pPr>
      <w:r>
        <w:t xml:space="preserve">4.1 Managed hosting</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Tier</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Spec</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Foundation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Static, 1 GB, subdomain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Starter</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 vCPU, 1 GB RAM, 20 GB SSD</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Business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 vCPU, 4 GB RAM, 60 GB SSD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Professional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 vCPU, 8 GB RAM, 160 GB SSD</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Premium</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 vCPU, 16 GB, 320 GB SSD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Elite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 vCPU, 32 GB, 640 GB SSD</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Enterprise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Dedicated, HA, multi-AZ</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$780/mo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Managed hosting</w:t>
      </w:r>
    </w:p>
    <w:p>
      <w:pPr>
        <w:pStyle w:val="Heading3"/>
      </w:pPr>
      <w:r>
        <w:t xml:space="preserve">4.2 Compute, storage &amp; network (metered)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Resource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vCPU</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$0.0115/hr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RAM</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$0.0058/GB/hr</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Block storage (SSD)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$0.085/GB/mo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Block storage (NVMe)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$0.16/GB/mo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Object storage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$0.018/GB/mo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Archive / cold storage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$0.0038/GB/mo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Snapshot storage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$0.045/GB/mo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Egress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First 100 GB/mo </w:t>
            </w:r>
            <w:r>
              <w:rPr>
                <w:rFonts w:ascii="DejaVu Sans" w:cs="DejaVu Sans" w:eastAsia="DejaVu Sans" w:hAnsi="DejaVu Sans"/>
                <w:b/>
                <w:bCs/>
                <w:color w:val="0D1117"/>
                <w:sz w:val="16"/>
                <w:szCs w:val="16"/>
              </w:rPr>
              <w:t xml:space="preserve">free</w:t>
            </w:r>
            <w:r>
              <w:rPr>
                <w:rFonts w:ascii="DejaVu Sans" w:cs="DejaVu Sans" w:eastAsia="DejaVu Sans" w:hAnsi="DejaVu Sans"/>
                <w:color w:val="0D1117"/>
                <w:sz w:val="16"/>
                <w:szCs w:val="16"/>
              </w:rPr>
              <w:t xml:space="preserve">, then $0.042/GB</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Ingress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Static IP</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Load balancer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Private network / VPC</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VPN gateway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Managed firewall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DDoS protection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included</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Compute, storage &amp; network (metered)</w:t>
      </w:r>
    </w:p>
    <w:p>
      <w:pPr>
        <w:pStyle w:val="Heading3"/>
      </w:pPr>
      <w:r>
        <w:t xml:space="preserve">4.3 Managed data services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Service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PostgreSQL — Starter (1 vCPU, 10 GB)</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PostgreSQL — Business (2 vCPU, 50 GB)</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PostgreSQL — Professional (4 vCPU, 200 GB, replica)</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$165/mo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PostgreSQL — Enterprise (HA, PITR, multi-AZ)</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$420/mo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Redis / cache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$12–$180/mo by size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Vector database (embeddings)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$24–$340/mo by size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Search cluster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$28–$390/mo by size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Managed backups (daily, 30-day retention)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included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Extended retention (1 yr)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$0.012/GB/mo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Point-in-time recovery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Cross-region replication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$34/mo + egress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Disaster-recovery site (warm standby)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45% of primary cost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Disaster-recovery drill (tested, documented)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$420/drill</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Managed data services</w:t>
      </w:r>
    </w:p>
    <w:p>
      <w:pPr>
        <w:pStyle w:val="Heading3"/>
      </w:pPr>
      <w:r>
        <w:t xml:space="preserve">4.4 GPU &amp; AI compute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Resource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Inference GPU (entry class)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$0.68/hr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Inference GPU (standard class)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$1.75/hr</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Training GPU (high-memory class)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$3.90/hr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Reserved GPU (monthly commitment)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 discount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Model hosting (managed endpoint)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$46/mo + compute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Fine-tuning job</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$18/hr + compute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Embedding generation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$0.018 per 1M tokens</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GPU &amp; AI compute</w:t>
      </w:r>
    </w:p>
    <w:p>
      <w:pPr>
        <w:pStyle w:val="Heading3"/>
      </w:pPr>
      <w:r>
        <w:t xml:space="preserve">4.5 Platform services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Service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Authentication service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to 5,000 MAU, then $0.014/MAU</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File storage &amp; CDN delivery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$0.018/GB/mo + $0.042/GB egress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Queue / job runner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$0.40 per million operations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Cron / scheduled jobs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Webhooks &amp; event bus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$0.30 per million events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Logging &amp; retention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 days free, then $0.09/GB/mo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Metrics &amp; monitoring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Uptime monitoring &amp; alerting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Error tracking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to 10,000 events/mo, then $0.0004/event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Status page (public)</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API gateway &amp; rate limiting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Secrets management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Container registry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$0.09/GB/mo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CI/CD minutes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2,000/mo free, then $0.006/min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Platform services</w:t>
      </w:r>
    </w:p>
    <w:p>
      <w:pPr>
        <w:pStyle w:val="Heading3"/>
      </w:pPr>
      <w:r>
        <w:t xml:space="preserve">4.6 Data residency &amp; sovereignty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Region</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Availability</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Premium</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Nigeria</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Base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European Union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United Kingdom</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United States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GCC</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Customer-specified jurisdiction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III</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Quoted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On-premise / air-gapped deployment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$24,000 + $640/mo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Data residency &amp; sovereignty</w:t>
      </w:r>
    </w:p>
    <w:p>
      <w:pPr>
        <w:pStyle w:val="Heading2"/>
        <w:pageBreakBefore/>
      </w:pPr>
      <w:r>
        <w:t xml:space="preserve">DIVISION 5 — STROMEX AI</w:t>
      </w:r>
    </w:p>
    <w:p>
      <w:pPr>
        <w:pStyle w:val="EditorialNote"/>
      </w:pPr>
      <w:r>
        <w:t xml:space="preserve">Target gross margin: 55–70% after inference cost. Every agent is disclosed as AI (Volume I §7.2) and every high-stakes decision is human-reviewed (Volume I P10).</w:t>
      </w:r>
    </w:p>
    <w:p>
      <w:pPr>
        <w:pStyle w:val="Heading3"/>
      </w:pPr>
      <w:r>
        <w:t xml:space="preserve">5.1 AI agents — subscription per agent, per institution</w:t>
      </w:r>
    </w:p>
    <w:p>
      <w:pPr>
        <w:pStyle w:val="Heading4"/>
      </w:pPr>
      <w:r>
        <w:t xml:space="preserve">Administrative agents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Agent</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What it does</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Receptionist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Answers enquiries across web, WhatsApp and phone; routes and books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Admissions Officer</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Guides applicants, screens completeness, schedules, chases documents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Registrar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Answers record queries, prepares transcripts, flags anomalies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Bursar / Finance Officer</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Fee reminders, reconciliation prompts, arrears triage, plain-language statements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HR Assistant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Drafts letters, screens applications, answers policy questions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Secretary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Minutes, action tracking, correspondence drafting, diary triage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Procurement Officer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Requisition triage, quote comparison, supplier correspondence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Compliance Officer</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Regulatory calendar, gap flags, evidence assembly</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Executive Analyst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Board packs, executive summaries, KPI narrative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$124/mo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AI agents — subscription per agent, per institution</w:t>
      </w:r>
    </w:p>
    <w:p>
      <w:pPr>
        <w:pStyle w:val="Heading4"/>
      </w:pPr>
      <w:r>
        <w:t xml:space="preserve">Academic agents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Agent</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What it does</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Teacher (per subject)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Explains, sets work, adapts to level, tracks misconceptions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Tutor (per student)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 adaptive tutoring across subjects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$5.40/student/mo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Homework Marker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Marks and gives feedback; teacher approves before release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$0.035/script page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Curriculum Designer</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Schemes of work, lesson plans, differentiation, mapping to standards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Examination Officer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Question generation, blueprint balance, difficulty calibration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Librarian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Catalogue Q&amp;A, reading recommendation, research guidance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Research Assistant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Source retrieval, synthesis with citations, literature mapping</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Translator</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Document and page translation, human-review workflow built in</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Arabic Tutor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Grammar, morphology, vocabulary, graded reading</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Qur’an Memorisation Coach</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Scheduling, revision, error tracking; recitation review is human-confirmed</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Timetable Optimiser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Constraint-solved timetables, conflict resolution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Inspection Readiness Assistant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Evidence assembly against an inspection framework</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Parent Assistant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Answers parent questions from the institution’s own record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Student Companion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Study planning, wellbeing check-ins, escalation to a human</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$6.20/student/mo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AI agents — subscription per agent, per institution</w:t>
      </w:r>
    </w:p>
    <w:p>
      <w:pPr>
        <w:pStyle w:val="Heading4"/>
      </w:pPr>
      <w:r>
        <w:t xml:space="preserve">Sector agents (Volume VII)</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Agent</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Patient Coordinator (health)</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Clinical Documentation Assistant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Case Officer (government)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Legal Research Assistant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$156/mo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Contract Analyst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Underwriting Assistant (insurance)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Loan Officer Assistant (finance)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Customer Support Agent (any sector)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Sales Development Agent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Marketing Assistant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Editor (publishing)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Fact-Checker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$86/mo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AI agents — subscription per agent, per institution</w:t>
      </w:r>
    </w:p>
    <w:p>
      <w:pPr>
        <w:pStyle w:val="BodyText"/>
      </w:pPr>
      <w:r>
        <w:rPr>
          <w:b/>
          <w:bCs/>
        </w:rPr>
        <w:t xml:space="preserve">Every agent includes:</w:t>
      </w:r>
      <w:r>
        <w:t xml:space="preserve"> institution-scoped knowledge grounding, citation of the institution’s own source documents, conversation logs, an escalation path to a named human, configurable refusal boundaries, and a monthly credit allowance (Chapter 18). Beyond allowance, credits are consumed at published rates.</w:t>
      </w:r>
    </w:p>
    <w:p>
      <w:pPr>
        <w:pStyle w:val="Heading3"/>
      </w:pPr>
      <w:r>
        <w:t xml:space="preserve">5.2 AI platform</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Knowledge base &amp; retrieval (institution-scoped)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 + $38/mo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Document ingestion &amp; indexing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$0.008/page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Enterprise search across all institutional data</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 + $64/mo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 agent builder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 + $34/mo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Agent marketplace access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(Division 16)</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Multi-model routing (provider-agnostic)</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Included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Bring-your-own-model / key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Included, no surcharge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Self-hosted model deployment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$1,900 setup + compute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Fine-tuning on institutional data</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Voice agent (speech in / speech out)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$86/mo + $0.024/min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Real-time translation (live sessions)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$0.09/min</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Transcription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$0.014/min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OCR &amp; handwriting recognition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$0.006/page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Document understanding &amp; extraction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$0.011/page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Image generation (brand-constrained)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$0.03/image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content detection &amp; authorship screening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$0.004/document</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AI platform</w:t>
      </w:r>
    </w:p>
    <w:p>
      <w:pPr>
        <w:pStyle w:val="Heading3"/>
      </w:pPr>
      <w:r>
        <w:t xml:space="preserve">5.3 Guardrails — included at no charge, mandatory, non-removable</w:t>
      </w:r>
    </w:p>
    <w:p>
      <w:pPr>
        <w:pStyle w:val="BodyText"/>
      </w:pPr>
      <w:r>
        <w:t xml:space="preserve">Refusal boundaries per domain · human escalation routing · citation enforcement in factual modes · hallucination monitoring · prompt-injection defence · PII redaction in logs · full conversation audit trail · per-agent kill switch · the standing prohibition on training third-party models on customer data.</w:t>
      </w:r>
    </w:p>
    <w:p>
      <w:pPr>
        <w:pStyle w:val="EditorialNote"/>
      </w:pPr>
      <w:r>
        <w:t xml:space="preserve">These are not a premium tier. Selling safety as an upgrade would mean selling an unsafe default, which Volume I forbids.</w:t>
      </w:r>
    </w:p>
    <w:p>
      <w:pPr>
        <w:pStyle w:val="Heading2"/>
        <w:pageBreakBefore/>
      </w:pPr>
      <w:r>
        <w:t xml:space="preserve">DIVISION 6 — STROMEX PAY</w:t>
      </w:r>
      <w:fldSimple w:instr="XE &quot;StromeX Pay&quot;"/>
    </w:p>
    <w:p>
      <w:pPr>
        <w:pStyle w:val="EditorialNote"/>
      </w:pPr>
      <w:r>
        <w:t xml:space="preserve">Target gross margin: 35–55%. Processor fees are pass-through and disclosed.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Payment module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 one-time + $24/mo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StromeX platform fee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0.4%</w:t>
            </w:r>
            <w:r>
              <w:rPr>
                <w:rFonts w:ascii="DejaVu Sans" w:cs="DejaVu Sans" w:eastAsia="DejaVu Sans" w:hAnsi="DejaVu Sans"/>
                <w:color w:val="0D1117"/>
                <w:sz w:val="16"/>
                <w:szCs w:val="16"/>
              </w:rPr>
              <w:t xml:space="preserve"> on top of the processor’s rate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Processor fees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Pass-through at cost, published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Multi-currency support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 + $18/mo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Country payment routing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 + $22/mo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Payment links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Invoicing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Recurring billing &amp; subscriptions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Instalment plans (school fees in tranches)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Promo codes &amp; scholarships applied at checkout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Wallets &amp; stored balance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 + $38/mo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Split payments / multi-beneficiary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Escrow (milestone release)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$46/mo + 0.6%</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Donations &amp; fundraising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Zakat &amp; sadaqah collection with designation tracking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Refunds &amp; reversal workflow</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Included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Reconciliation &amp; settlement reporting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Chargeback handling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$18/mo + $12/case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Cash &amp; bank-transfer capture (for cash-heavy markets)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POS terminal integration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$32/mo + hardware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Fee financing referral (third-party lender)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Rev-share, disclosed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Payout to local bank accounts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$0.30/payout</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Stromex Pay</w:t>
      </w:r>
    </w:p>
    <w:p>
      <w:pPr>
        <w:pStyle w:val="BodyText"/>
      </w:pPr>
      <w:r>
        <w:rPr>
          <w:b/>
          <w:bCs/>
        </w:rPr>
        <w:t xml:space="preserve">Rule:</w:t>
      </w:r>
      <w:r>
        <w:t xml:space="preserve"> we never take a hidden spread on FX. The rate applied and the margin taken are both shown on the transaction record.</w:t>
      </w:r>
    </w:p>
    <w:p>
      <w:pPr>
        <w:pStyle w:val="Heading2"/>
        <w:pageBreakBefore/>
      </w:pPr>
      <w:r>
        <w:t xml:space="preserve">DIVISION 7 — AUTOMATION &amp; INTEGRATION</w:t>
      </w:r>
    </w:p>
    <w:p>
      <w:pPr>
        <w:pStyle w:val="EditorialNote"/>
      </w:pPr>
      <w:r>
        <w:t xml:space="preserve">Target gross margin: 60–75%. The founder’s brief: anything repetitive, anything a person does ten times a week, anything involving forms, approvals, signatures, documents or reconciliation.</w:t>
      </w:r>
    </w:p>
    <w:p>
      <w:pPr>
        <w:pStyle w:val="Heading3"/>
      </w:pPr>
      <w:r>
        <w:t xml:space="preserve">7.1 Automation platform</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Automation engine — base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 + $28/mo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Automation runs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5,000/mo included, then $0.0009/run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Visual workflow builder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Included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Approval chains (multi-stage, delegated)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 + $18/mo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Digital signatures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 + $22/mo + $0.14/signature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Qualified / advanced e-signature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$0.85/signature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Document generation from templates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$160 + $16/mo + $0.02/document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Mail merge &amp; bulk personalisation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 + $10/mo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Form builder (unlimited forms)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Advanced forms (logic, payments, file upload)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PDF assembly, sealing &amp; watermarking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 + $12/mo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Scheduled reports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sync between systems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$34/mo per connection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Robotic process automation (legacy screen automation)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 automation build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$95/hr or fixed quote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Automation platform</w:t>
      </w:r>
    </w:p>
    <w:p>
      <w:pPr>
        <w:pStyle w:val="Heading3"/>
      </w:pPr>
      <w:r>
        <w:t xml:space="preserve">7.2 Prebuilt automation packs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Pack</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What it automates</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Admissions pack</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Application → screening → interview → offer → acceptance → enrolment</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Fee pack</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Invoice → reminder → instalment → receipt → arrears escalation</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Certificate pack</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Result finalisation → eligibility → generation → seal → issue → verify</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Onboarding pack (staff)</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Offer → documents → accounts → induction → probation</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Offboarding pack</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Exit → access revocation → asset return → final pay → reference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Procurement pack</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Requisition → quotes → approval → PO → receipt → payment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$360</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Attendance pack</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Capture → exception → parent notification → escalation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Result-publication pack</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Entry → moderation → approval → publication → parent alert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$300</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Inspection pack</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Evidence request → collection → mapping → dossier</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Alumni pack</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Graduation → profile → verification → chapter → engagement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$280</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Safeguarding pack</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Concern → triage → case → escalation → record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$400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Board pack</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collection → pack assembly → distribution → minutes → actions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Prebuilt automation packs</w:t>
      </w:r>
    </w:p>
    <w:p>
      <w:pPr>
        <w:pStyle w:val="Heading3"/>
      </w:pPr>
      <w:r>
        <w:t xml:space="preserve">7.3 Integration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Public REST API</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Webhooks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SDKs (JS, Python, PHP)</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open source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Standard connector (Google Workspace, Microsoft 365, Zoom, Teams)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 each + $9/mo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Accounting connector (QuickBooks, Sage, Xero, Zoho Books)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 each + $14/mo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Payment gateway connector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 each + $11/mo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SMS / WhatsApp gateway connector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 each + $9/mo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Government / regulator reporting connector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$680 + $46/mo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Examination board connector (WAEC, NECO, Cambridge, Edexcel)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$520 + $38/mo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Bank statement / open banking connector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 + $28/mo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 connector build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$890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Legacy system bridge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warehouse export (scheduled)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Integration</w:t>
      </w:r>
    </w:p>
    <w:p>
      <w:pPr>
        <w:pStyle w:val="Heading2"/>
        <w:pageBreakBefore/>
      </w:pPr>
      <w:r>
        <w:t xml:space="preserve">DIVISION 8 — MOBILE &amp; APPLICATIONS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Progressive Web App (installable, offline)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$680 + $22/mo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Android app (branded wrapper, store-ready)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$2,400 + $58/mo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iOS app (branded wrapper, store-ready)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$2,900 + $58/mo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Android + iOS bundle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$4,600 + $88/mo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Native app (bespoke, single platform)</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$14,000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Native app (bespoke, both platforms)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$24,000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App store submission &amp; review management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$340/store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Store listing assets (icon, screenshots, copy)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Push notification service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 + $22/mo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In-app purchases / subscriptions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 + $34/mo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Offline-first data sync</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$560 + $38/mo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Deep linking &amp; universal links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App analytics &amp; crash reporting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Over-the-air update channel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Annual store compliance &amp; SDK maintenance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$420/yr per platform</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White-label app for a partner’s client base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Division 16</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Desktop application (Windows / macOS / Linux)</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$9,000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Kiosk application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$1,900 + $34/mo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Smart TV / digital signage app</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$2,200 + $38/mo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Wearable companion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$4,200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USSD service (feature-phone access)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$1,400 + $180/mo + telco fees</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Mobile &amp; Applications</w:t>
      </w:r>
    </w:p>
    <w:p>
      <w:pPr>
        <w:pStyle w:val="Heading2"/>
        <w:pageBreakBefore/>
      </w:pPr>
      <w:r>
        <w:t xml:space="preserve">DIVISION 9 — INTELLIGENCE &amp; ANALYTICS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Standard dashboards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Included in platform</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 dashboard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 each</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Executive reporting system</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$780 + $58/mo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Founder / proprietor dashboard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$560 + $38/mo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Business intelligence workspace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 + $86/mo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Predictive analytics — enrolment forecasting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 + $64/mo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Predictive analytics — attrition / dropout risk</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$560 + $68/mo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Predictive analytics — fee default risk</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$540 + $66/mo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Predictive analytics — demand &amp; capacity planning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$580 + $70/mo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Cohort &amp; longitudinal analysis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 + $46/mo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Benchmarking against anonymised peer set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Learning analytics &amp; comprehension gap detection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$490 + $54/mo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Financial modelling &amp; scenario planning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$610 + $72/mo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warehouse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$840 + $124/mo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ETL pipelines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 + $44/mo per pipeline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Report builder (self-service)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Scheduled report distribution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Anomaly detection &amp; alerting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$380 + $42/mo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Fraud detection (fees, credentials, attendance)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$620 + $78/mo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Intelligence &amp; Analytics</w:t>
      </w:r>
    </w:p>
    <w:p>
      <w:pPr>
        <w:pStyle w:val="BodyText"/>
      </w:pPr>
      <w:r>
        <w:rPr>
          <w:b/>
          <w:bCs/>
        </w:rPr>
        <w:t xml:space="preserve">Benchmarking is opt-in, aggregated, anonymised and never resold.</w:t>
      </w:r>
      <w:r>
        <w:t xml:space="preserve"> An institution can see how it compares without any institution being identifiable, and no third party ever receives the data (Volume I §7.3).</w:t>
      </w:r>
    </w:p>
    <w:p>
      <w:pPr>
        <w:pStyle w:val="Heading2"/>
        <w:pageBreakBefore/>
      </w:pPr>
      <w:r>
        <w:t xml:space="preserve">DIVISION 10 — SECURITY &amp; COMPLIANCE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Security patching &amp; dependency updates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always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TLS, WAF, DDoS protection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included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Backups with tested restore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included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Audit log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included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Security posture documentation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Vulnerability scanning (continuous)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Penetration test — application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Penetration test — infrastructure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Penetration test — full scope with retest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Red team engagement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$14,000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Security monitoring (SIEM)</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$86/mo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24/7 security operations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Incident response retainer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Incident response (ad hoc)</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$180/hr</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protection impact assessment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NDPA compliance readiness (Nigeria)</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GDPR compliance readiness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ISO 27001 readiness assessment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ISO 27001 implementation support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$11,000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SOC 2 readiness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$9,000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processing agreement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residency configuration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Division 4.6</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Records retention policy design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Business continuity plan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Disaster recovery plan + drill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Security awareness training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$22/staff</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Phishing simulation programme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Access review &amp; least-privilege audit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Child data protection audit (education-specific)</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$1,100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Security &amp; Compliance</w:t>
      </w:r>
    </w:p>
    <w:p>
      <w:pPr>
        <w:pStyle w:val="Heading2"/>
        <w:pageBreakBefore/>
      </w:pPr>
      <w:r>
        <w:t xml:space="preserve">DIVISION 11 — HARDWARE &amp; SMART CAMPUS</w:t>
      </w:r>
    </w:p>
    <w:p>
      <w:pPr>
        <w:pStyle w:val="EditorialNote"/>
      </w:pPr>
      <w:r>
        <w:t xml:space="preserve">Band-invariant. Hardware at cost + 22%; installation and commissioning at local labour rates. </w:t>
      </w:r>
      <w:r>
        <w:rPr>
          <w:b/>
          <w:bCs/>
        </w:rPr>
        <w:t xml:space="preserve">Hardware is an enabler, not a margin engine</w:t>
      </w:r>
      <w:r>
        <w:t xml:space="preserve"> (Volume II R12) — we do not push hardware to make a quarter.</w:t>
      </w:r>
    </w:p>
    <w:p>
      <w:pPr>
        <w:pStyle w:val="Heading3"/>
      </w:pPr>
      <w:r>
        <w:t xml:space="preserve">11.1 Access &amp; security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Smart gate controller (per lane)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Automatic sliding gate motor + controller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$1,650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Boom barrier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Full-height turnstile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$2,350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Waist-height tripod turnstile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Speed gate (optical)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Door access controller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Electromagnetic lock</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Electric strike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RFID / NFC reader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$88</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Long-range UHF reader (vehicle)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$410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Fingerprint reader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Face recognition terminal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Palm-vein reader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$690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Number-plate recognition camera</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IP camera (indoor)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IP camera (outdoor, IR)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$175</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NVR (16-channel)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Intercom / video door station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Panic button (wired / wireless)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Intrusion alarm panel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Access &amp; security</w:t>
      </w:r>
    </w:p>
    <w:p>
      <w:pPr>
        <w:pStyle w:val="Heading3"/>
      </w:pPr>
      <w:r>
        <w:t xml:space="preserve">11.2 Identity &amp; issuance hardware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Card printer — single-sided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$1,380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Card printer — dual-sided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$2,150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Card printer — retransfer (premium finish)</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Card printer ribbon (250 prints)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Lamination module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Photo capture station (camera, backdrop, lighting)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Signature pad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$130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Document scanner (ADF)</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Passport / ID scanner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$690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Card encoder (MIFARE / DESFire)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Identity &amp; issuance hardware</w:t>
      </w:r>
    </w:p>
    <w:p>
      <w:pPr>
        <w:pStyle w:val="Heading3"/>
      </w:pPr>
      <w:r>
        <w:t xml:space="preserve">11.3 Campus &amp; operations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Attendance kiosk (tablet, mount, reader)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Self-service kiosk (touchscreen, printer)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Digital signage display (43”)</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$610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Digital signage display (65”)</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Signage media player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Interactive whiteboard (75”)</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Classroom projector + screen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 / bell system (per zone)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Two-way radio (per handset)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Thermal receipt printer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Label / badge printer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Barcode scanner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POS terminal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Cash drawer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Laboratory sensor kit (IoT, STEM)</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Environmental sensor (temp/humidity/air)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Water tank level sensor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Energy meter (smart, per phase)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$230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Solar monitoring gateway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$410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Vehicle GPS tracker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School bus student-tracking reader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Network switch (24-port PoE)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$390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Wireless access point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$175</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UPS (1 kVA)</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Inverter + battery (2 kVA)</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Server cabinet (12U)</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Campus &amp; operations</w:t>
      </w:r>
    </w:p>
    <w:p>
      <w:pPr>
        <w:pStyle w:val="Heading3"/>
      </w:pPr>
      <w:r>
        <w:t xml:space="preserve">11.4 Smart campus packages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Package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Contents</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Smart Entry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 gate controller, 2 readers, software, install</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Smart Attendance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 kiosks, readers, software, install</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$5,400</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Smart Identity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Card printer, capture station, encoder, 1,000 cards, software, training</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$6,800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Smart Security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 cameras, NVR, 2 access doors, monitoring</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$4,900</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Smart Classroom</w:t>
            </w:r>
            <w:r>
              <w:rPr>
                <w:rFonts w:ascii="DejaVu Sans" w:cs="DejaVu Sans" w:eastAsia="DejaVu Sans" w:hAnsi="DejaVu Sans"/>
                <w:color w:val="0D1117"/>
                <w:sz w:val="16"/>
                <w:szCs w:val="16"/>
              </w:rPr>
              <w:t xml:space="preserve"> (per room)</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Interactive board, projector, AP, sensors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$4,300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Smart Campus Foundation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Entry + Attendance + Identity</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$13,900</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Smart Campus Complete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All above + security + 10 classrooms + signage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$62,000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Smart Mosque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 signage, attendance, donation kiosk, prayer display</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$7,400</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Smart Clinic</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Queue display, kiosk, ID reader, sensors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$6,200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Smart Office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Access, attendance, signage, meeting-room booking</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$8,900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Smart campus packages</w:t>
      </w:r>
    </w:p>
    <w:p>
      <w:pPr>
        <w:pStyle w:val="BodyText"/>
      </w:pPr>
      <w:r>
        <w:rPr>
          <w:b/>
          <w:bCs/>
        </w:rPr>
        <w:t xml:space="preserve">Included with every hardware package:</w:t>
      </w:r>
      <w:r>
        <w:t xml:space="preserve"> site survey, installation, commissioning, staff training, 12-month warranty, and integration into the StromeX platform. </w:t>
      </w:r>
      <w:r>
        <w:rPr>
          <w:b/>
          <w:bCs/>
        </w:rPr>
        <w:t xml:space="preserve">Excluded:</w:t>
      </w:r>
      <w:r>
        <w:t xml:space="preserve"> civil works, cabling beyond 30m, power provisioning, and structural mounting.</w:t>
      </w:r>
    </w:p>
    <w:p>
      <w:pPr>
        <w:pStyle w:val="Heading3"/>
      </w:pPr>
      <w:r>
        <w:t xml:space="preserve">11.5 Hardware services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Site survey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 (credited against order)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Installation &amp; commissioning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 of hardware value, min $220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Extended warranty (year 2–3)</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 of hardware value/yr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Maintenance contract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 of hardware value/yr</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Emergency callout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 + parts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Spare parts holding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 of hardware value/yr</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Decommissioning &amp; recycling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$95/site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Hardware services</w:t>
      </w:r>
    </w:p>
    <w:p>
      <w:pPr>
        <w:pStyle w:val="Heading2"/>
        <w:pageBreakBefore/>
      </w:pPr>
      <w:r>
        <w:t xml:space="preserve">DIVISION 12 — DESIGN &amp; CREATIVE</w:t>
      </w:r>
    </w:p>
    <w:p>
      <w:pPr>
        <w:pStyle w:val="EditorialNote"/>
      </w:pPr>
      <w:r>
        <w:t xml:space="preserve">Detailed method in Volume VI. Prices authoritative here. Target gross margin: 45–65%.</w:t>
      </w:r>
    </w:p>
    <w:p>
      <w:pPr>
        <w:pStyle w:val="Heading3"/>
      </w:pPr>
      <w:r>
        <w:t xml:space="preserve">12.1 Brand identity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Logo preview / concept explorer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Logo design — Standard (3 concepts, 2 revisions)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Logo design — Premium (5 concepts, full exploration)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$1,150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Logo design — Elite (research-led, bespoke lettering)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Institutional crest / coat of arms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Brand identity system — Standard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Brand identity system — Premium</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Brand identity system — Elite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Brand guidelines document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$890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Brand kit (all variants, all formats, per Volume I §10.1)</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Brand refresh / modernisation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$2,400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Naming &amp; verbal identity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Tagline development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Sonic logo / audio identity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Brand identity</w:t>
      </w:r>
    </w:p>
    <w:p>
      <w:pPr>
        <w:pStyle w:val="Heading3"/>
      </w:pPr>
      <w:r>
        <w:t xml:space="preserve">12.2 Print &amp; collateral</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Letterhead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Business card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Complete stationery suite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Compliment slip / memo</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Envelope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$85</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Folder / presentation wallet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$210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Brochure (4pp)</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Brochure (8–12pp)</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Prospectus (24pp)</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Prospectus (48pp, art-directed)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Prospectus (premium, bespoke spreads, photography direction)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Annual report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Poster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Flyer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$130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Banner / roll-up</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Billboard artwork</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Signage system (wayfinding)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$1,800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Vehicle livery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Uniform &amp; apparel design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Merchandise design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Exhibition stand design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Print &amp; collateral</w:t>
      </w:r>
    </w:p>
    <w:p>
      <w:pPr>
        <w:pStyle w:val="Heading3"/>
      </w:pPr>
      <w:r>
        <w:t xml:space="preserve">12.3 Digital &amp; product design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UI design (per screen)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UX research &amp; journey mapping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Wireframing (per flow)</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Design system creation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$4,800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Prototype (interactive)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Usability testing (5 participants)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Accessibility design review</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$560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Email template design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Social media template kit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Presentation template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Presentation design (per deck, ≤20 slides)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Pitch deck (investor-grade)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Infographic</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visualisation system</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Icon set (custom, 30 icons)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Illustration (spot)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Illustration (full page)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Character design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Digital &amp; product design</w:t>
      </w:r>
    </w:p>
    <w:p>
      <w:pPr>
        <w:pStyle w:val="Heading3"/>
      </w:pPr>
      <w:r>
        <w:t xml:space="preserve">12.4 Motion, 3D &amp; media</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Logo animation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Motion graphics (per finished minute)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Explainer video (60–90s)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Corporate film (3–5 min)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$6,500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Documentary (institutional)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$18,000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2D animation (per finished minute)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3D animation (per finished minute)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3D product visualisation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$890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Architectural visualisation (still)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Architectural visualisation (walkthrough)</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Virtual campus tour (360°)</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Drone photography &amp; video</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$680/day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Photography — portraits (per session, ≤20 people)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Photography — institutional / editorial (per day)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Photo retouching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$18/image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Podcast production (per episode)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Audio branding &amp; jingle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Voice-over (per finished minute)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voice-over (per finished minute)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Subtitling &amp; captions (per finished minute)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Motion, 3D &amp; media</w:t>
      </w:r>
    </w:p>
    <w:p>
      <w:pPr>
        <w:pStyle w:val="Heading2"/>
        <w:pageBreakBefore/>
      </w:pPr>
      <w:r>
        <w:t xml:space="preserve">DIVISION 13 — PUBLISHING &amp; PRINT</w:t>
      </w:r>
    </w:p>
    <w:p>
      <w:pPr>
        <w:pStyle w:val="EditorialNote"/>
      </w:pPr>
      <w:r>
        <w:t xml:space="preserve">Method in Volume VI. Target gross margin: 45–65% (services), 22–35% (print coordination).</w:t>
      </w:r>
    </w:p>
    <w:p>
      <w:pPr>
        <w:pStyle w:val="Heading3"/>
      </w:pPr>
      <w:r>
        <w:t xml:space="preserve">13.1 Editorial</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Manuscript assessment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Developmental editing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$0.048/word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Structural editing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$0.036/word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Line editing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$0.030/word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Copy-editing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$0.017/word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Proofreading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$0.011/word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Fact-checking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$0.022/word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Indexing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$4.20/page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Ghostwriting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$0.34/word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AI-assisted drafting with human editorial control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$0.09/word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Translation — general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$0.075/word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Translation — literary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$0.135/word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Translation — religious / classical Arabic</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$0.165/word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Transcription of dictation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$1.40/audio minute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Permissions &amp; rights clearance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$85/item</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Editorial</w:t>
      </w:r>
    </w:p>
    <w:p>
      <w:pPr>
        <w:pStyle w:val="Heading3"/>
      </w:pPr>
      <w:r>
        <w:t xml:space="preserve">13.2 Design &amp; production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Cover design — Standard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Cover design — Premium</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$780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Cover design — Elite (illustrated, bespoke lettering)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Full jacket (with flaps, spine, case)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Interior layout — text-only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$3.10/page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Interior layout — illustrated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$6.40/page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Interior layout — children’s / picture book</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$12.50/page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Interior layout — </w:t>
            </w:r>
            <w:r>
              <w:rPr>
                <w:rFonts w:ascii="DejaVu Sans" w:cs="DejaVu Sans" w:eastAsia="DejaVu Sans" w:hAnsi="DejaVu Sans"/>
                <w:b/>
                <w:bCs/>
                <w:color w:val="0D1117"/>
                <w:sz w:val="16"/>
                <w:szCs w:val="16"/>
              </w:rPr>
              <w:t xml:space="preserve">premium Islamic typesetting</w:t>
            </w:r>
            <w:r>
              <w:rPr>
                <w:rFonts w:ascii="DejaVu Sans" w:cs="DejaVu Sans" w:eastAsia="DejaVu Sans" w:hAnsi="DejaVu Sans"/>
                <w:color w:val="0D1117"/>
                <w:sz w:val="16"/>
                <w:szCs w:val="16"/>
              </w:rPr>
              <w:t xml:space="preserve"> (Arabic + translation, harakat, footnote apparatus)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$14.00/page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Qur’anic text setting (verified source, no generation)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$18.00/page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Complex academic layout (tables, equations, apparatus)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$9.80/page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Typesetting corrections round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$0.90/page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eBook conversion (EPUB3, reflowable)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Fixed-layout eBook</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Accessible eBook (screen-reader optimised)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Print-ready PDF preparation &amp; preflight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ISBN registration (service fee)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Barcode generation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Copyright registration support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Legal deposit handling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CIP data preparation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$95</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Design &amp; production</w:t>
      </w:r>
    </w:p>
    <w:p>
      <w:pPr>
        <w:pStyle w:val="Heading3"/>
      </w:pPr>
      <w:r>
        <w:t xml:space="preserve">13.3 International print coordination</w:t>
      </w:r>
    </w:p>
    <w:p>
      <w:pPr>
        <w:pStyle w:val="EditorialNote"/>
      </w:pPr>
      <w:r>
        <w:t xml:space="preserve">The founder’s brief: give people access to UK and US printing standards they cannot reach directly. Printing cost is pass-through; StromeX charges a coordination margin and takes responsibility for the outcome.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Coordination margin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18% of print cost, minimum $240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Print quotation &amp; specification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Paper stock selection &amp; dummy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Colour proofing (digital)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Colour proofing (wet proof, press-accurate)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Press check attendance (UK/US)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$640/day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Print-run management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Included in coordination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Freight &amp; customs coordination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Cost + 12%</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Warehousing (per pallet/month)</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Fulfilment &amp; distribution setup</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Print-on-demand setup (global)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Rush handling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+25% of coordination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International print coordination</w:t>
      </w:r>
    </w:p>
    <w:p>
      <w:pPr>
        <w:pStyle w:val="BodyText"/>
      </w:pPr>
      <w:r>
        <w:rPr>
          <w:b/>
          <w:bCs/>
        </w:rPr>
        <w:t xml:space="preserve">Print tiers offered: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Tier</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Where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Typical use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Local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Nigeria / regional</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Workbooks, exam papers, newsletters, volume text</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Regional Premium</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UAE / Turkey / India</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Quality colour work at moderate cost</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UK Premium</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United Kingdom</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Prestige titles, case binding, foil, specialist finishing</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US Premium</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United States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Trade distribution, large runs, POD network</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Fine Press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UK / EU specialist</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Limited editions, hand-finishing, archival stock</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International print coordination</w:t>
      </w:r>
    </w:p>
    <w:p>
      <w:pPr>
        <w:pStyle w:val="Heading3"/>
      </w:pPr>
      <w:r>
        <w:t xml:space="preserve">13.4 Audio &amp; interactive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Audiobook — AI narration, human-QC’d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$170/finished hour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Audiobook — human narration (standard)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$620/finished hour</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Audiobook — human narration (premium, studio)</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$1,100/finished hour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Audiobook — Qur’an / religious recitation (qualified reciter)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Quoted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Audiobook mastering &amp; distribution setup</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Interactive eBook (embedded quizzes, audio, video)</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$2,800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Animated children’s book</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$4,600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App-based book</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$9,000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Read-along / karaoke text sync</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$240/hour of audio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Audio &amp; interactive</w:t>
      </w:r>
    </w:p>
    <w:p>
      <w:pPr>
        <w:pStyle w:val="Heading3"/>
      </w:pPr>
      <w:r>
        <w:t xml:space="preserve">13.5 Institutional &amp; educational publishing</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Bespoke school textbook</w:t>
            </w:r>
            <w:r>
              <w:rPr>
                <w:rFonts w:ascii="DejaVu Sans" w:cs="DejaVu Sans" w:eastAsia="DejaVu Sans" w:hAnsi="DejaVu Sans"/>
                <w:color w:val="0D1117"/>
                <w:sz w:val="16"/>
                <w:szCs w:val="16"/>
              </w:rPr>
              <w:t xml:space="preserve"> (single subject, single level)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$4,800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Textbook series (6 levels, one subject)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$24,000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Workbook / activity book</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Teacher’s guide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$2,200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Scheme of work &amp; syllabus framework document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Examination paper bank (per subject, per level)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$780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Institutional yearbook</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$3,200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Graduation programme (designed, printed, verifiable)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Institutional history / commemorative volume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$14,000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Board &amp; governance handbook</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Policy compendium</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Journal / periodical setup</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$2,400 + $680/issue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Research publication support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$890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 edition of an existing title for one institution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$1,200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Institutional &amp; educational publishing</w:t>
      </w:r>
    </w:p>
    <w:p>
      <w:pPr>
        <w:pStyle w:val="Heading3"/>
      </w:pPr>
      <w:r>
        <w:t xml:space="preserve">13.6 Author &amp; publisher services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Publishing consultation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(45 min)</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Publishing strategy &amp; business plan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$980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Author website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Division 1</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Author brand kit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Book launch campaign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$1,800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Amazon / retail listing optimisation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Metadata &amp; keyword optimisation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Review &amp; endorsement outreach</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Rights &amp; licensing brokerage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 of deal value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Royalty administration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$46/mo + 2% of royalties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Distribution setup (global retail)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Author &amp; publisher services</w:t>
      </w:r>
    </w:p>
    <w:p>
      <w:pPr>
        <w:pStyle w:val="Heading2"/>
        <w:pageBreakBefore/>
      </w:pPr>
      <w:r>
        <w:t xml:space="preserve">DIVISION 14 — CONSULTING &amp; PROFESSIONAL SERVICES</w:t>
      </w:r>
    </w:p>
    <w:p>
      <w:pPr>
        <w:pStyle w:val="EditorialNote"/>
      </w:pPr>
      <w:r>
        <w:t xml:space="preserve">Target gross margin: 45–60%. Day rates band: Band A $780 · Band B $1,650 · Band C $3,200 (senior consultant, per day).</w:t>
      </w:r>
    </w:p>
    <w:p>
      <w:pPr>
        <w:pStyle w:val="Heading3"/>
      </w:pPr>
      <w:r>
        <w:t xml:space="preserve">14.1 Strategy &amp; transformation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Discovery consultation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(60 min, physical or remote)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Digital readiness assessment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Digital transformation roadmap</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Institutional audit (full)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$5,800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Technology strategy &amp; architecture review</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Business process re-engineering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$4,200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Organisational structure review</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Strategic plan (3–5 year)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Feasibility study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Market analysis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Competitor benchmarking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Change management programme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$5,200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Workforce impact &amp; redeployment plan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$1,900 (</w:t>
            </w:r>
            <w:r>
              <w:rPr>
                <w:rFonts w:ascii="DejaVu Sans" w:cs="DejaVu Sans" w:eastAsia="DejaVu Sans" w:hAnsi="DejaVu Sans"/>
                <w:b/>
                <w:bCs/>
                <w:color w:val="0D1117"/>
                <w:sz w:val="16"/>
                <w:szCs w:val="16"/>
              </w:rPr>
              <w:t xml:space="preserve">free</w:t>
            </w:r>
            <w:r>
              <w:rPr>
                <w:rFonts w:ascii="DejaVu Sans" w:cs="DejaVu Sans" w:eastAsia="DejaVu Sans" w:hAnsi="DejaVu Sans"/>
                <w:color w:val="0D1117"/>
                <w:sz w:val="16"/>
                <w:szCs w:val="16"/>
              </w:rPr>
              <w:t xml:space="preserve"> where StromeX automation caused the change — Volume I §7.1)</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Board advisory retainer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Interim CTO / CIO</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$6,800/mo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Founder / executive coaching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$340/session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Strategy &amp; transformation</w:t>
      </w:r>
    </w:p>
    <w:p>
      <w:pPr>
        <w:pStyle w:val="Heading3"/>
      </w:pPr>
      <w:r>
        <w:t xml:space="preserve">14.2 Education services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Curriculum design (per subject, per level)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Full curriculum framework (whole school)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$8,400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Scheme of work (per subject, per term)</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Lesson plan library (per subject, per level)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Assessment framework design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Marking &amp; moderation policy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School establishment / start-up consultancy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$6,800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School improvement plan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Accreditation readiness — national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Accreditation readiness — international (Cambridge, IB, Edexcel, COGNIA)</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$18,000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Inspection preparation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Teacher observation &amp; development programme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Pedagogy audit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Timetable design (manual, complex)</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$890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Special educational needs framework</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Boarding / pastoral framework</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Islamic studies curriculum design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Qur’an programme design (memorisation pathway)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Bilingual / trilingual education framework</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$2,800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Education services</w:t>
      </w:r>
    </w:p>
    <w:p>
      <w:pPr>
        <w:pStyle w:val="Heading3"/>
      </w:pPr>
      <w:r>
        <w:t xml:space="preserve">14.3 Governance, policy &amp; compliance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Governance charter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Board handbook</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Constitution / statutes drafting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Governance framework review</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Policy pack — core (10 policies)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Policy pack — comprehensive (30 policies)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Individual policy drafting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 each</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Staff handbook</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$980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Student handbook</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$890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Parent handbook</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$780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Safeguarding framework</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Code of conduct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Risk register &amp; management framework</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Business registration &amp; incorporation support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 + statutory fees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Trademark filing support (per class, per jurisdiction)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$480 + statutory fees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Regulatory licensing support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protection compliance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Division 10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Financial authority matrix</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Delegation of authority framework</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Internal audit framework</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$2,100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Governance, policy &amp; compliance</w:t>
      </w:r>
    </w:p>
    <w:p>
      <w:pPr>
        <w:pStyle w:val="Heading3"/>
      </w:pPr>
      <w:r>
        <w:t xml:space="preserve">14.4 Marketing &amp; growth services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Marketing strategy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Brand positioning workshop</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Admissions marketing campaign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$2,200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Social media management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Content marketing retainer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$980/mo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Paid advertising management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 of spend, min $340/mo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Email marketing programme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Public relations retainer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Press release writing &amp; distribution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Crisis communications support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$2,400 + $180/hr</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Event management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$1,800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Open day / admissions event package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Alumni engagement programme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Fundraising / development strategy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Donor management system</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Division 2</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Grant writing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$1,400/application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Marketing &amp; growth services</w:t>
      </w:r>
    </w:p>
    <w:p>
      <w:pPr>
        <w:pStyle w:val="Heading2"/>
        <w:pageBreakBefore/>
      </w:pPr>
      <w:r>
        <w:t xml:space="preserve">DIVISION 15 — STROMEX ACADEMY</w:t>
      </w:r>
    </w:p>
    <w:p>
      <w:pPr>
        <w:pStyle w:val="EditorialNote"/>
      </w:pPr>
      <w:r>
        <w:t xml:space="preserve">Training and certification. Target gross margin: 65–80%. Free where it drives adoption; paid where it confers credential value.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Product documentation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Video tutorial library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Community forum</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Live onboarding webinar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Admin training (up to 10 staff, remote)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Admin training (on-site, full day)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$980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Teacher training (per cohort of 25)</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Advanced administrator training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$780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Train-the-trainer programme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Digital literacy programme (per staff member)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Cybersecurity awareness (per staff member)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Redeployment training after automation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r>
              <w:rPr>
                <w:rFonts w:ascii="DejaVu Sans" w:cs="DejaVu Sans" w:eastAsia="DejaVu Sans" w:hAnsi="DejaVu Sans"/>
                <w:color w:val="0D1117"/>
                <w:sz w:val="16"/>
                <w:szCs w:val="16"/>
              </w:rPr>
              <w:t xml:space="preserve"> (capped per contract, Volume I §7.1)</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StromeX Certified Administrator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$180/candidate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StromeX Certified Implementer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$340/candidate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StromeX Certified Partner Engineer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$520/candidate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StromeX Certified Designer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$290/candidate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Certification renewal (2-yearly)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$95</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 course development for a client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$2,400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Learning content production (per finished hour)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$890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Academy licence for an institution (unlimited internal use)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$980/yr</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Stromex Academy</w:t>
      </w:r>
    </w:p>
    <w:p>
      <w:pPr>
        <w:pStyle w:val="Heading2"/>
        <w:pageBreakBefore/>
      </w:pPr>
      <w:r>
        <w:t xml:space="preserve">DIVISION 16 — MARKETPLACE, LICENSING &amp; WHITE-LABEL</w:t>
      </w:r>
    </w:p>
    <w:p>
      <w:pPr>
        <w:pStyle w:val="Heading3"/>
      </w:pPr>
      <w:r>
        <w:t xml:space="preserve">16.1 Marketplace</w:t>
      </w:r>
    </w:p>
    <w:p>
      <w:pPr>
        <w:pStyle w:val="BodyText"/>
      </w:pPr>
      <w:r>
        <w:t xml:space="preserve">A store where institutions buy, and third parties sell: templates, policies, curricula, question banks, ERP modules, automation packs, AI agents, design assets, book templates, certificate designs, brand kits, plugins, themes, fonts, icon sets, and professional services.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Terms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Listing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StromeX revenue share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20%</w:t>
            </w:r>
            <w:r>
              <w:rPr>
                <w:rFonts w:ascii="DejaVu Sans" w:cs="DejaVu Sans" w:eastAsia="DejaVu Sans" w:hAnsi="DejaVu Sans"/>
                <w:color w:val="0D1117"/>
                <w:sz w:val="16"/>
                <w:szCs w:val="16"/>
              </w:rPr>
              <w:t xml:space="preserve"> of the sale (18% for certified partners, 15% above $50k lifetime sales)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Payout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Monthly, $50 minimum</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Featured placement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Certification / quality review of a listing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 one-time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Institution’s own private marketplace (sell to their own community)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 + $28/mo, StromeX takes 8%</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Marketplace</w:t>
      </w:r>
    </w:p>
    <w:p>
      <w:pPr>
        <w:pStyle w:val="EditorialNote"/>
      </w:pPr>
      <w:r>
        <w:t xml:space="preserve">Rev-share is deliberately below the 30% platform norm. A sustainable seller ecosystem is worth more than the extra ten points.</w:t>
      </w:r>
    </w:p>
    <w:p>
      <w:pPr>
        <w:pStyle w:val="Heading3"/>
      </w:pPr>
      <w:r>
        <w:t xml:space="preserve">16.2 White-label &amp; licensing</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Partner white-label (partner’s brand, StromeX platform)</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35% of end-customer revenue, min $420/mo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Reseller (StromeX brand, partner sells)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25–35% partner margin (Volume V)</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OEM licence (embed StromeX modules in another product)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$2,400/mo + per-seat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Source-available licence (customer may inspect &amp; self-host)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 standard subscription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Perpetual licence (government / air-gapped only)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4.5× annual, + 22%/yr maintenance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Territory licence (exclusive, per country)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Negotiated; requires volume commitment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Brand licensing (institutions using StromeX-designed IP)</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 agreement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API commercial tier (high-volume third-party use)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$340/mo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White-label &amp; licensing</w:t>
      </w:r>
    </w:p>
    <w:p>
      <w:pPr>
        <w:pStyle w:val="Heading2"/>
        <w:pageBreakBefore/>
      </w:pPr>
      <w:r>
        <w:t xml:space="preserve">DIVISION 17 — SUPPORT, SLA &amp; MANAGED SERVICES</w:t>
      </w:r>
    </w:p>
    <w:p>
      <w:pPr>
        <w:pStyle w:val="Heading3"/>
      </w:pPr>
      <w:r>
        <w:t xml:space="preserve">17.1 Support tiers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5"/>
        <w:gridCol w:w="1785"/>
        <w:gridCol w:w="1785"/>
        <w:gridCol w:w="1785"/>
        <w:gridCol w:w="1786"/>
      </w:tblGrid>
      <w:tr>
        <w:trPr>
          <w:cantSplit w:val="false"/>
          <w:tblHeader/>
        </w:trPr>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Tier</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Channels</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First response</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Hours</w:t>
            </w:r>
          </w:p>
        </w:tc>
        <w:tc>
          <w:tcPr>
            <w:tcW w:type="dxa" w:w="178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Community</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Docs, forum</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Standard</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Email, chat</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24h</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Business hours</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with any paid plan</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Priority</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phone</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4h</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Extended</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$89/mo</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Premium</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named contact</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1h</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12×5</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$290/mo</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Elite</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dedicated engineer</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 min</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24×7</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$890/mo</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Enterprise</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on-site, TAM</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 min</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24×7</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$2,400/mo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Support tiers</w:t>
      </w:r>
    </w:p>
    <w:p>
      <w:pPr>
        <w:pStyle w:val="BodyText"/>
      </w:pPr>
      <w:r>
        <w:rPr>
          <w:b/>
          <w:bCs/>
        </w:rPr>
        <w:t xml:space="preserve">Standing rule (Volume I §6.1):</w:t>
      </w:r>
      <w:r>
        <w:t xml:space="preserve"> when something </w:t>
      </w:r>
      <w:r>
        <w:rPr>
          <w:i/>
          <w:iCs/>
        </w:rPr>
        <w:t xml:space="preserve">we built</w:t>
      </w:r>
      <w:r>
        <w:t xml:space="preserve"> is broken, the customer speaks to a human at no charge, on every tier including Foundation. Support tiers govern speed and scope for everything else — never access to help when we are at fault.</w:t>
      </w:r>
    </w:p>
    <w:p>
      <w:pPr>
        <w:pStyle w:val="Heading3"/>
      </w:pPr>
      <w:r>
        <w:t xml:space="preserve">17.2 Service levels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SLA</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Uptime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Credit if missed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Standard</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99.5%</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 of monthly fee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Professional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99.9%</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25%</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Premium</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99.95%</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Elite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99.99%</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Service levels</w:t>
      </w:r>
    </w:p>
    <w:p>
      <w:pPr>
        <w:pStyle w:val="BodyText"/>
      </w:pPr>
      <w:r>
        <w:t xml:space="preserve">Credits are applied automatically from our own monitoring. </w:t>
      </w:r>
      <w:r>
        <w:rPr>
          <w:b/>
          <w:bCs/>
        </w:rPr>
        <w:t xml:space="preserve">The customer never has to notice, claim, or argue.</w:t>
      </w:r>
      <w:r>
        <w:t xml:space="preserve"> Uptime is published on a public status page with full incident history.</w:t>
      </w:r>
    </w:p>
    <w:p>
      <w:pPr>
        <w:pStyle w:val="Heading3"/>
      </w:pPr>
      <w:r>
        <w:t xml:space="preserve">17.3 Managed services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Managed infrastructure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Managed database administration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Managed security operations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Managed backup &amp; recovery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Fully managed institution (“we run your ICT”)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$1,900/mo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Outsourced ICT desk (per 250 users)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$980/mo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Dedicated on-site engineer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$2,800/mo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Technical account manager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Quarterly business review</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Included at Premium+</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Managed services</w:t>
      </w:r>
    </w:p>
    <w:p>
      <w:pPr>
        <w:pStyle w:val="Heading2"/>
        <w:pageBreakBefore/>
      </w:pPr>
      <w:r>
        <w:t xml:space="preserve">CHAPTER 18 — CREDITS, TOKENS &amp; CONSUMPTION UNITS</w:t>
      </w:r>
    </w:p>
    <w:p>
      <w:pPr>
        <w:pStyle w:val="Heading3"/>
      </w:pPr>
      <w:r>
        <w:t xml:space="preserve">18.1 StromeX Credits</w:t>
      </w:r>
    </w:p>
    <w:p>
      <w:pPr>
        <w:pStyle w:val="BodyText"/>
      </w:pPr>
      <w:r>
        <w:t xml:space="preserve">One prepaid unit powering all AI and metered consumption. </w:t>
      </w:r>
      <w:r>
        <w:rPr>
          <w:b/>
          <w:bCs/>
        </w:rPr>
        <w:t xml:space="preserve">1 credit = $0.01.</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Pack</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Credits</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Bonus</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Trial</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2,000/mo</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Renews monthly, forever</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Small</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1,000</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$50</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5,250</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Large</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$200</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22,000</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$1,000</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115,000</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Enterprise</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$5,000</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600,000</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StromeX Credits</w:t>
      </w:r>
    </w:p>
    <w:p>
      <w:pPr>
        <w:pStyle w:val="BodyText"/>
      </w:pPr>
      <w:r>
        <w:rPr>
          <w:b/>
          <w:bCs/>
        </w:rPr>
        <w:t xml:space="preserve">Typical consumption: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Action</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Credits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Short AI answer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Long AI answer with citations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Document summary (10 pages)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Marked homework script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Generated lesson plan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Translated page (AI-assisted)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Generated image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Transcribed audio minute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Voice agent minute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Deep research task</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Generated exam paper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Drafted policy document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StromeX Credits</w:t>
      </w:r>
    </w:p>
    <w:p>
      <w:pPr>
        <w:pStyle w:val="BodyText"/>
      </w:pPr>
      <w:r>
        <w:t xml:space="preserve">Credits never expire while the account is active. Unused credits are refundable within 12 months. Consumption is shown live, with a spend cap the customer sets themselves and a hard stop rather than an overage bill.</w:t>
      </w:r>
    </w:p>
    <w:p>
      <w:pPr>
        <w:pStyle w:val="Heading3"/>
      </w:pPr>
      <w:r>
        <w:t xml:space="preserve">18.2 Verification tokens</w:t>
      </w:r>
      <w:fldSimple w:instr="XE &quot;Verification token&quot;"/>
      <w:fldSimple w:instr="XE &quot;verification&quot;"/>
    </w:p>
    <w:p>
      <w:pPr>
        <w:pStyle w:val="BodyText"/>
      </w:pPr>
      <w:r>
        <w:t xml:space="preserve">Defined in Division 3.5 — Check $0.50 · Attest $1.00 · Seal $2.00 · Legalise $5.00.</w:t>
      </w:r>
    </w:p>
    <w:p>
      <w:pPr>
        <w:pStyle w:val="Heading3"/>
      </w:pPr>
      <w:r>
        <w:t xml:space="preserve">18.3 The anti-bill-shock rules</w:t>
      </w:r>
    </w:p>
    <w:p>
      <w:pPr>
        <w:pStyle w:val="ListParagraph"/>
        <w:numPr>
          <w:ilvl w:val="0"/>
          <w:numId w:val="3"/>
        </w:numPr>
        <w:spacing w:after="40" w:before="40" w:line="276"/>
      </w:pPr>
      <w:r>
        <w:t xml:space="preserve">Every metered service has a customer-set spending cap, defaulting to on.</w:t>
      </w:r>
    </w:p>
    <w:p>
      <w:pPr>
        <w:pStyle w:val="ListParagraph"/>
        <w:numPr>
          <w:ilvl w:val="0"/>
          <w:numId w:val="3"/>
        </w:numPr>
        <w:spacing w:after="40" w:before="40" w:line="276"/>
      </w:pPr>
      <w:r>
        <w:t xml:space="preserve">Reaching the cap </w:t>
      </w:r>
      <w:r>
        <w:rPr>
          <w:b/>
          <w:bCs/>
        </w:rPr>
        <w:t xml:space="preserve">stops the meter</w:t>
      </w:r>
      <w:r>
        <w:t xml:space="preserve">; it does not generate an invoice.</w:t>
      </w:r>
    </w:p>
    <w:p>
      <w:pPr>
        <w:pStyle w:val="ListParagraph"/>
        <w:numPr>
          <w:ilvl w:val="0"/>
          <w:numId w:val="3"/>
        </w:numPr>
        <w:spacing w:after="40" w:before="40" w:line="276"/>
      </w:pPr>
      <w:r>
        <w:t xml:space="preserve">Alerts at 50%, 80% and 95% of cap.</w:t>
      </w:r>
    </w:p>
    <w:p>
      <w:pPr>
        <w:pStyle w:val="ListParagraph"/>
        <w:numPr>
          <w:ilvl w:val="0"/>
          <w:numId w:val="3"/>
        </w:numPr>
        <w:spacing w:after="40" w:before="40" w:line="276"/>
      </w:pPr>
      <w:r>
        <w:t xml:space="preserve">No service is ever cut off for exceeding a cap — the metered feature pauses, the institution keeps running.</w:t>
      </w:r>
    </w:p>
    <w:p>
      <w:pPr>
        <w:pStyle w:val="ListParagraph"/>
        <w:numPr>
          <w:ilvl w:val="0"/>
          <w:numId w:val="3"/>
        </w:numPr>
        <w:spacing w:after="40" w:before="40" w:line="276"/>
      </w:pPr>
      <w:r>
        <w:t xml:space="preserve">First accidental overage in any 12-month period is forgiven, automatically, without being asked.</w:t>
      </w:r>
    </w:p>
    <w:p>
      <w:pPr>
        <w:pStyle w:val="Heading2"/>
        <w:pageBreakBefore/>
      </w:pPr>
      <w:r>
        <w:t xml:space="preserve">CHAPTER 19 — BUNDLES &amp; SUITES</w:t>
      </w:r>
    </w:p>
    <w:p>
      <w:pPr>
        <w:pStyle w:val="BodyText"/>
      </w:pPr>
      <w:r>
        <w:t xml:space="preserve">Bundles simplify. They never force. Every bundle is decomposable to its line items in the configurator, and a customer may always build their own.</w:t>
      </w:r>
    </w:p>
    <w:p>
      <w:pPr>
        <w:pStyle w:val="Heading3"/>
      </w:pPr>
      <w:r>
        <w:t xml:space="preserve">19.1 Education suites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5"/>
        <w:gridCol w:w="1785"/>
        <w:gridCol w:w="1785"/>
        <w:gridCol w:w="1785"/>
        <w:gridCol w:w="1786"/>
      </w:tblGrid>
      <w:tr>
        <w:trPr>
          <w:cantSplit w:val="false"/>
          <w:tblHeader/>
        </w:trPr>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Suite</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Contains</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Build</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Monthly</w:t>
            </w:r>
          </w:p>
        </w:tc>
        <w:tc>
          <w:tcPr>
            <w:tcW w:type="dxa" w:w="178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Saving</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School Starter</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Standard website, core platform (300), student + parent portal, admissions, results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$2,100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$178</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School Professional</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Professional website, platform (1,000), all portals, admissions, gradebook, exams, fees, certificates, ID cards, 2 AI agents</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$6,400</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27%</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School Premium</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Premium website, LMS, library, transport, hostel, HR/payroll, analytics, mobile apps, 5 AI agents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$14,800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$1,140</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31%</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School Elite</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Elite website, smart campus foundation, full AI suite, publishing allowance, Elite support</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$38,000</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$2,480</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33%</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University Suite</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Higher-ed platform, faculties, programmes, credentials, research, alumni, finance</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$42,000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$3,200</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Islamic Institution Suite</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Bilingual site, Qur’an programme, memorisation, Arabic, madrasah records, waqf, certificates</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$8,900</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$690</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Education suites</w:t>
      </w:r>
    </w:p>
    <w:p>
      <w:pPr>
        <w:pStyle w:val="Heading3"/>
      </w:pPr>
      <w:r>
        <w:t xml:space="preserve">19.2 Other sector suites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Suite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Build</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Monthly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Clinic / Hospital Starter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$9,400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$740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Mosque / Church Suite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$3,200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SME Business Suite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$148</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Professional Firm Suite (law, accounting)</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$6,800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NGO Suite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$4,600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Publisher Suite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$7,200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$560</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Government Department Suite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$48,000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$3,800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Other sector suites</w:t>
      </w:r>
    </w:p>
    <w:p>
      <w:pPr>
        <w:pStyle w:val="Heading3"/>
      </w:pPr>
      <w:r>
        <w:t xml:space="preserve">19.3 Cross-division bundles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Bundle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Contents</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Identity Complete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Card design, 1,000 cards, printer, capture station, digital ID, verification portal</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$9,200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Credential Complete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Certificate design (3 templates), signing keys, 2,000 certificates, verification portal, transcripts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$3,400</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Brand Complete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Logo, identity system, guidelines, stationery, brand kit, website design direction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$4,900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Publish Complete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Editing, cover, layout, eBook, ISBN, UK print coordination for 500 copies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$6,200</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Launch Complete</w:t>
            </w:r>
            <w:r>
              <w:rPr>
                <w:rFonts w:ascii="DejaVu Sans" w:cs="DejaVu Sans" w:eastAsia="DejaVu Sans" w:hAnsi="DejaVu Sans"/>
                <w:color w:val="0D1117"/>
                <w:sz w:val="16"/>
                <w:szCs w:val="16"/>
              </w:rPr>
              <w:t xml:space="preserve"> (new institution)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Registration, brand, website, platform, policies, curriculum, certificates, ID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$22,000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Cross-division bundles</w:t>
      </w:r>
    </w:p>
    <w:p>
      <w:pPr>
        <w:pStyle w:val="Heading2"/>
        <w:pageBreakBefore/>
      </w:pPr>
      <w:r>
        <w:t xml:space="preserve">CHAPTER 20 — WORKED CONFIGURATIONS</w:t>
      </w:r>
    </w:p>
    <w:p>
      <w:pPr>
        <w:pStyle w:val="EditorialNote"/>
      </w:pPr>
      <w:r>
        <w:t xml:space="preserve">Real assemblies at real prices, showing what an institution actually pays. Band A applied (×0.32) for the Nigerian examples, as those are the institutions this founding market actually contains.</w:t>
      </w:r>
    </w:p>
    <w:p>
      <w:pPr>
        <w:pStyle w:val="Heading3"/>
      </w:pPr>
      <w:r>
        <w:t xml:space="preserve">20.1 A 220-student primary school in Ikorodu, Lagos (Band A)</w:t>
      </w:r>
    </w:p>
    <w:p>
      <w:pPr>
        <w:pStyle w:val="BodyText"/>
      </w:pPr>
      <w:r>
        <w:t xml:space="preserve">The instinct is to sell the suite. The correct answer is to sell what they need.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Line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List (Band C)</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Band A</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Standard website (8 pages)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$1,650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$528</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Care plan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$45/mo</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$14.40/mo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Core platform, Standard (300 students)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$89/mo</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$28.48/mo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Student + parent portal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$1,040 + $68/mo</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$333 + $21.76/mo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Admissions pipeline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$740 + $52/mo</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$237 + $16.64/mo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Gradebook &amp; report cards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$960 + $66/mo</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$307 + $21.12/mo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Certificate platform + 1 template + 250 certificates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$848</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$271</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Verification portal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 + $32/mo</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$134 + $10.24/mo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SMS module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$220 + $16/mo</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$70 + $5.12/mo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Standard onboarding</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$154</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Migration (220 records, clean)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$58</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One-time total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$6,318</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$2,022</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Monthly total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$279</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$117.76</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Year 1 total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$3,435</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Per student per year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$15.61</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 220-student primary school in Ikorodu, Lagos (Band A)</w:t>
      </w:r>
    </w:p>
    <w:p>
      <w:pPr>
        <w:pStyle w:val="BodyText"/>
      </w:pPr>
      <w:r>
        <w:t xml:space="preserve">Deliberately </w:t>
      </w:r>
      <w:r>
        <w:rPr>
          <w:i/>
          <w:iCs/>
        </w:rPr>
        <w:t xml:space="preserve">not</w:t>
      </w:r>
      <w:r>
        <w:t xml:space="preserve"> sold: ERP, HR/payroll, hostel, transport, mobile apps, hardware, AI agents. They do not need them yet. When they do, the ladder in Volume I §6.5 applies.</w:t>
      </w:r>
    </w:p>
    <w:p>
      <w:pPr>
        <w:pStyle w:val="Heading3"/>
      </w:pPr>
      <w:r>
        <w:t xml:space="preserve">20.2 An 1,800-student secondary school &amp; college group (Band A)</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Line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Band A</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Premium website, 4 languages (setup + 60 pages translated)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$3,040 + $998</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Core platform Premium (3,000)</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$156.80/mo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All portals (student, parent, staff, registrar, bursary, executive, alumni)</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$1,299 + $87.68/mo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Academic suite (admissions, timetable, attendance, gradebook, exams, transcripts, curriculum)</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$1,382 + $88.32/mo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Fee management, instalments, receipts, payments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$531 + $32.64/mo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HR &amp; payroll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$416 + $28.80/mo + payslips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Credential suite (platform, 3 Premium templates, keys, identifiers, verification, 1,800 certs/yr)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$1,376 + $24.96/mo + $63/yr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Digital identity + 1,800 ID cards (premium PVC)</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$362 + $13.44/mo + </w:t>
            </w:r>
            <w:r>
              <w:rPr>
                <w:rFonts w:ascii="DejaVu Sans" w:cs="DejaVu Sans" w:eastAsia="DejaVu Sans" w:hAnsi="DejaVu Sans"/>
                <w:b/>
                <w:bCs/>
                <w:color w:val="0D1117"/>
                <w:sz w:val="16"/>
                <w:szCs w:val="16"/>
              </w:rPr>
              <w:t xml:space="preserve">$6,120 cards (band-invariant)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Card printer + capture station + encoder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$3,600 (band-invariant)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 AI agents (Receptionist, Admissions, Registrar, Bursar, Timetable)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$110.72/mo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Android + iOS apps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$1,472 + $28.16/mo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Analytics &amp; executive reporting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$430 + $30.72/mo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Smart Entry (2 gates)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$5,800 (band-invariant)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Premium implementation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$1,536</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Premium support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$92.80/mo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One-time total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$27,932</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Monthly total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$694.24</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Year 1 total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$36,263</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Per student per year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$20.15</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An 1,800-student secondary school &amp; college group (Band A)</w:t>
      </w:r>
    </w:p>
    <w:p>
      <w:pPr>
        <w:pStyle w:val="Heading3"/>
      </w:pPr>
      <w:r>
        <w:t xml:space="preserve">20.3 An author publishing an Islamic title, UK print (mixed bands)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Line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Manuscript assessment (Band A)</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$93</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Copy-edit, 62,000 words (Band A)</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$337</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Translation to Arabic, 62,000 words, literary (Band A)</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$2,678</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Premium cover design (Band A)</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$250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Premium Islamic interior typesetting, 280 pp (Band A)</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$1,254</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eBook conversion (Band A)</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$109</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ISBN + preflight (Band A)</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$85</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UK Premium print, 1,000 copies, case bound, foil</w:t>
            </w:r>
            <w:r>
              <w:rPr>
                <w:rFonts w:ascii="DejaVu Sans" w:cs="DejaVu Sans" w:eastAsia="DejaVu Sans" w:hAnsi="DejaVu Sans"/>
                <w:color w:val="0D1117"/>
                <w:sz w:val="16"/>
                <w:szCs w:val="16"/>
              </w:rPr>
              <w:t xml:space="preserve"> (pass-through)</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Coordination margin (18%)</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$1,152</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Wet proof</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Freight to Lagos + customs (cost + 12%)</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~$1,450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Author brand kit + landing page (Band A)</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$313</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Retail distribution setup (Band A)</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$154</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Total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≈$14,615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Unit cost delivered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≈$14.62/copy</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An author publishing an Islamic title, UK print (mixed bands)</w:t>
      </w:r>
    </w:p>
    <w:p>
      <w:pPr>
        <w:pStyle w:val="Heading3"/>
      </w:pPr>
      <w:r>
        <w:t xml:space="preserve">20.4 A state ministry of education, 400 schools (Band A, Government tier)</w:t>
      </w:r>
    </w:p>
    <w:p>
      <w:pPr>
        <w:pStyle w:val="BodyText"/>
      </w:pPr>
      <w:r>
        <w:t xml:space="preserve">Indicative only; government engagements are scoped, tendered and quoted individually.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Line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Indicative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Government Department Suite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$15,360 build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Multi-tenant platform, 400 schools / ~180,000 students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$8,400/mo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Statutory reporting &amp; regulator connectors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$1,280 + $180/mo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Credential platform, state-wide verification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$2,100 + $640/mo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Analytics, benchmarking, executive dashboards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$1,900 + $420/mo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residency (Nigeria)</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Included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Enterprise implementation, phased over 18 months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$86,000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Training, 400 school administrators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Enterprise support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Year 1</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≈$266,000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Per student per year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≈$1.48</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 state ministry of education, 400 schools (Band A, Government tier)</w:t>
      </w:r>
    </w:p>
    <w:p>
      <w:pPr>
        <w:pStyle w:val="EditorialNote"/>
      </w:pPr>
      <w:r>
        <w:t xml:space="preserve">That last line is the entire argument. It is the number that wins a tender, and it is true.</w:t>
      </w:r>
    </w:p>
    <w:p>
      <w:pPr>
        <w:pStyle w:val="Heading3"/>
      </w:pPr>
      <w:r>
        <w:t xml:space="preserve">Price book governance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Version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Owner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Pricing Council (Volume I §8.4)</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Review cadence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Quarterly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Changelog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Published internally each review; material changes notified to customers 90 days ahead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Grandfathering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Contract-term price protection (Volume I §6.3.6)</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Price book governance</w:t>
      </w:r>
    </w:p>
    <w:p>
      <w:pPr>
        <w:pStyle w:val="Heading2"/>
        <w:pageBreakBefore/>
      </w:pPr>
      <w:r>
        <w:rPr>
          <w:rFonts w:ascii="DejaVu Serif" w:cs="DejaVu Serif" w:eastAsia="DejaVu Serif" w:hAnsi="DejaVu Serif"/>
          <w:b/>
          <w:bCs/>
          <w:color w:val="0B3C91"/>
          <w:sz w:val="34"/>
          <w:szCs w:val="34"/>
        </w:rPr>
        <w:t xml:space="preserve">Glossary</w:t>
      </w:r>
    </w:p>
    <w:p>
      <w:pPr>
        <w:pStyle w:val="EditorialNote"/>
        <w:spacing w:after="240"/>
      </w:pPr>
      <w:r>
        <w:t xml:space="preserve">Terms are defined as this corpus uses them. Where a term also has a general industry meaning, the definition here governs internally and the cross-reference points to the chapter in which the term is established.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726"/>
      </w:tblGrid>
      <w:tr>
        <w:trPr>
          <w:cantSplit w:val="false"/>
          <w:tblHeader/>
        </w:trPr>
        <w:tc>
          <w:tcPr>
            <w:tcW w:type="dxa" w:w="2200"/>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Term</w:t>
            </w:r>
          </w:p>
        </w:tc>
        <w:tc>
          <w:tcPr>
            <w:tcW w:type="dxa" w:w="672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Definition</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ACV</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Annual contract value. The recurring revenue a customer contributes in a year, excluding one-time implementation and build fees.</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Band A / B / C</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three regional price bands defined in Volume I §6.4. All catalogue prices are quoted at Band C (list); Band A applies a 0.32× multiplier and Band B a 0.65×. The band follows the institution’s operating jurisdiction, not its billing address.</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Customer acquisition cost. Loaded sales and marketing cost divided by customers acquired in the period.</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 payback</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number of months of gross profit from a customer required to recover that customer’s acquisition cost.</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Craft standard</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requirement in Volume VI §2.1 that creative work be indistinguishable from that of a good London or New York studio while remaining reproducible by a regional printer on the first attempt.</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Credential</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 institution-issued, cryptographically signed record of an award, qualification, identity or transaction that a third party may need to verify. The subject of Volume IV,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Degraded mode</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defined, designed and tested behaviour of a surface under failure — no network, slow network, provider outage. Required of every surface by Volume IV §10.2.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Ecosystem</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complete sector solution spanning all eight architectural layers, rather than a product sold into a sector. The unit of strategic expansion; see Volume I, Chapter 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Entrenched provision</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clause amendable only by board supermajority with published rationale and thirty days’ notice. Enumerated in Volume IX §9.2.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Federation</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Server-to-server interoperation across independently operated instances, allowing an institution to own its data while remaining reachable. The basis of the SpaceTalk government strategy; Volume X,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Foundation tier</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permanently free tier. Not a trial and not a demo; governed by the Free Constitution in Volume I,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Gate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set of conditions that must be met before a roadmap phase may end. A phase ends when its gate is passed, not when its years elapse. Volume VIII, Chapter 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GRR</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Gross revenue retention. Recurring revenue retained from existing customers excluding expansion; measures churn alone.</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Guilloche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Fine mathematical line-work used in security printing, extremely difficult to reproduce by scan-and-print. The primary visual security element of a StromeX credential; Volume VI §6.2.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Human-in-the-loop</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requirement that a named human decides, and is recorded as deciding, wherever the stakes ladder classifies a decision as high. Volume IV §8.1.</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LTV</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Lifetime value. The discounted gross profit expected from a customer over the expected life of the relationship.</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No-fork rule</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prohibition on forking shared platform layers for a single customer without written CTO approval and a sunset date. Volume IV §3.2.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NRR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Net revenue retention. Recurring revenue from existing customers including expansion and contraction. Above 100% means the existing base grows without new customers.</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Pricing Council</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standing body that owns Volume III, meets quarterly, and reviews every price against delivered margin. Volume I §8.4.</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Reference Implementation</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delivered institutional deployment used as proof of method and as a permanent sales asset. Four are recorded in this edition.</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Rule of 40</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Revenue growth percentage plus operating margin percentage. A common composite measure of whether a software company balances growth against profitability.</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Stakes ladder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four-level classification — low, medium, high, prohibited — determining how much autonomy an AI system may exercise over a decision. Volume IV §8.1.</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System of record</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authoritative store of an institution’s people, money, documents, credentials and decisions. Identified in Volume II §9 as the group’s only genuinely durable moat.</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Value ledger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running, honest account of what an institution has gained from StromeX, shown at every renewal including the periods where the numbers are unimpressive. Volume I §4.4.</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Verification token</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prepaid unit purchased by an institution for verification-adjacent services carrying real marginal cost. Verification itself is always free to the verifier. Volume III §3.5.</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Wave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group of industry ecosystems opened in the same roadmap phase. Volume I §2.2.</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Glossary of terms</w:t>
      </w:r>
    </w:p>
    <w:p>
      <w:pPr>
        <w:pStyle w:val="Heading2"/>
        <w:pageBreakBefore/>
      </w:pPr>
      <w:r>
        <w:rPr>
          <w:rFonts w:ascii="DejaVu Serif" w:cs="DejaVu Serif" w:eastAsia="DejaVu Serif" w:hAnsi="DejaVu Serif"/>
          <w:b/>
          <w:bCs/>
          <w:color w:val="0B3C91"/>
          <w:sz w:val="34"/>
          <w:szCs w:val="34"/>
        </w:rPr>
        <w:t xml:space="preserve">References &amp; Bibliography</w:t>
      </w:r>
    </w:p>
    <w:p>
      <w:pPr>
        <w:pStyle w:val="EditorialNote"/>
        <w:spacing w:after="260"/>
      </w:pPr>
      <w:r>
        <w:t xml:space="preserve">Every external figure in this corpus is attributed at the point of use. This list consolidates those sources and records what each was used for. Sources were consulted in August 2026; where a source reports a market figure that moves, the figure is dated in the text.</w:t>
      </w:r>
    </w:p>
    <w:p>
      <w:pPr>
        <w:pStyle w:val="Heading3"/>
      </w:pPr>
      <w:r>
        <w:rPr>
          <w:rFonts w:ascii="DejaVu Serif" w:cs="DejaVu Serif" w:eastAsia="DejaVu Serif" w:hAnsi="DejaVu Serif"/>
          <w:b/>
          <w:bCs/>
          <w:color w:val="0B3C91"/>
          <w:sz w:val="25"/>
          <w:szCs w:val="25"/>
        </w:rPr>
        <w:t xml:space="preserve">External sources</w:t>
      </w:r>
    </w:p>
    <w:p>
      <w:pPr>
        <w:spacing w:after="40" w:before="0" w:line="275"/>
        <w:ind w:left="420" w:hanging="420"/>
      </w:pPr>
      <w:r>
        <w:rPr>
          <w:rFonts w:ascii="Liberation Serif" w:cs="Liberation Serif" w:eastAsia="Liberation Serif" w:hAnsi="Liberation Serif"/>
          <w:b/>
          <w:bCs/>
          <w:color w:val="1B6EF3"/>
          <w:sz w:val="16"/>
          <w:szCs w:val="16"/>
        </w:rPr>
        <w:t xml:space="preserve">[1]  </w:t>
      </w:r>
      <w:r>
        <w:rPr>
          <w:rFonts w:ascii="Liberation Serif" w:cs="Liberation Serif" w:eastAsia="Liberation Serif" w:hAnsi="Liberation Serif"/>
          <w:b/>
          <w:bCs/>
          <w:sz w:val="17"/>
          <w:szCs w:val="17"/>
        </w:rPr>
        <w:t xml:space="preserve">Federal Ministry of Education, Nigeria. </w:t>
      </w:r>
      <w:r>
        <w:rPr>
          <w:rFonts w:ascii="Liberation Serif" w:cs="Liberation Serif" w:eastAsia="Liberation Serif" w:hAnsi="Liberation Serif"/>
          <w:i/>
          <w:iCs/>
          <w:sz w:val="17"/>
          <w:szCs w:val="17"/>
        </w:rPr>
        <w:t xml:space="preserve">Nigeria Education Statistics — Annual School Census 2024/25. Education Management Information System portal. </w:t>
      </w:r>
      <w:hyperlink w:history="1" r:id="rId5dftibcbibgrqfzaxxttz">
        <w:r>
          <w:rPr>
            <w:rStyle w:val="Hyperlink"/>
            <w:rFonts w:ascii="Liberation Serif" w:cs="Liberation Serif" w:eastAsia="Liberation Serif" w:hAnsi="Liberation Serif"/>
            <w:sz w:val="14"/>
            <w:szCs w:val="14"/>
          </w:rPr>
          <w:t xml:space="preserve">https://emis.education.gov.ng/portal/</w:t>
        </w:r>
      </w:hyperlink>
    </w:p>
    <w:p>
      <w:pPr>
        <w:spacing w:after="170"/>
        <w:ind w:left="420"/>
      </w:pPr>
      <w:r>
        <w:rPr>
          <w:rFonts w:ascii="Liberation Serif" w:cs="Liberation Serif" w:eastAsia="Liberation Serif" w:hAnsi="Liberation Serif"/>
          <w:color w:val="6B7480"/>
          <w:sz w:val="15"/>
          <w:szCs w:val="15"/>
        </w:rPr>
        <w:t xml:space="preserve">Cited in Volume VII §1.1 for the count of private schools and enrolment in the founding market.</w:t>
      </w:r>
    </w:p>
    <w:p>
      <w:pPr>
        <w:spacing w:after="40" w:before="0" w:line="275"/>
        <w:ind w:left="420" w:hanging="420"/>
      </w:pPr>
      <w:r>
        <w:rPr>
          <w:rFonts w:ascii="Liberation Serif" w:cs="Liberation Serif" w:eastAsia="Liberation Serif" w:hAnsi="Liberation Serif"/>
          <w:b/>
          <w:bCs/>
          <w:color w:val="1B6EF3"/>
          <w:sz w:val="16"/>
          <w:szCs w:val="16"/>
        </w:rPr>
        <w:t xml:space="preserve">[2]  </w:t>
      </w:r>
      <w:r>
        <w:rPr>
          <w:rFonts w:ascii="Liberation Serif" w:cs="Liberation Serif" w:eastAsia="Liberation Serif" w:hAnsi="Liberation Serif"/>
          <w:b/>
          <w:bCs/>
          <w:sz w:val="17"/>
          <w:szCs w:val="17"/>
        </w:rPr>
        <w:t xml:space="preserve">Growthspree. </w:t>
      </w:r>
      <w:r>
        <w:rPr>
          <w:rFonts w:ascii="Liberation Serif" w:cs="Liberation Serif" w:eastAsia="Liberation Serif" w:hAnsi="Liberation Serif"/>
          <w:i/>
          <w:iCs/>
          <w:sz w:val="17"/>
          <w:szCs w:val="17"/>
        </w:rPr>
        <w:t xml:space="preserve">B2B SaaS NRR and GRR Benchmarks 2026, by ARR Stage, ACV Tier, Vertical and GTM Motion. </w:t>
      </w:r>
      <w:hyperlink w:history="1" r:id="rIdblr3si-zhbcp13lczcdxd">
        <w:r>
          <w:rPr>
            <w:rStyle w:val="Hyperlink"/>
            <w:rFonts w:ascii="Liberation Serif" w:cs="Liberation Serif" w:eastAsia="Liberation Serif" w:hAnsi="Liberation Serif"/>
            <w:sz w:val="14"/>
            <w:szCs w:val="14"/>
          </w:rPr>
          <w:t xml:space="preserve">https://www.growthspreeofficial.com/blogs/b2b-saas-nrr-grr-net-gross-revenue-retention-benchmarks-2026-by-acv-stage-vertical</w:t>
        </w:r>
      </w:hyperlink>
    </w:p>
    <w:p>
      <w:pPr>
        <w:spacing w:after="170"/>
        <w:ind w:left="420"/>
      </w:pPr>
      <w:r>
        <w:rPr>
          <w:rFonts w:ascii="Liberation Serif" w:cs="Liberation Serif" w:eastAsia="Liberation Serif" w:hAnsi="Liberation Serif"/>
          <w:color w:val="6B7480"/>
          <w:sz w:val="15"/>
          <w:szCs w:val="15"/>
        </w:rPr>
        <w:t xml:space="preserve">Cited in Volume V §7.1 and Volume VII §14.4 for retention by contract-value band.</w:t>
      </w:r>
    </w:p>
    <w:p>
      <w:pPr>
        <w:spacing w:after="40" w:before="0" w:line="275"/>
        <w:ind w:left="420" w:hanging="420"/>
      </w:pPr>
      <w:r>
        <w:rPr>
          <w:rFonts w:ascii="Liberation Serif" w:cs="Liberation Serif" w:eastAsia="Liberation Serif" w:hAnsi="Liberation Serif"/>
          <w:b/>
          <w:bCs/>
          <w:color w:val="1B6EF3"/>
          <w:sz w:val="16"/>
          <w:szCs w:val="16"/>
        </w:rPr>
        <w:t xml:space="preserve">[3]  </w:t>
      </w:r>
      <w:r>
        <w:rPr>
          <w:rFonts w:ascii="Liberation Serif" w:cs="Liberation Serif" w:eastAsia="Liberation Serif" w:hAnsi="Liberation Serif"/>
          <w:b/>
          <w:bCs/>
          <w:sz w:val="17"/>
          <w:szCs w:val="17"/>
        </w:rPr>
        <w:t xml:space="preserve">Digital Applied. </w:t>
      </w:r>
      <w:r>
        <w:rPr>
          <w:rFonts w:ascii="Liberation Serif" w:cs="Liberation Serif" w:eastAsia="Liberation Serif" w:hAnsi="Liberation Serif"/>
          <w:i/>
          <w:iCs/>
          <w:sz w:val="17"/>
          <w:szCs w:val="17"/>
        </w:rPr>
        <w:t xml:space="preserve">Net Revenue Retention Benchmarks 2026: SaaS Expansion Data. </w:t>
      </w:r>
      <w:hyperlink w:history="1" r:id="rIdcoljpgtcppxqdb3v7frjd">
        <w:r>
          <w:rPr>
            <w:rStyle w:val="Hyperlink"/>
            <w:rFonts w:ascii="Liberation Serif" w:cs="Liberation Serif" w:eastAsia="Liberation Serif" w:hAnsi="Liberation Serif"/>
            <w:sz w:val="14"/>
            <w:szCs w:val="14"/>
          </w:rPr>
          <w:t xml:space="preserve">https://www.digitalapplied.com/blog/net-revenue-retention-benchmarks-2026-saas-expansion-data</w:t>
        </w:r>
      </w:hyperlink>
    </w:p>
    <w:p>
      <w:pPr>
        <w:spacing w:after="170"/>
        <w:ind w:left="420"/>
      </w:pPr>
      <w:r>
        <w:rPr>
          <w:rFonts w:ascii="Liberation Serif" w:cs="Liberation Serif" w:eastAsia="Liberation Serif" w:hAnsi="Liberation Serif"/>
          <w:color w:val="6B7480"/>
          <w:sz w:val="15"/>
          <w:szCs w:val="15"/>
        </w:rPr>
        <w:t xml:space="preserve">Cited in Volume V §7.1 for median B2B net revenue retention.</w:t>
      </w:r>
    </w:p>
    <w:p>
      <w:pPr>
        <w:spacing w:after="40" w:before="0" w:line="275"/>
        <w:ind w:left="420" w:hanging="420"/>
      </w:pPr>
      <w:r>
        <w:rPr>
          <w:rFonts w:ascii="Liberation Serif" w:cs="Liberation Serif" w:eastAsia="Liberation Serif" w:hAnsi="Liberation Serif"/>
          <w:b/>
          <w:bCs/>
          <w:color w:val="1B6EF3"/>
          <w:sz w:val="16"/>
          <w:szCs w:val="16"/>
        </w:rPr>
        <w:t xml:space="preserve">[4]  </w:t>
      </w:r>
      <w:r>
        <w:rPr>
          <w:rFonts w:ascii="Liberation Serif" w:cs="Liberation Serif" w:eastAsia="Liberation Serif" w:hAnsi="Liberation Serif"/>
          <w:b/>
          <w:bCs/>
          <w:sz w:val="17"/>
          <w:szCs w:val="17"/>
        </w:rPr>
        <w:t xml:space="preserve">Value Add VC. </w:t>
      </w:r>
      <w:r>
        <w:rPr>
          <w:rFonts w:ascii="Liberation Serif" w:cs="Liberation Serif" w:eastAsia="Liberation Serif" w:hAnsi="Liberation Serif"/>
          <w:i/>
          <w:iCs/>
          <w:sz w:val="17"/>
          <w:szCs w:val="17"/>
        </w:rPr>
        <w:t xml:space="preserve">SaaS Valuation Multiples 2026. </w:t>
      </w:r>
      <w:hyperlink w:history="1" r:id="rIdysj74rexq0gkj9h9umqgi">
        <w:r>
          <w:rPr>
            <w:rStyle w:val="Hyperlink"/>
            <w:rFonts w:ascii="Liberation Serif" w:cs="Liberation Serif" w:eastAsia="Liberation Serif" w:hAnsi="Liberation Serif"/>
            <w:sz w:val="14"/>
            <w:szCs w:val="14"/>
          </w:rPr>
          <w:t xml:space="preserve">https://valueaddvc.com/saas-valuations</w:t>
        </w:r>
      </w:hyperlink>
    </w:p>
    <w:p>
      <w:pPr>
        <w:spacing w:after="170"/>
        <w:ind w:left="420"/>
      </w:pPr>
      <w:r>
        <w:rPr>
          <w:rFonts w:ascii="Liberation Serif" w:cs="Liberation Serif" w:eastAsia="Liberation Serif" w:hAnsi="Liberation Serif"/>
          <w:color w:val="6B7480"/>
          <w:sz w:val="15"/>
          <w:szCs w:val="15"/>
        </w:rPr>
        <w:t xml:space="preserve">Cited in Volume VIII §5.4 for public SaaS enterprise-value-to-revenue multiples.</w:t>
      </w:r>
    </w:p>
    <w:p>
      <w:pPr>
        <w:spacing w:after="40" w:before="0" w:line="275"/>
        <w:ind w:left="420" w:hanging="420"/>
      </w:pPr>
      <w:r>
        <w:rPr>
          <w:rFonts w:ascii="Liberation Serif" w:cs="Liberation Serif" w:eastAsia="Liberation Serif" w:hAnsi="Liberation Serif"/>
          <w:b/>
          <w:bCs/>
          <w:color w:val="1B6EF3"/>
          <w:sz w:val="16"/>
          <w:szCs w:val="16"/>
        </w:rPr>
        <w:t xml:space="preserve">[5]  </w:t>
      </w:r>
      <w:r>
        <w:rPr>
          <w:rFonts w:ascii="Liberation Serif" w:cs="Liberation Serif" w:eastAsia="Liberation Serif" w:hAnsi="Liberation Serif"/>
          <w:b/>
          <w:bCs/>
          <w:sz w:val="17"/>
          <w:szCs w:val="17"/>
        </w:rPr>
        <w:t xml:space="preserve">Aventis Advisors. </w:t>
      </w:r>
      <w:r>
        <w:rPr>
          <w:rFonts w:ascii="Liberation Serif" w:cs="Liberation Serif" w:eastAsia="Liberation Serif" w:hAnsi="Liberation Serif"/>
          <w:i/>
          <w:iCs/>
          <w:sz w:val="17"/>
          <w:szCs w:val="17"/>
        </w:rPr>
        <w:t xml:space="preserve">SaaS Valuation Multiples: 2015–2026. </w:t>
      </w:r>
      <w:hyperlink w:history="1" r:id="rIditru5zml2mo53hxywpxdy">
        <w:r>
          <w:rPr>
            <w:rStyle w:val="Hyperlink"/>
            <w:rFonts w:ascii="Liberation Serif" w:cs="Liberation Serif" w:eastAsia="Liberation Serif" w:hAnsi="Liberation Serif"/>
            <w:sz w:val="14"/>
            <w:szCs w:val="14"/>
          </w:rPr>
          <w:t xml:space="preserve">https://aventis-advisors.com/saas-valuation-multiples/</w:t>
        </w:r>
      </w:hyperlink>
    </w:p>
    <w:p>
      <w:pPr>
        <w:spacing w:after="170"/>
        <w:ind w:left="420"/>
      </w:pPr>
      <w:r>
        <w:rPr>
          <w:rFonts w:ascii="Liberation Serif" w:cs="Liberation Serif" w:eastAsia="Liberation Serif" w:hAnsi="Liberation Serif"/>
          <w:color w:val="6B7480"/>
          <w:sz w:val="15"/>
          <w:szCs w:val="15"/>
        </w:rPr>
        <w:t xml:space="preserve">Cited in Volume VIII §5.4 for the historical range of software multiples.</w:t>
      </w:r>
    </w:p>
    <w:p>
      <w:pPr>
        <w:spacing w:after="40" w:before="0" w:line="275"/>
        <w:ind w:left="420" w:hanging="420"/>
      </w:pPr>
      <w:r>
        <w:rPr>
          <w:rFonts w:ascii="Liberation Serif" w:cs="Liberation Serif" w:eastAsia="Liberation Serif" w:hAnsi="Liberation Serif"/>
          <w:b/>
          <w:bCs/>
          <w:color w:val="1B6EF3"/>
          <w:sz w:val="16"/>
          <w:szCs w:val="16"/>
        </w:rPr>
        <w:t xml:space="preserve">[6]  </w:t>
      </w:r>
      <w:r>
        <w:rPr>
          <w:rFonts w:ascii="Liberation Serif" w:cs="Liberation Serif" w:eastAsia="Liberation Serif" w:hAnsi="Liberation Serif"/>
          <w:b/>
          <w:bCs/>
          <w:sz w:val="17"/>
          <w:szCs w:val="17"/>
        </w:rPr>
        <w:t xml:space="preserve">L40. </w:t>
      </w:r>
      <w:r>
        <w:rPr>
          <w:rFonts w:ascii="Liberation Serif" w:cs="Liberation Serif" w:eastAsia="Liberation Serif" w:hAnsi="Liberation Serif"/>
          <w:i/>
          <w:iCs/>
          <w:sz w:val="17"/>
          <w:szCs w:val="17"/>
        </w:rPr>
        <w:t xml:space="preserve">SaaS Multiples 2026: The Real Private Range. </w:t>
      </w:r>
      <w:hyperlink w:history="1" r:id="rIdeyw0p2bqnnbcdau29obn8">
        <w:r>
          <w:rPr>
            <w:rStyle w:val="Hyperlink"/>
            <w:rFonts w:ascii="Liberation Serif" w:cs="Liberation Serif" w:eastAsia="Liberation Serif" w:hAnsi="Liberation Serif"/>
            <w:sz w:val="14"/>
            <w:szCs w:val="14"/>
          </w:rPr>
          <w:t xml:space="preserve">https://www.l40.com/insights/saas-multiples</w:t>
        </w:r>
      </w:hyperlink>
    </w:p>
    <w:p>
      <w:pPr>
        <w:spacing w:after="170"/>
        <w:ind w:left="420"/>
      </w:pPr>
      <w:r>
        <w:rPr>
          <w:rFonts w:ascii="Liberation Serif" w:cs="Liberation Serif" w:eastAsia="Liberation Serif" w:hAnsi="Liberation Serif"/>
          <w:color w:val="6B7480"/>
          <w:sz w:val="15"/>
          <w:szCs w:val="15"/>
        </w:rPr>
        <w:t xml:space="preserve">Cited in Volume VIII §5.4 for private-company multiples and the premium band.</w:t>
      </w:r>
    </w:p>
    <w:p>
      <w:pPr>
        <w:spacing w:after="40" w:before="0" w:line="275"/>
        <w:ind w:left="420" w:hanging="420"/>
      </w:pPr>
      <w:r>
        <w:rPr>
          <w:rFonts w:ascii="Liberation Serif" w:cs="Liberation Serif" w:eastAsia="Liberation Serif" w:hAnsi="Liberation Serif"/>
          <w:b/>
          <w:bCs/>
          <w:color w:val="1B6EF3"/>
          <w:sz w:val="16"/>
          <w:szCs w:val="16"/>
        </w:rPr>
        <w:t xml:space="preserve">[7]  </w:t>
      </w:r>
      <w:r>
        <w:rPr>
          <w:rFonts w:ascii="Liberation Serif" w:cs="Liberation Serif" w:eastAsia="Liberation Serif" w:hAnsi="Liberation Serif"/>
          <w:b/>
          <w:bCs/>
          <w:sz w:val="17"/>
          <w:szCs w:val="17"/>
        </w:rPr>
        <w:t xml:space="preserve">Eqvista. </w:t>
      </w:r>
      <w:r>
        <w:rPr>
          <w:rFonts w:ascii="Liberation Serif" w:cs="Liberation Serif" w:eastAsia="Liberation Serif" w:hAnsi="Liberation Serif"/>
          <w:i/>
          <w:iCs/>
          <w:sz w:val="17"/>
          <w:szCs w:val="17"/>
        </w:rPr>
        <w:t xml:space="preserve">SaaS Index: Revenue Multiples, Valuations &amp; Market Trends. </w:t>
      </w:r>
      <w:hyperlink w:history="1" r:id="rIdavipgtdk1at1cswgwq55-">
        <w:r>
          <w:rPr>
            <w:rStyle w:val="Hyperlink"/>
            <w:rFonts w:ascii="Liberation Serif" w:cs="Liberation Serif" w:eastAsia="Liberation Serif" w:hAnsi="Liberation Serif"/>
            <w:sz w:val="14"/>
            <w:szCs w:val="14"/>
          </w:rPr>
          <w:t xml:space="preserve">https://eqvista.com/saas-index-revenue-multiples-valuations-market-trends/</w:t>
        </w:r>
      </w:hyperlink>
    </w:p>
    <w:p>
      <w:pPr>
        <w:spacing w:after="170"/>
        <w:ind w:left="420"/>
      </w:pPr>
      <w:r>
        <w:rPr>
          <w:rFonts w:ascii="Liberation Serif" w:cs="Liberation Serif" w:eastAsia="Liberation Serif" w:hAnsi="Liberation Serif"/>
          <w:color w:val="6B7480"/>
          <w:sz w:val="15"/>
          <w:szCs w:val="15"/>
        </w:rPr>
        <w:t xml:space="preserve">Cited in Volume VIII §5.4 for the distribution of Rule of 40 outcomes.</w:t>
      </w:r>
    </w:p>
    <w:p>
      <w:pPr>
        <w:spacing w:after="40" w:before="0" w:line="275"/>
        <w:ind w:left="420" w:hanging="420"/>
      </w:pPr>
      <w:r>
        <w:rPr>
          <w:rFonts w:ascii="Liberation Serif" w:cs="Liberation Serif" w:eastAsia="Liberation Serif" w:hAnsi="Liberation Serif"/>
          <w:b/>
          <w:bCs/>
          <w:color w:val="1B6EF3"/>
          <w:sz w:val="16"/>
          <w:szCs w:val="16"/>
        </w:rPr>
        <w:t xml:space="preserve">[8]  </w:t>
      </w:r>
      <w:r>
        <w:rPr>
          <w:rFonts w:ascii="Liberation Serif" w:cs="Liberation Serif" w:eastAsia="Liberation Serif" w:hAnsi="Liberation Serif"/>
          <w:b/>
          <w:bCs/>
          <w:sz w:val="17"/>
          <w:szCs w:val="17"/>
        </w:rPr>
        <w:t xml:space="preserve">Priori Data. </w:t>
      </w:r>
      <w:r>
        <w:rPr>
          <w:rFonts w:ascii="Liberation Serif" w:cs="Liberation Serif" w:eastAsia="Liberation Serif" w:hAnsi="Liberation Serif"/>
          <w:i/>
          <w:iCs/>
          <w:sz w:val="17"/>
          <w:szCs w:val="17"/>
        </w:rPr>
        <w:t xml:space="preserve">Most Popular Messaging App Statistics 2026. </w:t>
      </w:r>
      <w:hyperlink w:history="1" r:id="rIdhhz-ku2tnychrcjz8z7xx">
        <w:r>
          <w:rPr>
            <w:rStyle w:val="Hyperlink"/>
            <w:rFonts w:ascii="Liberation Serif" w:cs="Liberation Serif" w:eastAsia="Liberation Serif" w:hAnsi="Liberation Serif"/>
            <w:sz w:val="14"/>
            <w:szCs w:val="14"/>
          </w:rPr>
          <w:t xml:space="preserve">https://prioridata.com/data/messaging-app-stats/</w:t>
        </w:r>
      </w:hyperlink>
    </w:p>
    <w:p>
      <w:pPr>
        <w:spacing w:after="170"/>
        <w:ind w:left="420"/>
      </w:pPr>
      <w:r>
        <w:rPr>
          <w:rFonts w:ascii="Liberation Serif" w:cs="Liberation Serif" w:eastAsia="Liberation Serif" w:hAnsi="Liberation Serif"/>
          <w:color w:val="6B7480"/>
          <w:sz w:val="15"/>
          <w:szCs w:val="15"/>
        </w:rPr>
        <w:t xml:space="preserve">Cited in Volume X §1.1 for messaging platform monthly active users.</w:t>
      </w:r>
    </w:p>
    <w:p>
      <w:pPr>
        <w:spacing w:after="40" w:before="0" w:line="275"/>
        <w:ind w:left="420" w:hanging="420"/>
      </w:pPr>
      <w:r>
        <w:rPr>
          <w:rFonts w:ascii="Liberation Serif" w:cs="Liberation Serif" w:eastAsia="Liberation Serif" w:hAnsi="Liberation Serif"/>
          <w:b/>
          <w:bCs/>
          <w:color w:val="1B6EF3"/>
          <w:sz w:val="16"/>
          <w:szCs w:val="16"/>
        </w:rPr>
        <w:t xml:space="preserve">[9]  </w:t>
      </w:r>
      <w:r>
        <w:rPr>
          <w:rFonts w:ascii="Liberation Serif" w:cs="Liberation Serif" w:eastAsia="Liberation Serif" w:hAnsi="Liberation Serif"/>
          <w:b/>
          <w:bCs/>
          <w:sz w:val="17"/>
          <w:szCs w:val="17"/>
        </w:rPr>
        <w:t xml:space="preserve">The Register. </w:t>
      </w:r>
      <w:r>
        <w:rPr>
          <w:rFonts w:ascii="Liberation Serif" w:cs="Liberation Serif" w:eastAsia="Liberation Serif" w:hAnsi="Liberation Serif"/>
          <w:i/>
          <w:iCs/>
          <w:sz w:val="17"/>
          <w:szCs w:val="17"/>
        </w:rPr>
        <w:t xml:space="preserve">Matrix messaging gaining ground in government IT, February 2026. </w:t>
      </w:r>
      <w:hyperlink w:history="1" r:id="rIdv0goaazzq_m1dfb-ozl0s">
        <w:r>
          <w:rPr>
            <w:rStyle w:val="Hyperlink"/>
            <w:rFonts w:ascii="Liberation Serif" w:cs="Liberation Serif" w:eastAsia="Liberation Serif" w:hAnsi="Liberation Serif"/>
            <w:sz w:val="14"/>
            <w:szCs w:val="14"/>
          </w:rPr>
          <w:t xml:space="preserve">https://www.theregister.com/on-prem/2026/02/09/matrix-messaging-gaining-ground-in-government-it/4663932</w:t>
        </w:r>
      </w:hyperlink>
    </w:p>
    <w:p>
      <w:pPr>
        <w:spacing w:after="170"/>
        <w:ind w:left="420"/>
      </w:pPr>
      <w:r>
        <w:rPr>
          <w:rFonts w:ascii="Liberation Serif" w:cs="Liberation Serif" w:eastAsia="Liberation Serif" w:hAnsi="Liberation Serif"/>
          <w:color w:val="6B7480"/>
          <w:sz w:val="15"/>
          <w:szCs w:val="15"/>
        </w:rPr>
        <w:t xml:space="preserve">Cited in Volume X §5.1 for public-sector adoption of federated messaging.</w:t>
      </w:r>
    </w:p>
    <w:p>
      <w:pPr>
        <w:spacing w:after="40" w:before="0" w:line="275"/>
        <w:ind w:left="420" w:hanging="420"/>
      </w:pPr>
      <w:r>
        <w:rPr>
          <w:rFonts w:ascii="Liberation Serif" w:cs="Liberation Serif" w:eastAsia="Liberation Serif" w:hAnsi="Liberation Serif"/>
          <w:b/>
          <w:bCs/>
          <w:color w:val="1B6EF3"/>
          <w:sz w:val="16"/>
          <w:szCs w:val="16"/>
        </w:rPr>
        <w:t xml:space="preserve">[10]  </w:t>
      </w:r>
      <w:r>
        <w:rPr>
          <w:rFonts w:ascii="Liberation Serif" w:cs="Liberation Serif" w:eastAsia="Liberation Serif" w:hAnsi="Liberation Serif"/>
          <w:b/>
          <w:bCs/>
          <w:sz w:val="17"/>
          <w:szCs w:val="17"/>
        </w:rPr>
        <w:t xml:space="preserve">Element. </w:t>
      </w:r>
      <w:r>
        <w:rPr>
          <w:rFonts w:ascii="Liberation Serif" w:cs="Liberation Serif" w:eastAsia="Liberation Serif" w:hAnsi="Liberation Serif"/>
          <w:i/>
          <w:iCs/>
          <w:sz w:val="17"/>
          <w:szCs w:val="17"/>
        </w:rPr>
        <w:t xml:space="preserve">Sweden goes live with Matrix-based federation. </w:t>
      </w:r>
      <w:hyperlink w:history="1" r:id="rIds1sa4nrjcdtoco95od_cw">
        <w:r>
          <w:rPr>
            <w:rStyle w:val="Hyperlink"/>
            <w:rFonts w:ascii="Liberation Serif" w:cs="Liberation Serif" w:eastAsia="Liberation Serif" w:hAnsi="Liberation Serif"/>
            <w:sz w:val="14"/>
            <w:szCs w:val="14"/>
          </w:rPr>
          <w:t xml:space="preserve">https://element.io/blog/sweden-goes-live-with-matrix-based-federation/</w:t>
        </w:r>
      </w:hyperlink>
    </w:p>
    <w:p>
      <w:pPr>
        <w:spacing w:after="170"/>
        <w:ind w:left="420"/>
      </w:pPr>
      <w:r>
        <w:rPr>
          <w:rFonts w:ascii="Liberation Serif" w:cs="Liberation Serif" w:eastAsia="Liberation Serif" w:hAnsi="Liberation Serif"/>
          <w:color w:val="6B7480"/>
          <w:sz w:val="15"/>
          <w:szCs w:val="15"/>
        </w:rPr>
        <w:t xml:space="preserve">Cited in Volume X §5.1.</w:t>
      </w:r>
    </w:p>
    <w:p>
      <w:pPr>
        <w:spacing w:after="40" w:before="0" w:line="275"/>
        <w:ind w:left="420" w:hanging="420"/>
      </w:pPr>
      <w:r>
        <w:rPr>
          <w:rFonts w:ascii="Liberation Serif" w:cs="Liberation Serif" w:eastAsia="Liberation Serif" w:hAnsi="Liberation Serif"/>
          <w:b/>
          <w:bCs/>
          <w:color w:val="1B6EF3"/>
          <w:sz w:val="16"/>
          <w:szCs w:val="16"/>
        </w:rPr>
        <w:t xml:space="preserve">[11]  </w:t>
      </w:r>
      <w:r>
        <w:rPr>
          <w:rFonts w:ascii="Liberation Serif" w:cs="Liberation Serif" w:eastAsia="Liberation Serif" w:hAnsi="Liberation Serif"/>
          <w:b/>
          <w:bCs/>
          <w:sz w:val="17"/>
          <w:szCs w:val="17"/>
        </w:rPr>
        <w:t xml:space="preserve">Open Source For You. </w:t>
      </w:r>
      <w:r>
        <w:rPr>
          <w:rFonts w:ascii="Liberation Serif" w:cs="Liberation Serif" w:eastAsia="Liberation Serif" w:hAnsi="Liberation Serif"/>
          <w:i/>
          <w:iCs/>
          <w:sz w:val="17"/>
          <w:szCs w:val="17"/>
        </w:rPr>
        <w:t xml:space="preserve">EU Backs Open Source Matrix For Secure Internal Communications, February 2026. </w:t>
      </w:r>
      <w:hyperlink w:history="1" r:id="rIdwzfwfvu0equ6qycsq5zhd">
        <w:r>
          <w:rPr>
            <w:rStyle w:val="Hyperlink"/>
            <w:rFonts w:ascii="Liberation Serif" w:cs="Liberation Serif" w:eastAsia="Liberation Serif" w:hAnsi="Liberation Serif"/>
            <w:sz w:val="14"/>
            <w:szCs w:val="14"/>
          </w:rPr>
          <w:t xml:space="preserve">https://www.opensourceforu.com/2026/02/eu-backs-open-source-matrix-for-secure-internal-communications/</w:t>
        </w:r>
      </w:hyperlink>
    </w:p>
    <w:p>
      <w:pPr>
        <w:spacing w:after="170"/>
        <w:ind w:left="420"/>
      </w:pPr>
      <w:r>
        <w:rPr>
          <w:rFonts w:ascii="Liberation Serif" w:cs="Liberation Serif" w:eastAsia="Liberation Serif" w:hAnsi="Liberation Serif"/>
          <w:color w:val="6B7480"/>
          <w:sz w:val="15"/>
          <w:szCs w:val="15"/>
        </w:rPr>
        <w:t xml:space="preserve">Cited in Volume X §5.1 for the European Commission trial.</w:t>
      </w:r>
    </w:p>
    <w:p>
      <w:pPr>
        <w:pStyle w:val="Heading3"/>
      </w:pPr>
      <w:r>
        <w:rPr>
          <w:rFonts w:ascii="DejaVu Serif" w:cs="DejaVu Serif" w:eastAsia="DejaVu Serif" w:hAnsi="DejaVu Serif"/>
          <w:b/>
          <w:bCs/>
          <w:color w:val="0B3C91"/>
          <w:sz w:val="25"/>
          <w:szCs w:val="25"/>
        </w:rPr>
        <w:t xml:space="preserve">Internal sources</w:t>
      </w:r>
    </w:p>
    <w:p>
      <w:pPr>
        <w:pStyle w:val="EditorialNote"/>
        <w:spacing w:after="200"/>
      </w:pPr>
      <w:r>
        <w:t xml:space="preserve">Claims in this corpus about what the group has built trace to these. Catalogue lines in Volume III are marked built, partial or specified-not-built on this basis.</w:t>
      </w:r>
    </w:p>
    <w:p>
      <w:pPr>
        <w:spacing w:after="30" w:before="0"/>
      </w:pPr>
      <w:r>
        <w:rPr>
          <w:rFonts w:ascii="Liberation Serif" w:cs="Liberation Serif" w:eastAsia="Liberation Serif" w:hAnsi="Liberation Serif"/>
          <w:b/>
          <w:bCs/>
          <w:sz w:val="17"/>
          <w:szCs w:val="17"/>
        </w:rPr>
        <w:t xml:space="preserve">StromeX MVP</w:t>
      </w:r>
      <w:r>
        <w:rPr>
          <w:rFonts w:ascii="Liberation Serif" w:cs="Liberation Serif" w:eastAsia="Liberation Serif" w:hAnsi="Liberation Serif"/>
          <w:color w:val="1B6EF3"/>
          <w:sz w:val="15"/>
          <w:szCs w:val="15"/>
        </w:rPr>
        <w:t xml:space="preserve">  ·  apps/api, apps/web, infra</w:t>
      </w:r>
    </w:p>
    <w:p>
      <w:pPr>
        <w:spacing w:after="170" w:line="275"/>
        <w:ind w:left="300"/>
      </w:pPr>
      <w:r>
        <w:rPr>
          <w:rFonts w:ascii="Liberation Serif" w:cs="Liberation Serif" w:eastAsia="Liberation Serif" w:hAnsi="Liberation Serif"/>
          <w:color w:val="38414D"/>
          <w:sz w:val="16"/>
          <w:szCs w:val="16"/>
        </w:rPr>
        <w:t xml:space="preserve">FastAPI backend with multi-provider AI routing, memory, spaced-repetition tutor and PDF export; Next.js frontend; Docker Compose infrastructure. Establishes the canonical stack in Volume IV §2.2.</w:t>
      </w:r>
    </w:p>
    <w:p>
      <w:pPr>
        <w:spacing w:after="30" w:before="0"/>
      </w:pPr>
      <w:r>
        <w:rPr>
          <w:rFonts w:ascii="Liberation Serif" w:cs="Liberation Serif" w:eastAsia="Liberation Serif" w:hAnsi="Liberation Serif"/>
          <w:b/>
          <w:bCs/>
          <w:sz w:val="17"/>
          <w:szCs w:val="17"/>
        </w:rPr>
        <w:t xml:space="preserve">Independent MVP Audit</w:t>
      </w:r>
      <w:r>
        <w:rPr>
          <w:rFonts w:ascii="Liberation Serif" w:cs="Liberation Serif" w:eastAsia="Liberation Serif" w:hAnsi="Liberation Serif"/>
          <w:color w:val="1B6EF3"/>
          <w:sz w:val="15"/>
          <w:szCs w:val="15"/>
        </w:rPr>
        <w:t xml:space="preserve">  ·  docs/04-STROMEX-INDEPENDENT-AUDIT.md</w:t>
      </w:r>
    </w:p>
    <w:p>
      <w:pPr>
        <w:spacing w:after="170" w:line="275"/>
        <w:ind w:left="300"/>
      </w:pPr>
      <w:r>
        <w:rPr>
          <w:rFonts w:ascii="Liberation Serif" w:cs="Liberation Serif" w:eastAsia="Liberation Serif" w:hAnsi="Liberation Serif"/>
          <w:color w:val="38414D"/>
          <w:sz w:val="16"/>
          <w:szCs w:val="16"/>
        </w:rPr>
        <w:t xml:space="preserve">Security, scalability, reliability and performance audit including a critical server-side request forgery vulnerability found, reproduced and fixed. Carried forward as a standing engineering rule in Volume IV §15.</w:t>
      </w:r>
    </w:p>
    <w:p>
      <w:pPr>
        <w:spacing w:after="30" w:before="0"/>
      </w:pPr>
      <w:r>
        <w:rPr>
          <w:rFonts w:ascii="Liberation Serif" w:cs="Liberation Serif" w:eastAsia="Liberation Serif" w:hAnsi="Liberation Serif"/>
          <w:b/>
          <w:bCs/>
          <w:sz w:val="17"/>
          <w:szCs w:val="17"/>
        </w:rPr>
        <w:t xml:space="preserve">Reference Implementation №1</w:t>
      </w:r>
      <w:r>
        <w:rPr>
          <w:rFonts w:ascii="Liberation Serif" w:cs="Liberation Serif" w:eastAsia="Liberation Serif" w:hAnsi="Liberation Serif"/>
          <w:color w:val="1B6EF3"/>
          <w:sz w:val="15"/>
          <w:szCs w:val="15"/>
        </w:rPr>
        <w:t xml:space="preserve">  ·  Sultan Hanafi Royal Schools</w:t>
      </w:r>
    </w:p>
    <w:p>
      <w:pPr>
        <w:spacing w:after="170" w:line="275"/>
        <w:ind w:left="300"/>
      </w:pPr>
      <w:r>
        <w:rPr>
          <w:rFonts w:ascii="Liberation Serif" w:cs="Liberation Serif" w:eastAsia="Liberation Serif" w:hAnsi="Liberation Serif"/>
          <w:color w:val="38414D"/>
          <w:sz w:val="16"/>
          <w:szCs w:val="16"/>
        </w:rPr>
        <w:t xml:space="preserve">Four-language institutional build (English, Arabic RTL, Yorùbá, French) with approximately thirty-five page templates per locale; four verification surfaces; certificate generation with documented identifier architecture, security model and signing-key deployment; digital identity and card system; finance platform; eight role portals; personalisation centre; and approximately one hundred and twenty institutional system, governance and design documents.</w:t>
      </w:r>
    </w:p>
    <w:p>
      <w:pPr>
        <w:spacing w:after="30" w:before="0"/>
      </w:pPr>
      <w:r>
        <w:rPr>
          <w:rFonts w:ascii="Liberation Serif" w:cs="Liberation Serif" w:eastAsia="Liberation Serif" w:hAnsi="Liberation Serif"/>
          <w:b/>
          <w:bCs/>
          <w:sz w:val="17"/>
          <w:szCs w:val="17"/>
        </w:rPr>
        <w:t xml:space="preserve">Reference Implementation №2</w:t>
      </w:r>
      <w:r>
        <w:rPr>
          <w:rFonts w:ascii="Liberation Serif" w:cs="Liberation Serif" w:eastAsia="Liberation Serif" w:hAnsi="Liberation Serif"/>
          <w:color w:val="1B6EF3"/>
          <w:sz w:val="15"/>
          <w:szCs w:val="15"/>
        </w:rPr>
        <w:t xml:space="preserve">  ·  WorldWide English College</w:t>
      </w:r>
    </w:p>
    <w:p>
      <w:pPr>
        <w:spacing w:after="170" w:line="275"/>
        <w:ind w:left="300"/>
      </w:pPr>
      <w:r>
        <w:rPr>
          <w:rFonts w:ascii="Liberation Serif" w:cs="Liberation Serif" w:eastAsia="Liberation Serif" w:hAnsi="Liberation Serif"/>
          <w:color w:val="38414D"/>
          <w:sz w:val="16"/>
          <w:szCs w:val="16"/>
        </w:rPr>
        <w:t xml:space="preserve">A seventy-three-table credential and commerce schema across fifteen migrations, covering enrolment integrity, competencies, evidence, awards, credential signing, issued documents, verifying institutions, payments, instalment plans, multi-currency routing, corporate seats and alumni chapters. The evidential basis for Volume IV §4.2.</w:t>
      </w:r>
    </w:p>
    <w:p>
      <w:pPr>
        <w:spacing w:after="30" w:before="0"/>
      </w:pPr>
      <w:r>
        <w:rPr>
          <w:rFonts w:ascii="Liberation Serif" w:cs="Liberation Serif" w:eastAsia="Liberation Serif" w:hAnsi="Liberation Serif"/>
          <w:b/>
          <w:bCs/>
          <w:sz w:val="17"/>
          <w:szCs w:val="17"/>
        </w:rPr>
        <w:t xml:space="preserve">Reference Implementation №3</w:t>
      </w:r>
      <w:r>
        <w:rPr>
          <w:rFonts w:ascii="Liberation Serif" w:cs="Liberation Serif" w:eastAsia="Liberation Serif" w:hAnsi="Liberation Serif"/>
          <w:color w:val="1B6EF3"/>
          <w:sz w:val="15"/>
          <w:szCs w:val="15"/>
        </w:rPr>
        <w:t xml:space="preserve">  ·  Al-Madeenah College</w:t>
      </w:r>
    </w:p>
    <w:p>
      <w:pPr>
        <w:spacing w:after="170" w:line="275"/>
        <w:ind w:left="300"/>
      </w:pPr>
      <w:r>
        <w:rPr>
          <w:rFonts w:ascii="Liberation Serif" w:cs="Liberation Serif" w:eastAsia="Liberation Serif" w:hAnsi="Liberation Serif"/>
          <w:color w:val="38414D"/>
          <w:sz w:val="16"/>
          <w:szCs w:val="16"/>
        </w:rPr>
        <w:t xml:space="preserve">Bilingual static build system with offline service worker, verification surfaces, font subsetting pipeline and document generation to PDF and DOCX.</w:t>
      </w:r>
    </w:p>
    <w:p>
      <w:pPr>
        <w:spacing w:after="30" w:before="0"/>
      </w:pPr>
      <w:r>
        <w:rPr>
          <w:rFonts w:ascii="Liberation Serif" w:cs="Liberation Serif" w:eastAsia="Liberation Serif" w:hAnsi="Liberation Serif"/>
          <w:b/>
          <w:bCs/>
          <w:sz w:val="17"/>
          <w:szCs w:val="17"/>
        </w:rPr>
        <w:t xml:space="preserve">Reference Implementation №4</w:t>
      </w:r>
      <w:r>
        <w:rPr>
          <w:rFonts w:ascii="Liberation Serif" w:cs="Liberation Serif" w:eastAsia="Liberation Serif" w:hAnsi="Liberation Serif"/>
          <w:color w:val="1B6EF3"/>
          <w:sz w:val="15"/>
          <w:szCs w:val="15"/>
        </w:rPr>
        <w:t xml:space="preserve">  ·  Institutional portal system</w:t>
      </w:r>
    </w:p>
    <w:p>
      <w:pPr>
        <w:spacing w:after="170" w:line="275"/>
        <w:ind w:left="300"/>
      </w:pPr>
      <w:r>
        <w:rPr>
          <w:rFonts w:ascii="Liberation Serif" w:cs="Liberation Serif" w:eastAsia="Liberation Serif" w:hAnsi="Liberation Serif"/>
          <w:color w:val="38414D"/>
          <w:sz w:val="16"/>
          <w:szCs w:val="16"/>
        </w:rPr>
        <w:t xml:space="preserve">Multi-role portal implementation covering student, staff, parent, applicant and administrative roles, admissions pipeline, attendance, timetable, assessment, finance and library.</w:t>
      </w:r>
    </w:p>
    <w:p>
      <w:pPr>
        <w:pStyle w:val="Heading2"/>
        <w:pageBreakBefore/>
      </w:pPr>
      <w:r>
        <w:rPr>
          <w:rFonts w:ascii="DejaVu Serif" w:cs="DejaVu Serif" w:eastAsia="DejaVu Serif" w:hAnsi="DejaVu Serif"/>
          <w:b/>
          <w:bCs/>
          <w:color w:val="0B3C91"/>
          <w:sz w:val="34"/>
          <w:szCs w:val="34"/>
        </w:rPr>
        <w:t xml:space="preserve">Index</w:t>
      </w:r>
    </w:p>
    <w:p>
      <w:pPr>
        <w:pStyle w:val="EditorialNote"/>
        <w:spacing w:after="300"/>
      </w:pPr>
      <w:r>
        <w:t xml:space="preserve">Generated by the build. Page references point to where each concept is established or substantively discussed; passing mentions are not indexed. Word index markers are also embedded throughout the corpus, so a live index can be built in Word if preferred.</w:t>
      </w:r>
    </w:p>
    <w:p>
      <w:pPr>
        <w:pBdr>
          <w:bottom w:val="single" w:color="C9CFD9" w:sz="3" w:space="4"/>
        </w:pBdr>
        <w:spacing w:after="100" w:before="0"/>
      </w:pPr>
      <w:r>
        <w:rPr>
          <w:rFonts w:ascii="DejaVu Serif" w:cs="DejaVu Serif" w:eastAsia="DejaVu Serif" w:hAnsi="DejaVu Serif"/>
          <w:b/>
          <w:bCs/>
          <w:color w:val="1B6EF3"/>
          <w:sz w:val="22"/>
          <w:szCs w:val="22"/>
        </w:rPr>
        <w:t xml:space="preserve">A</w:t>
      </w:r>
    </w:p>
    <w:p>
      <w:pPr>
        <w:spacing w:after="30" w:before="0" w:line="250"/>
        <w:ind w:left="240" w:hanging="240"/>
      </w:pPr>
      <w:r>
        <w:rPr>
          <w:sz w:val="17"/>
          <w:szCs w:val="17"/>
        </w:rPr>
        <w:t xml:space="preserve">ACV</w:t>
      </w:r>
      <w:r>
        <w:rPr>
          <w:rFonts w:ascii="DejaVu Sans" w:cs="DejaVu Sans" w:eastAsia="DejaVu Sans" w:hAnsi="DejaVu Sans"/>
          <w:color w:val="6B7480"/>
          <w:sz w:val="16"/>
          <w:szCs w:val="16"/>
        </w:rPr>
        <w:t xml:space="preserve">  63, 65, 67</w:t>
      </w:r>
    </w:p>
    <w:p>
      <w:pPr>
        <w:pBdr>
          <w:bottom w:val="single" w:color="C9CFD9" w:sz="3" w:space="4"/>
        </w:pBdr>
        <w:spacing w:after="100" w:before="240"/>
      </w:pPr>
      <w:r>
        <w:rPr>
          <w:rFonts w:ascii="DejaVu Serif" w:cs="DejaVu Serif" w:eastAsia="DejaVu Serif" w:hAnsi="DejaVu Serif"/>
          <w:b/>
          <w:bCs/>
          <w:color w:val="1B6EF3"/>
          <w:sz w:val="22"/>
          <w:szCs w:val="22"/>
        </w:rPr>
        <w:t xml:space="preserve">B</w:t>
      </w:r>
    </w:p>
    <w:p>
      <w:pPr>
        <w:spacing w:after="30" w:before="0" w:line="250"/>
        <w:ind w:left="240" w:hanging="240"/>
      </w:pPr>
      <w:r>
        <w:rPr>
          <w:sz w:val="17"/>
          <w:szCs w:val="17"/>
        </w:rPr>
        <w:t xml:space="preserve">Band A</w:t>
      </w:r>
      <w:r>
        <w:rPr>
          <w:rFonts w:ascii="DejaVu Sans" w:cs="DejaVu Sans" w:eastAsia="DejaVu Sans" w:hAnsi="DejaVu Sans"/>
          <w:color w:val="6B7480"/>
          <w:sz w:val="16"/>
          <w:szCs w:val="16"/>
        </w:rPr>
        <w:t xml:space="preserve">  3, 46, 59, 60, 61, 62, 63, 67</w:t>
      </w:r>
    </w:p>
    <w:p>
      <w:pPr>
        <w:spacing w:after="30" w:before="0" w:line="250"/>
        <w:ind w:left="240" w:hanging="240"/>
      </w:pPr>
      <w:r>
        <w:rPr>
          <w:sz w:val="17"/>
          <w:szCs w:val="17"/>
        </w:rPr>
        <w:t xml:space="preserve">Band B</w:t>
      </w:r>
      <w:r>
        <w:rPr>
          <w:rFonts w:ascii="DejaVu Sans" w:cs="DejaVu Sans" w:eastAsia="DejaVu Sans" w:hAnsi="DejaVu Sans"/>
          <w:color w:val="6B7480"/>
          <w:sz w:val="16"/>
          <w:szCs w:val="16"/>
        </w:rPr>
        <w:t xml:space="preserve">  3, 46, 67</w:t>
      </w:r>
    </w:p>
    <w:p>
      <w:pPr>
        <w:spacing w:after="30" w:before="0" w:line="250"/>
        <w:ind w:left="240" w:hanging="240"/>
      </w:pPr>
      <w:r>
        <w:rPr>
          <w:sz w:val="17"/>
          <w:szCs w:val="17"/>
        </w:rPr>
        <w:t xml:space="preserve">Band C</w:t>
      </w:r>
      <w:r>
        <w:rPr>
          <w:rFonts w:ascii="DejaVu Sans" w:cs="DejaVu Sans" w:eastAsia="DejaVu Sans" w:hAnsi="DejaVu Sans"/>
          <w:color w:val="6B7480"/>
          <w:sz w:val="16"/>
          <w:szCs w:val="16"/>
        </w:rPr>
        <w:t xml:space="preserve">  3, 46, 59, 63, 67</w:t>
      </w:r>
    </w:p>
    <w:p>
      <w:pPr>
        <w:pBdr>
          <w:bottom w:val="single" w:color="C9CFD9" w:sz="3" w:space="4"/>
        </w:pBdr>
        <w:spacing w:after="100" w:before="240"/>
      </w:pPr>
      <w:r>
        <w:rPr>
          <w:rFonts w:ascii="DejaVu Serif" w:cs="DejaVu Serif" w:eastAsia="DejaVu Serif" w:hAnsi="DejaVu Serif"/>
          <w:b/>
          <w:bCs/>
          <w:color w:val="1B6EF3"/>
          <w:sz w:val="22"/>
          <w:szCs w:val="22"/>
        </w:rPr>
        <w:t xml:space="preserve">C</w:t>
      </w:r>
    </w:p>
    <w:p>
      <w:pPr>
        <w:spacing w:after="30" w:before="0" w:line="250"/>
        <w:ind w:left="240" w:hanging="240"/>
      </w:pPr>
      <w:r>
        <w:rPr>
          <w:sz w:val="17"/>
          <w:szCs w:val="17"/>
        </w:rPr>
        <w:t xml:space="preserve">Credential</w:t>
      </w:r>
      <w:r>
        <w:rPr>
          <w:rFonts w:ascii="DejaVu Sans" w:cs="DejaVu Sans" w:eastAsia="DejaVu Sans" w:hAnsi="DejaVu Sans"/>
          <w:color w:val="6B7480"/>
          <w:sz w:val="16"/>
          <w:szCs w:val="16"/>
        </w:rPr>
        <w:t xml:space="preserve">  1, 4, 16, 17, 18, 19, 50, 58, 60, 63, 66, 67</w:t>
      </w:r>
    </w:p>
    <w:p>
      <w:pPr>
        <w:pBdr>
          <w:bottom w:val="single" w:color="C9CFD9" w:sz="3" w:space="4"/>
        </w:pBdr>
        <w:spacing w:after="100" w:before="240"/>
      </w:pPr>
      <w:r>
        <w:rPr>
          <w:rFonts w:ascii="DejaVu Serif" w:cs="DejaVu Serif" w:eastAsia="DejaVu Serif" w:hAnsi="DejaVu Serif"/>
          <w:b/>
          <w:bCs/>
          <w:color w:val="1B6EF3"/>
          <w:sz w:val="22"/>
          <w:szCs w:val="22"/>
        </w:rPr>
        <w:t xml:space="preserve">D</w:t>
      </w:r>
    </w:p>
    <w:p>
      <w:pPr>
        <w:spacing w:after="30" w:before="0" w:line="250"/>
        <w:ind w:left="240" w:hanging="240"/>
      </w:pPr>
      <w:r>
        <w:rPr>
          <w:sz w:val="17"/>
          <w:szCs w:val="17"/>
        </w:rPr>
        <w:t xml:space="preserve">Data residency</w:t>
      </w:r>
      <w:r>
        <w:rPr>
          <w:rFonts w:ascii="DejaVu Sans" w:cs="DejaVu Sans" w:eastAsia="DejaVu Sans" w:hAnsi="DejaVu Sans"/>
          <w:color w:val="6B7480"/>
          <w:sz w:val="16"/>
          <w:szCs w:val="16"/>
        </w:rPr>
        <w:t xml:space="preserve">  22, 67</w:t>
      </w:r>
    </w:p>
    <w:p>
      <w:pPr>
        <w:pBdr>
          <w:bottom w:val="single" w:color="C9CFD9" w:sz="3" w:space="4"/>
        </w:pBdr>
        <w:spacing w:after="100" w:before="240"/>
      </w:pPr>
      <w:r>
        <w:rPr>
          <w:rFonts w:ascii="DejaVu Serif" w:cs="DejaVu Serif" w:eastAsia="DejaVu Serif" w:hAnsi="DejaVu Serif"/>
          <w:b/>
          <w:bCs/>
          <w:color w:val="1B6EF3"/>
          <w:sz w:val="22"/>
          <w:szCs w:val="22"/>
        </w:rPr>
        <w:t xml:space="preserve">E</w:t>
      </w:r>
    </w:p>
    <w:p>
      <w:pPr>
        <w:spacing w:after="30" w:before="0" w:line="250"/>
        <w:ind w:left="240" w:hanging="240"/>
      </w:pPr>
      <w:r>
        <w:rPr>
          <w:sz w:val="17"/>
          <w:szCs w:val="17"/>
        </w:rPr>
        <w:t xml:space="preserve">Ecosystem</w:t>
      </w:r>
      <w:r>
        <w:rPr>
          <w:rFonts w:ascii="DejaVu Sans" w:cs="DejaVu Sans" w:eastAsia="DejaVu Sans" w:hAnsi="DejaVu Sans"/>
          <w:color w:val="6B7480"/>
          <w:sz w:val="16"/>
          <w:szCs w:val="16"/>
        </w:rPr>
        <w:t xml:space="preserve">  5, 67</w:t>
      </w:r>
    </w:p>
    <w:p>
      <w:pPr>
        <w:pBdr>
          <w:bottom w:val="single" w:color="C9CFD9" w:sz="3" w:space="4"/>
        </w:pBdr>
        <w:spacing w:after="100" w:before="240"/>
      </w:pPr>
      <w:r>
        <w:rPr>
          <w:rFonts w:ascii="DejaVu Serif" w:cs="DejaVu Serif" w:eastAsia="DejaVu Serif" w:hAnsi="DejaVu Serif"/>
          <w:b/>
          <w:bCs/>
          <w:color w:val="1B6EF3"/>
          <w:sz w:val="22"/>
          <w:szCs w:val="22"/>
        </w:rPr>
        <w:t xml:space="preserve">F</w:t>
      </w:r>
    </w:p>
    <w:p>
      <w:pPr>
        <w:spacing w:after="30" w:before="0" w:line="250"/>
        <w:ind w:left="240" w:hanging="240"/>
      </w:pPr>
      <w:r>
        <w:rPr>
          <w:sz w:val="17"/>
          <w:szCs w:val="17"/>
        </w:rPr>
        <w:t xml:space="preserve">Federation</w:t>
      </w:r>
      <w:r>
        <w:rPr>
          <w:rFonts w:ascii="DejaVu Sans" w:cs="DejaVu Sans" w:eastAsia="DejaVu Sans" w:hAnsi="DejaVu Sans"/>
          <w:color w:val="6B7480"/>
          <w:sz w:val="16"/>
          <w:szCs w:val="16"/>
        </w:rPr>
        <w:t xml:space="preserve">  65, 67</w:t>
      </w:r>
    </w:p>
    <w:p>
      <w:pPr>
        <w:pBdr>
          <w:bottom w:val="single" w:color="C9CFD9" w:sz="3" w:space="4"/>
        </w:pBdr>
        <w:spacing w:after="100" w:before="240"/>
      </w:pPr>
      <w:r>
        <w:rPr>
          <w:rFonts w:ascii="DejaVu Serif" w:cs="DejaVu Serif" w:eastAsia="DejaVu Serif" w:hAnsi="DejaVu Serif"/>
          <w:b/>
          <w:bCs/>
          <w:color w:val="1B6EF3"/>
          <w:sz w:val="22"/>
          <w:szCs w:val="22"/>
        </w:rPr>
        <w:t xml:space="preserve">G</w:t>
      </w:r>
    </w:p>
    <w:p>
      <w:pPr>
        <w:spacing w:after="30" w:before="0" w:line="250"/>
        <w:ind w:left="240" w:hanging="240"/>
      </w:pPr>
      <w:r>
        <w:rPr>
          <w:sz w:val="17"/>
          <w:szCs w:val="17"/>
        </w:rPr>
        <w:t xml:space="preserve">Gate</w:t>
      </w:r>
      <w:r>
        <w:rPr>
          <w:rFonts w:ascii="DejaVu Sans" w:cs="DejaVu Sans" w:eastAsia="DejaVu Sans" w:hAnsi="DejaVu Sans"/>
          <w:color w:val="6B7480"/>
          <w:sz w:val="16"/>
          <w:szCs w:val="16"/>
        </w:rPr>
        <w:t xml:space="preserve">  14, 22, 27, 28, 34, 36, 63, 67</w:t>
      </w:r>
    </w:p>
    <w:p>
      <w:pPr>
        <w:spacing w:after="30" w:before="0" w:line="250"/>
        <w:ind w:left="240" w:hanging="240"/>
      </w:pPr>
      <w:r>
        <w:rPr>
          <w:sz w:val="17"/>
          <w:szCs w:val="17"/>
        </w:rPr>
        <w:t xml:space="preserve">GRR</w:t>
      </w:r>
      <w:r>
        <w:rPr>
          <w:rFonts w:ascii="DejaVu Sans" w:cs="DejaVu Sans" w:eastAsia="DejaVu Sans" w:hAnsi="DejaVu Sans"/>
          <w:color w:val="6B7480"/>
          <w:sz w:val="16"/>
          <w:szCs w:val="16"/>
        </w:rPr>
        <w:t xml:space="preserve">  65</w:t>
      </w:r>
    </w:p>
    <w:p>
      <w:pPr>
        <w:pBdr>
          <w:bottom w:val="single" w:color="C9CFD9" w:sz="3" w:space="4"/>
        </w:pBdr>
        <w:spacing w:after="100" w:before="240"/>
      </w:pPr>
      <w:r>
        <w:rPr>
          <w:rFonts w:ascii="DejaVu Serif" w:cs="DejaVu Serif" w:eastAsia="DejaVu Serif" w:hAnsi="DejaVu Serif"/>
          <w:b/>
          <w:bCs/>
          <w:color w:val="1B6EF3"/>
          <w:sz w:val="22"/>
          <w:szCs w:val="22"/>
        </w:rPr>
        <w:t xml:space="preserve">M</w:t>
      </w:r>
    </w:p>
    <w:p>
      <w:pPr>
        <w:spacing w:after="30" w:before="0" w:line="250"/>
        <w:ind w:left="240" w:hanging="240"/>
      </w:pPr>
      <w:r>
        <w:rPr>
          <w:sz w:val="17"/>
          <w:szCs w:val="17"/>
        </w:rPr>
        <w:t xml:space="preserve">Marketplace</w:t>
      </w:r>
      <w:r>
        <w:rPr>
          <w:rFonts w:ascii="DejaVu Sans" w:cs="DejaVu Sans" w:eastAsia="DejaVu Sans" w:hAnsi="DejaVu Sans"/>
          <w:color w:val="6B7480"/>
          <w:sz w:val="16"/>
          <w:szCs w:val="16"/>
        </w:rPr>
        <w:t xml:space="preserve">  51</w:t>
      </w:r>
    </w:p>
    <w:p>
      <w:pPr>
        <w:pBdr>
          <w:bottom w:val="single" w:color="C9CFD9" w:sz="3" w:space="4"/>
        </w:pBdr>
        <w:spacing w:after="100" w:before="240"/>
      </w:pPr>
      <w:r>
        <w:rPr>
          <w:rFonts w:ascii="DejaVu Serif" w:cs="DejaVu Serif" w:eastAsia="DejaVu Serif" w:hAnsi="DejaVu Serif"/>
          <w:b/>
          <w:bCs/>
          <w:color w:val="1B6EF3"/>
          <w:sz w:val="22"/>
          <w:szCs w:val="22"/>
        </w:rPr>
        <w:t xml:space="preserve">N</w:t>
      </w:r>
    </w:p>
    <w:p>
      <w:pPr>
        <w:spacing w:after="30" w:before="0" w:line="250"/>
        <w:ind w:left="240" w:hanging="240"/>
      </w:pPr>
      <w:r>
        <w:rPr>
          <w:sz w:val="17"/>
          <w:szCs w:val="17"/>
        </w:rPr>
        <w:t xml:space="preserve">Net revenue retention</w:t>
      </w:r>
      <w:r>
        <w:rPr>
          <w:rFonts w:ascii="DejaVu Sans" w:cs="DejaVu Sans" w:eastAsia="DejaVu Sans" w:hAnsi="DejaVu Sans"/>
          <w:color w:val="6B7480"/>
          <w:sz w:val="16"/>
          <w:szCs w:val="16"/>
        </w:rPr>
        <w:t xml:space="preserve">  64, 65</w:t>
      </w:r>
    </w:p>
    <w:p>
      <w:pPr>
        <w:spacing w:after="30" w:before="0" w:line="250"/>
        <w:ind w:left="240" w:hanging="240"/>
      </w:pPr>
      <w:r>
        <w:rPr>
          <w:sz w:val="17"/>
          <w:szCs w:val="17"/>
        </w:rPr>
        <w:t xml:space="preserve">No-fork rule</w:t>
      </w:r>
      <w:r>
        <w:rPr>
          <w:rFonts w:ascii="DejaVu Sans" w:cs="DejaVu Sans" w:eastAsia="DejaVu Sans" w:hAnsi="DejaVu Sans"/>
          <w:color w:val="6B7480"/>
          <w:sz w:val="16"/>
          <w:szCs w:val="16"/>
        </w:rPr>
        <w:t xml:space="preserve">  64</w:t>
      </w:r>
    </w:p>
    <w:p>
      <w:pPr>
        <w:spacing w:after="30" w:before="0" w:line="250"/>
        <w:ind w:left="240" w:hanging="240"/>
      </w:pPr>
      <w:r>
        <w:rPr>
          <w:sz w:val="17"/>
          <w:szCs w:val="17"/>
        </w:rPr>
        <w:t xml:space="preserve">NRR</w:t>
      </w:r>
      <w:r>
        <w:rPr>
          <w:rFonts w:ascii="DejaVu Sans" w:cs="DejaVu Sans" w:eastAsia="DejaVu Sans" w:hAnsi="DejaVu Sans"/>
          <w:color w:val="6B7480"/>
          <w:sz w:val="16"/>
          <w:szCs w:val="16"/>
        </w:rPr>
        <w:t xml:space="preserve">  64, 65</w:t>
      </w:r>
    </w:p>
    <w:p>
      <w:pPr>
        <w:pBdr>
          <w:bottom w:val="single" w:color="C9CFD9" w:sz="3" w:space="4"/>
        </w:pBdr>
        <w:spacing w:after="100" w:before="240"/>
      </w:pPr>
      <w:r>
        <w:rPr>
          <w:rFonts w:ascii="DejaVu Serif" w:cs="DejaVu Serif" w:eastAsia="DejaVu Serif" w:hAnsi="DejaVu Serif"/>
          <w:b/>
          <w:bCs/>
          <w:color w:val="1B6EF3"/>
          <w:sz w:val="22"/>
          <w:szCs w:val="22"/>
        </w:rPr>
        <w:t xml:space="preserve">O</w:t>
      </w:r>
    </w:p>
    <w:p>
      <w:pPr>
        <w:spacing w:after="30" w:before="0" w:line="250"/>
        <w:ind w:left="240" w:hanging="240"/>
      </w:pPr>
      <w:r>
        <w:rPr>
          <w:sz w:val="17"/>
          <w:szCs w:val="17"/>
        </w:rPr>
        <w:t xml:space="preserve">Open source</w:t>
      </w:r>
      <w:r>
        <w:rPr>
          <w:rFonts w:ascii="DejaVu Sans" w:cs="DejaVu Sans" w:eastAsia="DejaVu Sans" w:hAnsi="DejaVu Sans"/>
          <w:color w:val="6B7480"/>
          <w:sz w:val="16"/>
          <w:szCs w:val="16"/>
        </w:rPr>
        <w:t xml:space="preserve">  65</w:t>
      </w:r>
    </w:p>
    <w:p>
      <w:pPr>
        <w:pBdr>
          <w:bottom w:val="single" w:color="C9CFD9" w:sz="3" w:space="4"/>
        </w:pBdr>
        <w:spacing w:after="100" w:before="240"/>
      </w:pPr>
      <w:r>
        <w:rPr>
          <w:rFonts w:ascii="DejaVu Serif" w:cs="DejaVu Serif" w:eastAsia="DejaVu Serif" w:hAnsi="DejaVu Serif"/>
          <w:b/>
          <w:bCs/>
          <w:color w:val="1B6EF3"/>
          <w:sz w:val="22"/>
          <w:szCs w:val="22"/>
        </w:rPr>
        <w:t xml:space="preserve">P</w:t>
      </w:r>
    </w:p>
    <w:p>
      <w:pPr>
        <w:spacing w:after="30" w:before="0" w:line="250"/>
        <w:ind w:left="240" w:hanging="240"/>
      </w:pPr>
      <w:r>
        <w:rPr>
          <w:sz w:val="17"/>
          <w:szCs w:val="17"/>
        </w:rPr>
        <w:t xml:space="preserve">Pricing Council</w:t>
      </w:r>
      <w:r>
        <w:rPr>
          <w:rFonts w:ascii="DejaVu Sans" w:cs="DejaVu Sans" w:eastAsia="DejaVu Sans" w:hAnsi="DejaVu Sans"/>
          <w:color w:val="6B7480"/>
          <w:sz w:val="16"/>
          <w:szCs w:val="16"/>
        </w:rPr>
        <w:t xml:space="preserve">  1, 3, 62, 64</w:t>
      </w:r>
    </w:p>
    <w:p>
      <w:pPr>
        <w:pBdr>
          <w:bottom w:val="single" w:color="C9CFD9" w:sz="3" w:space="4"/>
        </w:pBdr>
        <w:spacing w:after="100" w:before="240"/>
      </w:pPr>
      <w:r>
        <w:rPr>
          <w:rFonts w:ascii="DejaVu Serif" w:cs="DejaVu Serif" w:eastAsia="DejaVu Serif" w:hAnsi="DejaVu Serif"/>
          <w:b/>
          <w:bCs/>
          <w:color w:val="1B6EF3"/>
          <w:sz w:val="22"/>
          <w:szCs w:val="22"/>
        </w:rPr>
        <w:t xml:space="preserve">R</w:t>
      </w:r>
    </w:p>
    <w:p>
      <w:pPr>
        <w:spacing w:after="30" w:before="0" w:line="250"/>
        <w:ind w:left="240" w:hanging="240"/>
      </w:pPr>
      <w:r>
        <w:rPr>
          <w:sz w:val="17"/>
          <w:szCs w:val="17"/>
        </w:rPr>
        <w:t xml:space="preserve">Reference Implementation</w:t>
      </w:r>
      <w:r>
        <w:rPr>
          <w:rFonts w:ascii="DejaVu Sans" w:cs="DejaVu Sans" w:eastAsia="DejaVu Sans" w:hAnsi="DejaVu Sans"/>
          <w:color w:val="6B7480"/>
          <w:sz w:val="16"/>
          <w:szCs w:val="16"/>
        </w:rPr>
        <w:t xml:space="preserve">  4, 66, 68</w:t>
      </w:r>
    </w:p>
    <w:p>
      <w:pPr>
        <w:pBdr>
          <w:bottom w:val="single" w:color="C9CFD9" w:sz="3" w:space="4"/>
        </w:pBdr>
        <w:spacing w:after="100" w:before="240"/>
      </w:pPr>
      <w:r>
        <w:rPr>
          <w:rFonts w:ascii="DejaVu Serif" w:cs="DejaVu Serif" w:eastAsia="DejaVu Serif" w:hAnsi="DejaVu Serif"/>
          <w:b/>
          <w:bCs/>
          <w:color w:val="1B6EF3"/>
          <w:sz w:val="22"/>
          <w:szCs w:val="22"/>
        </w:rPr>
        <w:t xml:space="preserve">S</w:t>
      </w:r>
    </w:p>
    <w:p>
      <w:pPr>
        <w:spacing w:after="30" w:before="0" w:line="250"/>
        <w:ind w:left="240" w:hanging="240"/>
      </w:pPr>
      <w:r>
        <w:rPr>
          <w:sz w:val="17"/>
          <w:szCs w:val="17"/>
        </w:rPr>
        <w:t xml:space="preserve">Smart campus</w:t>
      </w:r>
      <w:r>
        <w:rPr>
          <w:rFonts w:ascii="DejaVu Sans" w:cs="DejaVu Sans" w:eastAsia="DejaVu Sans" w:hAnsi="DejaVu Sans"/>
          <w:color w:val="6B7480"/>
          <w:sz w:val="16"/>
          <w:szCs w:val="16"/>
        </w:rPr>
        <w:t xml:space="preserve">  1, 34, 36, 68</w:t>
      </w:r>
    </w:p>
    <w:p>
      <w:pPr>
        <w:spacing w:after="30" w:before="0" w:line="250"/>
        <w:ind w:left="240" w:hanging="240"/>
      </w:pPr>
      <w:r>
        <w:rPr>
          <w:sz w:val="17"/>
          <w:szCs w:val="17"/>
        </w:rPr>
        <w:t xml:space="preserve">StromeX Cloud</w:t>
      </w:r>
      <w:r>
        <w:rPr>
          <w:rFonts w:ascii="DejaVu Sans" w:cs="DejaVu Sans" w:eastAsia="DejaVu Sans" w:hAnsi="DejaVu Sans"/>
          <w:color w:val="6B7480"/>
          <w:sz w:val="16"/>
          <w:szCs w:val="16"/>
        </w:rPr>
        <w:t xml:space="preserve">  20, 68</w:t>
      </w:r>
    </w:p>
    <w:p>
      <w:pPr>
        <w:spacing w:after="30" w:before="0" w:line="250"/>
        <w:ind w:left="240" w:hanging="240"/>
      </w:pPr>
      <w:r>
        <w:rPr>
          <w:sz w:val="17"/>
          <w:szCs w:val="17"/>
        </w:rPr>
        <w:t xml:space="preserve">StromeX Pay</w:t>
      </w:r>
      <w:r>
        <w:rPr>
          <w:rFonts w:ascii="DejaVu Sans" w:cs="DejaVu Sans" w:eastAsia="DejaVu Sans" w:hAnsi="DejaVu Sans"/>
          <w:color w:val="6B7480"/>
          <w:sz w:val="16"/>
          <w:szCs w:val="16"/>
        </w:rPr>
        <w:t xml:space="preserve">  26, 68</w:t>
      </w:r>
    </w:p>
    <w:p>
      <w:pPr>
        <w:spacing w:after="30" w:before="0" w:line="250"/>
        <w:ind w:left="240" w:hanging="240"/>
      </w:pPr>
      <w:r>
        <w:rPr>
          <w:sz w:val="17"/>
          <w:szCs w:val="17"/>
        </w:rPr>
        <w:t xml:space="preserve">System of record</w:t>
      </w:r>
      <w:r>
        <w:rPr>
          <w:rFonts w:ascii="DejaVu Sans" w:cs="DejaVu Sans" w:eastAsia="DejaVu Sans" w:hAnsi="DejaVu Sans"/>
          <w:color w:val="6B7480"/>
          <w:sz w:val="16"/>
          <w:szCs w:val="16"/>
        </w:rPr>
        <w:t xml:space="preserve">  10, 68</w:t>
      </w:r>
    </w:p>
    <w:p>
      <w:pPr>
        <w:pBdr>
          <w:bottom w:val="single" w:color="C9CFD9" w:sz="3" w:space="4"/>
        </w:pBdr>
        <w:spacing w:after="100" w:before="240"/>
      </w:pPr>
      <w:r>
        <w:rPr>
          <w:rFonts w:ascii="DejaVu Serif" w:cs="DejaVu Serif" w:eastAsia="DejaVu Serif" w:hAnsi="DejaVu Serif"/>
          <w:b/>
          <w:bCs/>
          <w:color w:val="1B6EF3"/>
          <w:sz w:val="22"/>
          <w:szCs w:val="22"/>
        </w:rPr>
        <w:t xml:space="preserve">V</w:t>
      </w:r>
    </w:p>
    <w:p>
      <w:pPr>
        <w:spacing w:after="30" w:before="0" w:line="250"/>
        <w:ind w:left="240" w:hanging="240"/>
      </w:pPr>
      <w:r>
        <w:rPr>
          <w:sz w:val="17"/>
          <w:szCs w:val="17"/>
        </w:rPr>
        <w:t xml:space="preserve">Verification</w:t>
      </w:r>
      <w:r>
        <w:rPr>
          <w:rFonts w:ascii="DejaVu Sans" w:cs="DejaVu Sans" w:eastAsia="DejaVu Sans" w:hAnsi="DejaVu Sans"/>
          <w:color w:val="6B7480"/>
          <w:sz w:val="16"/>
          <w:szCs w:val="16"/>
        </w:rPr>
        <w:t xml:space="preserve">  4, 16, 17, 19, 28, 58, 60, 64, 66, 68</w:t>
      </w:r>
    </w:p>
    <w:p>
      <w:pPr>
        <w:spacing w:after="30" w:before="0" w:line="250"/>
        <w:ind w:left="240" w:hanging="240"/>
      </w:pPr>
      <w:r>
        <w:rPr>
          <w:sz w:val="17"/>
          <w:szCs w:val="17"/>
        </w:rPr>
        <w:t xml:space="preserve">Verification token</w:t>
      </w:r>
      <w:r>
        <w:rPr>
          <w:rFonts w:ascii="DejaVu Sans" w:cs="DejaVu Sans" w:eastAsia="DejaVu Sans" w:hAnsi="DejaVu Sans"/>
          <w:color w:val="6B7480"/>
          <w:sz w:val="16"/>
          <w:szCs w:val="16"/>
        </w:rPr>
        <w:t xml:space="preserve">  19, 68</w:t>
      </w:r>
    </w:p>
    <w:p>
      <w:pPr>
        <w:pageBreakBefore/>
        <w:spacing w:after="260" w:before="2400"/>
      </w:pPr>
      <w:r>
        <w:rPr>
          <w:rFonts w:ascii="DejaVu Serif" w:cs="DejaVu Serif" w:eastAsia="DejaVu Serif" w:hAnsi="DejaVu Serif"/>
          <w:b/>
          <w:bCs/>
          <w:color w:val="0B3C91"/>
          <w:sz w:val="34"/>
          <w:szCs w:val="34"/>
        </w:rPr>
        <w:t xml:space="preserve">Colophon</w:t>
      </w:r>
    </w:p>
    <w:p>
      <w:pPr>
        <w:pStyle w:val="FrontProse"/>
      </w:pPr>
      <w:r>
        <w:t xml:space="preserve">This edition is composed for A4 at 210 × 297 mm. Display matter is set in a serif book face and running text in a companion serif, with a sans for tables, captions and navigation and a monospaced face for code and architecture figures — the four typographic roles defined in Volume I, Chapter 10. The StromeX brand faces, </w:t>
      </w:r>
      <w:r>
        <w:rPr>
          <w:b/>
          <w:bCs/>
        </w:rPr>
        <w:t xml:space="preserve">Archivo</w:t>
      </w:r>
      <w:r>
        <w:t xml:space="preserve"> and </w:t>
      </w:r>
      <w:r>
        <w:rPr>
          <w:b/>
          <w:bCs/>
        </w:rPr>
        <w:t xml:space="preserve">Fraunces</w:t>
      </w:r>
      <w:r>
        <w:t xml:space="preserve">, ship with this edition in </w:t>
      </w:r>
      <w:r>
        <w:rPr>
          <w:rFonts w:ascii="DejaVu Sans Mono" w:cs="DejaVu Sans Mono" w:eastAsia="DejaVu Sans Mono" w:hAnsi="DejaVu Sans Mono"/>
          <w:color w:val="0B3C91"/>
          <w:sz w:val="17"/>
          <w:szCs w:val="17"/>
        </w:rPr>
        <w:t xml:space="preserve">docs/bible/publication/fonts/</w:t>
      </w:r>
      <w:r>
        <w:t xml:space="preserve">; the build selects them automatically wherever they are installed in the rendering environment, so the corpus can be reissued in full brand typography without editing a line of it.</w:t>
      </w:r>
    </w:p>
    <w:p>
      <w:pPr>
        <w:pStyle w:val="FrontProse"/>
      </w:pPr>
      <w:r>
        <w:t xml:space="preserve">The rules, tables and figures follow the design laws in Volume I, Chapter 12: typography carries the interface, space is a component, colour carries meaning, and structural devices encode something true about the content rather than decorating it. Tables use horizontal rules only; the vertical grid is carried by alignment, as it is in every well-set financial document.</w:t>
      </w:r>
    </w:p>
    <w:p>
      <w:pPr>
        <w:pStyle w:val="FrontProse"/>
      </w:pPr>
      <w:r>
        <w:t xml:space="preserve">This DOCX is the authoritative master. The press-quality PDF edition is generated from it and is content-identical. Both are produced from the markdown corpus of record under version control at </w:t>
      </w:r>
      <w:r>
        <w:rPr>
          <w:rFonts w:ascii="DejaVu Sans Mono" w:cs="DejaVu Sans Mono" w:eastAsia="DejaVu Sans Mono" w:hAnsi="DejaVu Sans Mono"/>
          <w:color w:val="0B3C91"/>
          <w:sz w:val="17"/>
          <w:szCs w:val="17"/>
        </w:rPr>
        <w:t xml:space="preserve">docs/bible/</w:t>
      </w:r>
      <w:r>
        <w:t xml:space="preserve">, by the build recorded at </w:t>
      </w:r>
      <w:r>
        <w:rPr>
          <w:rFonts w:ascii="DejaVu Sans Mono" w:cs="DejaVu Sans Mono" w:eastAsia="DejaVu Sans Mono" w:hAnsi="DejaVu Sans Mono"/>
          <w:color w:val="0B3C91"/>
          <w:sz w:val="17"/>
          <w:szCs w:val="17"/>
        </w:rPr>
        <w:t xml:space="preserve">docs/bible/publication/</w:t>
      </w:r>
      <w:r>
        <w:t xml:space="preserve">, so that the publication can be regenerated exactly whenever the corpus is amended.</w:t>
      </w:r>
    </w:p>
    <w:p>
      <w:pPr>
        <w:pBdr>
          <w:bottom w:val="single" w:color="C9CFD9" w:sz="4" w:space="1"/>
        </w:pBdr>
        <w:spacing w:after="240" w:before="400"/>
      </w:pPr>
      <w:r>
        <w:rPr>
          <w:rFonts w:ascii="Liberation Serif" w:cs="Liberation Serif" w:eastAsia="Liberation Serif" w:hAnsi="Liberation Serif"/>
        </w:rPr>
        <w:t xml:space="preserve"/>
      </w:r>
    </w:p>
    <w:p>
      <w:r>
        <w:rPr>
          <w:rFonts w:ascii="Liberation Serif" w:cs="Liberation Serif" w:eastAsia="Liberation Serif" w:hAnsi="Liberation Serif"/>
          <w:b/>
          <w:bCs/>
          <w:color w:val="6B7480"/>
          <w:spacing w:val="100"/>
          <w:sz w:val="13"/>
          <w:szCs w:val="13"/>
        </w:rPr>
        <w:t xml:space="preserve">THE STROMEX EDITORIAL BIBLE  ·  Edition II  ·  VERSION 2.0</w:t>
      </w:r>
    </w:p>
    <w:p>
      <w:pPr>
        <w:spacing w:before="40"/>
      </w:pPr>
      <w:r>
        <w:rPr>
          <w:rFonts w:ascii="Liberation Serif" w:cs="Liberation Serif" w:eastAsia="Liberation Serif" w:hAnsi="Liberation Serif"/>
          <w:color w:val="6B7480"/>
          <w:sz w:val="13"/>
          <w:szCs w:val="13"/>
        </w:rPr>
        <w:t xml:space="preserve">© 2026–2027 StromeX Group Holdings. Confidential.</w:t>
      </w:r>
    </w:p>
    <w:sectPr>
      <w:headerReference w:type="default" r:id="rId8"/>
      <w:footerReference w:type="default" r:id="rId9"/>
      <w:pgSz w:w="11906" w:h="16838" w:orient="portrait"/>
      <w:pgMar w:top="1300" w:right="1400" w:bottom="1240" w:left="1580" w:header="720" w:footer="68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DejaVu Sans" w:cs="DejaVu Sans" w:eastAsia="DejaVu Sans" w:hAnsi="DejaVu Sans"/>
        <w:color w:val="6B7480"/>
        <w:sz w:val="15"/>
        <w:szCs w:val="15"/>
      </w:rPr>
      <w:t xml:space="preserve">· </w:t>
    </w:r>
    <w:r>
      <w:rPr>
        <w:rFonts w:ascii="DejaVu Sans" w:cs="DejaVu Sans" w:eastAsia="DejaVu Sans" w:hAnsi="DejaVu Sans"/>
        <w:color w:val="6B7480"/>
        <w:sz w:val="15"/>
        <w:szCs w:val="15"/>
      </w:rPr>
      <w:fldChar w:fldCharType="begin"/>
      <w:instrText xml:space="preserve">PAGE</w:instrText>
      <w:fldChar w:fldCharType="separate"/>
      <w:fldChar w:fldCharType="end"/>
    </w:r>
    <w:r>
      <w:rPr>
        <w:rFonts w:ascii="DejaVu Sans" w:cs="DejaVu Sans" w:eastAsia="DejaVu Sans" w:hAnsi="DejaVu Sans"/>
        <w:color w:val="6B7480"/>
        <w:sz w:val="15"/>
        <w:szCs w:val="15"/>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DejaVu Sans" w:cs="DejaVu Sans" w:eastAsia="DejaVu Sans" w:hAnsi="DejaVu Sans"/>
        <w:color w:val="6B7480"/>
        <w:sz w:val="15"/>
        <w:szCs w:val="15"/>
      </w:rPr>
      <w:t xml:space="preserve">· </w:t>
    </w:r>
    <w:r>
      <w:rPr>
        <w:rFonts w:ascii="DejaVu Sans" w:cs="DejaVu Sans" w:eastAsia="DejaVu Sans" w:hAnsi="DejaVu Sans"/>
        <w:color w:val="6B7480"/>
        <w:sz w:val="15"/>
        <w:szCs w:val="15"/>
      </w:rPr>
      <w:fldChar w:fldCharType="begin"/>
      <w:instrText xml:space="preserve">PAGE</w:instrText>
      <w:fldChar w:fldCharType="separate"/>
      <w:fldChar w:fldCharType="end"/>
    </w:r>
    <w:r>
      <w:rPr>
        <w:rFonts w:ascii="DejaVu Sans" w:cs="DejaVu Sans" w:eastAsia="DejaVu Sans" w:hAnsi="DejaVu Sans"/>
        <w:color w:val="6B7480"/>
        <w:sz w:val="15"/>
        <w:szCs w:val="15"/>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9" w:sz="3" w:space="6"/>
      </w:pBdr>
      <w:tabs>
        <w:tab w:val="right" w:pos="8926"/>
      </w:tabs>
      <w:spacing w:after="0"/>
    </w:pPr>
    <w:r>
      <w:rPr>
        <w:rFonts w:ascii="DejaVu Sans" w:cs="DejaVu Sans" w:eastAsia="DejaVu Sans" w:hAnsi="DejaVu Sans"/>
        <w:b/>
        <w:bCs/>
        <w:color w:val="6B7480"/>
        <w:spacing w:val="90"/>
        <w:sz w:val="13"/>
        <w:szCs w:val="13"/>
      </w:rPr>
      <w:t xml:space="preserve">THE STROMEX EDITORIAL BIBLE</w:t>
    </w:r>
    <w:r>
      <w:rPr>
        <w:rFonts w:ascii="Liberation Serif" w:cs="Liberation Serif" w:eastAsia="Liberation Serif" w:hAnsi="Liberation Serif"/>
        <w:sz w:val="12"/>
        <w:szCs w:val="12"/>
      </w:rPr>
      <w:t xml:space="preserve">	</w:t>
    </w:r>
    <w:fldSimple w:instr="STYLEREF &quot;Heading 1&quot; \* MERGEFORMAT">
      <w:r>
        <w:t xml:space="preserve">Volume</w:t>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Liberation Serif" w:cs="Liberation Serif" w:eastAsia="Liberation Serif" w:hAnsi="Liberation Serif"/>
        <w:color w:val="1B6EF3"/>
      </w:rPr>
    </w:lvl>
    <w:lvl w:ilvl="1" w15:tentative="1">
      <w:start w:val="1"/>
      <w:numFmt w:val="bullet"/>
      <w:lvlText w:val="·"/>
      <w:lvlJc w:val="left"/>
      <w:pPr>
        <w:ind w:left="640" w:hanging="220"/>
      </w:pPr>
      <w:rPr>
        <w:rFonts w:ascii="Liberation Serif" w:cs="Liberation Serif" w:eastAsia="Liberation Serif" w:hAnsi="Liberation Serif"/>
        <w:color w:val="1B6EF3"/>
      </w:rPr>
    </w:lvl>
    <w:lvl w:ilvl="2" w15:tentative="1">
      <w:start w:val="1"/>
      <w:numFmt w:val="bullet"/>
      <w:lvlText w:val="–"/>
      <w:lvlJc w:val="left"/>
      <w:pPr>
        <w:ind w:left="940" w:hanging="220"/>
      </w:pPr>
      <w:rPr>
        <w:rFonts w:ascii="Liberation Serif" w:cs="Liberation Serif" w:eastAsia="Liberation Serif" w:hAnsi="Liberation Serif"/>
        <w:color w:val="1B6EF3"/>
      </w:rPr>
    </w:lvl>
  </w:abstractNum>
  <w:abstractNum w:abstractNumId="3" w15:restartNumberingAfterBreak="0">
    <w:multiLevelType w:val="hybridMultilevel"/>
    <w:lvl w:ilvl="0" w15:tentative="1">
      <w:start w:val="1"/>
      <w:numFmt w:val="decimal"/>
      <w:lvlText w:val="%1."/>
      <w:lvlJc w:val="left"/>
      <w:pPr>
        <w:ind w:left="380" w:hanging="260"/>
      </w:pPr>
      <w:rPr>
        <w:rFonts w:ascii="Liberation Serif" w:cs="Liberation Serif" w:eastAsia="Liberation Serif" w:hAnsi="Liberation Serif"/>
        <w:b/>
        <w:bCs/>
        <w:color w:val="0B3C91"/>
      </w:rPr>
    </w:lvl>
    <w:lvl w:ilvl="1" w15:tentative="1">
      <w:start w:val="1"/>
      <w:numFmt w:val="lowerLetter"/>
      <w:lvlText w:val="%2."/>
      <w:lvlJc w:val="left"/>
      <w:pPr>
        <w:ind w:left="680" w:hanging="260"/>
      </w:pPr>
      <w:rPr>
        <w:rFonts w:ascii="Liberation Serif" w:cs="Liberation Serif" w:eastAsia="Liberation Serif" w:hAnsi="Liberation Serif"/>
        <w:b/>
        <w:bCs/>
        <w:color w:val="0B3C91"/>
      </w:rPr>
    </w:lvl>
    <w:lvl w:ilvl="2" w15:tentative="1">
      <w:start w:val="1"/>
      <w:numFmt w:val="lowerRoman"/>
      <w:lvlText w:val="%3."/>
      <w:lvlJc w:val="left"/>
      <w:pPr>
        <w:ind w:left="980" w:hanging="260"/>
      </w:pPr>
      <w:rPr>
        <w:rFonts w:ascii="Liberation Serif" w:cs="Liberation Serif" w:eastAsia="Liberation Serif" w:hAnsi="Liberation Serif"/>
        <w:b/>
        <w:bCs/>
        <w:color w:val="0B3C9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color w:val="0D1117"/>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DejaVu Serif" w:cs="DejaVu Serif" w:eastAsia="DejaVu Serif" w:hAnsi="DejaVu Serif"/>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line="288"/>
    </w:pPr>
    <w:rPr>
      <w:rFonts w:ascii="Liberation Serif" w:cs="Liberation Serif" w:eastAsia="Liberation Serif" w:hAnsi="Liberation Serif"/>
      <w:color w:val="0D1117"/>
      <w:sz w:val="21"/>
      <w:szCs w:val="21"/>
    </w:rPr>
  </w:style>
  <w:style w:type="paragraph" w:styleId="BodyText">
    <w:name w:val="Body Text"/>
    <w:basedOn w:val="Normal"/>
    <w:next w:val="BodyText"/>
    <w:pPr>
      <w:spacing w:after="170" w:before="0" w:line="290"/>
      <w:jc w:val="both"/>
    </w:pPr>
    <w:rPr>
      <w:rFonts w:ascii="Liberation Serif" w:cs="Liberation Serif" w:eastAsia="Liberation Serif" w:hAnsi="Liberation Serif"/>
      <w:color w:val="0D1117"/>
      <w:sz w:val="21"/>
      <w:szCs w:val="21"/>
    </w:rPr>
  </w:style>
  <w:style w:type="paragraph" w:styleId="Heading1">
    <w:name w:val="Heading 1"/>
    <w:basedOn w:val="Normal"/>
    <w:next w:val="BodyText"/>
    <w:qFormat/>
    <w:pPr>
      <w:keepNext/>
      <w:spacing w:after="200" w:before="0" w:line="240"/>
      <w:outlineLvl w:val="0"/>
    </w:pPr>
    <w:rPr>
      <w:rFonts w:ascii="DejaVu Serif" w:cs="DejaVu Serif" w:eastAsia="DejaVu Serif" w:hAnsi="DejaVu Serif"/>
      <w:b/>
      <w:bCs/>
      <w:color w:val="FFFFFF"/>
      <w:sz w:val="60"/>
      <w:szCs w:val="60"/>
    </w:rPr>
  </w:style>
  <w:style w:type="paragraph" w:styleId="Heading2">
    <w:name w:val="Heading 2"/>
    <w:basedOn w:val="Normal"/>
    <w:next w:val="BodyText"/>
    <w:qFormat/>
    <w:pPr>
      <w:keepNext/>
      <w:spacing w:after="260" w:before="0" w:line="250"/>
      <w:outlineLvl w:val="1"/>
    </w:pPr>
    <w:rPr>
      <w:rFonts w:ascii="DejaVu Serif" w:cs="DejaVu Serif" w:eastAsia="DejaVu Serif" w:hAnsi="DejaVu Serif"/>
      <w:b/>
      <w:bCs/>
      <w:color w:val="0B3C91"/>
      <w:sz w:val="34"/>
      <w:szCs w:val="34"/>
    </w:rPr>
  </w:style>
  <w:style w:type="paragraph" w:styleId="Heading3">
    <w:name w:val="Heading 3"/>
    <w:basedOn w:val="Normal"/>
    <w:next w:val="BodyText"/>
    <w:qFormat/>
    <w:pPr>
      <w:keepNext/>
      <w:spacing w:after="150" w:before="360" w:line="260"/>
      <w:outlineLvl w:val="2"/>
    </w:pPr>
    <w:rPr>
      <w:rFonts w:ascii="DejaVu Serif" w:cs="DejaVu Serif" w:eastAsia="DejaVu Serif" w:hAnsi="DejaVu Serif"/>
      <w:b/>
      <w:bCs/>
      <w:color w:val="0B3C91"/>
      <w:sz w:val="25"/>
      <w:szCs w:val="25"/>
    </w:rPr>
  </w:style>
  <w:style w:type="paragraph" w:styleId="Heading4">
    <w:name w:val="Heading 4"/>
    <w:basedOn w:val="Normal"/>
    <w:next w:val="BodyText"/>
    <w:qFormat/>
    <w:pPr>
      <w:keepNext/>
      <w:spacing w:after="110" w:before="300" w:line="260"/>
      <w:outlineLvl w:val="3"/>
    </w:pPr>
    <w:rPr>
      <w:rFonts w:ascii="DejaVu Sans" w:cs="DejaVu Sans" w:eastAsia="DejaVu Sans" w:hAnsi="DejaVu Sans"/>
      <w:b/>
      <w:bCs/>
      <w:color w:val="0D1117"/>
      <w:sz w:val="20"/>
      <w:szCs w:val="20"/>
    </w:rPr>
  </w:style>
  <w:style w:type="paragraph" w:styleId="Heading5">
    <w:name w:val="Heading 5"/>
    <w:basedOn w:val="Normal"/>
    <w:next w:val="BodyText"/>
    <w:qFormat/>
    <w:pPr>
      <w:keepNext/>
      <w:spacing w:after="90" w:before="240" w:line="260"/>
      <w:outlineLvl w:val="4"/>
    </w:pPr>
    <w:rPr>
      <w:rFonts w:ascii="DejaVu Sans" w:cs="DejaVu Sans" w:eastAsia="DejaVu Sans" w:hAnsi="DejaVu Sans"/>
      <w:b/>
      <w:bCs/>
      <w:color w:val="38414D"/>
      <w:sz w:val="18"/>
      <w:szCs w:val="18"/>
    </w:rPr>
  </w:style>
  <w:style w:type="paragraph" w:styleId="Caption">
    <w:name w:val="Caption"/>
    <w:basedOn w:val="Normal"/>
    <w:next w:val="BodyText"/>
    <w:pPr>
      <w:spacing w:after="260" w:before="90"/>
      <w:jc w:val="left"/>
    </w:pPr>
    <w:rPr>
      <w:rFonts w:ascii="DejaVu Sans" w:cs="DejaVu Sans" w:eastAsia="DejaVu Sans" w:hAnsi="DejaVu Sans"/>
      <w:i w:val="false"/>
      <w:iCs w:val="false"/>
      <w:color w:val="6B7480"/>
      <w:sz w:val="16"/>
      <w:szCs w:val="16"/>
    </w:rPr>
  </w:style>
  <w:style w:type="paragraph" w:styleId="PullQuote">
    <w:name w:val="Pull Quote"/>
    <w:basedOn w:val="Normal"/>
    <w:next w:val="BodyText"/>
    <w:pPr>
      <w:pBdr>
        <w:left w:val="single" w:color="1B6EF3" w:sz="16" w:space="14"/>
      </w:pBdr>
      <w:spacing w:after="240" w:before="220" w:line="300"/>
      <w:ind w:left="340" w:right="200"/>
    </w:pPr>
    <w:rPr>
      <w:rFonts w:ascii="DejaVu Serif" w:cs="DejaVu Serif" w:eastAsia="DejaVu Serif" w:hAnsi="DejaVu Serif"/>
      <w:color w:val="0B3C91"/>
      <w:sz w:val="22"/>
      <w:szCs w:val="22"/>
    </w:rPr>
  </w:style>
  <w:style w:type="paragraph" w:styleId="EditorialNote">
    <w:name w:val="Editorial Note"/>
    <w:basedOn w:val="Normal"/>
    <w:next w:val="BodyText"/>
    <w:pPr>
      <w:spacing w:after="200" w:before="60" w:line="280"/>
    </w:pPr>
    <w:rPr>
      <w:rFonts w:ascii="Liberation Serif" w:cs="Liberation Serif" w:eastAsia="Liberation Serif" w:hAnsi="Liberation Serif"/>
      <w:i/>
      <w:iCs/>
      <w:color w:val="6B7480"/>
      <w:sz w:val="18"/>
      <w:szCs w:val="18"/>
    </w:rPr>
  </w:style>
  <w:style w:type="paragraph" w:styleId="CodeBlock">
    <w:name w:val="Code Block"/>
    <w:basedOn w:val="Normal"/>
    <w:next w:val="BodyText"/>
    <w:pPr>
      <w:spacing w:after="0" w:before="0" w:line="230"/>
      <w:ind w:left="260"/>
      <w:jc w:val="left"/>
    </w:pPr>
    <w:rPr>
      <w:rFonts w:ascii="DejaVu Sans Mono" w:cs="DejaVu Sans Mono" w:eastAsia="DejaVu Sans Mono" w:hAnsi="DejaVu Sans Mono"/>
      <w:color w:val="38414D"/>
      <w:sz w:val="15"/>
      <w:szCs w:val="15"/>
    </w:rPr>
  </w:style>
  <w:style w:type="paragraph" w:styleId="ExecSummary">
    <w:name w:val="Executive Summary"/>
    <w:basedOn w:val="Normal"/>
    <w:next w:val="BodyText"/>
    <w:pPr>
      <w:spacing w:after="200" w:before="0" w:line="300"/>
      <w:jc w:val="both"/>
    </w:pPr>
    <w:rPr>
      <w:rFonts w:ascii="Liberation Serif" w:cs="Liberation Serif" w:eastAsia="Liberation Serif" w:hAnsi="Liberation Serif"/>
      <w:color w:val="38414D"/>
      <w:sz w:val="20"/>
      <w:szCs w:val="20"/>
    </w:rPr>
  </w:style>
  <w:style w:type="paragraph" w:styleId="FrontProse">
    <w:name w:val="Front Prose"/>
    <w:basedOn w:val="Normal"/>
    <w:next w:val="FrontProse"/>
    <w:pPr>
      <w:spacing w:after="200" w:before="0" w:line="310"/>
      <w:jc w:val="both"/>
    </w:pPr>
    <w:rPr>
      <w:rFonts w:ascii="Liberation Serif" w:cs="Liberation Serif" w:eastAsia="Liberation Serif" w:hAnsi="Liberation Serif"/>
      <w:color w:val="0D1117"/>
      <w:sz w:val="20"/>
      <w:szCs w:val="20"/>
    </w:rPr>
  </w:style>
  <w:style w:type="character" w:styleId="Hyperlink">
    <w:name w:val="Hyperlink"/>
    <w:basedOn w:val="DefaultParagraphFont"/>
    <w:uiPriority w:val="99"/>
    <w:unhideWhenUsed/>
    <w:rPr>
      <w:color w:val="0B3C9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5dftibcbibgrqfzaxxttz" Type="http://schemas.openxmlformats.org/officeDocument/2006/relationships/hyperlink" Target="https://emis.education.gov.ng/portal/" TargetMode="External"/><Relationship Id="rIdblr3si-zhbcp13lczcdxd" Type="http://schemas.openxmlformats.org/officeDocument/2006/relationships/hyperlink" Target="https://www.growthspreeofficial.com/blogs/b2b-saas-nrr-grr-net-gross-revenue-retention-benchmarks-2026-by-acv-stage-vertical" TargetMode="External"/><Relationship Id="rIdcoljpgtcppxqdb3v7frjd" Type="http://schemas.openxmlformats.org/officeDocument/2006/relationships/hyperlink" Target="https://www.digitalapplied.com/blog/net-revenue-retention-benchmarks-2026-saas-expansion-data" TargetMode="External"/><Relationship Id="rIdysj74rexq0gkj9h9umqgi" Type="http://schemas.openxmlformats.org/officeDocument/2006/relationships/hyperlink" Target="https://valueaddvc.com/saas-valuations" TargetMode="External"/><Relationship Id="rIditru5zml2mo53hxywpxdy" Type="http://schemas.openxmlformats.org/officeDocument/2006/relationships/hyperlink" Target="https://aventis-advisors.com/saas-valuation-multiples/" TargetMode="External"/><Relationship Id="rIdeyw0p2bqnnbcdau29obn8" Type="http://schemas.openxmlformats.org/officeDocument/2006/relationships/hyperlink" Target="https://www.l40.com/insights/saas-multiples" TargetMode="External"/><Relationship Id="rIdavipgtdk1at1cswgwq55-" Type="http://schemas.openxmlformats.org/officeDocument/2006/relationships/hyperlink" Target="https://eqvista.com/saas-index-revenue-multiples-valuations-market-trends/" TargetMode="External"/><Relationship Id="rIdhhz-ku2tnychrcjz8z7xx" Type="http://schemas.openxmlformats.org/officeDocument/2006/relationships/hyperlink" Target="https://prioridata.com/data/messaging-app-stats/" TargetMode="External"/><Relationship Id="rIdv0goaazzq_m1dfb-ozl0s" Type="http://schemas.openxmlformats.org/officeDocument/2006/relationships/hyperlink" Target="https://www.theregister.com/on-prem/2026/02/09/matrix-messaging-gaining-ground-in-government-it/4663932" TargetMode="External"/><Relationship Id="rIds1sa4nrjcdtoco95od_cw" Type="http://schemas.openxmlformats.org/officeDocument/2006/relationships/hyperlink" Target="https://element.io/blog/sweden-goes-live-with-matrix-based-federation/" TargetMode="External"/><Relationship Id="rIdwzfwfvu0equ6qycsq5zhd" Type="http://schemas.openxmlformats.org/officeDocument/2006/relationships/hyperlink" Target="https://www.opensourceforu.com/2026/02/eu-backs-open-source-matrix-for-secure-internal-communications/"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III — The Catalogue · The StromeX Editorial Bible</dc:title>
  <dc:subject>StromeX Executive Knowledge System</dc:subject>
  <dc:creator>StromeX Group Holdings</dc:creator>
  <dc:description>Products · Services · Modules · Transparent Pricing</dc:description>
  <cp:lastModifiedBy>StromeX Group Holdings</cp:lastModifiedBy>
  <cp:revision>1</cp:revision>
  <dcterms:created xsi:type="dcterms:W3CDTF">2026-08-13T08:39:34.218Z</dcterms:created>
  <dcterms:modified xsi:type="dcterms:W3CDTF">2026-08-13T08:39:34.218Z</dcterms:modified>
</cp:coreProperties>
</file>

<file path=docProps/custom.xml><?xml version="1.0" encoding="utf-8"?>
<Properties xmlns="http://schemas.openxmlformats.org/officeDocument/2006/custom-properties" xmlns:vt="http://schemas.openxmlformats.org/officeDocument/2006/docPropsVTypes"/>
</file>