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05070A" w:color="auto" w:val="clear"/>
            <w:tcMar>
              <w:top w:type="dxa" w:w="1900"/>
              <w:left w:type="dxa" w:w="1580"/>
              <w:bottom w:type="dxa" w:w="1500"/>
              <w:right w:type="dxa" w:w="1400"/>
            </w:tcMar>
            <w:vAlign w:val="center"/>
          </w:tcPr>
          <w:p>
            <w:pPr>
              <w:spacing w:after="0"/>
            </w:pPr>
            <w:r>
              <w:rPr>
                <w:rFonts w:ascii="DejaVu Sans" w:cs="DejaVu Sans" w:eastAsia="DejaVu Sans" w:hAnsi="DejaVu Sans"/>
                <w:b/>
                <w:bCs/>
                <w:color w:val="FFFFFF"/>
                <w:spacing w:val="240"/>
                <w:sz w:val="26"/>
                <w:szCs w:val="26"/>
              </w:rPr>
              <w:t xml:space="preserve">STROMEX</w:t>
            </w:r>
          </w:p>
          <w:p>
            <w:pPr>
              <w:spacing w:after="240" w:before="120"/>
            </w:pPr>
            <w:r>
              <w:rPr>
                <w:rFonts w:ascii="DejaVu Sans" w:cs="DejaVu Sans" w:eastAsia="DejaVu Sans" w:hAnsi="DejaVu Sans"/>
                <w:b/>
                <w:bCs/>
                <w:color w:val="1B6EF3"/>
                <w:spacing w:val="200"/>
                <w:sz w:val="14"/>
                <w:szCs w:val="14"/>
              </w:rPr>
              <w:t xml:space="preserve">EXECUTIVE KNOWLEDGE SYSTEM</w:t>
            </w:r>
          </w:p>
          <w:p>
            <w:pPr>
              <w:spacing w:after="60"/>
            </w:pPr>
            <w:r>
              <w:rPr>
                <w:rFonts w:ascii="DejaVu Sans" w:cs="DejaVu Sans" w:eastAsia="DejaVu Sans" w:hAnsi="DejaVu Sans"/>
                <w:b/>
                <w:bCs/>
                <w:color w:val="7C8794"/>
                <w:spacing w:val="220"/>
                <w:sz w:val="15"/>
                <w:szCs w:val="15"/>
              </w:rPr>
              <w:t xml:space="preserve">BOOK V</w:t>
            </w:r>
          </w:p>
          <w:p>
            <w:pPr>
              <w:spacing w:after="700" w:line="1350"/>
            </w:pPr>
            <w:r>
              <w:rPr>
                <w:rFonts w:ascii="DejaVu Serif" w:cs="DejaVu Serif" w:eastAsia="DejaVu Serif" w:hAnsi="DejaVu Serif"/>
                <w:b/>
                <w:bCs/>
                <w:color w:val="FFFFFF"/>
                <w:sz w:val="150"/>
                <w:szCs w:val="150"/>
              </w:rPr>
              <w:t xml:space="preserve">V</w:t>
            </w:r>
          </w:p>
          <w:p>
            <w:pPr>
              <w:spacing w:after="200" w:line="657"/>
            </w:pPr>
            <w:r>
              <w:rPr>
                <w:rFonts w:ascii="DejaVu Serif" w:cs="DejaVu Serif" w:eastAsia="DejaVu Serif" w:hAnsi="DejaVu Serif"/>
                <w:b/>
                <w:bCs/>
                <w:color w:val="1B6EF3"/>
                <w:sz w:val="62"/>
                <w:szCs w:val="62"/>
              </w:rPr>
              <w:t xml:space="preserve">Go-to-Market</w:t>
            </w:r>
          </w:p>
          <w:p>
            <w:pPr>
              <w:pBdr>
                <w:bottom w:val="single" w:color="1B6EF3" w:sz="8" w:space="12"/>
              </w:pBdr>
              <w:spacing w:after="140"/>
            </w:pPr>
            <w:r>
              <w:rPr>
                <w:rFonts w:ascii="Liberation Serif" w:cs="Liberation Serif" w:eastAsia="Liberation Serif" w:hAnsi="Liberation Serif"/>
              </w:rPr>
              <w:t xml:space="preserve"/>
            </w:r>
          </w:p>
          <w:p>
            <w:pPr>
              <w:spacing w:after="90"/>
            </w:pPr>
            <w:r>
              <w:rPr>
                <w:rFonts w:ascii="Liberation Serif" w:cs="Liberation Serif" w:eastAsia="Liberation Serif" w:hAnsi="Liberation Serif"/>
                <w:color w:val="D9DEE5"/>
                <w:sz w:val="23"/>
                <w:szCs w:val="23"/>
              </w:rPr>
              <w:t xml:space="preserve">Sales · Customer Success · Partners · Ecosystem</w:t>
            </w:r>
          </w:p>
          <w:p>
            <w:pPr>
              <w:spacing w:after="1200"/>
            </w:pPr>
            <w:r>
              <w:rPr>
                <w:rFonts w:ascii="Liberation Serif" w:cs="Liberation Serif" w:eastAsia="Liberation Serif" w:hAnsi="Liberation Serif"/>
                <w:color w:val="7C8794"/>
                <w:sz w:val="19"/>
                <w:szCs w:val="19"/>
              </w:rPr>
              <w:t xml:space="preserve">The StromeX Editorial Bible  ·  Edition II</w:t>
            </w:r>
          </w:p>
          <w:p>
            <w:pPr>
              <w:spacing w:after="40"/>
            </w:pPr>
            <w:r>
              <w:rPr>
                <w:rFonts w:ascii="DejaVu Sans" w:cs="DejaVu Sans" w:eastAsia="DejaVu Sans" w:hAnsi="DejaVu Sans"/>
                <w:b/>
                <w:bCs/>
                <w:color w:val="9AA5B1"/>
                <w:spacing w:val="40"/>
                <w:sz w:val="13"/>
                <w:szCs w:val="13"/>
              </w:rPr>
              <w:t xml:space="preserve">AUTHORITY — OPERATIONAL</w:t>
            </w:r>
          </w:p>
          <w:p>
            <w:r>
              <w:rPr>
                <w:rFonts w:ascii="DejaVu Sans" w:cs="DejaVu Sans" w:eastAsia="DejaVu Sans" w:hAnsi="DejaVu Sans"/>
                <w:color w:val="7C8794"/>
                <w:spacing w:val="40"/>
                <w:sz w:val="13"/>
                <w:szCs w:val="13"/>
              </w:rPr>
              <w:t xml:space="preserve">13 AUGUST 2026  ·  VERSION 2.0</w:t>
            </w:r>
          </w:p>
        </w:tc>
      </w:tr>
    </w:tbl>
    <w:p>
      <w:pPr>
        <w:sectPr>
          <w:pgSz w:w="11906" w:h="16838" w:orient="portrait"/>
          <w:pgMar w:top="0" w:right="0" w:bottom="0" w:left="0" w:header="0" w:footer="0" w:gutter="0"/>
          <w:pgNumType/>
          <w:docGrid w:linePitch="360"/>
        </w:sectPr>
      </w:pPr>
    </w:p>
    <w:p>
      <w:pPr>
        <w:spacing w:after="0" w:before="1400"/>
      </w:pPr>
      <w:r>
        <w:rPr>
          <w:rFonts w:ascii="DejaVu Sans" w:cs="DejaVu Sans" w:eastAsia="DejaVu Sans" w:hAnsi="DejaVu Sans"/>
          <w:b/>
          <w:bCs/>
          <w:color w:val="1B6EF3"/>
          <w:spacing w:val="160"/>
          <w:sz w:val="15"/>
          <w:szCs w:val="15"/>
        </w:rPr>
        <w:t xml:space="preserve">STROMEX GROUP  ·  EXECUTIVE KNOWLEDGE SYSTEM</w:t>
      </w:r>
    </w:p>
    <w:p>
      <w:pPr>
        <w:pBdr>
          <w:bottom w:val="single" w:color="C9CFD9" w:sz="4" w:space="1"/>
        </w:pBdr>
        <w:spacing w:after="640" w:before="200"/>
      </w:pPr>
      <w:r>
        <w:rPr>
          <w:rFonts w:ascii="Liberation Serif" w:cs="Liberation Serif" w:eastAsia="Liberation Serif" w:hAnsi="Liberation Serif"/>
        </w:rPr>
        <w:t xml:space="preserve"/>
      </w:r>
    </w:p>
    <w:p>
      <w:pPr>
        <w:spacing w:after="0"/>
      </w:pPr>
      <w:r>
        <w:rPr>
          <w:rFonts w:ascii="DejaVu Sans" w:cs="DejaVu Sans" w:eastAsia="DejaVu Sans" w:hAnsi="DejaVu Sans"/>
          <w:b/>
          <w:bCs/>
          <w:color w:val="6B7480"/>
          <w:spacing w:val="200"/>
          <w:sz w:val="16"/>
          <w:szCs w:val="16"/>
        </w:rPr>
        <w:t xml:space="preserve">BOOK V</w:t>
      </w:r>
    </w:p>
    <w:p>
      <w:pPr>
        <w:spacing w:after="220" w:before="160" w:line="594"/>
      </w:pPr>
      <w:r>
        <w:rPr>
          <w:rFonts w:ascii="DejaVu Serif" w:cs="DejaVu Serif" w:eastAsia="DejaVu Serif" w:hAnsi="DejaVu Serif"/>
          <w:b/>
          <w:bCs/>
          <w:color w:val="0D1117"/>
          <w:sz w:val="56"/>
          <w:szCs w:val="56"/>
        </w:rPr>
        <w:t xml:space="preserve">Go-to-Market</w:t>
      </w:r>
    </w:p>
    <w:p>
      <w:pPr>
        <w:spacing w:after="700"/>
      </w:pPr>
      <w:r>
        <w:rPr>
          <w:rFonts w:ascii="Liberation Serif" w:cs="Liberation Serif" w:eastAsia="Liberation Serif" w:hAnsi="Liberation Serif"/>
          <w:color w:val="38414D"/>
          <w:sz w:val="22"/>
          <w:szCs w:val="22"/>
        </w:rPr>
        <w:t xml:space="preserve">Sales · Customer Success · Partners · Ecosystem</w:t>
      </w:r>
    </w:p>
    <w:p>
      <w:pPr>
        <w:spacing w:after="140"/>
      </w:pPr>
      <w:r>
        <w:rPr>
          <w:rFonts w:ascii="DejaVu Sans" w:cs="DejaVu Sans" w:eastAsia="DejaVu Sans" w:hAnsi="DejaVu Sans"/>
          <w:b/>
          <w:bCs/>
          <w:color w:val="1B6EF3"/>
          <w:spacing w:val="110"/>
          <w:sz w:val="13"/>
          <w:szCs w:val="13"/>
        </w:rPr>
        <w:t xml:space="preserve">EXECUTIVE SUMMARY</w:t>
      </w:r>
    </w:p>
    <w:p>
      <w:pPr>
        <w:pStyle w:val="ExecSummary"/>
      </w:pPr>
      <w:r>
        <w:t xml:space="preserve">Volume V begins from a binding constraint: paid acquisition does not work in the founding market, so growth must come from mechanisms whose cost does not scale with customers acquired. It identifies seven such engines, of which the most defensible is that every credential a StromeX institution issues is a permanent, cost-free advertisement seen by an employer or a university. It sets out the funnel, the sales motions, the sales playbook and its seven discovery questions, the discipline of public procurement, and — at its centre — the eleven-stage Customer Success Playbook with its health scoring and value ledger. It confronts the segment’s unforgiving retention benchmarks directly, sets the partner network economics deliberately above the industry norm, and defines the platform ecosystem and community programmes.</w:t>
      </w:r>
    </w:p>
    <w:p>
      <w:pPr>
        <w:pBdr>
          <w:bottom w:val="single" w:color="C9CFD9" w:sz="4" w:space="1"/>
        </w:pBdr>
        <w:spacing w:after="200" w:before="500"/>
      </w:pPr>
      <w:r>
        <w:rPr>
          <w:rFonts w:ascii="Liberation Serif" w:cs="Liberation Serif" w:eastAsia="Liberation Serif" w:hAnsi="Liberation Serif"/>
        </w:rPr>
        <w:t xml:space="preserve"/>
      </w:r>
    </w:p>
    <w:p>
      <w:r>
        <w:rPr>
          <w:rFonts w:ascii="Liberation Serif" w:cs="Liberation Serif" w:eastAsia="Liberation Serif" w:hAnsi="Liberation Serif"/>
          <w:color w:val="6B7480"/>
          <w:sz w:val="16"/>
          <w:szCs w:val="16"/>
        </w:rPr>
        <w:t xml:space="preserve">One book of ten. The corpus index and the other nine are at docs/library/.</w:t>
      </w:r>
    </w:p>
    <w:p>
      <w:r>
        <w:br w:type="page"/>
      </w:r>
    </w:p>
    <w:p>
      <w:pPr>
        <w:spacing w:after="300" w:before="260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The StromeX Editorial Bible, Edition II.</w:t>
      </w:r>
    </w:p>
    <w:p>
      <w:pPr>
        <w:spacing w:after="0" w:line="270"/>
        <w:jc w:val="left"/>
      </w:pPr>
      <w:r>
        <w:rPr>
          <w:rFonts w:ascii="Liberation Serif" w:cs="Liberation Serif" w:eastAsia="Liberation Serif" w:hAnsi="Liberation Serif"/>
          <w:color w:val="38414D"/>
          <w:sz w:val="16"/>
          <w:szCs w:val="16"/>
        </w:rPr>
        <w:t xml:space="preserve">Version 2.0. Published 13 August 2026.</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 2026–2027 StromeX Group Holdings. All rights reserved.</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This corpus is the confidential and proprietary property of StromeX Group Holdings. It is issued to directors, officers, employees, certified partners and such external parties as the Executive may authorise in writing. It may not be reproduced, redistributed, published or disclosed, in whole or in part, without prior written authorisation.</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The StromeX name, the StromeX mark and the sub-brand names recorded in Volume I, Chapter 10 are trademarks of StromeX Group Holdings. Third-party names appearing in this corpus are the trademarks of their respective owners and are used for identification and comparison only.</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This document contains forward-looking statements, including the financial scenarios in Volume VIII. Those scenarios are estimates constructed from stated assumptions. They are not forecasts of record, projections of guaranteed outcome, or a representation that any particular result will be achieved. Actual outcomes will differ, and may differ materially. Nothing in this corpus constitutes an offer of securities, investment advice, or a solicitation of any kind.</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External data cited in this corpus is attributed at the point of use and listed in the Bibliography. Figures describing the group’s own delivered work are drawn from the sources recorded in Internal Sources.</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Composed for A4. The text is set in a serif book face with a companion sans for tabular and navigational matter, following the typographic roles defined in Volume I, Chapter 10; the StromeX brand faces Archivo and Fraunces are shipped alongside this edition and are selected by the build when they are present in the rendering environment. The press-quality PDF edition is generated from this master and the two are content-identical.</w:t>
      </w:r>
    </w:p>
    <w:p>
      <w:r>
        <w:br w:type="page"/>
      </w:r>
    </w:p>
    <w:p>
      <w:pPr>
        <w:spacing w:after="220" w:before="0"/>
      </w:pPr>
      <w:r>
        <w:rPr>
          <w:rFonts w:ascii="DejaVu Sans" w:cs="DejaVu Sans" w:eastAsia="DejaVu Sans" w:hAnsi="DejaVu Sans"/>
          <w:b/>
          <w:bCs/>
          <w:color w:val="6B7480"/>
          <w:spacing w:val="60"/>
          <w:sz w:val="14"/>
          <w:szCs w:val="14"/>
        </w:rPr>
        <w:t xml:space="preserve">DOCUMENT CONTROL</w:t>
      </w:r>
    </w:p>
    <w:p>
      <w:pPr>
        <w:spacing w:after="260"/>
      </w:pPr>
      <w:r>
        <w:rPr>
          <w:rFonts w:ascii="DejaVu Serif" w:cs="DejaVu Serif" w:eastAsia="DejaVu Serif" w:hAnsi="DejaVu Serif"/>
          <w:b/>
          <w:bCs/>
          <w:color w:val="0B3C91"/>
          <w:sz w:val="40"/>
          <w:szCs w:val="40"/>
        </w:rPr>
        <w:t xml:space="preserve">Document Control</w:t>
      </w: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6326"/>
      </w:tblGrid>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BOOK</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V — Go-to-Market</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SERIES</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The StromeX Editorial Bible — Executive Knowledge System</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EDITION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Edition II</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VERSION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2.0</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STATUS</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Ratified</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CLASSIFICATION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Confidential — internal and authorised parties</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AUTHORITY TIER</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Operational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OWNER</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Commercial Executive</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REVIEW CYCLE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Annually; GTM metrics monthly</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AMENDMENT PROTOCOL</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I, Chapter 9. Four tiers: Entrenched, Constitutional, Strategic, Operational.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PRECEDENCE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I governs. Where this book conflicts with Book I, Book I wins until formally amended.</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MASTER SOURCE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The DOCX edition of this book. The PDF is generated from it and is content-identical.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SOURCE OF RECORD</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docs/bible/VOLUME-V-GTM-SALES-PARTNERS.md, under version control.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ISSUED</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13 August 2026</w:t>
            </w:r>
          </w:p>
        </w:tc>
      </w:tr>
    </w:tbl>
    <w:p>
      <w:r>
        <w:br w:type="page"/>
      </w:r>
    </w:p>
    <w:p>
      <w:pPr>
        <w:spacing w:after="220" w:before="0"/>
      </w:pPr>
      <w:r>
        <w:rPr>
          <w:rFonts w:ascii="DejaVu Sans" w:cs="DejaVu Sans" w:eastAsia="DejaVu Sans" w:hAnsi="DejaVu Sans"/>
          <w:b/>
          <w:bCs/>
          <w:color w:val="6B7480"/>
          <w:spacing w:val="60"/>
          <w:sz w:val="14"/>
          <w:szCs w:val="14"/>
        </w:rPr>
        <w:t xml:space="preserve">NAVIGATION</w:t>
      </w:r>
    </w:p>
    <w:p>
      <w:pPr>
        <w:spacing w:after="200"/>
      </w:pPr>
      <w:r>
        <w:rPr>
          <w:rFonts w:ascii="DejaVu Serif" w:cs="DejaVu Serif" w:eastAsia="DejaVu Serif" w:hAnsi="DejaVu Serif"/>
          <w:b/>
          <w:bCs/>
          <w:color w:val="0B3C91"/>
          <w:sz w:val="40"/>
          <w:szCs w:val="40"/>
        </w:rPr>
        <w:t xml:space="preserve">Contents</w:t>
      </w:r>
    </w:p>
    <w:p>
      <w:pPr>
        <w:pStyle w:val="EditorialNote"/>
        <w:spacing w:after="300"/>
      </w:pPr>
      <w:r>
        <w:t xml:space="preserve">A live Word field. In Microsoft Word press Ctrl+A then F9 (⌘A then fn+F9 on macOS) to repaginate it, or right-click and choose Update Field; every entry is an internal hyperlink. The lists of tables and figures and the index that follow are generated by the build and already carry final page numbers.</w:t>
      </w:r>
    </w:p>
    <w:sdt>
      <w:sdtPr>
        <w:alias w:val="Contents"/>
      </w:sdtPr>
      <w:sdtContent>
        <w:p>
          <w:r>
            <w:fldChar w:fldCharType="begin" w:dirty="true"/>
            <w:instrText xml:space="preserve">TOC \o "1-3"</w:instrText>
            <w:fldChar w:fldCharType="separate"/>
          </w:r>
        </w:p>
        <w:p>
          <w:r>
            <w:fldChar w:fldCharType="end"/>
          </w:r>
        </w:p>
      </w:sdtContent>
    </w:sdt>
    <w:p>
      <w:r>
        <w:br w:type="page"/>
      </w:r>
    </w:p>
    <w:p>
      <w:pPr>
        <w:spacing w:after="220" w:before="0"/>
      </w:pPr>
      <w:r>
        <w:rPr>
          <w:rFonts w:ascii="DejaVu Sans" w:cs="DejaVu Sans" w:eastAsia="DejaVu Sans" w:hAnsi="DejaVu Sans"/>
          <w:b/>
          <w:bCs/>
          <w:color w:val="6B7480"/>
          <w:spacing w:val="60"/>
          <w:sz w:val="14"/>
          <w:szCs w:val="14"/>
        </w:rPr>
        <w:t xml:space="preserve">APPARATUS</w:t>
      </w:r>
    </w:p>
    <w:p>
      <w:pPr>
        <w:spacing w:after="300"/>
      </w:pPr>
      <w:r>
        <w:rPr>
          <w:rFonts w:ascii="DejaVu Serif" w:cs="DejaVu Serif" w:eastAsia="DejaVu Serif" w:hAnsi="DejaVu Serif"/>
          <w:b/>
          <w:bCs/>
          <w:color w:val="0B3C91"/>
          <w:sz w:val="40"/>
          <w:szCs w:val="40"/>
        </w:rPr>
        <w:t xml:space="preserve">List of Tables</w:t>
      </w:r>
    </w:p>
    <w:p>
      <w:pPr>
        <w:pStyle w:val="EditorialNote"/>
        <w:spacing w:after="260"/>
      </w:pPr>
      <w:r>
        <w:t xml:space="preserve">Generated by the build from the corpus. Every table in the ten volumes is listed in order of appearance, grouped by volume.</w:t>
      </w:r>
    </w:p>
    <w:p>
      <w:pPr>
        <w:tabs>
          <w:tab w:val="right" w:pos="8866" w:leader="dot"/>
        </w:tabs>
        <w:spacing w:after="20" w:before="0" w:line="260"/>
        <w:ind w:left="0" w:right="200" w:hanging="0"/>
      </w:pPr>
      <w:r>
        <w:rPr>
          <w:b/>
          <w:bCs/>
          <w:sz w:val="17"/>
          <w:szCs w:val="17"/>
        </w:rPr>
        <w:t xml:space="preserve">Table 1</w:t>
      </w:r>
      <w:r>
        <w:rPr>
          <w:sz w:val="17"/>
          <w:szCs w:val="17"/>
        </w:rPr>
        <w:t xml:space="preserve">  The central constraint</w:t>
      </w:r>
      <w:r>
        <w:rPr>
          <w:rFonts w:ascii="DejaVu Sans" w:cs="DejaVu Sans" w:eastAsia="DejaVu Sans" w:hAnsi="DejaVu Sans"/>
          <w:color w:val="0B3C91"/>
          <w:sz w:val="16"/>
          <w:szCs w:val="16"/>
        </w:rPr>
        <w:t xml:space="preserve">	2</w:t>
      </w:r>
    </w:p>
    <w:p>
      <w:pPr>
        <w:tabs>
          <w:tab w:val="right" w:pos="8866" w:leader="dot"/>
        </w:tabs>
        <w:spacing w:after="20" w:before="0" w:line="260"/>
        <w:ind w:left="0" w:right="200" w:hanging="0"/>
      </w:pPr>
      <w:r>
        <w:rPr>
          <w:b/>
          <w:bCs/>
          <w:sz w:val="17"/>
          <w:szCs w:val="17"/>
        </w:rPr>
        <w:t xml:space="preserve">Table 2</w:t>
      </w:r>
      <w:r>
        <w:rPr>
          <w:sz w:val="17"/>
          <w:szCs w:val="17"/>
        </w:rPr>
        <w:t xml:space="preserve">  The free-to-paid conversion mechanics</w:t>
      </w:r>
      <w:r>
        <w:rPr>
          <w:rFonts w:ascii="DejaVu Sans" w:cs="DejaVu Sans" w:eastAsia="DejaVu Sans" w:hAnsi="DejaVu Sans"/>
          <w:color w:val="0B3C91"/>
          <w:sz w:val="16"/>
          <w:szCs w:val="16"/>
        </w:rPr>
        <w:t xml:space="preserve">	3</w:t>
      </w:r>
    </w:p>
    <w:p>
      <w:pPr>
        <w:tabs>
          <w:tab w:val="right" w:pos="8866" w:leader="dot"/>
        </w:tabs>
        <w:spacing w:after="20" w:before="0" w:line="260"/>
        <w:ind w:left="0" w:right="200" w:hanging="0"/>
      </w:pPr>
      <w:r>
        <w:rPr>
          <w:b/>
          <w:bCs/>
          <w:sz w:val="17"/>
          <w:szCs w:val="17"/>
        </w:rPr>
        <w:t xml:space="preserve">Table 3</w:t>
      </w:r>
      <w:r>
        <w:rPr>
          <w:sz w:val="17"/>
          <w:szCs w:val="17"/>
        </w:rPr>
        <w:t xml:space="preserve">  The Sales Motions</w:t>
      </w:r>
      <w:r>
        <w:rPr>
          <w:rFonts w:ascii="DejaVu Sans" w:cs="DejaVu Sans" w:eastAsia="DejaVu Sans" w:hAnsi="DejaVu Sans"/>
          <w:color w:val="0B3C91"/>
          <w:sz w:val="16"/>
          <w:szCs w:val="16"/>
        </w:rPr>
        <w:t xml:space="preserve">	5</w:t>
      </w:r>
    </w:p>
    <w:p>
      <w:pPr>
        <w:tabs>
          <w:tab w:val="right" w:pos="8866" w:leader="dot"/>
        </w:tabs>
        <w:spacing w:after="20" w:before="0" w:line="260"/>
        <w:ind w:left="0" w:right="200" w:hanging="0"/>
      </w:pPr>
      <w:r>
        <w:rPr>
          <w:b/>
          <w:bCs/>
          <w:sz w:val="17"/>
          <w:szCs w:val="17"/>
        </w:rPr>
        <w:t xml:space="preserve">Table 4</w:t>
      </w:r>
      <w:r>
        <w:rPr>
          <w:sz w:val="17"/>
          <w:szCs w:val="17"/>
        </w:rPr>
        <w:t xml:space="preserve">  Health scoring</w:t>
      </w:r>
      <w:r>
        <w:rPr>
          <w:rFonts w:ascii="DejaVu Sans" w:cs="DejaVu Sans" w:eastAsia="DejaVu Sans" w:hAnsi="DejaVu Sans"/>
          <w:color w:val="0B3C91"/>
          <w:sz w:val="16"/>
          <w:szCs w:val="16"/>
        </w:rPr>
        <w:t xml:space="preserve">	11</w:t>
      </w:r>
    </w:p>
    <w:p>
      <w:pPr>
        <w:tabs>
          <w:tab w:val="right" w:pos="8866" w:leader="dot"/>
        </w:tabs>
        <w:spacing w:after="20" w:before="0" w:line="260"/>
        <w:ind w:left="0" w:right="200" w:hanging="0"/>
      </w:pPr>
      <w:r>
        <w:rPr>
          <w:b/>
          <w:bCs/>
          <w:sz w:val="17"/>
          <w:szCs w:val="17"/>
        </w:rPr>
        <w:t xml:space="preserve">Table 5</w:t>
      </w:r>
      <w:r>
        <w:rPr>
          <w:sz w:val="17"/>
          <w:szCs w:val="17"/>
        </w:rPr>
        <w:t xml:space="preserve">  Churn: causes and countermeasures</w:t>
      </w:r>
      <w:r>
        <w:rPr>
          <w:rFonts w:ascii="DejaVu Sans" w:cs="DejaVu Sans" w:eastAsia="DejaVu Sans" w:hAnsi="DejaVu Sans"/>
          <w:color w:val="0B3C91"/>
          <w:sz w:val="16"/>
          <w:szCs w:val="16"/>
        </w:rPr>
        <w:t xml:space="preserve">	13</w:t>
      </w:r>
    </w:p>
    <w:p>
      <w:pPr>
        <w:tabs>
          <w:tab w:val="right" w:pos="8866" w:leader="dot"/>
        </w:tabs>
        <w:spacing w:after="20" w:before="0" w:line="260"/>
        <w:ind w:left="0" w:right="200" w:hanging="0"/>
      </w:pPr>
      <w:r>
        <w:rPr>
          <w:b/>
          <w:bCs/>
          <w:sz w:val="17"/>
          <w:szCs w:val="17"/>
        </w:rPr>
        <w:t xml:space="preserve">Table 6</w:t>
      </w:r>
      <w:r>
        <w:rPr>
          <w:sz w:val="17"/>
          <w:szCs w:val="17"/>
        </w:rPr>
        <w:t xml:space="preserve">  The mix</w:t>
      </w:r>
      <w:r>
        <w:rPr>
          <w:rFonts w:ascii="DejaVu Sans" w:cs="DejaVu Sans" w:eastAsia="DejaVu Sans" w:hAnsi="DejaVu Sans"/>
          <w:color w:val="0B3C91"/>
          <w:sz w:val="16"/>
          <w:szCs w:val="16"/>
        </w:rPr>
        <w:t xml:space="preserve">	14</w:t>
      </w:r>
    </w:p>
    <w:p>
      <w:pPr>
        <w:tabs>
          <w:tab w:val="right" w:pos="8866" w:leader="dot"/>
        </w:tabs>
        <w:spacing w:after="20" w:before="0" w:line="260"/>
        <w:ind w:left="0" w:right="200" w:hanging="0"/>
      </w:pPr>
      <w:r>
        <w:rPr>
          <w:b/>
          <w:bCs/>
          <w:sz w:val="17"/>
          <w:szCs w:val="17"/>
        </w:rPr>
        <w:t xml:space="preserve">Table 7</w:t>
      </w:r>
      <w:r>
        <w:rPr>
          <w:sz w:val="17"/>
          <w:szCs w:val="17"/>
        </w:rPr>
        <w:t xml:space="preserve">  Partner tiers</w:t>
      </w:r>
      <w:r>
        <w:rPr>
          <w:rFonts w:ascii="DejaVu Sans" w:cs="DejaVu Sans" w:eastAsia="DejaVu Sans" w:hAnsi="DejaVu Sans"/>
          <w:color w:val="0B3C91"/>
          <w:sz w:val="16"/>
          <w:szCs w:val="16"/>
        </w:rPr>
        <w:t xml:space="preserve">	15</w:t>
      </w:r>
    </w:p>
    <w:p>
      <w:pPr>
        <w:tabs>
          <w:tab w:val="right" w:pos="8866" w:leader="dot"/>
        </w:tabs>
        <w:spacing w:after="20" w:before="0" w:line="260"/>
        <w:ind w:left="0" w:right="200" w:hanging="0"/>
      </w:pPr>
      <w:r>
        <w:rPr>
          <w:b/>
          <w:bCs/>
          <w:sz w:val="17"/>
          <w:szCs w:val="17"/>
        </w:rPr>
        <w:t xml:space="preserve">Table 8</w:t>
      </w:r>
      <w:r>
        <w:rPr>
          <w:sz w:val="17"/>
          <w:szCs w:val="17"/>
        </w:rPr>
        <w:t xml:space="preserve">  The ecosystem surfaces</w:t>
      </w:r>
      <w:r>
        <w:rPr>
          <w:rFonts w:ascii="DejaVu Sans" w:cs="DejaVu Sans" w:eastAsia="DejaVu Sans" w:hAnsi="DejaVu Sans"/>
          <w:color w:val="0B3C91"/>
          <w:sz w:val="16"/>
          <w:szCs w:val="16"/>
        </w:rPr>
        <w:t xml:space="preserve">	17</w:t>
      </w:r>
    </w:p>
    <w:p>
      <w:pPr>
        <w:tabs>
          <w:tab w:val="right" w:pos="8866" w:leader="dot"/>
        </w:tabs>
        <w:spacing w:after="20" w:before="0" w:line="260"/>
        <w:ind w:left="0" w:right="200" w:hanging="0"/>
      </w:pPr>
      <w:r>
        <w:rPr>
          <w:b/>
          <w:bCs/>
          <w:sz w:val="17"/>
          <w:szCs w:val="17"/>
        </w:rPr>
        <w:t xml:space="preserve">Table 9</w:t>
      </w:r>
      <w:r>
        <w:rPr>
          <w:sz w:val="17"/>
          <w:szCs w:val="17"/>
        </w:rPr>
        <w:t xml:space="preserve">  Community programmes</w:t>
      </w:r>
      <w:r>
        <w:rPr>
          <w:rFonts w:ascii="DejaVu Sans" w:cs="DejaVu Sans" w:eastAsia="DejaVu Sans" w:hAnsi="DejaVu Sans"/>
          <w:color w:val="0B3C91"/>
          <w:sz w:val="16"/>
          <w:szCs w:val="16"/>
        </w:rPr>
        <w:t xml:space="preserve">	18</w:t>
      </w:r>
    </w:p>
    <w:p>
      <w:pPr>
        <w:tabs>
          <w:tab w:val="right" w:pos="8866" w:leader="dot"/>
        </w:tabs>
        <w:spacing w:after="20" w:before="0" w:line="260"/>
        <w:ind w:left="0" w:right="200" w:hanging="0"/>
      </w:pPr>
      <w:r>
        <w:rPr>
          <w:b/>
          <w:bCs/>
          <w:sz w:val="17"/>
          <w:szCs w:val="17"/>
        </w:rPr>
        <w:t xml:space="preserve">Table 10</w:t>
      </w:r>
      <w:r>
        <w:rPr>
          <w:sz w:val="17"/>
          <w:szCs w:val="17"/>
        </w:rPr>
        <w:t xml:space="preserve">  Glossary of terms</w:t>
      </w:r>
      <w:r>
        <w:rPr>
          <w:rFonts w:ascii="DejaVu Sans" w:cs="DejaVu Sans" w:eastAsia="DejaVu Sans" w:hAnsi="DejaVu Sans"/>
          <w:color w:val="0B3C91"/>
          <w:sz w:val="16"/>
          <w:szCs w:val="16"/>
        </w:rPr>
        <w:t xml:space="preserve">	21</w:t>
      </w:r>
    </w:p>
    <w:p>
      <w:r>
        <w:br w:type="page"/>
      </w:r>
    </w:p>
    <w:p>
      <w:pPr>
        <w:spacing w:after="220" w:before="0"/>
      </w:pPr>
      <w:r>
        <w:rPr>
          <w:rFonts w:ascii="DejaVu Sans" w:cs="DejaVu Sans" w:eastAsia="DejaVu Sans" w:hAnsi="DejaVu Sans"/>
          <w:b/>
          <w:bCs/>
          <w:color w:val="6B7480"/>
          <w:spacing w:val="60"/>
          <w:sz w:val="14"/>
          <w:szCs w:val="14"/>
        </w:rPr>
        <w:t xml:space="preserve">APPARATUS</w:t>
      </w:r>
    </w:p>
    <w:p>
      <w:pPr>
        <w:spacing w:after="300"/>
      </w:pPr>
      <w:r>
        <w:rPr>
          <w:rFonts w:ascii="DejaVu Serif" w:cs="DejaVu Serif" w:eastAsia="DejaVu Serif" w:hAnsi="DejaVu Serif"/>
          <w:b/>
          <w:bCs/>
          <w:color w:val="0B3C91"/>
          <w:sz w:val="40"/>
          <w:szCs w:val="40"/>
        </w:rPr>
        <w:t xml:space="preserve">List of Figures</w:t>
      </w:r>
    </w:p>
    <w:p>
      <w:pPr>
        <w:pStyle w:val="EditorialNote"/>
        <w:spacing w:after="260"/>
      </w:pPr>
      <w:r>
        <w:t xml:space="preserve">Generated by the build from the corpus. Architecture, stack and process figures in order of appearance.</w:t>
      </w:r>
    </w:p>
    <w:p>
      <w:pPr>
        <w:tabs>
          <w:tab w:val="right" w:pos="8866" w:leader="dot"/>
        </w:tabs>
        <w:spacing w:after="20" w:before="0" w:line="260"/>
        <w:ind w:left="0" w:right="200" w:hanging="0"/>
      </w:pPr>
      <w:r>
        <w:rPr>
          <w:b/>
          <w:bCs/>
          <w:sz w:val="17"/>
          <w:szCs w:val="17"/>
        </w:rPr>
        <w:t xml:space="preserve">Figure 1</w:t>
      </w:r>
      <w:r>
        <w:rPr>
          <w:sz w:val="17"/>
          <w:szCs w:val="17"/>
        </w:rPr>
        <w:t xml:space="preserve">  The funnel</w:t>
      </w:r>
      <w:r>
        <w:rPr>
          <w:rFonts w:ascii="DejaVu Sans" w:cs="DejaVu Sans" w:eastAsia="DejaVu Sans" w:hAnsi="DejaVu Sans"/>
          <w:color w:val="0B3C91"/>
          <w:sz w:val="16"/>
          <w:szCs w:val="16"/>
        </w:rPr>
        <w:t xml:space="preserve">	3</w:t>
      </w:r>
    </w:p>
    <w:p>
      <w:r>
        <w:br w:type="page"/>
      </w:r>
    </w:p>
    <w:p>
      <w:pPr>
        <w:sectPr>
          <w:footerReference w:type="default" r:id="rId7"/>
          <w:pgSz w:w="11906" w:h="16838" w:orient="portrait"/>
          <w:pgMar w:top="1300" w:right="1400" w:bottom="1240" w:left="1580" w:header="720" w:footer="680" w:gutter="0"/>
          <w:pgNumType w:start="1" w:fmt="lowerRoman"/>
          <w:docGrid w:linePitch="360"/>
        </w:sectPr>
      </w:pP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926"/>
      </w:tblGrid>
      <w:tr>
        <w:trPr>
          <w:trHeight w:val="8100" w:hRule="exact"/>
        </w:trPr>
        <w:tc>
          <w:tcPr>
            <w:tcW w:type="dxa" w:w="8926"/>
            <w:tcBorders>
              <w:top w:val="none" w:color="FFFFFF" w:sz="0"/>
              <w:left w:val="none" w:color="FFFFFF" w:sz="0"/>
              <w:bottom w:val="none" w:color="FFFFFF" w:sz="0"/>
              <w:right w:val="none" w:color="FFFFFF" w:sz="0"/>
            </w:tcBorders>
            <w:shd w:fill="05070A" w:color="auto" w:val="clear"/>
            <w:tcMar>
              <w:top w:type="dxa" w:w="900"/>
              <w:left w:type="dxa" w:w="620"/>
              <w:bottom w:type="dxa" w:w="900"/>
              <w:right w:type="dxa" w:w="620"/>
            </w:tcMar>
            <w:vAlign w:val="center"/>
          </w:tcPr>
          <w:p>
            <w:pPr>
              <w:spacing w:after="120"/>
            </w:pPr>
            <w:r>
              <w:rPr>
                <w:rFonts w:ascii="DejaVu Sans" w:cs="DejaVu Sans" w:eastAsia="DejaVu Sans" w:hAnsi="DejaVu Sans"/>
                <w:b/>
                <w:bCs/>
                <w:color w:val="1B6EF3"/>
                <w:spacing w:val="180"/>
                <w:sz w:val="16"/>
                <w:szCs w:val="16"/>
              </w:rPr>
              <w:t xml:space="preserve">VOLUME</w:t>
            </w:r>
          </w:p>
          <w:p>
            <w:pPr>
              <w:spacing w:after="240" w:line="1564"/>
            </w:pPr>
            <w:r>
              <w:rPr>
                <w:rFonts w:ascii="DejaVu Serif" w:cs="DejaVu Serif" w:eastAsia="DejaVu Serif" w:hAnsi="DejaVu Serif"/>
                <w:b/>
                <w:bCs/>
                <w:color w:val="FFFFFF"/>
                <w:sz w:val="170"/>
                <w:szCs w:val="170"/>
              </w:rPr>
              <w:t xml:space="preserve">V</w:t>
            </w:r>
          </w:p>
          <w:p>
            <w:pPr>
              <w:pStyle w:val="Heading1"/>
              <w:spacing w:after="160" w:before="0" w:line="648"/>
            </w:pPr>
            <w:r>
              <w:rPr>
                <w:rFonts w:ascii="DejaVu Serif" w:cs="DejaVu Serif" w:eastAsia="DejaVu Serif" w:hAnsi="DejaVu Serif"/>
                <w:b/>
                <w:bCs/>
                <w:color w:val="FFFFFF"/>
                <w:sz w:val="60"/>
                <w:szCs w:val="60"/>
              </w:rPr>
              <w:t xml:space="preserve">Go-to-Market</w:t>
            </w:r>
          </w:p>
          <w:p>
            <w:pPr>
              <w:spacing w:after="0"/>
            </w:pPr>
            <w:r>
              <w:rPr>
                <w:rFonts w:ascii="Liberation Serif" w:cs="Liberation Serif" w:eastAsia="Liberation Serif" w:hAnsi="Liberation Serif"/>
                <w:color w:val="8C97A4"/>
                <w:sz w:val="21"/>
                <w:szCs w:val="21"/>
              </w:rPr>
              <w:t xml:space="preserve">Sales · Customer Success · Partners · Ecosystem</w:t>
            </w:r>
          </w:p>
        </w:tc>
      </w:tr>
    </w:tbl>
    <w:p>
      <w:pPr>
        <w:spacing w:after="60" w:before="320"/>
      </w:pPr>
      <w:r>
        <w:rPr>
          <w:rFonts w:ascii="DejaVu Sans" w:cs="DejaVu Sans" w:eastAsia="DejaVu Sans" w:hAnsi="DejaVu Sans"/>
          <w:b/>
          <w:bCs/>
          <w:color w:val="6B7480"/>
          <w:spacing w:val="110"/>
          <w:sz w:val="13"/>
          <w:szCs w:val="13"/>
        </w:rPr>
        <w:t xml:space="preserve">AUTHORITY</w:t>
      </w:r>
    </w:p>
    <w:p>
      <w:pPr>
        <w:spacing w:after="300"/>
      </w:pPr>
      <w:r>
        <w:rPr>
          <w:rFonts w:ascii="Liberation Serif" w:cs="Liberation Serif" w:eastAsia="Liberation Serif" w:hAnsi="Liberation Serif"/>
          <w:color w:val="0D1117"/>
          <w:sz w:val="18"/>
          <w:szCs w:val="18"/>
        </w:rPr>
        <w:t xml:space="preserve">Operational</w:t>
      </w:r>
    </w:p>
    <w:p>
      <w:pPr>
        <w:pBdr>
          <w:bottom w:val="single" w:color="C9CFD9" w:sz="4" w:space="1"/>
        </w:pBdr>
        <w:spacing w:after="240" w:before="0"/>
      </w:pPr>
      <w:r>
        <w:rPr>
          <w:rFonts w:ascii="Liberation Serif" w:cs="Liberation Serif" w:eastAsia="Liberation Serif" w:hAnsi="Liberation Serif"/>
        </w:rPr>
        <w:t xml:space="preserve"/>
      </w:r>
    </w:p>
    <w:p>
      <w:pPr>
        <w:spacing w:after="140"/>
      </w:pPr>
      <w:r>
        <w:rPr>
          <w:rFonts w:ascii="DejaVu Sans" w:cs="DejaVu Sans" w:eastAsia="DejaVu Sans" w:hAnsi="DejaVu Sans"/>
          <w:b/>
          <w:bCs/>
          <w:color w:val="1B6EF3"/>
          <w:spacing w:val="110"/>
          <w:sz w:val="14"/>
          <w:szCs w:val="14"/>
        </w:rPr>
        <w:t xml:space="preserve">EXECUTIVE SUMMARY</w:t>
      </w:r>
    </w:p>
    <w:p>
      <w:pPr>
        <w:pStyle w:val="ExecSummary"/>
      </w:pPr>
      <w:r>
        <w:t xml:space="preserve">Volume V begins from a binding constraint: paid acquisition does not work in the founding market, so growth must come from mechanisms whose cost does not scale with customers acquired. It identifies seven such engines, of which the most defensible is that every credential a StromeX institution issues is a permanent, cost-free advertisement seen by an employer or a university. It sets out the funnel, the sales motions, the sales playbook and its seven discovery questions, the discipline of public procurement, and — at its centre — the eleven-stage Customer Success Playbook with its health scoring and value ledger. It confronts the segment’s unforgiving retention benchmarks directly, sets the partner network economics deliberately above the industry norm, and defines the platform ecosystem and community programmes.</w:t>
      </w:r>
    </w:p>
    <w:p>
      <w:pPr>
        <w:pBdr>
          <w:bottom w:val="single" w:color="C9CFD9" w:sz="4" w:space="1"/>
        </w:pBdr>
        <w:spacing w:after="200" w:before="160"/>
      </w:pPr>
      <w:r>
        <w:t xml:space="preserve"/>
      </w:r>
    </w:p>
    <w:p>
      <w:pPr>
        <w:pStyle w:val="Heading2"/>
        <w:pageBreakBefore/>
      </w:pPr>
      <w:r>
        <w:t xml:space="preserve">CHAPTER 1 — THE GO-TO-MARKET DOCTRINE</w:t>
      </w:r>
    </w:p>
    <w:p>
      <w:pPr>
        <w:pStyle w:val="Heading3"/>
      </w:pPr>
      <w:r>
        <w:t xml:space="preserve">1.1 The central constraint</w:t>
      </w:r>
    </w:p>
    <w:p>
      <w:pPr>
        <w:pStyle w:val="BodyText"/>
      </w:pPr>
      <w:r>
        <w:rPr>
          <w:b/>
          <w:bCs/>
        </w:rPr>
        <w:t xml:space="preserve">Paid acquisition does not work in our founding market.</w:t>
      </w:r>
      <w:r>
        <w:t xml:space="preserve"> A Nigerian private school’s lifetime value at Band A pricing does not support a Western customer-acquisition cost, and the audience is not reliably reachable through the channels that paid acquisition uses. Any GTM plan that assumes we can buy growth is arithmetically wrong.</w:t>
      </w:r>
    </w:p>
    <w:p>
      <w:pPr>
        <w:pStyle w:val="BodyText"/>
      </w:pPr>
      <w:r>
        <w:t xml:space="preserve">Everything in this volume follows from that single constraint. Our growth must come from mechanisms whose cost does not scale linearly with customers acquired: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Engine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Why it scales sub-linearly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The free tier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One build, unlimited users, no per-acquisition cost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Referral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Proprietors know proprietors; the network does the work</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The reference deployment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One visible institution recruits its peers permanently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Partners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Their relationships, not our headcount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Content &amp; SEO</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Compounds; written once, found for years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The marketplace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Third parties bring their own customers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verification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Every credential we issue is an advertisement seen by an employer or a university</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central constraint</w:t>
      </w:r>
    </w:p>
    <w:p>
      <w:pPr>
        <w:pStyle w:val="BodyText"/>
      </w:pPr>
      <w:r>
        <w:t xml:space="preserve">That last one deserves emphasis. </w:t>
      </w:r>
      <w:r>
        <w:rPr>
          <w:b/>
          <w:bCs/>
        </w:rPr>
        <w:t xml:space="preserve">Every certificate a StromeX institution issues is a durable marketing asset.</w:t>
      </w:r>
      <w:r>
        <w:t xml:space="preserve"> When an employer scans a QR code and lands on a verification page, that employer has just learned that this school is serious and that StromeX exists. It costs us nothing per scan and it reaches exactly the audience that influences other institutions. This is the cheapest and most defensible distribution mechanism the group has, and it is a direct consequence of the constitutional decision to make verification free (Volume I §5.3).</w:t>
      </w:r>
    </w:p>
    <w:p>
      <w:pPr>
        <w:pStyle w:val="Heading3"/>
      </w:pPr>
      <w:r>
        <w:t xml:space="preserve">1.2 The three GTM rules</w:t>
      </w:r>
    </w:p>
    <w:p>
      <w:pPr>
        <w:pStyle w:val="ListParagraph"/>
        <w:numPr>
          <w:ilvl w:val="0"/>
          <w:numId w:val="2"/>
        </w:numPr>
        <w:spacing w:after="40" w:before="40" w:line="276"/>
      </w:pPr>
      <w:r>
        <w:rPr>
          <w:b/>
          <w:bCs/>
        </w:rPr>
        <w:t xml:space="preserve">Give before asking.</w:t>
      </w:r>
      <w:r>
        <w:t xml:space="preserve"> Free tools, free audits, free assessments, free consultations. The Volume I §5 free constitution is a distribution strategy, not philanthropy.</w:t>
      </w:r>
    </w:p>
    <w:p>
      <w:pPr>
        <w:pStyle w:val="ListParagraph"/>
        <w:numPr>
          <w:ilvl w:val="0"/>
          <w:numId w:val="2"/>
        </w:numPr>
        <w:spacing w:after="40" w:before="40" w:line="276"/>
      </w:pPr>
      <w:r>
        <w:rPr>
          <w:b/>
          <w:bCs/>
        </w:rPr>
        <w:t xml:space="preserve">Sell the next step, not the ecosystem.</w:t>
      </w:r>
      <w:r>
        <w:t xml:space="preserve"> A 220-student school does not need an ERP. Selling them one produces churn, a bad reference, and a lost decade of expansion revenue (Volume III §20.1 shows the correct answer).</w:t>
      </w:r>
    </w:p>
    <w:p>
      <w:pPr>
        <w:pStyle w:val="ListParagraph"/>
        <w:numPr>
          <w:ilvl w:val="0"/>
          <w:numId w:val="2"/>
        </w:numPr>
        <w:spacing w:after="40" w:before="40" w:line="276"/>
      </w:pPr>
      <w:r>
        <w:rPr>
          <w:b/>
          <w:bCs/>
        </w:rPr>
        <w:t xml:space="preserve">Never sign what we cannot deliver.</w:t>
      </w:r>
      <w:r>
        <w:t xml:space="preserve"> Volume I §14.2. Delivery capacity is confirmed in writing before signature, by the person who will actually deliver it.</w:t>
      </w:r>
    </w:p>
    <w:p>
      <w:pPr>
        <w:pStyle w:val="Heading2"/>
        <w:pageBreakBefore/>
      </w:pPr>
      <w:r>
        <w:t xml:space="preserve">CHAPTER 2 — THE FUNNEL &amp; THE FREE ENGINE</w:t>
      </w:r>
    </w:p>
    <w:p>
      <w:pPr>
        <w:pStyle w:val="Heading3"/>
      </w:pPr>
      <w:r>
        <w:t xml:space="preserve">2.1 The funnel</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26"/>
      </w:tblGrid>
      <w:tr>
        <w:tc>
          <w:tcPr>
            <w:tcW w:type="dxa" w:w="8926"/>
            <w:tcBorders>
              <w:top w:val="single" w:color="C9CFD9" w:sz="2"/>
              <w:left w:val="single" w:color="1B6EF3" w:sz="12"/>
              <w:bottom w:val="single" w:color="C9CFD9" w:sz="2"/>
              <w:right w:val="none" w:color="FFFFFF" w:sz="0"/>
            </w:tcBorders>
            <w:shd w:fill="F2F4F8" w:color="auto" w:val="clear"/>
            <w:tcMar>
              <w:top w:type="dxa" w:w="160"/>
              <w:left w:type="dxa" w:w="180"/>
              <w:bottom w:type="dxa" w:w="160"/>
              <w:right w:type="dxa" w:w="140"/>
            </w:tcMar>
          </w:tcPr>
          <w:p>
            <w:pPr>
              <w:spacing w:after="0" w:before="0" w:line="230"/>
            </w:pPr>
            <w:r>
              <w:rPr>
                <w:rFonts w:ascii="DejaVu Sans Mono" w:cs="DejaVu Sans Mono" w:eastAsia="DejaVu Sans Mono" w:hAnsi="DejaVu Sans Mono"/>
                <w:color w:val="0D1117"/>
                <w:sz w:val="14"/>
                <w:szCs w:val="14"/>
              </w:rPr>
              <w:t xml:space="preserve">AWARENESS      SEO · verification pages · referrals · community · press · partners</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FREE USE       Foundation tools · templates · calculators · audits · free tier</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IDENTIFIED     Account created for a tool that benefits from one</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QUALIFIED      Free readiness assessment or discovery consultation</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CONFIGURED     Self-serve configurator; running total visible before any contact</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CUSTOMER       Contract, onboarding, go-live</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ADOPTED        Measured usage, not measured signature</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EXPANDED       Next module, driven by the value ledger</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ADVOCATE       Reference, case study, referral, community</w:t>
            </w:r>
          </w:p>
        </w:tc>
      </w:tr>
    </w:tbl>
    <w:p>
      <w:pPr>
        <w:pStyle w:val="Caption"/>
        <w:keepNext w:val="false"/>
      </w:pPr>
      <w:r>
        <w:rPr>
          <w:b/>
          <w:bCs/>
          <w:color w:val="0B3C91"/>
        </w:rPr>
        <w:t xml:space="preserve">Figure </w:t>
      </w:r>
      <w:fldSimple w:instr="SEQ Figure \* ARABIC"/>
      <w:r>
        <w:rPr>
          <w:color w:val="0B3C91"/>
        </w:rPr>
        <w:t xml:space="preserve"> — </w:t>
      </w:r>
      <w:r>
        <w:rPr>
          <w:color w:val="6B7480"/>
          <w:sz w:val="15"/>
          <w:szCs w:val="15"/>
        </w:rPr>
        <w:t xml:space="preserve">The funnel</w:t>
      </w:r>
    </w:p>
    <w:p>
      <w:pPr>
        <w:pStyle w:val="BodyText"/>
      </w:pPr>
      <w:r>
        <w:t xml:space="preserve">Note where qualification sits: </w:t>
      </w:r>
      <w:r>
        <w:rPr>
          <w:b/>
          <w:bCs/>
        </w:rPr>
        <w:t xml:space="preserve">after</w:t>
      </w:r>
      <w:r>
        <w:t xml:space="preserve"> free use, not before. The free tier does the qualifying, at zero cost, more honestly than a discovery call.</w:t>
      </w:r>
    </w:p>
    <w:p>
      <w:pPr>
        <w:pStyle w:val="Heading3"/>
      </w:pPr>
      <w:r>
        <w:t xml:space="preserve">2.2 The free-to-paid conversion mechanics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Trigger</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Natural next step</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timetable optimiser hits its 30-class ceiling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Paid timetable module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attendance register hits 200 students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Core platform, Standard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certificate template downloaded repeatedly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Credential platform + verification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SEO audit shows real problems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Technical SEO implementation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policy generator used for 10 policies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Policy pack or governance consultancy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QR generator used on printed certificates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Verified credentials — “these QR codes could actually verify”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readiness assessment reveals data chaos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Migration and implementation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free-to-paid conversion mechanics</w:t>
      </w:r>
    </w:p>
    <w:p>
      <w:pPr>
        <w:pStyle w:val="BodyText"/>
      </w:pPr>
      <w:r>
        <w:rPr>
          <w:b/>
          <w:bCs/>
        </w:rPr>
        <w:t xml:space="preserve">The rule that makes this honest:</w:t>
      </w:r>
      <w:r>
        <w:t xml:space="preserve"> every ceiling is stated up front, on the tool, before use. A limit discovered at the moment of frustration is a trap (Volume II §4.2), and traps convert once and poison the well.</w:t>
      </w:r>
    </w:p>
    <w:p>
      <w:pPr>
        <w:pStyle w:val="Heading3"/>
      </w:pPr>
      <w:r>
        <w:t xml:space="preserve">2.3 Free-tier economics governance</w:t>
      </w:r>
    </w:p>
    <w:p>
      <w:pPr>
        <w:pStyle w:val="BodyText"/>
      </w:pPr>
      <w:r>
        <w:t xml:space="preserve">Foundation costs are borne centrally, never charged to divisions (Volume I §8.2), with a hard annual ceiling set by the Executive. Per-tool unit cost is monitored monthly. When the ceiling is under pressure the response order is fixed: </w:t>
      </w:r>
      <w:r>
        <w:rPr>
          <w:b/>
          <w:bCs/>
        </w:rPr>
        <w:t xml:space="preserve">reduce generosity of quantity before reducing quality, and never reduce the entrenched commitments</w:t>
      </w:r>
      <w:r>
        <w:t xml:space="preserve"> (free verification, free export, free security, free help when we broke it).</w:t>
      </w:r>
    </w:p>
    <w:p>
      <w:pPr>
        <w:pStyle w:val="Heading2"/>
        <w:pageBreakBefore/>
      </w:pPr>
      <w:r>
        <w:t xml:space="preserve">CHAPTER 3 — THE SALES MOTIONS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1785"/>
        <w:gridCol w:w="1785"/>
        <w:gridCol w:w="1785"/>
        <w:gridCol w:w="1786"/>
      </w:tblGrid>
      <w:tr>
        <w:trPr>
          <w:cantSplit w:val="false"/>
          <w:tblHeader/>
        </w:trPr>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Motion</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Segment</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Cycle</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Cost to serve</w:t>
            </w:r>
          </w:p>
        </w:tc>
        <w:tc>
          <w:tcPr>
            <w:tcW w:type="dxa" w:w="178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Who</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Self-serve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Individuals, micro-institutions, SMEs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Minutes–days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Product</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Low-touch</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Owner-led institutions (the Phase I core)</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 weeks</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Low</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One AE, remote + occasional visit</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Consultative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Committee-led institutions, groups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3–9 months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AE + solutions lead + delivery lead</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Enterprise</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Multi-site, corporates, large universities</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6–18 months</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Named team, executive sponsor</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Procurement</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Government, donor programmes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6–24 months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Very high</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Bid team, compliance, references</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Partner-led</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 via a certified partner</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Varies</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Lowest</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Partner owns it; we enable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Sales Motions</w:t>
      </w:r>
    </w:p>
    <w:p>
      <w:pPr>
        <w:pStyle w:val="BodyText"/>
      </w:pPr>
      <w:r>
        <w:rPr>
          <w:b/>
          <w:bCs/>
        </w:rPr>
        <w:t xml:space="preserve">The Phase I concentration rule:</w:t>
      </w:r>
      <w:r>
        <w:t xml:space="preserve"> self-serve and low-touch only, with consultative for lighthouse accounts. Enterprise and procurement motions open in Phase II, once the reference base makes them winnable. Bidding for a ministry contract without twenty referenceable schools is a donation of proposal costs (Volume II §2.3).</w:t>
      </w:r>
    </w:p>
    <w:p>
      <w:pPr>
        <w:pStyle w:val="Heading2"/>
        <w:pageBreakBefore/>
      </w:pPr>
      <w:r>
        <w:t xml:space="preserve">CHAPTER 4 — THE SALES PLAYBOOK</w:t>
      </w:r>
    </w:p>
    <w:p>
      <w:pPr>
        <w:pStyle w:val="Heading3"/>
      </w:pPr>
      <w:r>
        <w:t xml:space="preserve">4.1 Discovery — the seven questions</w:t>
      </w:r>
    </w:p>
    <w:p>
      <w:pPr>
        <w:pStyle w:val="BodyText"/>
      </w:pPr>
      <w:r>
        <w:t xml:space="preserve">Before any proposal, we must be able to answer these in the customer’s own words:</w:t>
      </w:r>
    </w:p>
    <w:p>
      <w:pPr>
        <w:pStyle w:val="ListParagraph"/>
        <w:numPr>
          <w:ilvl w:val="0"/>
          <w:numId w:val="2"/>
        </w:numPr>
        <w:spacing w:after="40" w:before="40" w:line="276"/>
      </w:pPr>
      <w:r>
        <w:t xml:space="preserve">What is the institution trying to become in three years?</w:t>
      </w:r>
    </w:p>
    <w:p>
      <w:pPr>
        <w:pStyle w:val="ListParagraph"/>
        <w:numPr>
          <w:ilvl w:val="0"/>
          <w:numId w:val="2"/>
        </w:numPr>
        <w:spacing w:after="40" w:before="40" w:line="276"/>
      </w:pPr>
      <w:r>
        <w:t xml:space="preserve">What breaks most often today, and who feels it?</w:t>
      </w:r>
    </w:p>
    <w:p>
      <w:pPr>
        <w:pStyle w:val="ListParagraph"/>
        <w:numPr>
          <w:ilvl w:val="0"/>
          <w:numId w:val="2"/>
        </w:numPr>
        <w:spacing w:after="40" w:before="40" w:line="276"/>
      </w:pPr>
      <w:r>
        <w:t xml:space="preserve">How many hours a week does the current process consume, and whose hours?</w:t>
      </w:r>
    </w:p>
    <w:p>
      <w:pPr>
        <w:pStyle w:val="ListParagraph"/>
        <w:numPr>
          <w:ilvl w:val="0"/>
          <w:numId w:val="2"/>
        </w:numPr>
        <w:spacing w:after="40" w:before="40" w:line="276"/>
      </w:pPr>
      <w:r>
        <w:t xml:space="preserve">What has been tried before, and why did it fail? </w:t>
      </w:r>
      <w:r>
        <w:rPr>
          <w:i/>
          <w:iCs/>
        </w:rPr>
        <w:t xml:space="preserve">(This is the single most predictive question. An institution abandoned by a previous vendor buys differently and needs different reassurance.)</w:t>
      </w:r>
    </w:p>
    <w:p>
      <w:pPr>
        <w:pStyle w:val="ListParagraph"/>
        <w:numPr>
          <w:ilvl w:val="0"/>
          <w:numId w:val="2"/>
        </w:numPr>
        <w:spacing w:after="40" w:before="40" w:line="276"/>
      </w:pPr>
      <w:r>
        <w:t xml:space="preserve">Who decides, who influences, who can veto?</w:t>
      </w:r>
    </w:p>
    <w:p>
      <w:pPr>
        <w:pStyle w:val="ListParagraph"/>
        <w:numPr>
          <w:ilvl w:val="0"/>
          <w:numId w:val="2"/>
        </w:numPr>
        <w:spacing w:after="40" w:before="40" w:line="276"/>
      </w:pPr>
      <w:r>
        <w:t xml:space="preserve">What does the money look like — budget cycle, approval threshold, cash rhythm?</w:t>
      </w:r>
    </w:p>
    <w:p>
      <w:pPr>
        <w:pStyle w:val="ListParagraph"/>
        <w:numPr>
          <w:ilvl w:val="0"/>
          <w:numId w:val="2"/>
        </w:numPr>
        <w:spacing w:after="40" w:before="40" w:line="276"/>
      </w:pPr>
      <w:r>
        <w:t xml:space="preserve">What would make this a failure in their eyes, in twelve months?</w:t>
      </w:r>
    </w:p>
    <w:p>
      <w:pPr>
        <w:pStyle w:val="BodyText"/>
      </w:pPr>
      <w:r>
        <w:t xml:space="preserve">A proposal written without answers to all seven is a guess, and guesses lose to competitors who asked.</w:t>
      </w:r>
    </w:p>
    <w:p>
      <w:pPr>
        <w:pStyle w:val="Heading3"/>
      </w:pPr>
      <w:r>
        <w:t xml:space="preserve">4.2 The proposal standard</w:t>
      </w:r>
    </w:p>
    <w:p>
      <w:pPr>
        <w:pStyle w:val="BodyText"/>
      </w:pPr>
      <w:r>
        <w:t xml:space="preserve">Every proposal contains, in this order: the institution’s own stated objective in their words · what we understood · what we propose, module by module, at Volume III prices · </w:t>
      </w:r>
      <w:r>
        <w:rPr>
          <w:b/>
          <w:bCs/>
        </w:rPr>
        <w:t xml:space="preserve">what is explicitly excluded</w:t>
      </w:r>
      <w:r>
        <w:t xml:space="preserve"> · the delivery timeline with the customer’s own dependencies named and dated · what we need from them · the total, the annual, and the three-year cost · what happens if they want to leave · the named people who will do the work.</w:t>
      </w:r>
    </w:p>
    <w:p>
      <w:pPr>
        <w:pStyle w:val="BodyText"/>
      </w:pPr>
      <w:r>
        <w:rPr>
          <w:b/>
          <w:bCs/>
        </w:rPr>
        <w:t xml:space="preserve">Exclusions are mandatory.</w:t>
      </w:r>
      <w:r>
        <w:t xml:space="preserve"> Most disputes in this industry originate in something both parties assumed the other was doing.</w:t>
      </w:r>
    </w:p>
    <w:p>
      <w:pPr>
        <w:pStyle w:val="BodyText"/>
      </w:pPr>
      <w:r>
        <w:rPr>
          <w:b/>
          <w:bCs/>
        </w:rPr>
        <w:t xml:space="preserve">The total does not move after signature</w:t>
      </w:r>
      <w:r>
        <w:t xml:space="preserve"> unless the customer changes scope in writing. A vendor whose price rises after commitment has taught the customer never to trust a vendor’s price again, and that damage outlives the contract.</w:t>
      </w:r>
    </w:p>
    <w:p>
      <w:pPr>
        <w:pStyle w:val="Heading3"/>
      </w:pPr>
      <w:r>
        <w:t xml:space="preserve">4.3 Objection handling</w:t>
      </w:r>
    </w:p>
    <w:p>
      <w:pPr>
        <w:pStyle w:val="BodyText"/>
      </w:pPr>
      <w:r>
        <w:t xml:space="preserve">Volume II §3.3 carries the five standing objections and their answers. Two additional rules:</w:t>
      </w:r>
    </w:p>
    <w:p>
      <w:pPr>
        <w:pStyle w:val="ListParagraph"/>
        <w:numPr>
          <w:ilvl w:val="0"/>
          <w:numId w:val="3"/>
        </w:numPr>
        <w:spacing w:after="40" w:before="40" w:line="276"/>
      </w:pPr>
      <w:r>
        <w:rPr>
          <w:b/>
          <w:bCs/>
        </w:rPr>
        <w:t xml:space="preserve">“It’s too expensive” is almost never about price.</w:t>
      </w:r>
      <w:r>
        <w:t xml:space="preserve"> It is about predictability, or about not believing the value. Respond with the value ledger and the unit economics (per student per year), not with a discount. Volume III §20.1′s </w:t>
      </w:r>
      <w:r>
        <w:rPr>
          <w:i/>
          <w:iCs/>
        </w:rPr>
        <w:t xml:space="preserve">$15.61 per student per year</w:t>
      </w:r>
      <w:r>
        <w:t xml:space="preserve"> is the entire argument.</w:t>
      </w:r>
    </w:p>
    <w:p>
      <w:pPr>
        <w:pStyle w:val="ListParagraph"/>
        <w:numPr>
          <w:ilvl w:val="0"/>
          <w:numId w:val="3"/>
        </w:numPr>
        <w:spacing w:after="40" w:before="40" w:line="276"/>
      </w:pPr>
      <w:r>
        <w:rPr>
          <w:b/>
          <w:bCs/>
        </w:rPr>
        <w:t xml:space="preserve">When the honest answer is “you don’t need this yet”, say it.</w:t>
      </w:r>
      <w:r>
        <w:t xml:space="preserve"> It costs one small contract and buys a decade. The proprietor tells other proprietors that StromeX talked them </w:t>
      </w:r>
      <w:r>
        <w:rPr>
          <w:i/>
          <w:iCs/>
        </w:rPr>
        <w:t xml:space="preserve">out</w:t>
      </w:r>
      <w:r>
        <w:t xml:space="preserve"> of spending money — which is a more powerful referral than any case study.</w:t>
      </w:r>
    </w:p>
    <w:p>
      <w:pPr>
        <w:pStyle w:val="Heading3"/>
      </w:pPr>
      <w:r>
        <w:t xml:space="preserve">4.4 Qualification and disqualification</w:t>
      </w:r>
    </w:p>
    <w:p>
      <w:pPr>
        <w:pStyle w:val="BodyText"/>
      </w:pPr>
      <w:r>
        <w:t xml:space="preserve">We walk away when: the institution cannot afford the recurring commitment and would be harmed by trying · the timeline is impossible and the customer will not move it · the scope requires a sector we have no domain expert in (Volume I §14.6) · the work is on the Volume I §7.4 declined list · delivery capacity is not available and cannot be created honestly.</w:t>
      </w:r>
    </w:p>
    <w:p>
      <w:pPr>
        <w:pStyle w:val="BodyText"/>
      </w:pPr>
      <w:r>
        <w:rPr>
          <w:b/>
          <w:bCs/>
        </w:rPr>
        <w:t xml:space="preserve">Walking away is a recorded, respected outcome.</w:t>
      </w:r>
      <w:r>
        <w:t xml:space="preserve"> A salesperson who disqualifies well is more valuable than one who signs badly, and compensation is structured so that this is true in their pay as well as in this document.</w:t>
      </w:r>
    </w:p>
    <w:p>
      <w:pPr>
        <w:pStyle w:val="Heading3"/>
      </w:pPr>
      <w:r>
        <w:t xml:space="preserve">4.5 Compensation principles</w:t>
      </w:r>
    </w:p>
    <w:p>
      <w:pPr>
        <w:pStyle w:val="BodyText"/>
      </w:pPr>
      <w:r>
        <w:t xml:space="preserve">Commission is paid on </w:t>
      </w:r>
      <w:r>
        <w:rPr>
          <w:b/>
          <w:bCs/>
        </w:rPr>
        <w:t xml:space="preserve">delivered and retained</w:t>
      </w:r>
      <w:r>
        <w:t xml:space="preserve"> revenue, not on signature. A contract that churns in year one claws back. Commission on services is weighted below commission on recurring software, because Volume I §6.2′s portfolio rule requires it. There is no commission accelerator that would make it rational to oversell a customer.</w:t>
      </w:r>
    </w:p>
    <w:p>
      <w:pPr>
        <w:pStyle w:val="Heading2"/>
        <w:pageBreakBefore/>
      </w:pPr>
      <w:r>
        <w:t xml:space="preserve">CHAPTER 5 — PROPOSALS, TENDERS &amp; GOVERNMENT PROCUREMENT</w:t>
      </w:r>
    </w:p>
    <w:p>
      <w:pPr>
        <w:pStyle w:val="Heading3"/>
      </w:pPr>
      <w:r>
        <w:t xml:space="preserve">5.1 The absolute rules</w:t>
      </w:r>
    </w:p>
    <w:p>
      <w:pPr>
        <w:pStyle w:val="BodyText"/>
      </w:pPr>
      <w:r>
        <w:rPr>
          <w:b/>
          <w:bCs/>
        </w:rPr>
        <w:t xml:space="preserve">No bribery. No facilitation payments. No “processing fees”. No bid-rigging. No shell bidders. Ever, in any market, regardless of local norm or of what a competitor is doing.</w:t>
      </w:r>
      <w:r>
        <w:t xml:space="preserve"> (Volume I §6.6.) Losing a contract for this reason is a correct outcome and is reported as a win in the integrity record.</w:t>
      </w:r>
    </w:p>
    <w:p>
      <w:pPr>
        <w:pStyle w:val="BodyText"/>
      </w:pPr>
      <w:r>
        <w:t xml:space="preserve">If an official requests a payment, the engagement is escalated to the Executive immediately, documented, and — if the request stands — we withdraw and say why in writing.</w:t>
      </w:r>
    </w:p>
    <w:p>
      <w:pPr>
        <w:pStyle w:val="Heading3"/>
      </w:pPr>
      <w:r>
        <w:t xml:space="preserve">5.2 The bid/no-bid gate</w:t>
      </w:r>
      <w:fldSimple w:instr="XE &quot;Gate&quot;"/>
    </w:p>
    <w:p>
      <w:pPr>
        <w:pStyle w:val="BodyText"/>
      </w:pPr>
      <w:r>
        <w:t xml:space="preserve">Bid only when: we meet the mandatory criteria without misrepresentation · we have referenceable delivery at comparable scale · capacity is confirmed for the delivery window · the payment terms are survivable (public-sector payment delay is a real and frequently fatal risk to suppliers our size) · the evaluation is transparent enough that a good bid can win.</w:t>
      </w:r>
    </w:p>
    <w:p>
      <w:pPr>
        <w:pStyle w:val="Heading3"/>
      </w:pPr>
      <w:r>
        <w:t xml:space="preserve">5.3 The government value argument</w:t>
      </w:r>
    </w:p>
    <w:p>
      <w:pPr>
        <w:pStyle w:val="BodyText"/>
      </w:pPr>
      <w:r>
        <w:t xml:space="preserve">The winning number in a public-sector tender is almost never the total. It is the </w:t>
      </w:r>
      <w:r>
        <w:rPr>
          <w:b/>
          <w:bCs/>
        </w:rPr>
        <w:t xml:space="preserve">per-beneficiary cost</w:t>
      </w:r>
      <w:r>
        <w:t xml:space="preserve">. Volume III §20.4′s </w:t>
      </w:r>
      <w:r>
        <w:rPr>
          <w:i/>
          <w:iCs/>
        </w:rPr>
        <w:t xml:space="preserve">≈$1.48 per student per year</w:t>
      </w:r>
      <w:r>
        <w:t xml:space="preserve"> for a 400-school state deployment is the argument, and it is true, which is why it can be defended under scrutiny.</w:t>
      </w:r>
    </w:p>
    <w:p>
      <w:pPr>
        <w:pStyle w:val="BodyText"/>
      </w:pPr>
      <w:r>
        <w:t xml:space="preserve">The second argument is auditability: a ministry’s fear is not cost, it is a scandal. Published pricing, complete audit logs, published incident history and free public verification are precisely the properties that make a procurement officer safe.</w:t>
      </w:r>
    </w:p>
    <w:p>
      <w:pPr>
        <w:pStyle w:val="Heading2"/>
        <w:pageBreakBefore/>
      </w:pPr>
      <w:r>
        <w:t xml:space="preserve">CHAPTER 6 — THE CUSTOMER SUCCESS PLAYBOOK</w:t>
      </w:r>
    </w:p>
    <w:p>
      <w:pPr>
        <w:pStyle w:val="EditorialNote"/>
      </w:pPr>
      <w:r>
        <w:t xml:space="preserve">The most under-invested function in most software companies and the one that determines whether the Volume II §9 moat is ever actually built. Net revenue retention is the metric this chapter exists to move, and Chapter 12 explains why our benchmark is harder than most.</w:t>
      </w:r>
    </w:p>
    <w:p>
      <w:pPr>
        <w:pStyle w:val="Heading3"/>
      </w:pPr>
      <w:r>
        <w:t xml:space="preserve">6.1 The eleven stages</w:t>
      </w:r>
    </w:p>
    <w:p>
      <w:pPr>
        <w:pStyle w:val="Heading4"/>
      </w:pPr>
      <w:r>
        <w:t xml:space="preserve">Stage 1 — Discovery</w:t>
      </w:r>
    </w:p>
    <w:p>
      <w:pPr>
        <w:pStyle w:val="BodyText"/>
      </w:pPr>
      <w:r>
        <w:rPr>
          <w:i/>
          <w:iCs/>
        </w:rPr>
        <w:t xml:space="preserve">Owner: Marketing/Product. Goal: they find us without us paying for it.</w:t>
      </w:r>
      <w:r>
        <w:t xml:space="preserve"> They arrive via a free tool, a verification page, a referral, a search result or a partner. </w:t>
      </w:r>
      <w:r>
        <w:rPr>
          <w:b/>
          <w:bCs/>
        </w:rPr>
        <w:t xml:space="preserve">Success:</w:t>
      </w:r>
      <w:r>
        <w:t xml:space="preserve"> they get value in the first session without talking to anyone.</w:t>
      </w:r>
    </w:p>
    <w:p>
      <w:pPr>
        <w:pStyle w:val="Heading4"/>
      </w:pPr>
      <w:r>
        <w:t xml:space="preserve">Stage 2 — Consultation</w:t>
      </w:r>
    </w:p>
    <w:p>
      <w:pPr>
        <w:pStyle w:val="BodyText"/>
      </w:pPr>
      <w:r>
        <w:rPr>
          <w:i/>
          <w:iCs/>
        </w:rPr>
        <w:t xml:space="preserve">Owner: Sales. Goal: understand, not pitch.</w:t>
      </w:r>
      <w:r>
        <w:t xml:space="preserve"> Free discovery consultation (60 min, physical or remote) and free readiness assessment. The assessment is the most valuable thing we do pre-contract and it is deliberately free (Volume III §2.6) because charging for it means fewer institutions do it, and skipping it is the leading cause of failed implementations. </w:t>
      </w:r>
      <w:r>
        <w:rPr>
          <w:b/>
          <w:bCs/>
        </w:rPr>
        <w:t xml:space="preserve">Success:</w:t>
      </w:r>
      <w:r>
        <w:t xml:space="preserve"> they leave with a written honest assessment they could act on </w:t>
      </w:r>
      <w:r>
        <w:rPr>
          <w:b/>
          <w:bCs/>
        </w:rPr>
        <w:t xml:space="preserve">even if they never buy from us</w:t>
      </w:r>
      <w:r>
        <w:t xml:space="preserve">.</w:t>
      </w:r>
    </w:p>
    <w:p>
      <w:pPr>
        <w:pStyle w:val="Heading4"/>
      </w:pPr>
      <w:r>
        <w:t xml:space="preserve">Stage 3 — Proposal</w:t>
      </w:r>
    </w:p>
    <w:p>
      <w:pPr>
        <w:pStyle w:val="BodyText"/>
      </w:pPr>
      <w:r>
        <w:rPr>
          <w:i/>
          <w:iCs/>
        </w:rPr>
        <w:t xml:space="preserve">Owner: Sales. Goal: a document they can defend to their board.</w:t>
      </w:r>
      <w:r>
        <w:t xml:space="preserve"> Per Chapter 4.2. </w:t>
      </w:r>
      <w:r>
        <w:rPr>
          <w:b/>
          <w:bCs/>
        </w:rPr>
        <w:t xml:space="preserve">Success:</w:t>
      </w:r>
      <w:r>
        <w:t xml:space="preserve"> the buyer can explain the proposal to a trustee without us in the room.</w:t>
      </w:r>
    </w:p>
    <w:p>
      <w:pPr>
        <w:pStyle w:val="Heading4"/>
      </w:pPr>
      <w:r>
        <w:t xml:space="preserve">Stage 4 — Onboarding</w:t>
      </w:r>
    </w:p>
    <w:p>
      <w:pPr>
        <w:pStyle w:val="BodyText"/>
      </w:pPr>
      <w:r>
        <w:rPr>
          <w:i/>
          <w:iCs/>
        </w:rPr>
        <w:t xml:space="preserve">Owner: Delivery. Goal: time-to-first-value, measured in days.</w:t>
      </w:r>
      <w:r>
        <w:t xml:space="preserve"> A named delivery lead from day one. A kick-off that establishes: what go-live means, what the customer must provide and by when, who their champion is, and what we will measure. </w:t>
      </w:r>
      <w:r>
        <w:rPr>
          <w:b/>
          <w:bCs/>
        </w:rPr>
        <w:t xml:space="preserve">The first-value rule:</w:t>
      </w:r>
      <w:r>
        <w:t xml:space="preserve"> something real must work within </w:t>
      </w:r>
      <w:r>
        <w:rPr>
          <w:b/>
          <w:bCs/>
        </w:rPr>
        <w:t xml:space="preserve">14 days</w:t>
      </w:r>
      <w:r>
        <w:t xml:space="preserve"> — a live site, a working admissions form, the first batch of verified certificates. An institution that has waited eight weeks to see anything has begun to doubt, and doubt in week eight is far more expensive than scope in week one.</w:t>
      </w:r>
    </w:p>
    <w:p>
      <w:pPr>
        <w:pStyle w:val="Heading4"/>
      </w:pPr>
      <w:r>
        <w:t xml:space="preserve">Stage 5 — Migration</w:t>
      </w:r>
    </w:p>
    <w:p>
      <w:pPr>
        <w:pStyle w:val="BodyText"/>
      </w:pPr>
      <w:r>
        <w:rPr>
          <w:i/>
          <w:iCs/>
        </w:rPr>
        <w:t xml:space="preserve">Owner: Delivery. Goal: their history arrives intact.</w:t>
      </w:r>
      <w:r>
        <w:t xml:space="preserve"> The most technically and emotionally fraught stage. Rules: </w:t>
      </w:r>
      <w:r>
        <w:rPr>
          <w:b/>
          <w:bCs/>
        </w:rPr>
        <w:t xml:space="preserve">parallel run before switch-off, always</w:t>
      </w:r>
      <w:r>
        <w:t xml:space="preserve"> · reconciliation reports the customer signs off · nothing is switched off until its replacement is proven · a documented reverse path.</w:t>
      </w:r>
    </w:p>
    <w:p>
      <w:pPr>
        <w:pStyle w:val="Heading4"/>
      </w:pPr>
      <w:r>
        <w:t xml:space="preserve">Stage 6 — Training</w:t>
      </w:r>
    </w:p>
    <w:p>
      <w:pPr>
        <w:pStyle w:val="BodyText"/>
      </w:pPr>
      <w:r>
        <w:rPr>
          <w:i/>
          <w:iCs/>
        </w:rPr>
        <w:t xml:space="preserve">Owner: Academy. Goal: staff competence, not attendance.</w:t>
      </w:r>
      <w:r>
        <w:t xml:space="preserve"> In their language, on their devices, with their data. Role-specific, not generic. Recorded for staff who join later. </w:t>
      </w:r>
      <w:r>
        <w:rPr>
          <w:b/>
          <w:bCs/>
        </w:rPr>
        <w:t xml:space="preserve">Redeployment training is free where StromeX automation changed someone’s role</w:t>
      </w:r>
      <w:r>
        <w:t xml:space="preserve"> (Volume I §7.1) — this is the single highest-return line in the entire GTM budget, because staff resistance is the largest cause of failed deployments and this converts the most resistant person into the most invested one.</w:t>
      </w:r>
    </w:p>
    <w:p>
      <w:pPr>
        <w:pStyle w:val="Heading4"/>
      </w:pPr>
      <w:r>
        <w:t xml:space="preserve">Stage 7 — Go-live</w:t>
      </w:r>
    </w:p>
    <w:p>
      <w:pPr>
        <w:pStyle w:val="BodyText"/>
      </w:pPr>
      <w:r>
        <w:rPr>
          <w:i/>
          <w:iCs/>
        </w:rPr>
        <w:t xml:space="preserve">Owner: Delivery. Goal: an uneventful day.</w:t>
      </w:r>
      <w:r>
        <w:t xml:space="preserve"> Never during an examination window, results period, or admissions deadline. Hypercare for 14 days: elevated support, daily check-in, a named human. A go-live that needed heroics is reviewed as a planning failure (Volume I §13.1.9).</w:t>
      </w:r>
    </w:p>
    <w:p>
      <w:pPr>
        <w:pStyle w:val="Heading4"/>
      </w:pPr>
      <w:r>
        <w:t xml:space="preserve">Stage 8 — Adoption</w:t>
      </w:r>
    </w:p>
    <w:p>
      <w:pPr>
        <w:pStyle w:val="BodyText"/>
      </w:pPr>
      <w:r>
        <w:rPr>
          <w:i/>
          <w:iCs/>
        </w:rPr>
        <w:t xml:space="preserve">Owner: Customer Success. Goal: usage, not signature.</w:t>
      </w:r>
      <w:r>
        <w:t xml:space="preserve"> </w:t>
      </w:r>
      <w:r>
        <w:rPr>
          <w:b/>
          <w:bCs/>
        </w:rPr>
        <w:t xml:space="preserve">Adoption is measured, and low adoption is our problem, not the customer’s.</w:t>
      </w:r>
      <w:r>
        <w:t xml:space="preserve"> Tracked: active users by role, feature usage against what they bought, workflows completed, support ticket themes. A module bought and unused is a renewal we are going to lose in eleven months, and it is visible now. </w:t>
      </w:r>
      <w:r>
        <w:rPr>
          <w:b/>
          <w:bCs/>
        </w:rPr>
        <w:t xml:space="preserve">The unused-module rule:</w:t>
      </w:r>
      <w:r>
        <w:t xml:space="preserve"> if a module is unused for 60 days, we intervene — train, reconfigure, or </w:t>
      </w:r>
      <w:r>
        <w:rPr>
          <w:b/>
          <w:bCs/>
        </w:rPr>
        <w:t xml:space="preserve">proactively remove it and stop charging for it.</w:t>
      </w:r>
      <w:r>
        <w:t xml:space="preserve"> Charging for something demonstrably unused is exactly the extractive behaviour Volume I §6.1 exists to prevent.</w:t>
      </w:r>
    </w:p>
    <w:p>
      <w:pPr>
        <w:pStyle w:val="Heading4"/>
      </w:pPr>
      <w:r>
        <w:t xml:space="preserve">Stage 9 — Support</w:t>
      </w:r>
    </w:p>
    <w:p>
      <w:pPr>
        <w:pStyle w:val="BodyText"/>
      </w:pPr>
      <w:r>
        <w:rPr>
          <w:i/>
          <w:iCs/>
        </w:rPr>
        <w:t xml:space="preserve">Owner: Support. Goal: resolution, and pattern detection.</w:t>
      </w:r>
      <w:r>
        <w:t xml:space="preserve"> Volume III §17. The standing rule: when something we built is broken, the customer speaks to a human free, on every tier including Foundation. Support tickets are read as product intelligence — three institutions asking the same question is a documentation defect; ten is a product defect.</w:t>
      </w:r>
    </w:p>
    <w:p>
      <w:pPr>
        <w:pStyle w:val="Heading4"/>
      </w:pPr>
      <w:r>
        <w:t xml:space="preserve">Stage 10 — Renewal &amp; Expansion</w:t>
      </w:r>
    </w:p>
    <w:p>
      <w:pPr>
        <w:pStyle w:val="BodyText"/>
      </w:pPr>
      <w:r>
        <w:rPr>
          <w:i/>
          <w:iCs/>
        </w:rPr>
        <w:t xml:space="preserve">Owner: Customer Success. Goal: earned, not extracted.</w:t>
      </w:r>
      <w:r>
        <w:t xml:space="preserve"> Chapter 7.</w:t>
      </w:r>
    </w:p>
    <w:p>
      <w:pPr>
        <w:pStyle w:val="Heading4"/>
      </w:pPr>
      <w:r>
        <w:t xml:space="preserve">Stage 11 — Advocacy</w:t>
      </w:r>
      <w:fldSimple w:instr="XE &quot;CAC&quot;"/>
    </w:p>
    <w:p>
      <w:pPr>
        <w:pStyle w:val="BodyText"/>
      </w:pPr>
      <w:r>
        <w:rPr>
          <w:i/>
          <w:iCs/>
        </w:rPr>
        <w:t xml:space="preserve">Owner: Marketing. Goal: they recruit for us.</w:t>
      </w:r>
      <w:r>
        <w:t xml:space="preserve"> Reference calls, case studies, community contribution, speaking, referral. </w:t>
      </w:r>
      <w:r>
        <w:rPr>
          <w:b/>
          <w:bCs/>
        </w:rPr>
        <w:t xml:space="preserve">Compensated honestly</w:t>
      </w:r>
      <w:r>
        <w:t xml:space="preserve"> — referral credits, not undisclosed inducements. No customer appears in our marketing without written permission and an accurate description of what we actually did (Volume II §8).</w:t>
      </w:r>
    </w:p>
    <w:p>
      <w:pPr>
        <w:pStyle w:val="Heading3"/>
      </w:pPr>
      <w:r>
        <w:t xml:space="preserve">6.2 Health scoring</w:t>
      </w:r>
    </w:p>
    <w:p>
      <w:pPr>
        <w:pStyle w:val="BodyText"/>
      </w:pPr>
      <w:r>
        <w:t xml:space="preserve">Every account carries a health score from measured signals, not from the account manager’s feelings: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Signal</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Weight</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Active users vs. licensed</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leading indicator of everything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Modules used vs. purchased</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Directly predicts non-renewal</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Core workflow completion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Are they actually running on us?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Support ticket sentiment &amp; recurrence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Repeated same-theme tickets = unresolved friction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Champion still employed</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Champion departure is the most under-weighted churn signal in this industry</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Payment behaviour</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Late payment often precedes churn, and often signals distress we could help with</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Value ledger trend</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Are we actually delivering measurable gain?</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 engagement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Does anyone senior know we exist?</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Health scoring</w:t>
      </w:r>
    </w:p>
    <w:p>
      <w:pPr>
        <w:pStyle w:val="BodyText"/>
      </w:pPr>
      <w:r>
        <w:rPr>
          <w:b/>
          <w:bCs/>
        </w:rPr>
        <w:t xml:space="preserve">Red health triggers an intervention within 5 business days, owned by a named person, with a written plan.</w:t>
      </w:r>
      <w:r>
        <w:t xml:space="preserve"> Not an email — a plan.</w:t>
      </w:r>
    </w:p>
    <w:p>
      <w:pPr>
        <w:pStyle w:val="Heading3"/>
      </w:pPr>
      <w:r>
        <w:t xml:space="preserve">6.3 The value ledger</w:t>
      </w:r>
      <w:fldSimple w:instr="XE &quot;Value ledger&quot;"/>
    </w:p>
    <w:p>
      <w:pPr>
        <w:pStyle w:val="BodyText"/>
      </w:pPr>
      <w:r>
        <w:t xml:space="preserve">Volume I §4.4. Maintained continuously per customer: staff-hours returned, fee collection rate change, admissions cycle time, certificate fraud incidents prevented, print cost avoided, error rates. Shown at every renewal </w:t>
      </w:r>
      <w:r>
        <w:rPr>
          <w:b/>
          <w:bCs/>
        </w:rPr>
        <w:t xml:space="preserve">including the periods where the numbers are unimpressive.</w:t>
      </w:r>
      <w:r>
        <w:t xml:space="preserve"> A renewal conversation with no value ledger is a renewal we have not earned, and presenting only the good quarters teaches the customer that our numbers are marketing.</w:t>
      </w:r>
    </w:p>
    <w:p>
      <w:pPr>
        <w:pStyle w:val="Heading2"/>
        <w:pageBreakBefore/>
      </w:pPr>
      <w:r>
        <w:t xml:space="preserve">CHAPTER 7 — RETENTION, EXPANSION &amp; THE RENEWAL DOCTRINE</w:t>
      </w:r>
    </w:p>
    <w:p>
      <w:pPr>
        <w:pStyle w:val="Heading3"/>
      </w:pPr>
      <w:r>
        <w:t xml:space="preserve">7.1 The honest benchmark problem</w:t>
      </w:r>
    </w:p>
    <w:p>
      <w:pPr>
        <w:pStyle w:val="BodyText"/>
      </w:pPr>
      <w:r>
        <w:t xml:space="preserve">Published 2026 B2B SaaS benchmarks put median net revenue retention at roughly </w:t>
      </w:r>
      <w:r>
        <w:rPr>
          <w:b/>
          <w:bCs/>
        </w:rPr>
        <w:t xml:space="preserve">108%</w:t>
      </w:r>
      <w:r>
        <w:t xml:space="preserve">, but segmented by contract value the picture is unforgiving for a business like ours: accounts below ~$25k ACV show median NRR around </w:t>
      </w:r>
      <w:r>
        <w:rPr>
          <w:b/>
          <w:bCs/>
        </w:rPr>
        <w:t xml:space="preserve">97%</w:t>
      </w:r>
      <w:r>
        <w:t xml:space="preserve">, mid-market around </w:t>
      </w:r>
      <w:r>
        <w:rPr>
          <w:b/>
          <w:bCs/>
        </w:rPr>
        <w:t xml:space="preserve">108%</w:t>
      </w:r>
      <w:r>
        <w:t xml:space="preserve">, and enterprise (&gt;$100k ACV) around </w:t>
      </w:r>
      <w:r>
        <w:rPr>
          <w:b/>
          <w:bCs/>
        </w:rPr>
        <w:t xml:space="preserve">118%</w:t>
      </w:r>
      <w:r>
        <w:t xml:space="preserve"> (</w:t>
      </w:r>
      <w:hyperlink w:history="1" r:id="rId8ww7yxhvumtpq8an-lwqv">
        <w:r>
          <w:rPr>
            <w:rStyle w:val="Hyperlink"/>
          </w:rPr>
          <w:t xml:space="preserve">Growthspree</w:t>
        </w:r>
      </w:hyperlink>
      <w:r>
        <w:t xml:space="preserve">, </w:t>
      </w:r>
      <w:hyperlink w:history="1" r:id="rIdc20j_enkmzslkjje27rcz">
        <w:r>
          <w:rPr>
            <w:rStyle w:val="Hyperlink"/>
          </w:rPr>
          <w:t xml:space="preserve">Digital Applied</w:t>
        </w:r>
      </w:hyperlink>
      <w:r>
        <w:t xml:space="preserve">).</w:t>
      </w:r>
    </w:p>
    <w:p>
      <w:pPr>
        <w:pStyle w:val="BodyText"/>
      </w:pPr>
      <w:r>
        <w:rPr>
          <w:b/>
          <w:bCs/>
        </w:rPr>
        <w:t xml:space="preserve">Our Phase I customers sit squarely in the sub-$25k band</w:t>
      </w:r>
      <w:r>
        <w:t xml:space="preserve">, where the median company </w:t>
      </w:r>
      <w:r>
        <w:rPr>
          <w:i/>
          <w:iCs/>
        </w:rPr>
        <w:t xml:space="preserve">shrinks</w:t>
      </w:r>
      <w:r>
        <w:t xml:space="preserve"> its existing customer base year over year. This is the most important uncomfortable fact in this volume, and the financial model in Volume VIII is built on it rather than around it.</w:t>
      </w:r>
    </w:p>
    <w:p>
      <w:pPr>
        <w:pStyle w:val="BodyText"/>
      </w:pPr>
      <w:r>
        <w:rPr>
          <w:b/>
          <w:bCs/>
        </w:rPr>
        <w:t xml:space="preserve">Our target is 105–112% NRR in Phase I, rising toward 115%+ as ACV grows in Phase II.</w:t>
      </w:r>
      <w:r>
        <w:t xml:space="preserve"> Beating the segment median by 8–15 points is achievable but it is not automatic, and it requires exactly three things:</w:t>
      </w:r>
    </w:p>
    <w:p>
      <w:pPr>
        <w:pStyle w:val="ListParagraph"/>
        <w:numPr>
          <w:ilvl w:val="0"/>
          <w:numId w:val="2"/>
        </w:numPr>
        <w:spacing w:after="40" w:before="40" w:line="276"/>
      </w:pPr>
      <w:r>
        <w:rPr>
          <w:b/>
          <w:bCs/>
        </w:rPr>
        <w:t xml:space="preserve">A genuine expansion ladder</w:t>
      </w:r>
      <w:r>
        <w:t xml:space="preserve"> — the Volume I §6.5 module ladder is the mechanism. Institutions grow into more modules year over year, which is the only reliable source of expansion revenue in a market where we cannot raise prices aggressively.</w:t>
      </w:r>
    </w:p>
    <w:p>
      <w:pPr>
        <w:pStyle w:val="ListParagraph"/>
        <w:numPr>
          <w:ilvl w:val="0"/>
          <w:numId w:val="2"/>
        </w:numPr>
        <w:spacing w:after="40" w:before="40" w:line="276"/>
      </w:pPr>
      <w:r>
        <w:rPr>
          <w:b/>
          <w:bCs/>
        </w:rPr>
        <w:t xml:space="preserve">Gross retention above 92%</w:t>
      </w:r>
      <w:r>
        <w:t xml:space="preserve"> — which in this market means surviving fee-collection stress, proprietor changes and FX shocks. Chapter 7.3.</w:t>
      </w:r>
    </w:p>
    <w:p>
      <w:pPr>
        <w:pStyle w:val="ListParagraph"/>
        <w:numPr>
          <w:ilvl w:val="0"/>
          <w:numId w:val="2"/>
        </w:numPr>
        <w:spacing w:after="40" w:before="40" w:line="276"/>
      </w:pPr>
      <w:r>
        <w:rPr>
          <w:b/>
          <w:bCs/>
        </w:rPr>
        <w:t xml:space="preserve">Adoption as a managed function, not a hope</w:t>
      </w:r>
      <w:r>
        <w:t xml:space="preserve"> — Chapter 6.2.</w:t>
      </w:r>
    </w:p>
    <w:p>
      <w:pPr>
        <w:pStyle w:val="BodyText"/>
      </w:pPr>
      <w:r>
        <w:t xml:space="preserve">If we cannot demonstrate NRR above 105% by the end of Phase I, the Volume VIII growth scenarios do not hold and the plan must be revised rather than the number defended.</w:t>
      </w:r>
    </w:p>
    <w:p>
      <w:pPr>
        <w:pStyle w:val="Heading3"/>
      </w:pPr>
      <w:r>
        <w:t xml:space="preserve">7.2 The renewal doctrine</w:t>
      </w:r>
    </w:p>
    <w:p>
      <w:pPr>
        <w:pStyle w:val="ListParagraph"/>
        <w:numPr>
          <w:ilvl w:val="0"/>
          <w:numId w:val="3"/>
        </w:numPr>
        <w:spacing w:after="40" w:before="40" w:line="276"/>
      </w:pPr>
      <w:r>
        <w:rPr>
          <w:b/>
          <w:bCs/>
        </w:rPr>
        <w:t xml:space="preserve">No auto-renewal without notice.</w:t>
      </w:r>
      <w:r>
        <w:t xml:space="preserve"> 60 days’ notice, in plain language, stating the amount.</w:t>
      </w:r>
    </w:p>
    <w:p>
      <w:pPr>
        <w:pStyle w:val="ListParagraph"/>
        <w:numPr>
          <w:ilvl w:val="0"/>
          <w:numId w:val="3"/>
        </w:numPr>
        <w:spacing w:after="40" w:before="40" w:line="276"/>
      </w:pPr>
      <w:r>
        <w:rPr>
          <w:b/>
          <w:bCs/>
        </w:rPr>
        <w:t xml:space="preserve">No price increase mid-term.</w:t>
      </w:r>
      <w:r>
        <w:t xml:space="preserve"> At renewal, capped at 12% annually without documented, communicated scope increase (Volume I §6.3.6).</w:t>
      </w:r>
    </w:p>
    <w:p>
      <w:pPr>
        <w:pStyle w:val="ListParagraph"/>
        <w:numPr>
          <w:ilvl w:val="0"/>
          <w:numId w:val="3"/>
        </w:numPr>
        <w:spacing w:after="40" w:before="40" w:line="276"/>
      </w:pPr>
      <w:r>
        <w:rPr>
          <w:b/>
          <w:bCs/>
        </w:rPr>
        <w:t xml:space="preserve">Cancelling is easier than subscribing.</w:t>
      </w:r>
      <w:r>
        <w:t xml:space="preserve"> Measured, reported, and a defect if it is not true.</w:t>
      </w:r>
    </w:p>
    <w:p>
      <w:pPr>
        <w:pStyle w:val="ListParagraph"/>
        <w:numPr>
          <w:ilvl w:val="0"/>
          <w:numId w:val="3"/>
        </w:numPr>
        <w:spacing w:after="40" w:before="40" w:line="276"/>
      </w:pPr>
      <w:r>
        <w:rPr>
          <w:b/>
          <w:bCs/>
        </w:rPr>
        <w:t xml:space="preserve">Downgrade is self-serve.</w:t>
      </w:r>
      <w:r>
        <w:t xml:space="preserve"> “Contact sales to downgrade” is a prohibited pattern.</w:t>
      </w:r>
    </w:p>
    <w:p>
      <w:pPr>
        <w:pStyle w:val="ListParagraph"/>
        <w:numPr>
          <w:ilvl w:val="0"/>
          <w:numId w:val="3"/>
        </w:numPr>
        <w:spacing w:after="40" w:before="40" w:line="276"/>
      </w:pPr>
      <w:r>
        <w:rPr>
          <w:b/>
          <w:bCs/>
        </w:rPr>
        <w:t xml:space="preserve">We proactively remove what they don’t use</w:t>
      </w:r>
      <w:r>
        <w:t xml:space="preserve"> (Chapter 6.1, Stage 8).</w:t>
      </w:r>
    </w:p>
    <w:p>
      <w:pPr>
        <w:pStyle w:val="ListParagraph"/>
        <w:numPr>
          <w:ilvl w:val="0"/>
          <w:numId w:val="3"/>
        </w:numPr>
        <w:spacing w:after="40" w:before="40" w:line="276"/>
      </w:pPr>
      <w:r>
        <w:rPr>
          <w:b/>
          <w:bCs/>
        </w:rPr>
        <w:t xml:space="preserve">We tell them when a cheaper configuration would serve them better.</w:t>
      </w:r>
      <w:r>
        <w:t xml:space="preserve"> This costs revenue in the quarter and is the single most effective retention action available.</w:t>
      </w:r>
    </w:p>
    <w:p>
      <w:pPr>
        <w:pStyle w:val="Heading3"/>
      </w:pPr>
      <w:r>
        <w:t xml:space="preserve">7.3 Churn: causes and countermeasures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Cause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Frequency in our market</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Countermeasure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Cannot afford it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Downgrade path offered before churn; Band A pricing; instalment terms; honest qualification at Stage 2</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Never adopted it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Stage 8 adoption management; unused-module removal</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Champion left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Multi-threading — never fewer than three relationships in any account above Standard</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Proprietor/leadership change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 re-onboarding within 30 days of any leadership change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Delivery failure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 §14.2; capacity confirmed before signature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Outgrew us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Low</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Should not happen; if it does, it is a product roadmap input, urgently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Competitor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Low–Medium</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Usually a symptom of one of the above, not a cause; recorded honestly</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Churn: causes and countermeasures</w:t>
      </w:r>
    </w:p>
    <w:p>
      <w:pPr>
        <w:pStyle w:val="BodyText"/>
      </w:pPr>
      <w:r>
        <w:rPr>
          <w:b/>
          <w:bCs/>
        </w:rPr>
        <w:t xml:space="preserve">Every churn is logged with a real reason and reviewed monthly.</w:t>
      </w:r>
      <w:r>
        <w:t xml:space="preserve"> “Price” is not accepted as a reason without evidence (Volume II §5.2.5).</w:t>
      </w:r>
    </w:p>
    <w:p>
      <w:pPr>
        <w:pStyle w:val="Heading3"/>
      </w:pPr>
      <w:r>
        <w:t xml:space="preserve">7.4 The win-back rule</w:t>
      </w:r>
    </w:p>
    <w:p>
      <w:pPr>
        <w:pStyle w:val="BodyText"/>
      </w:pPr>
      <w:r>
        <w:t xml:space="preserve">An institution that leaves keeps its data export, its verification pages stay live for issued credentials, and it is treated with the same courtesy as a customer. </w:t>
      </w:r>
      <w:r>
        <w:rPr>
          <w:b/>
          <w:bCs/>
        </w:rPr>
        <w:t xml:space="preserve">Credentials already issued remain verifiable forever regardless of whether the institution is still a customer</w:t>
      </w:r>
      <w:r>
        <w:t xml:space="preserve"> — because the graduate did nothing wrong, and holding a graduate’s verifiable degree hostage to their school’s subscription would be exactly the data hostage-taking Volume I P5 forbids. This is also, incidentally, the most effective win-back mechanism we have.</w:t>
      </w:r>
    </w:p>
    <w:p>
      <w:pPr>
        <w:pStyle w:val="Heading2"/>
        <w:pageBreakBefore/>
      </w:pPr>
      <w:r>
        <w:t xml:space="preserve">CHAPTER 8 — MARKETING</w:t>
      </w:r>
    </w:p>
    <w:p>
      <w:pPr>
        <w:pStyle w:val="Heading3"/>
      </w:pPr>
      <w:r>
        <w:t xml:space="preserve">8.1 The mix</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Channel</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Role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Phase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SEO &amp; content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primary engine. Compounds. Answers the questions institutions actually search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 onward</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tools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Distribution disguised as generosity (Volume I §5.3)</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 onward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Verification pages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Passive, permanent, high-credibility exposure to employers and universities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 onward</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Referral programme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highest-converting channel in an owner-led market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 onward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Reference deployments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One visible institution recruits its peers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 onward</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Community &amp; events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Proprietor associations, education fairs, faith networks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 onward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Partner co-marketing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Their audience, shared cost</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Developer relations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Ecosystem seeding</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Press &amp; thought leadership</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Credibility with ministries and enterprise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Paid acquisition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Only in Band C markets where LTV supports it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III</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Annual summit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ecosystem’s centre of gravity</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 onward</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mix</w:t>
      </w:r>
    </w:p>
    <w:p>
      <w:pPr>
        <w:pStyle w:val="Heading3"/>
      </w:pPr>
      <w:r>
        <w:t xml:space="preserve">8.2 Content strategy</w:t>
      </w:r>
    </w:p>
    <w:p>
      <w:pPr>
        <w:pStyle w:val="BodyText"/>
      </w:pPr>
      <w:r>
        <w:t xml:space="preserve">We publish what an institution needs whether or not they buy from us: how to run an admissions cycle, how to write a safeguarding policy, how to prepare for accreditation, how to move records off paper, how certificate verification actually works, what school software should cost. </w:t>
      </w:r>
      <w:r>
        <w:rPr>
          <w:b/>
          <w:bCs/>
        </w:rPr>
        <w:t xml:space="preserve">The honest guide to pricing in our own category is published, including where we are more expensive than a competitor and why.</w:t>
      </w:r>
    </w:p>
    <w:p>
      <w:pPr>
        <w:pStyle w:val="BodyText"/>
      </w:pPr>
      <w:r>
        <w:t xml:space="preserve">This works for a specific reason: our buyers search for problems, not for products. A proprietor searching “how to stop certificate forgery” is worth more than one searching “school management software”, is cheaper to reach, and arrives already trusting us.</w:t>
      </w:r>
    </w:p>
    <w:p>
      <w:pPr>
        <w:pStyle w:val="Heading3"/>
      </w:pPr>
      <w:r>
        <w:t xml:space="preserve">8.3 Marketing rules</w:t>
      </w:r>
    </w:p>
    <w:p>
      <w:pPr>
        <w:pStyle w:val="BodyText"/>
      </w:pPr>
      <w:r>
        <w:t xml:space="preserve">Every claim substantiated (Volume II §7.4 — five proof points, and no sixth until a sixth is true) · no fabricated testimonials, reviews, case studies or statistics, ever (Volume I §7.2.3) · no fear-selling · no competitor disparagement by name · no pre-announcing unshipped products (Volume II §8) · all pricing in marketing matches Volume III exactly · every customer story approved in writing and accurate about what we actually did.</w:t>
      </w:r>
    </w:p>
    <w:p>
      <w:pPr>
        <w:pStyle w:val="Heading2"/>
        <w:pageBreakBefore/>
      </w:pPr>
      <w:r>
        <w:t xml:space="preserve">CHAPTER 9 — THE PARTNER NETWORK</w:t>
      </w:r>
    </w:p>
    <w:p>
      <w:pPr>
        <w:pStyle w:val="Heading3"/>
      </w:pPr>
      <w:r>
        <w:t xml:space="preserve">9.1 The strategic logic</w:t>
      </w:r>
    </w:p>
    <w:p>
      <w:pPr>
        <w:pStyle w:val="BodyText"/>
      </w:pPr>
      <w:r>
        <w:t xml:space="preserve">The most fragmented part of the competitive landscape — freelancers and small agencies (Volume II §5.1, Class 5) — is simultaneously the largest untapped distribution network in our market. They have the relationships. They lack product, continuity, security posture and scale. </w:t>
      </w:r>
      <w:r>
        <w:rPr>
          <w:b/>
          <w:bCs/>
        </w:rPr>
        <w:t xml:space="preserve">We do not compete with them at the bottom of the market; we recruit them.</w:t>
      </w:r>
    </w:p>
    <w:p>
      <w:pPr>
        <w:pStyle w:val="BodyText"/>
      </w:pPr>
      <w:r>
        <w:t xml:space="preserve">This converts our most numerous competitor into our distribution channel, and it is how the group reaches thousands of institutions without thousands of employees.</w:t>
      </w:r>
    </w:p>
    <w:p>
      <w:pPr>
        <w:pStyle w:val="Heading3"/>
      </w:pPr>
      <w:r>
        <w:t xml:space="preserve">9.2 Partner tiers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Tier</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Who</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Margin / share</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Requirements</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Referral</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Anyone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 of year-1 revenue</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Register the deal</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Reseller</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Agencies, ICT firms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25–35%</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 certified person, 2 deals/yr</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Delivery Partner</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Implementation firms</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30–40% of services</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 certified implementers, quality audit</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Solution Partner</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Sector specialists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35–45%</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Domain expertise, 5 references</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White-label Partner</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Established brands</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65% of end revenue to partner</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commitment, quality audit</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Distributor</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Country/regional</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Negotiated</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Market commitment, local entity, support capability</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Partner tiers</w:t>
      </w:r>
    </w:p>
    <w:p>
      <w:pPr>
        <w:pStyle w:val="Heading3"/>
      </w:pPr>
      <w:r>
        <w:t xml:space="preserve">9.3 What we give partners</w:t>
      </w:r>
    </w:p>
    <w:p>
      <w:pPr>
        <w:pStyle w:val="BodyText"/>
      </w:pPr>
      <w:r>
        <w:t xml:space="preserve">Certification and training (Volume III Division 15) · deal registration with real protection · demo environments · co-branded and white-label materials · pre-sales support · technical escalation · a partner portal with pipeline, resources and payouts · leads routed by geography and specialism · co-marketing funds at Solution tier and above.</w:t>
      </w:r>
    </w:p>
    <w:p>
      <w:pPr>
        <w:pStyle w:val="Heading3"/>
      </w:pPr>
      <w:r>
        <w:t xml:space="preserve">9.4 What we require</w:t>
      </w:r>
    </w:p>
    <w:p>
      <w:pPr>
        <w:pStyle w:val="BodyText"/>
      </w:pPr>
      <w:r>
        <w:t xml:space="preserve">Certified staff · adherence to Volume III pricing (partners set their own services margin but do not undercut published software prices, which would destroy the transparency wedge for everyone) · the Volume I §6.6 prohibited-practices standard · customer satisfaction above a threshold · annual recertification · </w:t>
      </w:r>
      <w:r>
        <w:rPr>
          <w:b/>
          <w:bCs/>
        </w:rPr>
        <w:t xml:space="preserve">no misrepresentation of what StromeX does</w:t>
      </w:r>
      <w:r>
        <w:t xml:space="preserve"> — a partner overselling capability damages us and is grounds for termination.</w:t>
      </w:r>
    </w:p>
    <w:p>
      <w:pPr>
        <w:pStyle w:val="Heading3"/>
      </w:pPr>
      <w:r>
        <w:t xml:space="preserve">9.5 The partner covenant</w:t>
      </w:r>
    </w:p>
    <w:p>
      <w:pPr>
        <w:pStyle w:val="BodyText"/>
      </w:pPr>
      <w:r>
        <w:t xml:space="preserve">We will not compete with a partner on their registered deal. We will not take a partner’s customer direct. We will not change partner economics without 180 days’ notice. If we acquire a company that competes with a partner, we say so immediately and offer a transition.</w:t>
      </w:r>
    </w:p>
    <w:p>
      <w:pPr>
        <w:pStyle w:val="BodyText"/>
      </w:pPr>
      <w:r>
        <w:rPr>
          <w:b/>
          <w:bCs/>
        </w:rPr>
        <w:t xml:space="preserve">A partner network that fears the vendor does not invest in the vendor.</w:t>
      </w:r>
      <w:r>
        <w:t xml:space="preserve"> The economics above are deliberately more generous than the industry norm for the same reason the marketplace rev-share is (Volume III §16.1): a sustainable partner ecosystem is worth more than the extra points.</w:t>
      </w:r>
    </w:p>
    <w:p>
      <w:pPr>
        <w:pStyle w:val="Heading2"/>
        <w:pageBreakBefore/>
      </w:pPr>
      <w:r>
        <w:t xml:space="preserve">CHAPTER 10 — THE PLATFORM ECOSYSTEM</w:t>
      </w:r>
      <w:fldSimple w:instr="XE &quot;Ecosystem&quot;"/>
    </w:p>
    <w:p>
      <w:pPr>
        <w:pStyle w:val="Heading3"/>
      </w:pPr>
      <w:r>
        <w:t xml:space="preserve">10.1 Why we open the platform</w:t>
      </w:r>
    </w:p>
    <w:p>
      <w:pPr>
        <w:pStyle w:val="BodyText"/>
      </w:pPr>
      <w:r>
        <w:t xml:space="preserve">A closed platform grows at the rate we can hire. An open one grows at the rate the world can build. The ecosystem exists so that capabilities we would never prioritise — a Kano-specific fee-collection integration, a Ghanaian examination-board connector, an Urdu madrasah module — get built by people closer to the need than we will ever be.</w:t>
      </w:r>
    </w:p>
    <w:p>
      <w:pPr>
        <w:pStyle w:val="Heading3"/>
      </w:pPr>
      <w:r>
        <w:t xml:space="preserve">10.2 The ecosystem surfaces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Surface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What third parties build</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Terms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REST API</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Anything</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commercial tier at high volume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Webhooks &amp; events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Reactive integrations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SDKs</w:t>
            </w:r>
            <w:r>
              <w:rPr>
                <w:rFonts w:ascii="DejaVu Sans" w:cs="DejaVu Sans" w:eastAsia="DejaVu Sans" w:hAnsi="DejaVu Sans"/>
                <w:color w:val="0D1117"/>
                <w:sz w:val="16"/>
                <w:szCs w:val="16"/>
              </w:rPr>
              <w:t xml:space="preserve"> (JS, Python, PHP)</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Client libraries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open source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Design system</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Consistent UI on top of us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open source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Plugins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In-product extensions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Marketplace, 20% rev-share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Mini-apps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Embedded experiences inside portals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Marketplace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AI agents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 agents for niches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Marketplace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Connectors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Third-party system bridges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Marketplace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Themes &amp; templates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Design assets, document templates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Marketplace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Sector modules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Whole verticals we have not entered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Solution Partner terms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Embedded/OEM</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StromeX modules inside another product</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III §16.2</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ecosystem surfaces</w:t>
      </w:r>
    </w:p>
    <w:p>
      <w:pPr>
        <w:pStyle w:val="Heading3"/>
      </w:pPr>
      <w:r>
        <w:t xml:space="preserve">10.3 The developer promise</w:t>
      </w:r>
    </w:p>
    <w:p>
      <w:pPr>
        <w:pStyle w:val="BodyText"/>
      </w:pPr>
      <w:r>
        <w:t xml:space="preserve">Documentation is free and public · the same API we use is the API you get (Volume IV §6, dogfooding rule) · versions are supported 24 months after supersession · breaking changes never happen within a version · rate limits are published and generous · a free sandbox with realistic seed data · </w:t>
      </w:r>
      <w:r>
        <w:rPr>
          <w:b/>
          <w:bCs/>
        </w:rPr>
        <w:t xml:space="preserve">we will not clone your successful extension and bundle it</w:t>
      </w:r>
      <w:r>
        <w:t xml:space="preserve"> — if a marketplace extension becomes essential, we acquire it or partner, we do not copy it. This last commitment is what makes the ecosystem investable by anyone other than us, and breaking it once would end the ecosystem permanently.</w:t>
      </w:r>
    </w:p>
    <w:p>
      <w:pPr>
        <w:pStyle w:val="Heading3"/>
      </w:pPr>
      <w:r>
        <w:t xml:space="preserve">10.4 Marketplace quality</w:t>
      </w:r>
    </w:p>
    <w:p>
      <w:pPr>
        <w:pStyle w:val="BodyText"/>
      </w:pPr>
      <w:r>
        <w:t xml:space="preserve">Every listing is reviewed before publication: does what it claims, handles data per Volume IV §9, does not exfiltrate customer data, states its pricing clearly, has a support contact. Listings that break customer trust are removed and the seller is barred. </w:t>
      </w:r>
      <w:r>
        <w:rPr>
          <w:b/>
          <w:bCs/>
        </w:rPr>
        <w:t xml:space="preserve">We are accountable to the customer for the marketplace even where we did not build the extension</w:t>
      </w:r>
      <w:r>
        <w:t xml:space="preserve"> — an institution has one relationship, with us.</w:t>
      </w:r>
    </w:p>
    <w:p>
      <w:pPr>
        <w:pStyle w:val="Heading2"/>
        <w:pageBreakBefore/>
      </w:pPr>
      <w:r>
        <w:t xml:space="preserve">CHAPTER 11 — COMMUNITY, ACADEMY &amp; ADVOCACY</w:t>
      </w:r>
      <w:fldSimple w:instr="XE &quot;CAC&quot;"/>
    </w:p>
    <w:p>
      <w:pPr>
        <w:pStyle w:val="Heading3"/>
      </w:pPr>
      <w:r>
        <w:t xml:space="preserve">11.1 StromeX Academy</w:t>
      </w:r>
    </w:p>
    <w:p>
      <w:pPr>
        <w:pStyle w:val="BodyText"/>
      </w:pPr>
      <w:r>
        <w:t xml:space="preserve">Volume III Division 15. Free documentation, video library, community forum and onboarding webinars; paid training and certification where a credential confers real value. Certifications: Certified Administrator, Certified Implementer, Certified Partner Engineer, Certified Designer.</w:t>
      </w:r>
    </w:p>
    <w:p>
      <w:pPr>
        <w:pStyle w:val="BodyText"/>
      </w:pPr>
      <w:r>
        <w:rPr>
          <w:b/>
          <w:bCs/>
        </w:rPr>
        <w:t xml:space="preserve">The certification must be worth something in the labour market or it is not worth selling.</w:t>
      </w:r>
      <w:r>
        <w:t xml:space="preserve"> That means it must be genuinely difficult, independently verifiable (using our own credential infrastructure — we verify our own certificates with the same system we sell), and recognised by employers because certified people are demonstrably better. A certification that everyone passes is a receipt, not a credential.</w:t>
      </w:r>
    </w:p>
    <w:p>
      <w:pPr>
        <w:pStyle w:val="Heading3"/>
      </w:pPr>
      <w:r>
        <w:t xml:space="preserve">11.2 Community programmes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Programme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Purpose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Phase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Community forum</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Peer support; reduces support load; surfaces product truth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Open-source community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Design system, SDKs, exporters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Educator community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Curriculum, templates, question banks shared between institutions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Campus ambassadors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Students at universities we serve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Student ambassadors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Secondary students; the next generation of developers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Developer community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Ecosystem builders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User conferences</w:t>
            </w:r>
            <w:r>
              <w:rPr>
                <w:rFonts w:ascii="DejaVu Sans" w:cs="DejaVu Sans" w:eastAsia="DejaVu Sans" w:hAnsi="DejaVu Sans"/>
                <w:color w:val="0D1117"/>
                <w:sz w:val="16"/>
                <w:szCs w:val="16"/>
              </w:rPr>
              <w:t xml:space="preserve"> (regional)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Customers meet each other; the strongest retention event there is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The annual summit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ecosystem’s centre of gravity; customers, partners, developers, government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Research fellows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IX, Chapter 3</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Community programmes</w:t>
      </w:r>
    </w:p>
    <w:p>
      <w:pPr>
        <w:pStyle w:val="Heading3"/>
      </w:pPr>
      <w:r>
        <w:t xml:space="preserve">11.3 The advocacy principle</w:t>
      </w:r>
    </w:p>
    <w:p>
      <w:pPr>
        <w:pStyle w:val="BodyText"/>
      </w:pPr>
      <w:r>
        <w:t xml:space="preserve">An advocate is a customer who recruits for us because the product and the relationship earned it. Advocacy cannot be bought, and attempting to buy it (paid testimonials, undisclosed inducements, review incentives) is prohibited and would destroy the only asset — credibility — that makes the referral engine work in the first place.</w:t>
      </w:r>
    </w:p>
    <w:p>
      <w:pPr>
        <w:pStyle w:val="BodyText"/>
      </w:pPr>
      <w:r>
        <w:t xml:space="preserve">Referral credits are legitimate, disclosed, and modest. The advocacy itself must be free.</w:t>
      </w:r>
    </w:p>
    <w:p>
      <w:pPr>
        <w:pStyle w:val="Heading2"/>
        <w:pageBreakBefore/>
      </w:pPr>
      <w:r>
        <w:t xml:space="preserve">CHAPTER 12 — GTM METRICS</w:t>
      </w:r>
    </w:p>
    <w:p>
      <w:pPr>
        <w:pStyle w:val="BodyText"/>
      </w:pPr>
      <w:r>
        <w:t xml:space="preserve">Reviewed monthly by the Executive. Every metric has a named owner.</w:t>
      </w:r>
    </w:p>
    <w:p>
      <w:pPr>
        <w:pStyle w:val="Heading3"/>
      </w:pPr>
      <w:r>
        <w:t xml:space="preserve">12.1 Acquisition</w:t>
      </w:r>
    </w:p>
    <w:p>
      <w:pPr>
        <w:pStyle w:val="BodyText"/>
      </w:pPr>
      <w:r>
        <w:t xml:space="preserve">Free-tier monthly active institutions · free-to-identified conversion · identified-to-qualified · qualified-to-customer · CAC by motion and by channel · </w:t>
      </w:r>
      <w:r>
        <w:rPr>
          <w:b/>
          <w:bCs/>
        </w:rPr>
        <w:t xml:space="preserve">CAC payback in months</w:t>
      </w:r>
      <w:r>
        <w:t xml:space="preserve"> (target &lt;12 for low-touch, &lt;18 for consultative) · organic traffic and ranked keywords · verification-page sessions (the passive engine) · referral share of new customers (target: &gt;35% by end of Phase I) · partner share of new customers (target: &gt;30% by end of Phase II).</w:t>
      </w:r>
    </w:p>
    <w:p>
      <w:pPr>
        <w:pStyle w:val="Heading3"/>
      </w:pPr>
      <w:r>
        <w:t xml:space="preserve">12.2 Delivery</w:t>
      </w:r>
    </w:p>
    <w:p>
      <w:pPr>
        <w:pStyle w:val="BodyText"/>
      </w:pPr>
      <w:r>
        <w:t xml:space="preserve">Time to first value (target &lt;14 days) · time to go-live vs. committed · implementation margin vs. Volume I §6.2 band · go-lives requiring heroics (target: zero) · migration reconciliation exceptions.</w:t>
      </w:r>
    </w:p>
    <w:p>
      <w:pPr>
        <w:pStyle w:val="Heading3"/>
      </w:pPr>
      <w:r>
        <w:t xml:space="preserve">12.3 Retention &amp; expansion</w:t>
      </w:r>
    </w:p>
    <w:p>
      <w:pPr>
        <w:pStyle w:val="BodyText"/>
      </w:pPr>
      <w:r>
        <w:rPr>
          <w:b/>
          <w:bCs/>
        </w:rPr>
        <w:t xml:space="preserve">Gross revenue retention</w:t>
      </w:r>
      <w:r>
        <w:t xml:space="preserve"> (target &gt;92%) · </w:t>
      </w:r>
      <w:r>
        <w:rPr>
          <w:b/>
          <w:bCs/>
        </w:rPr>
        <w:t xml:space="preserve">net revenue retention</w:t>
      </w:r>
      <w:r>
        <w:t xml:space="preserve"> (target 105–112% Phase I, &gt;115% Phase II — Chapter 7.1) · logo churn with real reasons · adoption rate per module · unused-module count · health score distribution · red accounts with an active written plan (target: 100%).</w:t>
      </w:r>
    </w:p>
    <w:p>
      <w:pPr>
        <w:pStyle w:val="Heading3"/>
      </w:pPr>
      <w:r>
        <w:t xml:space="preserve">12.4 Trust</w:t>
      </w:r>
    </w:p>
    <w:p>
      <w:pPr>
        <w:pStyle w:val="BodyText"/>
      </w:pPr>
      <w:r>
        <w:t xml:space="preserve">Cancellation clicks vs. sign-up clicks (must be fewer) · support first-response and resolution times by tier · incidents published within commitment · SLA credits applied automatically · </w:t>
      </w:r>
      <w:r>
        <w:rPr>
          <w:b/>
          <w:bCs/>
        </w:rPr>
        <w:t xml:space="preserve">customer-reported “would recommend”</w:t>
      </w:r>
      <w:r>
        <w:t xml:space="preserve">, collected honestly and reported including the bad quarters.</w:t>
      </w:r>
    </w:p>
    <w:p>
      <w:pPr>
        <w:pStyle w:val="Heading3"/>
      </w:pPr>
      <w:r>
        <w:t xml:space="preserve">12.5 The metric we refuse to optimise</w:t>
      </w:r>
    </w:p>
    <w:p>
      <w:pPr>
        <w:pStyle w:val="BodyText"/>
      </w:pPr>
      <w:r>
        <w:rPr>
          <w:b/>
          <w:bCs/>
        </w:rPr>
        <w:t xml:space="preserve">Signature volume disconnected from adoption.</w:t>
      </w:r>
      <w:r>
        <w:t xml:space="preserve"> A quarter of strong bookings and weak adoption is a bad quarter reported as a good one, and it is the precise mechanism by which software companies destroy their own next three years. Bookings are reported alongside 90-day adoption, always, in the same table.</w:t>
      </w:r>
    </w:p>
    <w:p>
      <w:pPr>
        <w:pBdr>
          <w:bottom w:val="single" w:color="C9CFD9" w:sz="4" w:space="1"/>
        </w:pBdr>
        <w:spacing w:after="200" w:before="160"/>
      </w:pPr>
      <w:r>
        <w:t xml:space="preserve"/>
      </w:r>
    </w:p>
    <w:p>
      <w:pPr>
        <w:pStyle w:val="Heading2"/>
        <w:pageBreakBefore/>
      </w:pPr>
      <w:r>
        <w:rPr>
          <w:rFonts w:ascii="DejaVu Serif" w:cs="DejaVu Serif" w:eastAsia="DejaVu Serif" w:hAnsi="DejaVu Serif"/>
          <w:b/>
          <w:bCs/>
          <w:color w:val="0B3C91"/>
          <w:sz w:val="34"/>
          <w:szCs w:val="34"/>
        </w:rPr>
        <w:t xml:space="preserve">Glossary</w:t>
      </w:r>
    </w:p>
    <w:p>
      <w:pPr>
        <w:pStyle w:val="EditorialNote"/>
        <w:spacing w:after="240"/>
      </w:pPr>
      <w:r>
        <w:t xml:space="preserve">Terms are defined as this corpus uses them. Where a term also has a general industry meaning, the definition here governs internally and the cross-reference points to the chapter in which the term is established.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726"/>
      </w:tblGrid>
      <w:tr>
        <w:trPr>
          <w:cantSplit w:val="false"/>
          <w:tblHeader/>
        </w:trPr>
        <w:tc>
          <w:tcPr>
            <w:tcW w:type="dxa" w:w="2200"/>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Term</w:t>
            </w:r>
          </w:p>
        </w:tc>
        <w:tc>
          <w:tcPr>
            <w:tcW w:type="dxa" w:w="672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Definition</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ACV</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Annual contract value. The recurring revenue a customer contributes in a year, excluding one-time implementation and build fees.</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Band A / B / C</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three regional price bands defined in Volume I §6.4. All catalogue prices are quoted at Band C (list); Band A applies a 0.32× multiplier and Band B a 0.65×. The band follows the institution’s operating jurisdiction, not its billing address.</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 acquisition cost. Loaded sales and marketing cost divided by customers acquired in the period.</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 payback</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number of months of gross profit from a customer required to recover that customer’s acquisition cost.</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Craft standard</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requirement in Volume VI §2.1 that creative work be indistinguishable from that of a good London or New York studio while remaining reproducible by a regional printer on the first attempt.</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Credential</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 institution-issued, cryptographically signed record of an award, qualification, identity or transaction that a third party may need to verify. The subject of Volume IV,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Degraded mode</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defined, designed and tested behaviour of a surface under failure — no network, slow network, provider outage. Required of every surface by Volume IV §10.2.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Ecosystem</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complete sector solution spanning all eight architectural layers, rather than a product sold into a sector. The unit of strategic expansion; see Volume I, Chapter 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Entrenched provision</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clause amendable only by board supermajority with published rationale and thirty days’ notice. Enumerated in Volume IX §9.2.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Federation</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Server-to-server interoperation across independently operated instances, allowing an institution to own its data while remaining reachable. The basis of the SpaceTalk government strategy; Volume X,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Foundation tier</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permanently free tier. Not a trial and not a demo; governed by the Free Constitution in Volume I,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Gate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set of conditions that must be met before a roadmap phase may end. A phase ends when its gate is passed, not when its years elapse. Volume VIII, Chapter 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GRR</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Gross revenue retention. Recurring revenue retained from existing customers excluding expansion; measures churn alone.</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Guilloche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Fine mathematical line-work used in security printing, extremely difficult to reproduce by scan-and-print. The primary visual security element of a StromeX credential; Volume VI §6.2.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Human-in-the-loop</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requirement that a named human decides, and is recorded as deciding, wherever the stakes ladder classifies a decision as high. Volume IV §8.1.</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LTV</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Lifetime value. The discounted gross profit expected from a customer over the expected life of the relationship.</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No-fork rule</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prohibition on forking shared platform layers for a single customer without written CTO approval and a sunset date. Volume IV §3.2.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NRR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Net revenue retention. Recurring revenue from existing customers including expansion and contraction. Above 100% means the existing base grows without new customers.</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Pricing Council</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standing body that owns Volume III, meets quarterly, and reviews every price against delivered margin. Volume I §8.4.</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Reference Implementation</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delivered institutional deployment used as proof of method and as a permanent sales asset. Four are recorded in this edition.</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Rule of 40</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Revenue growth percentage plus operating margin percentage. A common composite measure of whether a software company balances growth against profitability.</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Stakes ladder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four-level classification — low, medium, high, prohibited — determining how much autonomy an AI system may exercise over a decision. Volume IV §8.1.</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System of record</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authoritative store of an institution’s people, money, documents, credentials and decisions. Identified in Volume II §9 as the group’s only genuinely durable moat.</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Value ledger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running, honest account of what an institution has gained from StromeX, shown at every renewal including the periods where the numbers are unimpressive. Volume I §4.4.</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Verification token</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prepaid unit purchased by an institution for verification-adjacent services carrying real marginal cost. Verification itself is always free to the verifier. Volume III §3.5.</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Wave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group of industry ecosystems opened in the same roadmap phase. Volume I §2.2.</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Glossary of terms</w:t>
      </w:r>
    </w:p>
    <w:p>
      <w:pPr>
        <w:pStyle w:val="Heading2"/>
        <w:pageBreakBefore/>
      </w:pPr>
      <w:r>
        <w:rPr>
          <w:rFonts w:ascii="DejaVu Serif" w:cs="DejaVu Serif" w:eastAsia="DejaVu Serif" w:hAnsi="DejaVu Serif"/>
          <w:b/>
          <w:bCs/>
          <w:color w:val="0B3C91"/>
          <w:sz w:val="34"/>
          <w:szCs w:val="34"/>
        </w:rPr>
        <w:t xml:space="preserve">References &amp; Bibliography</w:t>
      </w:r>
    </w:p>
    <w:p>
      <w:pPr>
        <w:pStyle w:val="EditorialNote"/>
        <w:spacing w:after="260"/>
      </w:pPr>
      <w:r>
        <w:t xml:space="preserve">Every external figure in this corpus is attributed at the point of use. This list consolidates those sources and records what each was used for. Sources were consulted in August 2026; where a source reports a market figure that moves, the figure is dated in the text.</w:t>
      </w:r>
    </w:p>
    <w:p>
      <w:pPr>
        <w:pStyle w:val="Heading3"/>
      </w:pPr>
      <w:r>
        <w:rPr>
          <w:rFonts w:ascii="DejaVu Serif" w:cs="DejaVu Serif" w:eastAsia="DejaVu Serif" w:hAnsi="DejaVu Serif"/>
          <w:b/>
          <w:bCs/>
          <w:color w:val="0B3C91"/>
          <w:sz w:val="25"/>
          <w:szCs w:val="25"/>
        </w:rPr>
        <w:t xml:space="preserve">External sources</w:t>
      </w:r>
    </w:p>
    <w:p>
      <w:pPr>
        <w:spacing w:after="40" w:before="0" w:line="275"/>
        <w:ind w:left="420" w:hanging="420"/>
      </w:pPr>
      <w:r>
        <w:rPr>
          <w:rFonts w:ascii="Liberation Serif" w:cs="Liberation Serif" w:eastAsia="Liberation Serif" w:hAnsi="Liberation Serif"/>
          <w:b/>
          <w:bCs/>
          <w:color w:val="1B6EF3"/>
          <w:sz w:val="16"/>
          <w:szCs w:val="16"/>
        </w:rPr>
        <w:t xml:space="preserve">[1]  </w:t>
      </w:r>
      <w:r>
        <w:rPr>
          <w:rFonts w:ascii="Liberation Serif" w:cs="Liberation Serif" w:eastAsia="Liberation Serif" w:hAnsi="Liberation Serif"/>
          <w:b/>
          <w:bCs/>
          <w:sz w:val="17"/>
          <w:szCs w:val="17"/>
        </w:rPr>
        <w:t xml:space="preserve">Federal Ministry of Education, Nigeria. </w:t>
      </w:r>
      <w:r>
        <w:rPr>
          <w:rFonts w:ascii="Liberation Serif" w:cs="Liberation Serif" w:eastAsia="Liberation Serif" w:hAnsi="Liberation Serif"/>
          <w:i/>
          <w:iCs/>
          <w:sz w:val="17"/>
          <w:szCs w:val="17"/>
        </w:rPr>
        <w:t xml:space="preserve">Nigeria Education Statistics — Annual School Census 2024/25. Education Management Information System portal. </w:t>
      </w:r>
      <w:hyperlink w:history="1" r:id="rIdl6ldr-z1_m8nt1wtqcnf3">
        <w:r>
          <w:rPr>
            <w:rStyle w:val="Hyperlink"/>
            <w:rFonts w:ascii="Liberation Serif" w:cs="Liberation Serif" w:eastAsia="Liberation Serif" w:hAnsi="Liberation Serif"/>
            <w:sz w:val="14"/>
            <w:szCs w:val="14"/>
          </w:rPr>
          <w:t xml:space="preserve">https://emis.education.gov.ng/portal/</w:t>
        </w:r>
      </w:hyperlink>
    </w:p>
    <w:p>
      <w:pPr>
        <w:spacing w:after="170"/>
        <w:ind w:left="420"/>
      </w:pPr>
      <w:r>
        <w:rPr>
          <w:rFonts w:ascii="Liberation Serif" w:cs="Liberation Serif" w:eastAsia="Liberation Serif" w:hAnsi="Liberation Serif"/>
          <w:color w:val="6B7480"/>
          <w:sz w:val="15"/>
          <w:szCs w:val="15"/>
        </w:rPr>
        <w:t xml:space="preserve">Cited in Volume VII §1.1 for the count of private schools and enrolment in the founding market.</w:t>
      </w:r>
    </w:p>
    <w:p>
      <w:pPr>
        <w:spacing w:after="40" w:before="0" w:line="275"/>
        <w:ind w:left="420" w:hanging="420"/>
      </w:pPr>
      <w:r>
        <w:rPr>
          <w:rFonts w:ascii="Liberation Serif" w:cs="Liberation Serif" w:eastAsia="Liberation Serif" w:hAnsi="Liberation Serif"/>
          <w:b/>
          <w:bCs/>
          <w:color w:val="1B6EF3"/>
          <w:sz w:val="16"/>
          <w:szCs w:val="16"/>
        </w:rPr>
        <w:t xml:space="preserve">[2]  </w:t>
      </w:r>
      <w:r>
        <w:rPr>
          <w:rFonts w:ascii="Liberation Serif" w:cs="Liberation Serif" w:eastAsia="Liberation Serif" w:hAnsi="Liberation Serif"/>
          <w:b/>
          <w:bCs/>
          <w:sz w:val="17"/>
          <w:szCs w:val="17"/>
        </w:rPr>
        <w:t xml:space="preserve">Growthspree. </w:t>
      </w:r>
      <w:r>
        <w:rPr>
          <w:rFonts w:ascii="Liberation Serif" w:cs="Liberation Serif" w:eastAsia="Liberation Serif" w:hAnsi="Liberation Serif"/>
          <w:i/>
          <w:iCs/>
          <w:sz w:val="17"/>
          <w:szCs w:val="17"/>
        </w:rPr>
        <w:t xml:space="preserve">B2B SaaS NRR and GRR Benchmarks 2026, by ARR Stage, ACV Tier, Vertical and GTM Motion. </w:t>
      </w:r>
      <w:hyperlink w:history="1" r:id="rIdpbgrzb7navv9dujuq-ws8">
        <w:r>
          <w:rPr>
            <w:rStyle w:val="Hyperlink"/>
            <w:rFonts w:ascii="Liberation Serif" w:cs="Liberation Serif" w:eastAsia="Liberation Serif" w:hAnsi="Liberation Serif"/>
            <w:sz w:val="14"/>
            <w:szCs w:val="14"/>
          </w:rPr>
          <w:t xml:space="preserve">https://www.growthspreeofficial.com/blogs/b2b-saas-nrr-grr-net-gross-revenue-retention-benchmarks-2026-by-acv-stage-vertical</w:t>
        </w:r>
      </w:hyperlink>
    </w:p>
    <w:p>
      <w:pPr>
        <w:spacing w:after="170"/>
        <w:ind w:left="420"/>
      </w:pPr>
      <w:r>
        <w:rPr>
          <w:rFonts w:ascii="Liberation Serif" w:cs="Liberation Serif" w:eastAsia="Liberation Serif" w:hAnsi="Liberation Serif"/>
          <w:color w:val="6B7480"/>
          <w:sz w:val="15"/>
          <w:szCs w:val="15"/>
        </w:rPr>
        <w:t xml:space="preserve">Cited in Volume V §7.1 and Volume VII §14.4 for retention by contract-value band.</w:t>
      </w:r>
    </w:p>
    <w:p>
      <w:pPr>
        <w:spacing w:after="40" w:before="0" w:line="275"/>
        <w:ind w:left="420" w:hanging="420"/>
      </w:pPr>
      <w:r>
        <w:rPr>
          <w:rFonts w:ascii="Liberation Serif" w:cs="Liberation Serif" w:eastAsia="Liberation Serif" w:hAnsi="Liberation Serif"/>
          <w:b/>
          <w:bCs/>
          <w:color w:val="1B6EF3"/>
          <w:sz w:val="16"/>
          <w:szCs w:val="16"/>
        </w:rPr>
        <w:t xml:space="preserve">[3]  </w:t>
      </w:r>
      <w:r>
        <w:rPr>
          <w:rFonts w:ascii="Liberation Serif" w:cs="Liberation Serif" w:eastAsia="Liberation Serif" w:hAnsi="Liberation Serif"/>
          <w:b/>
          <w:bCs/>
          <w:sz w:val="17"/>
          <w:szCs w:val="17"/>
        </w:rPr>
        <w:t xml:space="preserve">Digital Applied. </w:t>
      </w:r>
      <w:r>
        <w:rPr>
          <w:rFonts w:ascii="Liberation Serif" w:cs="Liberation Serif" w:eastAsia="Liberation Serif" w:hAnsi="Liberation Serif"/>
          <w:i/>
          <w:iCs/>
          <w:sz w:val="17"/>
          <w:szCs w:val="17"/>
        </w:rPr>
        <w:t xml:space="preserve">Net Revenue Retention Benchmarks 2026: SaaS Expansion Data. </w:t>
      </w:r>
      <w:hyperlink w:history="1" r:id="rIdxq_c_s_maqltxxsyx47sz">
        <w:r>
          <w:rPr>
            <w:rStyle w:val="Hyperlink"/>
            <w:rFonts w:ascii="Liberation Serif" w:cs="Liberation Serif" w:eastAsia="Liberation Serif" w:hAnsi="Liberation Serif"/>
            <w:sz w:val="14"/>
            <w:szCs w:val="14"/>
          </w:rPr>
          <w:t xml:space="preserve">https://www.digitalapplied.com/blog/net-revenue-retention-benchmarks-2026-saas-expansion-data</w:t>
        </w:r>
      </w:hyperlink>
    </w:p>
    <w:p>
      <w:pPr>
        <w:spacing w:after="170"/>
        <w:ind w:left="420"/>
      </w:pPr>
      <w:r>
        <w:rPr>
          <w:rFonts w:ascii="Liberation Serif" w:cs="Liberation Serif" w:eastAsia="Liberation Serif" w:hAnsi="Liberation Serif"/>
          <w:color w:val="6B7480"/>
          <w:sz w:val="15"/>
          <w:szCs w:val="15"/>
        </w:rPr>
        <w:t xml:space="preserve">Cited in Volume V §7.1 for median B2B net revenue retention.</w:t>
      </w:r>
    </w:p>
    <w:p>
      <w:pPr>
        <w:spacing w:after="40" w:before="0" w:line="275"/>
        <w:ind w:left="420" w:hanging="420"/>
      </w:pPr>
      <w:r>
        <w:rPr>
          <w:rFonts w:ascii="Liberation Serif" w:cs="Liberation Serif" w:eastAsia="Liberation Serif" w:hAnsi="Liberation Serif"/>
          <w:b/>
          <w:bCs/>
          <w:color w:val="1B6EF3"/>
          <w:sz w:val="16"/>
          <w:szCs w:val="16"/>
        </w:rPr>
        <w:t xml:space="preserve">[4]  </w:t>
      </w:r>
      <w:r>
        <w:rPr>
          <w:rFonts w:ascii="Liberation Serif" w:cs="Liberation Serif" w:eastAsia="Liberation Serif" w:hAnsi="Liberation Serif"/>
          <w:b/>
          <w:bCs/>
          <w:sz w:val="17"/>
          <w:szCs w:val="17"/>
        </w:rPr>
        <w:t xml:space="preserve">Value Add VC. </w:t>
      </w:r>
      <w:r>
        <w:rPr>
          <w:rFonts w:ascii="Liberation Serif" w:cs="Liberation Serif" w:eastAsia="Liberation Serif" w:hAnsi="Liberation Serif"/>
          <w:i/>
          <w:iCs/>
          <w:sz w:val="17"/>
          <w:szCs w:val="17"/>
        </w:rPr>
        <w:t xml:space="preserve">SaaS Valuation Multiples 2026. </w:t>
      </w:r>
      <w:hyperlink w:history="1" r:id="rIdyskyueoift0kgavthzoan">
        <w:r>
          <w:rPr>
            <w:rStyle w:val="Hyperlink"/>
            <w:rFonts w:ascii="Liberation Serif" w:cs="Liberation Serif" w:eastAsia="Liberation Serif" w:hAnsi="Liberation Serif"/>
            <w:sz w:val="14"/>
            <w:szCs w:val="14"/>
          </w:rPr>
          <w:t xml:space="preserve">https://valueaddvc.com/saas-valuations</w:t>
        </w:r>
      </w:hyperlink>
    </w:p>
    <w:p>
      <w:pPr>
        <w:spacing w:after="170"/>
        <w:ind w:left="420"/>
      </w:pPr>
      <w:r>
        <w:rPr>
          <w:rFonts w:ascii="Liberation Serif" w:cs="Liberation Serif" w:eastAsia="Liberation Serif" w:hAnsi="Liberation Serif"/>
          <w:color w:val="6B7480"/>
          <w:sz w:val="15"/>
          <w:szCs w:val="15"/>
        </w:rPr>
        <w:t xml:space="preserve">Cited in Volume VIII §5.4 for public SaaS enterprise-value-to-revenue multiples.</w:t>
      </w:r>
    </w:p>
    <w:p>
      <w:pPr>
        <w:spacing w:after="40" w:before="0" w:line="275"/>
        <w:ind w:left="420" w:hanging="420"/>
      </w:pPr>
      <w:r>
        <w:rPr>
          <w:rFonts w:ascii="Liberation Serif" w:cs="Liberation Serif" w:eastAsia="Liberation Serif" w:hAnsi="Liberation Serif"/>
          <w:b/>
          <w:bCs/>
          <w:color w:val="1B6EF3"/>
          <w:sz w:val="16"/>
          <w:szCs w:val="16"/>
        </w:rPr>
        <w:t xml:space="preserve">[5]  </w:t>
      </w:r>
      <w:r>
        <w:rPr>
          <w:rFonts w:ascii="Liberation Serif" w:cs="Liberation Serif" w:eastAsia="Liberation Serif" w:hAnsi="Liberation Serif"/>
          <w:b/>
          <w:bCs/>
          <w:sz w:val="17"/>
          <w:szCs w:val="17"/>
        </w:rPr>
        <w:t xml:space="preserve">Aventis Advisors. </w:t>
      </w:r>
      <w:r>
        <w:rPr>
          <w:rFonts w:ascii="Liberation Serif" w:cs="Liberation Serif" w:eastAsia="Liberation Serif" w:hAnsi="Liberation Serif"/>
          <w:i/>
          <w:iCs/>
          <w:sz w:val="17"/>
          <w:szCs w:val="17"/>
        </w:rPr>
        <w:t xml:space="preserve">SaaS Valuation Multiples: 2015–2026. </w:t>
      </w:r>
      <w:hyperlink w:history="1" r:id="rIdjolpgtonoymsyfpcny5yu">
        <w:r>
          <w:rPr>
            <w:rStyle w:val="Hyperlink"/>
            <w:rFonts w:ascii="Liberation Serif" w:cs="Liberation Serif" w:eastAsia="Liberation Serif" w:hAnsi="Liberation Serif"/>
            <w:sz w:val="14"/>
            <w:szCs w:val="14"/>
          </w:rPr>
          <w:t xml:space="preserve">https://aventis-advisors.com/saas-valuation-multiples/</w:t>
        </w:r>
      </w:hyperlink>
    </w:p>
    <w:p>
      <w:pPr>
        <w:spacing w:after="170"/>
        <w:ind w:left="420"/>
      </w:pPr>
      <w:r>
        <w:rPr>
          <w:rFonts w:ascii="Liberation Serif" w:cs="Liberation Serif" w:eastAsia="Liberation Serif" w:hAnsi="Liberation Serif"/>
          <w:color w:val="6B7480"/>
          <w:sz w:val="15"/>
          <w:szCs w:val="15"/>
        </w:rPr>
        <w:t xml:space="preserve">Cited in Volume VIII §5.4 for the historical range of software multiples.</w:t>
      </w:r>
    </w:p>
    <w:p>
      <w:pPr>
        <w:spacing w:after="40" w:before="0" w:line="275"/>
        <w:ind w:left="420" w:hanging="420"/>
      </w:pPr>
      <w:r>
        <w:rPr>
          <w:rFonts w:ascii="Liberation Serif" w:cs="Liberation Serif" w:eastAsia="Liberation Serif" w:hAnsi="Liberation Serif"/>
          <w:b/>
          <w:bCs/>
          <w:color w:val="1B6EF3"/>
          <w:sz w:val="16"/>
          <w:szCs w:val="16"/>
        </w:rPr>
        <w:t xml:space="preserve">[6]  </w:t>
      </w:r>
      <w:r>
        <w:rPr>
          <w:rFonts w:ascii="Liberation Serif" w:cs="Liberation Serif" w:eastAsia="Liberation Serif" w:hAnsi="Liberation Serif"/>
          <w:b/>
          <w:bCs/>
          <w:sz w:val="17"/>
          <w:szCs w:val="17"/>
        </w:rPr>
        <w:t xml:space="preserve">L40. </w:t>
      </w:r>
      <w:r>
        <w:rPr>
          <w:rFonts w:ascii="Liberation Serif" w:cs="Liberation Serif" w:eastAsia="Liberation Serif" w:hAnsi="Liberation Serif"/>
          <w:i/>
          <w:iCs/>
          <w:sz w:val="17"/>
          <w:szCs w:val="17"/>
        </w:rPr>
        <w:t xml:space="preserve">SaaS Multiples 2026: The Real Private Range. </w:t>
      </w:r>
      <w:hyperlink w:history="1" r:id="rIdrypluhlal504l8_wdhbej">
        <w:r>
          <w:rPr>
            <w:rStyle w:val="Hyperlink"/>
            <w:rFonts w:ascii="Liberation Serif" w:cs="Liberation Serif" w:eastAsia="Liberation Serif" w:hAnsi="Liberation Serif"/>
            <w:sz w:val="14"/>
            <w:szCs w:val="14"/>
          </w:rPr>
          <w:t xml:space="preserve">https://www.l40.com/insights/saas-multiples</w:t>
        </w:r>
      </w:hyperlink>
    </w:p>
    <w:p>
      <w:pPr>
        <w:spacing w:after="170"/>
        <w:ind w:left="420"/>
      </w:pPr>
      <w:r>
        <w:rPr>
          <w:rFonts w:ascii="Liberation Serif" w:cs="Liberation Serif" w:eastAsia="Liberation Serif" w:hAnsi="Liberation Serif"/>
          <w:color w:val="6B7480"/>
          <w:sz w:val="15"/>
          <w:szCs w:val="15"/>
        </w:rPr>
        <w:t xml:space="preserve">Cited in Volume VIII §5.4 for private-company multiples and the premium band.</w:t>
      </w:r>
    </w:p>
    <w:p>
      <w:pPr>
        <w:spacing w:after="40" w:before="0" w:line="275"/>
        <w:ind w:left="420" w:hanging="420"/>
      </w:pPr>
      <w:r>
        <w:rPr>
          <w:rFonts w:ascii="Liberation Serif" w:cs="Liberation Serif" w:eastAsia="Liberation Serif" w:hAnsi="Liberation Serif"/>
          <w:b/>
          <w:bCs/>
          <w:color w:val="1B6EF3"/>
          <w:sz w:val="16"/>
          <w:szCs w:val="16"/>
        </w:rPr>
        <w:t xml:space="preserve">[7]  </w:t>
      </w:r>
      <w:r>
        <w:rPr>
          <w:rFonts w:ascii="Liberation Serif" w:cs="Liberation Serif" w:eastAsia="Liberation Serif" w:hAnsi="Liberation Serif"/>
          <w:b/>
          <w:bCs/>
          <w:sz w:val="17"/>
          <w:szCs w:val="17"/>
        </w:rPr>
        <w:t xml:space="preserve">Eqvista. </w:t>
      </w:r>
      <w:r>
        <w:rPr>
          <w:rFonts w:ascii="Liberation Serif" w:cs="Liberation Serif" w:eastAsia="Liberation Serif" w:hAnsi="Liberation Serif"/>
          <w:i/>
          <w:iCs/>
          <w:sz w:val="17"/>
          <w:szCs w:val="17"/>
        </w:rPr>
        <w:t xml:space="preserve">SaaS Index: Revenue Multiples, Valuations &amp; Market Trends. </w:t>
      </w:r>
      <w:hyperlink w:history="1" r:id="rId239y6jrymq0fhjj_hcvto">
        <w:r>
          <w:rPr>
            <w:rStyle w:val="Hyperlink"/>
            <w:rFonts w:ascii="Liberation Serif" w:cs="Liberation Serif" w:eastAsia="Liberation Serif" w:hAnsi="Liberation Serif"/>
            <w:sz w:val="14"/>
            <w:szCs w:val="14"/>
          </w:rPr>
          <w:t xml:space="preserve">https://eqvista.com/saas-index-revenue-multiples-valuations-market-trends/</w:t>
        </w:r>
      </w:hyperlink>
    </w:p>
    <w:p>
      <w:pPr>
        <w:spacing w:after="170"/>
        <w:ind w:left="420"/>
      </w:pPr>
      <w:r>
        <w:rPr>
          <w:rFonts w:ascii="Liberation Serif" w:cs="Liberation Serif" w:eastAsia="Liberation Serif" w:hAnsi="Liberation Serif"/>
          <w:color w:val="6B7480"/>
          <w:sz w:val="15"/>
          <w:szCs w:val="15"/>
        </w:rPr>
        <w:t xml:space="preserve">Cited in Volume VIII §5.4 for the distribution of Rule of 40 outcomes.</w:t>
      </w:r>
    </w:p>
    <w:p>
      <w:pPr>
        <w:spacing w:after="40" w:before="0" w:line="275"/>
        <w:ind w:left="420" w:hanging="420"/>
      </w:pPr>
      <w:r>
        <w:rPr>
          <w:rFonts w:ascii="Liberation Serif" w:cs="Liberation Serif" w:eastAsia="Liberation Serif" w:hAnsi="Liberation Serif"/>
          <w:b/>
          <w:bCs/>
          <w:color w:val="1B6EF3"/>
          <w:sz w:val="16"/>
          <w:szCs w:val="16"/>
        </w:rPr>
        <w:t xml:space="preserve">[8]  </w:t>
      </w:r>
      <w:r>
        <w:rPr>
          <w:rFonts w:ascii="Liberation Serif" w:cs="Liberation Serif" w:eastAsia="Liberation Serif" w:hAnsi="Liberation Serif"/>
          <w:b/>
          <w:bCs/>
          <w:sz w:val="17"/>
          <w:szCs w:val="17"/>
        </w:rPr>
        <w:t xml:space="preserve">Priori Data. </w:t>
      </w:r>
      <w:r>
        <w:rPr>
          <w:rFonts w:ascii="Liberation Serif" w:cs="Liberation Serif" w:eastAsia="Liberation Serif" w:hAnsi="Liberation Serif"/>
          <w:i/>
          <w:iCs/>
          <w:sz w:val="17"/>
          <w:szCs w:val="17"/>
        </w:rPr>
        <w:t xml:space="preserve">Most Popular Messaging App Statistics 2026. </w:t>
      </w:r>
      <w:hyperlink w:history="1" r:id="rIdzjxb-y_mbf6kaask9li4i">
        <w:r>
          <w:rPr>
            <w:rStyle w:val="Hyperlink"/>
            <w:rFonts w:ascii="Liberation Serif" w:cs="Liberation Serif" w:eastAsia="Liberation Serif" w:hAnsi="Liberation Serif"/>
            <w:sz w:val="14"/>
            <w:szCs w:val="14"/>
          </w:rPr>
          <w:t xml:space="preserve">https://prioridata.com/data/messaging-app-stats/</w:t>
        </w:r>
      </w:hyperlink>
    </w:p>
    <w:p>
      <w:pPr>
        <w:spacing w:after="170"/>
        <w:ind w:left="420"/>
      </w:pPr>
      <w:r>
        <w:rPr>
          <w:rFonts w:ascii="Liberation Serif" w:cs="Liberation Serif" w:eastAsia="Liberation Serif" w:hAnsi="Liberation Serif"/>
          <w:color w:val="6B7480"/>
          <w:sz w:val="15"/>
          <w:szCs w:val="15"/>
        </w:rPr>
        <w:t xml:space="preserve">Cited in Volume X §1.1 for messaging platform monthly active users.</w:t>
      </w:r>
    </w:p>
    <w:p>
      <w:pPr>
        <w:spacing w:after="40" w:before="0" w:line="275"/>
        <w:ind w:left="420" w:hanging="420"/>
      </w:pPr>
      <w:r>
        <w:rPr>
          <w:rFonts w:ascii="Liberation Serif" w:cs="Liberation Serif" w:eastAsia="Liberation Serif" w:hAnsi="Liberation Serif"/>
          <w:b/>
          <w:bCs/>
          <w:color w:val="1B6EF3"/>
          <w:sz w:val="16"/>
          <w:szCs w:val="16"/>
        </w:rPr>
        <w:t xml:space="preserve">[9]  </w:t>
      </w:r>
      <w:r>
        <w:rPr>
          <w:rFonts w:ascii="Liberation Serif" w:cs="Liberation Serif" w:eastAsia="Liberation Serif" w:hAnsi="Liberation Serif"/>
          <w:b/>
          <w:bCs/>
          <w:sz w:val="17"/>
          <w:szCs w:val="17"/>
        </w:rPr>
        <w:t xml:space="preserve">The Register. </w:t>
      </w:r>
      <w:r>
        <w:rPr>
          <w:rFonts w:ascii="Liberation Serif" w:cs="Liberation Serif" w:eastAsia="Liberation Serif" w:hAnsi="Liberation Serif"/>
          <w:i/>
          <w:iCs/>
          <w:sz w:val="17"/>
          <w:szCs w:val="17"/>
        </w:rPr>
        <w:t xml:space="preserve">Matrix messaging gaining ground in government IT, February 2026. </w:t>
      </w:r>
      <w:hyperlink w:history="1" r:id="rIda6vifqihcajtth4vfofpy">
        <w:r>
          <w:rPr>
            <w:rStyle w:val="Hyperlink"/>
            <w:rFonts w:ascii="Liberation Serif" w:cs="Liberation Serif" w:eastAsia="Liberation Serif" w:hAnsi="Liberation Serif"/>
            <w:sz w:val="14"/>
            <w:szCs w:val="14"/>
          </w:rPr>
          <w:t xml:space="preserve">https://www.theregister.com/on-prem/2026/02/09/matrix-messaging-gaining-ground-in-government-it/4663932</w:t>
        </w:r>
      </w:hyperlink>
    </w:p>
    <w:p>
      <w:pPr>
        <w:spacing w:after="170"/>
        <w:ind w:left="420"/>
      </w:pPr>
      <w:r>
        <w:rPr>
          <w:rFonts w:ascii="Liberation Serif" w:cs="Liberation Serif" w:eastAsia="Liberation Serif" w:hAnsi="Liberation Serif"/>
          <w:color w:val="6B7480"/>
          <w:sz w:val="15"/>
          <w:szCs w:val="15"/>
        </w:rPr>
        <w:t xml:space="preserve">Cited in Volume X §5.1 for public-sector adoption of federated messaging.</w:t>
      </w:r>
    </w:p>
    <w:p>
      <w:pPr>
        <w:spacing w:after="40" w:before="0" w:line="275"/>
        <w:ind w:left="420" w:hanging="420"/>
      </w:pPr>
      <w:r>
        <w:rPr>
          <w:rFonts w:ascii="Liberation Serif" w:cs="Liberation Serif" w:eastAsia="Liberation Serif" w:hAnsi="Liberation Serif"/>
          <w:b/>
          <w:bCs/>
          <w:color w:val="1B6EF3"/>
          <w:sz w:val="16"/>
          <w:szCs w:val="16"/>
        </w:rPr>
        <w:t xml:space="preserve">[10]  </w:t>
      </w:r>
      <w:r>
        <w:rPr>
          <w:rFonts w:ascii="Liberation Serif" w:cs="Liberation Serif" w:eastAsia="Liberation Serif" w:hAnsi="Liberation Serif"/>
          <w:b/>
          <w:bCs/>
          <w:sz w:val="17"/>
          <w:szCs w:val="17"/>
        </w:rPr>
        <w:t xml:space="preserve">Element. </w:t>
      </w:r>
      <w:r>
        <w:rPr>
          <w:rFonts w:ascii="Liberation Serif" w:cs="Liberation Serif" w:eastAsia="Liberation Serif" w:hAnsi="Liberation Serif"/>
          <w:i/>
          <w:iCs/>
          <w:sz w:val="17"/>
          <w:szCs w:val="17"/>
        </w:rPr>
        <w:t xml:space="preserve">Sweden goes live with Matrix-based federation. </w:t>
      </w:r>
      <w:hyperlink w:history="1" r:id="rIdwrlz8g1ts0smd5pbkwwsk">
        <w:r>
          <w:rPr>
            <w:rStyle w:val="Hyperlink"/>
            <w:rFonts w:ascii="Liberation Serif" w:cs="Liberation Serif" w:eastAsia="Liberation Serif" w:hAnsi="Liberation Serif"/>
            <w:sz w:val="14"/>
            <w:szCs w:val="14"/>
          </w:rPr>
          <w:t xml:space="preserve">https://element.io/blog/sweden-goes-live-with-matrix-based-federation/</w:t>
        </w:r>
      </w:hyperlink>
    </w:p>
    <w:p>
      <w:pPr>
        <w:spacing w:after="170"/>
        <w:ind w:left="420"/>
      </w:pPr>
      <w:r>
        <w:rPr>
          <w:rFonts w:ascii="Liberation Serif" w:cs="Liberation Serif" w:eastAsia="Liberation Serif" w:hAnsi="Liberation Serif"/>
          <w:color w:val="6B7480"/>
          <w:sz w:val="15"/>
          <w:szCs w:val="15"/>
        </w:rPr>
        <w:t xml:space="preserve">Cited in Volume X §5.1.</w:t>
      </w:r>
    </w:p>
    <w:p>
      <w:pPr>
        <w:spacing w:after="40" w:before="0" w:line="275"/>
        <w:ind w:left="420" w:hanging="420"/>
      </w:pPr>
      <w:r>
        <w:rPr>
          <w:rFonts w:ascii="Liberation Serif" w:cs="Liberation Serif" w:eastAsia="Liberation Serif" w:hAnsi="Liberation Serif"/>
          <w:b/>
          <w:bCs/>
          <w:color w:val="1B6EF3"/>
          <w:sz w:val="16"/>
          <w:szCs w:val="16"/>
        </w:rPr>
        <w:t xml:space="preserve">[11]  </w:t>
      </w:r>
      <w:r>
        <w:rPr>
          <w:rFonts w:ascii="Liberation Serif" w:cs="Liberation Serif" w:eastAsia="Liberation Serif" w:hAnsi="Liberation Serif"/>
          <w:b/>
          <w:bCs/>
          <w:sz w:val="17"/>
          <w:szCs w:val="17"/>
        </w:rPr>
        <w:t xml:space="preserve">Open Source For You. </w:t>
      </w:r>
      <w:r>
        <w:rPr>
          <w:rFonts w:ascii="Liberation Serif" w:cs="Liberation Serif" w:eastAsia="Liberation Serif" w:hAnsi="Liberation Serif"/>
          <w:i/>
          <w:iCs/>
          <w:sz w:val="17"/>
          <w:szCs w:val="17"/>
        </w:rPr>
        <w:t xml:space="preserve">EU Backs Open Source Matrix For Secure Internal Communications, February 2026. </w:t>
      </w:r>
      <w:hyperlink w:history="1" r:id="rIdosbgvqhhfmw_bvd_1wrgr">
        <w:r>
          <w:rPr>
            <w:rStyle w:val="Hyperlink"/>
            <w:rFonts w:ascii="Liberation Serif" w:cs="Liberation Serif" w:eastAsia="Liberation Serif" w:hAnsi="Liberation Serif"/>
            <w:sz w:val="14"/>
            <w:szCs w:val="14"/>
          </w:rPr>
          <w:t xml:space="preserve">https://www.opensourceforu.com/2026/02/eu-backs-open-source-matrix-for-secure-internal-communications/</w:t>
        </w:r>
      </w:hyperlink>
    </w:p>
    <w:p>
      <w:pPr>
        <w:spacing w:after="170"/>
        <w:ind w:left="420"/>
      </w:pPr>
      <w:r>
        <w:rPr>
          <w:rFonts w:ascii="Liberation Serif" w:cs="Liberation Serif" w:eastAsia="Liberation Serif" w:hAnsi="Liberation Serif"/>
          <w:color w:val="6B7480"/>
          <w:sz w:val="15"/>
          <w:szCs w:val="15"/>
        </w:rPr>
        <w:t xml:space="preserve">Cited in Volume X §5.1 for the European Commission trial.</w:t>
      </w:r>
    </w:p>
    <w:p>
      <w:pPr>
        <w:pStyle w:val="Heading3"/>
      </w:pPr>
      <w:r>
        <w:rPr>
          <w:rFonts w:ascii="DejaVu Serif" w:cs="DejaVu Serif" w:eastAsia="DejaVu Serif" w:hAnsi="DejaVu Serif"/>
          <w:b/>
          <w:bCs/>
          <w:color w:val="0B3C91"/>
          <w:sz w:val="25"/>
          <w:szCs w:val="25"/>
        </w:rPr>
        <w:t xml:space="preserve">Internal sources</w:t>
      </w:r>
    </w:p>
    <w:p>
      <w:pPr>
        <w:pStyle w:val="EditorialNote"/>
        <w:spacing w:after="200"/>
      </w:pPr>
      <w:r>
        <w:t xml:space="preserve">Claims in this corpus about what the group has built trace to these. Catalogue lines in Volume III are marked built, partial or specified-not-built on this basis.</w:t>
      </w:r>
    </w:p>
    <w:p>
      <w:pPr>
        <w:spacing w:after="30" w:before="0"/>
      </w:pPr>
      <w:r>
        <w:rPr>
          <w:rFonts w:ascii="Liberation Serif" w:cs="Liberation Serif" w:eastAsia="Liberation Serif" w:hAnsi="Liberation Serif"/>
          <w:b/>
          <w:bCs/>
          <w:sz w:val="17"/>
          <w:szCs w:val="17"/>
        </w:rPr>
        <w:t xml:space="preserve">StromeX MVP</w:t>
      </w:r>
      <w:r>
        <w:rPr>
          <w:rFonts w:ascii="Liberation Serif" w:cs="Liberation Serif" w:eastAsia="Liberation Serif" w:hAnsi="Liberation Serif"/>
          <w:color w:val="1B6EF3"/>
          <w:sz w:val="15"/>
          <w:szCs w:val="15"/>
        </w:rPr>
        <w:t xml:space="preserve">  ·  apps/api, apps/web, infra</w:t>
      </w:r>
    </w:p>
    <w:p>
      <w:pPr>
        <w:spacing w:after="170" w:line="275"/>
        <w:ind w:left="300"/>
      </w:pPr>
      <w:r>
        <w:rPr>
          <w:rFonts w:ascii="Liberation Serif" w:cs="Liberation Serif" w:eastAsia="Liberation Serif" w:hAnsi="Liberation Serif"/>
          <w:color w:val="38414D"/>
          <w:sz w:val="16"/>
          <w:szCs w:val="16"/>
        </w:rPr>
        <w:t xml:space="preserve">FastAPI backend with multi-provider AI routing, memory, spaced-repetition tutor and PDF export; Next.js frontend; Docker Compose infrastructure. Establishes the canonical stack in Volume IV §2.2.</w:t>
      </w:r>
    </w:p>
    <w:p>
      <w:pPr>
        <w:spacing w:after="30" w:before="0"/>
      </w:pPr>
      <w:r>
        <w:rPr>
          <w:rFonts w:ascii="Liberation Serif" w:cs="Liberation Serif" w:eastAsia="Liberation Serif" w:hAnsi="Liberation Serif"/>
          <w:b/>
          <w:bCs/>
          <w:sz w:val="17"/>
          <w:szCs w:val="17"/>
        </w:rPr>
        <w:t xml:space="preserve">Independent MVP Audit</w:t>
      </w:r>
      <w:r>
        <w:rPr>
          <w:rFonts w:ascii="Liberation Serif" w:cs="Liberation Serif" w:eastAsia="Liberation Serif" w:hAnsi="Liberation Serif"/>
          <w:color w:val="1B6EF3"/>
          <w:sz w:val="15"/>
          <w:szCs w:val="15"/>
        </w:rPr>
        <w:t xml:space="preserve">  ·  docs/04-STROMEX-INDEPENDENT-AUDIT.md</w:t>
      </w:r>
    </w:p>
    <w:p>
      <w:pPr>
        <w:spacing w:after="170" w:line="275"/>
        <w:ind w:left="300"/>
      </w:pPr>
      <w:r>
        <w:rPr>
          <w:rFonts w:ascii="Liberation Serif" w:cs="Liberation Serif" w:eastAsia="Liberation Serif" w:hAnsi="Liberation Serif"/>
          <w:color w:val="38414D"/>
          <w:sz w:val="16"/>
          <w:szCs w:val="16"/>
        </w:rPr>
        <w:t xml:space="preserve">Security, scalability, reliability and performance audit including a critical server-side request forgery vulnerability found, reproduced and fixed. Carried forward as a standing engineering rule in Volume IV §15.</w:t>
      </w:r>
    </w:p>
    <w:p>
      <w:pPr>
        <w:spacing w:after="30" w:before="0"/>
      </w:pPr>
      <w:r>
        <w:rPr>
          <w:rFonts w:ascii="Liberation Serif" w:cs="Liberation Serif" w:eastAsia="Liberation Serif" w:hAnsi="Liberation Serif"/>
          <w:b/>
          <w:bCs/>
          <w:sz w:val="17"/>
          <w:szCs w:val="17"/>
        </w:rPr>
        <w:t xml:space="preserve">Reference Implementation №1</w:t>
      </w:r>
      <w:r>
        <w:rPr>
          <w:rFonts w:ascii="Liberation Serif" w:cs="Liberation Serif" w:eastAsia="Liberation Serif" w:hAnsi="Liberation Serif"/>
          <w:color w:val="1B6EF3"/>
          <w:sz w:val="15"/>
          <w:szCs w:val="15"/>
        </w:rPr>
        <w:t xml:space="preserve">  ·  Sultan Hanafi Royal Schools</w:t>
      </w:r>
    </w:p>
    <w:p>
      <w:pPr>
        <w:spacing w:after="170" w:line="275"/>
        <w:ind w:left="300"/>
      </w:pPr>
      <w:r>
        <w:rPr>
          <w:rFonts w:ascii="Liberation Serif" w:cs="Liberation Serif" w:eastAsia="Liberation Serif" w:hAnsi="Liberation Serif"/>
          <w:color w:val="38414D"/>
          <w:sz w:val="16"/>
          <w:szCs w:val="16"/>
        </w:rPr>
        <w:t xml:space="preserve">Four-language institutional build (English, Arabic RTL, Yorùbá, French) with approximately thirty-five page templates per locale; four verification surfaces; certificate generation with documented identifier architecture, security model and signing-key deployment; digital identity and card system; finance platform; eight role portals; personalisation centre; and approximately one hundred and twenty institutional system, governance and design documents.</w:t>
      </w:r>
    </w:p>
    <w:p>
      <w:pPr>
        <w:spacing w:after="30" w:before="0"/>
      </w:pPr>
      <w:r>
        <w:rPr>
          <w:rFonts w:ascii="Liberation Serif" w:cs="Liberation Serif" w:eastAsia="Liberation Serif" w:hAnsi="Liberation Serif"/>
          <w:b/>
          <w:bCs/>
          <w:sz w:val="17"/>
          <w:szCs w:val="17"/>
        </w:rPr>
        <w:t xml:space="preserve">Reference Implementation №2</w:t>
      </w:r>
      <w:r>
        <w:rPr>
          <w:rFonts w:ascii="Liberation Serif" w:cs="Liberation Serif" w:eastAsia="Liberation Serif" w:hAnsi="Liberation Serif"/>
          <w:color w:val="1B6EF3"/>
          <w:sz w:val="15"/>
          <w:szCs w:val="15"/>
        </w:rPr>
        <w:t xml:space="preserve">  ·  WorldWide English College</w:t>
      </w:r>
    </w:p>
    <w:p>
      <w:pPr>
        <w:spacing w:after="170" w:line="275"/>
        <w:ind w:left="300"/>
      </w:pPr>
      <w:r>
        <w:rPr>
          <w:rFonts w:ascii="Liberation Serif" w:cs="Liberation Serif" w:eastAsia="Liberation Serif" w:hAnsi="Liberation Serif"/>
          <w:color w:val="38414D"/>
          <w:sz w:val="16"/>
          <w:szCs w:val="16"/>
        </w:rPr>
        <w:t xml:space="preserve">A seventy-three-table credential and commerce schema across fifteen migrations, covering enrolment integrity, competencies, evidence, awards, credential signing, issued documents, verifying institutions, payments, instalment plans, multi-currency routing, corporate seats and alumni chapters. The evidential basis for Volume IV §4.2.</w:t>
      </w:r>
    </w:p>
    <w:p>
      <w:pPr>
        <w:spacing w:after="30" w:before="0"/>
      </w:pPr>
      <w:r>
        <w:rPr>
          <w:rFonts w:ascii="Liberation Serif" w:cs="Liberation Serif" w:eastAsia="Liberation Serif" w:hAnsi="Liberation Serif"/>
          <w:b/>
          <w:bCs/>
          <w:sz w:val="17"/>
          <w:szCs w:val="17"/>
        </w:rPr>
        <w:t xml:space="preserve">Reference Implementation №3</w:t>
      </w:r>
      <w:r>
        <w:rPr>
          <w:rFonts w:ascii="Liberation Serif" w:cs="Liberation Serif" w:eastAsia="Liberation Serif" w:hAnsi="Liberation Serif"/>
          <w:color w:val="1B6EF3"/>
          <w:sz w:val="15"/>
          <w:szCs w:val="15"/>
        </w:rPr>
        <w:t xml:space="preserve">  ·  Al-Madeenah College</w:t>
      </w:r>
    </w:p>
    <w:p>
      <w:pPr>
        <w:spacing w:after="170" w:line="275"/>
        <w:ind w:left="300"/>
      </w:pPr>
      <w:r>
        <w:rPr>
          <w:rFonts w:ascii="Liberation Serif" w:cs="Liberation Serif" w:eastAsia="Liberation Serif" w:hAnsi="Liberation Serif"/>
          <w:color w:val="38414D"/>
          <w:sz w:val="16"/>
          <w:szCs w:val="16"/>
        </w:rPr>
        <w:t xml:space="preserve">Bilingual static build system with offline service worker, verification surfaces, font subsetting pipeline and document generation to PDF and DOCX.</w:t>
      </w:r>
    </w:p>
    <w:p>
      <w:pPr>
        <w:spacing w:after="30" w:before="0"/>
      </w:pPr>
      <w:r>
        <w:rPr>
          <w:rFonts w:ascii="Liberation Serif" w:cs="Liberation Serif" w:eastAsia="Liberation Serif" w:hAnsi="Liberation Serif"/>
          <w:b/>
          <w:bCs/>
          <w:sz w:val="17"/>
          <w:szCs w:val="17"/>
        </w:rPr>
        <w:t xml:space="preserve">Reference Implementation №4</w:t>
      </w:r>
      <w:r>
        <w:rPr>
          <w:rFonts w:ascii="Liberation Serif" w:cs="Liberation Serif" w:eastAsia="Liberation Serif" w:hAnsi="Liberation Serif"/>
          <w:color w:val="1B6EF3"/>
          <w:sz w:val="15"/>
          <w:szCs w:val="15"/>
        </w:rPr>
        <w:t xml:space="preserve">  ·  Institutional portal system</w:t>
      </w:r>
    </w:p>
    <w:p>
      <w:pPr>
        <w:spacing w:after="170" w:line="275"/>
        <w:ind w:left="300"/>
      </w:pPr>
      <w:r>
        <w:rPr>
          <w:rFonts w:ascii="Liberation Serif" w:cs="Liberation Serif" w:eastAsia="Liberation Serif" w:hAnsi="Liberation Serif"/>
          <w:color w:val="38414D"/>
          <w:sz w:val="16"/>
          <w:szCs w:val="16"/>
        </w:rPr>
        <w:t xml:space="preserve">Multi-role portal implementation covering student, staff, parent, applicant and administrative roles, admissions pipeline, attendance, timetable, assessment, finance and library.</w:t>
      </w:r>
    </w:p>
    <w:p>
      <w:pPr>
        <w:pStyle w:val="Heading2"/>
        <w:pageBreakBefore/>
      </w:pPr>
      <w:r>
        <w:rPr>
          <w:rFonts w:ascii="DejaVu Serif" w:cs="DejaVu Serif" w:eastAsia="DejaVu Serif" w:hAnsi="DejaVu Serif"/>
          <w:b/>
          <w:bCs/>
          <w:color w:val="0B3C91"/>
          <w:sz w:val="34"/>
          <w:szCs w:val="34"/>
        </w:rPr>
        <w:t xml:space="preserve">Index</w:t>
      </w:r>
    </w:p>
    <w:p>
      <w:pPr>
        <w:pStyle w:val="EditorialNote"/>
        <w:spacing w:after="300"/>
      </w:pPr>
      <w:r>
        <w:t xml:space="preserve">Generated by the build. Page references point to where each concept is established or substantively discussed; passing mentions are not indexed. Word index markers are also embedded throughout the corpus, so a live index can be built in Word if preferred.</w:t>
      </w:r>
    </w:p>
    <w:p>
      <w:pPr>
        <w:pBdr>
          <w:bottom w:val="single" w:color="C9CFD9" w:sz="3" w:space="4"/>
        </w:pBdr>
        <w:spacing w:after="100" w:before="0"/>
      </w:pPr>
      <w:r>
        <w:rPr>
          <w:rFonts w:ascii="DejaVu Serif" w:cs="DejaVu Serif" w:eastAsia="DejaVu Serif" w:hAnsi="DejaVu Serif"/>
          <w:b/>
          <w:bCs/>
          <w:color w:val="1B6EF3"/>
          <w:sz w:val="22"/>
          <w:szCs w:val="22"/>
        </w:rPr>
        <w:t xml:space="preserve">A</w:t>
      </w:r>
    </w:p>
    <w:p>
      <w:pPr>
        <w:spacing w:after="30" w:before="0" w:line="250"/>
        <w:ind w:left="240" w:hanging="240"/>
      </w:pPr>
      <w:r>
        <w:rPr>
          <w:sz w:val="17"/>
          <w:szCs w:val="17"/>
        </w:rPr>
        <w:t xml:space="preserve">ACV</w:t>
      </w:r>
      <w:r>
        <w:rPr>
          <w:rFonts w:ascii="DejaVu Sans" w:cs="DejaVu Sans" w:eastAsia="DejaVu Sans" w:hAnsi="DejaVu Sans"/>
          <w:color w:val="6B7480"/>
          <w:sz w:val="16"/>
          <w:szCs w:val="16"/>
        </w:rPr>
        <w:t xml:space="preserve">  12, 20, 22, 24</w:t>
      </w:r>
    </w:p>
    <w:p>
      <w:pPr>
        <w:pBdr>
          <w:bottom w:val="single" w:color="C9CFD9" w:sz="3" w:space="4"/>
        </w:pBdr>
        <w:spacing w:after="100" w:before="240"/>
      </w:pPr>
      <w:r>
        <w:rPr>
          <w:rFonts w:ascii="DejaVu Serif" w:cs="DejaVu Serif" w:eastAsia="DejaVu Serif" w:hAnsi="DejaVu Serif"/>
          <w:b/>
          <w:bCs/>
          <w:color w:val="1B6EF3"/>
          <w:sz w:val="22"/>
          <w:szCs w:val="22"/>
        </w:rPr>
        <w:t xml:space="preserve">B</w:t>
      </w:r>
    </w:p>
    <w:p>
      <w:pPr>
        <w:spacing w:after="30" w:before="0" w:line="250"/>
        <w:ind w:left="240" w:hanging="240"/>
      </w:pPr>
      <w:r>
        <w:rPr>
          <w:sz w:val="17"/>
          <w:szCs w:val="17"/>
        </w:rPr>
        <w:t xml:space="preserve">Band A</w:t>
      </w:r>
      <w:r>
        <w:rPr>
          <w:rFonts w:ascii="DejaVu Sans" w:cs="DejaVu Sans" w:eastAsia="DejaVu Sans" w:hAnsi="DejaVu Sans"/>
          <w:color w:val="6B7480"/>
          <w:sz w:val="16"/>
          <w:szCs w:val="16"/>
        </w:rPr>
        <w:t xml:space="preserve">  2, 20, 24</w:t>
      </w:r>
    </w:p>
    <w:p>
      <w:pPr>
        <w:spacing w:after="30" w:before="0" w:line="250"/>
        <w:ind w:left="240" w:hanging="240"/>
      </w:pPr>
      <w:r>
        <w:rPr>
          <w:sz w:val="17"/>
          <w:szCs w:val="17"/>
        </w:rPr>
        <w:t xml:space="preserve">Band C</w:t>
      </w:r>
      <w:r>
        <w:rPr>
          <w:rFonts w:ascii="DejaVu Sans" w:cs="DejaVu Sans" w:eastAsia="DejaVu Sans" w:hAnsi="DejaVu Sans"/>
          <w:color w:val="6B7480"/>
          <w:sz w:val="16"/>
          <w:szCs w:val="16"/>
        </w:rPr>
        <w:t xml:space="preserve">  20, 24</w:t>
      </w:r>
    </w:p>
    <w:p>
      <w:pPr>
        <w:pBdr>
          <w:bottom w:val="single" w:color="C9CFD9" w:sz="3" w:space="4"/>
        </w:pBdr>
        <w:spacing w:after="100" w:before="240"/>
      </w:pPr>
      <w:r>
        <w:rPr>
          <w:rFonts w:ascii="DejaVu Serif" w:cs="DejaVu Serif" w:eastAsia="DejaVu Serif" w:hAnsi="DejaVu Serif"/>
          <w:b/>
          <w:bCs/>
          <w:color w:val="1B6EF3"/>
          <w:sz w:val="22"/>
          <w:szCs w:val="22"/>
        </w:rPr>
        <w:t xml:space="preserve">C</w:t>
      </w:r>
    </w:p>
    <w:p>
      <w:pPr>
        <w:spacing w:after="30" w:before="0" w:line="250"/>
        <w:ind w:left="240" w:hanging="240"/>
      </w:pPr>
      <w:r>
        <w:rPr>
          <w:sz w:val="17"/>
          <w:szCs w:val="17"/>
        </w:rPr>
        <w:t xml:space="preserve">CAC payback</w:t>
      </w:r>
      <w:r>
        <w:rPr>
          <w:rFonts w:ascii="DejaVu Sans" w:cs="DejaVu Sans" w:eastAsia="DejaVu Sans" w:hAnsi="DejaVu Sans"/>
          <w:color w:val="6B7480"/>
          <w:sz w:val="16"/>
          <w:szCs w:val="16"/>
        </w:rPr>
        <w:t xml:space="preserve">  19, 24</w:t>
      </w:r>
    </w:p>
    <w:p>
      <w:pPr>
        <w:spacing w:after="30" w:before="0" w:line="250"/>
        <w:ind w:left="240" w:hanging="240"/>
      </w:pPr>
      <w:r>
        <w:rPr>
          <w:sz w:val="17"/>
          <w:szCs w:val="17"/>
        </w:rPr>
        <w:t xml:space="preserve">Credential</w:t>
      </w:r>
      <w:r>
        <w:rPr>
          <w:rFonts w:ascii="DejaVu Sans" w:cs="DejaVu Sans" w:eastAsia="DejaVu Sans" w:hAnsi="DejaVu Sans"/>
          <w:color w:val="6B7480"/>
          <w:sz w:val="16"/>
          <w:szCs w:val="16"/>
        </w:rPr>
        <w:t xml:space="preserve">  1, 3, 13, 18, 20, 23, 24</w:t>
      </w:r>
    </w:p>
    <w:p>
      <w:pPr>
        <w:pBdr>
          <w:bottom w:val="single" w:color="C9CFD9" w:sz="3" w:space="4"/>
        </w:pBdr>
        <w:spacing w:after="100" w:before="240"/>
      </w:pPr>
      <w:r>
        <w:rPr>
          <w:rFonts w:ascii="DejaVu Serif" w:cs="DejaVu Serif" w:eastAsia="DejaVu Serif" w:hAnsi="DejaVu Serif"/>
          <w:b/>
          <w:bCs/>
          <w:color w:val="1B6EF3"/>
          <w:sz w:val="22"/>
          <w:szCs w:val="22"/>
        </w:rPr>
        <w:t xml:space="preserve">E</w:t>
      </w:r>
    </w:p>
    <w:p>
      <w:pPr>
        <w:spacing w:after="30" w:before="0" w:line="250"/>
        <w:ind w:left="240" w:hanging="240"/>
      </w:pPr>
      <w:r>
        <w:rPr>
          <w:sz w:val="17"/>
          <w:szCs w:val="17"/>
        </w:rPr>
        <w:t xml:space="preserve">Ecosystem</w:t>
      </w:r>
      <w:r>
        <w:rPr>
          <w:rFonts w:ascii="DejaVu Sans" w:cs="DejaVu Sans" w:eastAsia="DejaVu Sans" w:hAnsi="DejaVu Sans"/>
          <w:color w:val="6B7480"/>
          <w:sz w:val="16"/>
          <w:szCs w:val="16"/>
        </w:rPr>
        <w:t xml:space="preserve">  1, 14, 17, 18, 24</w:t>
      </w:r>
    </w:p>
    <w:p>
      <w:pPr>
        <w:pBdr>
          <w:bottom w:val="single" w:color="C9CFD9" w:sz="3" w:space="4"/>
        </w:pBdr>
        <w:spacing w:after="100" w:before="240"/>
      </w:pPr>
      <w:r>
        <w:rPr>
          <w:rFonts w:ascii="DejaVu Serif" w:cs="DejaVu Serif" w:eastAsia="DejaVu Serif" w:hAnsi="DejaVu Serif"/>
          <w:b/>
          <w:bCs/>
          <w:color w:val="1B6EF3"/>
          <w:sz w:val="22"/>
          <w:szCs w:val="22"/>
        </w:rPr>
        <w:t xml:space="preserve">F</w:t>
      </w:r>
    </w:p>
    <w:p>
      <w:pPr>
        <w:spacing w:after="30" w:before="0" w:line="250"/>
        <w:ind w:left="240" w:hanging="240"/>
      </w:pPr>
      <w:r>
        <w:rPr>
          <w:sz w:val="17"/>
          <w:szCs w:val="17"/>
        </w:rPr>
        <w:t xml:space="preserve">Federation</w:t>
      </w:r>
      <w:r>
        <w:rPr>
          <w:rFonts w:ascii="DejaVu Sans" w:cs="DejaVu Sans" w:eastAsia="DejaVu Sans" w:hAnsi="DejaVu Sans"/>
          <w:color w:val="6B7480"/>
          <w:sz w:val="16"/>
          <w:szCs w:val="16"/>
        </w:rPr>
        <w:t xml:space="preserve">  22, 24</w:t>
      </w:r>
    </w:p>
    <w:p>
      <w:pPr>
        <w:spacing w:after="30" w:before="0" w:line="250"/>
        <w:ind w:left="240" w:hanging="240"/>
      </w:pPr>
      <w:r>
        <w:rPr>
          <w:sz w:val="17"/>
          <w:szCs w:val="17"/>
        </w:rPr>
        <w:t xml:space="preserve">Free tier</w:t>
      </w:r>
      <w:r>
        <w:rPr>
          <w:rFonts w:ascii="DejaVu Sans" w:cs="DejaVu Sans" w:eastAsia="DejaVu Sans" w:hAnsi="DejaVu Sans"/>
          <w:color w:val="6B7480"/>
          <w:sz w:val="16"/>
          <w:szCs w:val="16"/>
        </w:rPr>
        <w:t xml:space="preserve">  3, 24</w:t>
      </w:r>
    </w:p>
    <w:p>
      <w:pPr>
        <w:pBdr>
          <w:bottom w:val="single" w:color="C9CFD9" w:sz="3" w:space="4"/>
        </w:pBdr>
        <w:spacing w:after="100" w:before="240"/>
      </w:pPr>
      <w:r>
        <w:rPr>
          <w:rFonts w:ascii="DejaVu Serif" w:cs="DejaVu Serif" w:eastAsia="DejaVu Serif" w:hAnsi="DejaVu Serif"/>
          <w:b/>
          <w:bCs/>
          <w:color w:val="1B6EF3"/>
          <w:sz w:val="22"/>
          <w:szCs w:val="22"/>
        </w:rPr>
        <w:t xml:space="preserve">G</w:t>
      </w:r>
    </w:p>
    <w:p>
      <w:pPr>
        <w:spacing w:after="30" w:before="0" w:line="250"/>
        <w:ind w:left="240" w:hanging="240"/>
      </w:pPr>
      <w:r>
        <w:rPr>
          <w:sz w:val="17"/>
          <w:szCs w:val="17"/>
        </w:rPr>
        <w:t xml:space="preserve">Gate</w:t>
      </w:r>
      <w:r>
        <w:rPr>
          <w:rFonts w:ascii="DejaVu Sans" w:cs="DejaVu Sans" w:eastAsia="DejaVu Sans" w:hAnsi="DejaVu Sans"/>
          <w:color w:val="6B7480"/>
          <w:sz w:val="16"/>
          <w:szCs w:val="16"/>
        </w:rPr>
        <w:t xml:space="preserve">  20, 24</w:t>
      </w:r>
    </w:p>
    <w:p>
      <w:pPr>
        <w:spacing w:after="30" w:before="0" w:line="250"/>
        <w:ind w:left="240" w:hanging="240"/>
      </w:pPr>
      <w:r>
        <w:rPr>
          <w:sz w:val="17"/>
          <w:szCs w:val="17"/>
        </w:rPr>
        <w:t xml:space="preserve">GRR</w:t>
      </w:r>
      <w:r>
        <w:rPr>
          <w:rFonts w:ascii="DejaVu Sans" w:cs="DejaVu Sans" w:eastAsia="DejaVu Sans" w:hAnsi="DejaVu Sans"/>
          <w:color w:val="6B7480"/>
          <w:sz w:val="16"/>
          <w:szCs w:val="16"/>
        </w:rPr>
        <w:t xml:space="preserve">  22, 24</w:t>
      </w:r>
    </w:p>
    <w:p>
      <w:pPr>
        <w:pBdr>
          <w:bottom w:val="single" w:color="C9CFD9" w:sz="3" w:space="4"/>
        </w:pBdr>
        <w:spacing w:after="100" w:before="240"/>
      </w:pPr>
      <w:r>
        <w:rPr>
          <w:rFonts w:ascii="DejaVu Serif" w:cs="DejaVu Serif" w:eastAsia="DejaVu Serif" w:hAnsi="DejaVu Serif"/>
          <w:b/>
          <w:bCs/>
          <w:color w:val="1B6EF3"/>
          <w:sz w:val="22"/>
          <w:szCs w:val="22"/>
        </w:rPr>
        <w:t xml:space="preserve">M</w:t>
      </w:r>
    </w:p>
    <w:p>
      <w:pPr>
        <w:spacing w:after="30" w:before="0" w:line="250"/>
        <w:ind w:left="240" w:hanging="240"/>
      </w:pPr>
      <w:r>
        <w:rPr>
          <w:sz w:val="17"/>
          <w:szCs w:val="17"/>
        </w:rPr>
        <w:t xml:space="preserve">Marketplace</w:t>
      </w:r>
      <w:r>
        <w:rPr>
          <w:rFonts w:ascii="DejaVu Sans" w:cs="DejaVu Sans" w:eastAsia="DejaVu Sans" w:hAnsi="DejaVu Sans"/>
          <w:color w:val="6B7480"/>
          <w:sz w:val="16"/>
          <w:szCs w:val="16"/>
        </w:rPr>
        <w:t xml:space="preserve">  16, 17, 24</w:t>
      </w:r>
    </w:p>
    <w:p>
      <w:pPr>
        <w:pBdr>
          <w:bottom w:val="single" w:color="C9CFD9" w:sz="3" w:space="4"/>
        </w:pBdr>
        <w:spacing w:after="100" w:before="240"/>
      </w:pPr>
      <w:r>
        <w:rPr>
          <w:rFonts w:ascii="DejaVu Serif" w:cs="DejaVu Serif" w:eastAsia="DejaVu Serif" w:hAnsi="DejaVu Serif"/>
          <w:b/>
          <w:bCs/>
          <w:color w:val="1B6EF3"/>
          <w:sz w:val="22"/>
          <w:szCs w:val="22"/>
        </w:rPr>
        <w:t xml:space="preserve">N</w:t>
      </w:r>
    </w:p>
    <w:p>
      <w:pPr>
        <w:spacing w:after="30" w:before="0" w:line="250"/>
        <w:ind w:left="240" w:hanging="240"/>
      </w:pPr>
      <w:r>
        <w:rPr>
          <w:sz w:val="17"/>
          <w:szCs w:val="17"/>
        </w:rPr>
        <w:t xml:space="preserve">Net revenue retention</w:t>
      </w:r>
      <w:r>
        <w:rPr>
          <w:rFonts w:ascii="DejaVu Sans" w:cs="DejaVu Sans" w:eastAsia="DejaVu Sans" w:hAnsi="DejaVu Sans"/>
          <w:color w:val="6B7480"/>
          <w:sz w:val="16"/>
          <w:szCs w:val="16"/>
        </w:rPr>
        <w:t xml:space="preserve">  9, 12, 21, 22, 24</w:t>
      </w:r>
    </w:p>
    <w:p>
      <w:pPr>
        <w:spacing w:after="30" w:before="0" w:line="250"/>
        <w:ind w:left="240" w:hanging="240"/>
      </w:pPr>
      <w:r>
        <w:rPr>
          <w:sz w:val="17"/>
          <w:szCs w:val="17"/>
        </w:rPr>
        <w:t xml:space="preserve">No-fork rule</w:t>
      </w:r>
      <w:r>
        <w:rPr>
          <w:rFonts w:ascii="DejaVu Sans" w:cs="DejaVu Sans" w:eastAsia="DejaVu Sans" w:hAnsi="DejaVu Sans"/>
          <w:color w:val="6B7480"/>
          <w:sz w:val="16"/>
          <w:szCs w:val="16"/>
        </w:rPr>
        <w:t xml:space="preserve">  21</w:t>
      </w:r>
    </w:p>
    <w:p>
      <w:pPr>
        <w:spacing w:after="30" w:before="0" w:line="250"/>
        <w:ind w:left="240" w:hanging="240"/>
      </w:pPr>
      <w:r>
        <w:rPr>
          <w:sz w:val="17"/>
          <w:szCs w:val="17"/>
        </w:rPr>
        <w:t xml:space="preserve">NRR</w:t>
      </w:r>
      <w:r>
        <w:rPr>
          <w:rFonts w:ascii="DejaVu Sans" w:cs="DejaVu Sans" w:eastAsia="DejaVu Sans" w:hAnsi="DejaVu Sans"/>
          <w:color w:val="6B7480"/>
          <w:sz w:val="16"/>
          <w:szCs w:val="16"/>
        </w:rPr>
        <w:t xml:space="preserve">  12, 21, 22</w:t>
      </w:r>
    </w:p>
    <w:p>
      <w:pPr>
        <w:pBdr>
          <w:bottom w:val="single" w:color="C9CFD9" w:sz="3" w:space="4"/>
        </w:pBdr>
        <w:spacing w:after="100" w:before="240"/>
      </w:pPr>
      <w:r>
        <w:rPr>
          <w:rFonts w:ascii="DejaVu Serif" w:cs="DejaVu Serif" w:eastAsia="DejaVu Serif" w:hAnsi="DejaVu Serif"/>
          <w:b/>
          <w:bCs/>
          <w:color w:val="1B6EF3"/>
          <w:sz w:val="22"/>
          <w:szCs w:val="22"/>
        </w:rPr>
        <w:t xml:space="preserve">O</w:t>
      </w:r>
    </w:p>
    <w:p>
      <w:pPr>
        <w:spacing w:after="30" w:before="0" w:line="250"/>
        <w:ind w:left="240" w:hanging="240"/>
      </w:pPr>
      <w:r>
        <w:rPr>
          <w:sz w:val="17"/>
          <w:szCs w:val="17"/>
        </w:rPr>
        <w:t xml:space="preserve">Open source</w:t>
      </w:r>
      <w:r>
        <w:rPr>
          <w:rFonts w:ascii="DejaVu Sans" w:cs="DejaVu Sans" w:eastAsia="DejaVu Sans" w:hAnsi="DejaVu Sans"/>
          <w:color w:val="6B7480"/>
          <w:sz w:val="16"/>
          <w:szCs w:val="16"/>
        </w:rPr>
        <w:t xml:space="preserve">  17, 22</w:t>
      </w:r>
    </w:p>
    <w:p>
      <w:pPr>
        <w:pBdr>
          <w:bottom w:val="single" w:color="C9CFD9" w:sz="3" w:space="4"/>
        </w:pBdr>
        <w:spacing w:after="100" w:before="240"/>
      </w:pPr>
      <w:r>
        <w:rPr>
          <w:rFonts w:ascii="DejaVu Serif" w:cs="DejaVu Serif" w:eastAsia="DejaVu Serif" w:hAnsi="DejaVu Serif"/>
          <w:b/>
          <w:bCs/>
          <w:color w:val="1B6EF3"/>
          <w:sz w:val="22"/>
          <w:szCs w:val="22"/>
        </w:rPr>
        <w:t xml:space="preserve">P</w:t>
      </w:r>
    </w:p>
    <w:p>
      <w:pPr>
        <w:spacing w:after="30" w:before="0" w:line="250"/>
        <w:ind w:left="240" w:hanging="240"/>
      </w:pPr>
      <w:r>
        <w:rPr>
          <w:sz w:val="17"/>
          <w:szCs w:val="17"/>
        </w:rPr>
        <w:t xml:space="preserve">Partner network</w:t>
      </w:r>
      <w:r>
        <w:rPr>
          <w:rFonts w:ascii="DejaVu Sans" w:cs="DejaVu Sans" w:eastAsia="DejaVu Sans" w:hAnsi="DejaVu Sans"/>
          <w:color w:val="6B7480"/>
          <w:sz w:val="16"/>
          <w:szCs w:val="16"/>
        </w:rPr>
        <w:t xml:space="preserve">  15, 16</w:t>
      </w:r>
    </w:p>
    <w:p>
      <w:pPr>
        <w:spacing w:after="30" w:before="0" w:line="250"/>
        <w:ind w:left="240" w:hanging="240"/>
      </w:pPr>
      <w:r>
        <w:rPr>
          <w:sz w:val="17"/>
          <w:szCs w:val="17"/>
        </w:rPr>
        <w:t xml:space="preserve">Pricing Council</w:t>
      </w:r>
      <w:r>
        <w:rPr>
          <w:rFonts w:ascii="DejaVu Sans" w:cs="DejaVu Sans" w:eastAsia="DejaVu Sans" w:hAnsi="DejaVu Sans"/>
          <w:color w:val="6B7480"/>
          <w:sz w:val="16"/>
          <w:szCs w:val="16"/>
        </w:rPr>
        <w:t xml:space="preserve">  21</w:t>
      </w:r>
    </w:p>
    <w:p>
      <w:pPr>
        <w:pBdr>
          <w:bottom w:val="single" w:color="C9CFD9" w:sz="3" w:space="4"/>
        </w:pBdr>
        <w:spacing w:after="100" w:before="240"/>
      </w:pPr>
      <w:r>
        <w:rPr>
          <w:rFonts w:ascii="DejaVu Serif" w:cs="DejaVu Serif" w:eastAsia="DejaVu Serif" w:hAnsi="DejaVu Serif"/>
          <w:b/>
          <w:bCs/>
          <w:color w:val="1B6EF3"/>
          <w:sz w:val="22"/>
          <w:szCs w:val="22"/>
        </w:rPr>
        <w:t xml:space="preserve">R</w:t>
      </w:r>
    </w:p>
    <w:p>
      <w:pPr>
        <w:spacing w:after="30" w:before="0" w:line="250"/>
        <w:ind w:left="240" w:hanging="240"/>
      </w:pPr>
      <w:r>
        <w:rPr>
          <w:sz w:val="17"/>
          <w:szCs w:val="17"/>
        </w:rPr>
        <w:t xml:space="preserve">Reference Implementation</w:t>
      </w:r>
      <w:r>
        <w:rPr>
          <w:rFonts w:ascii="DejaVu Sans" w:cs="DejaVu Sans" w:eastAsia="DejaVu Sans" w:hAnsi="DejaVu Sans"/>
          <w:color w:val="6B7480"/>
          <w:sz w:val="16"/>
          <w:szCs w:val="16"/>
        </w:rPr>
        <w:t xml:space="preserve">  23</w:t>
      </w:r>
    </w:p>
    <w:p>
      <w:pPr>
        <w:pBdr>
          <w:bottom w:val="single" w:color="C9CFD9" w:sz="3" w:space="4"/>
        </w:pBdr>
        <w:spacing w:after="100" w:before="240"/>
      </w:pPr>
      <w:r>
        <w:rPr>
          <w:rFonts w:ascii="DejaVu Serif" w:cs="DejaVu Serif" w:eastAsia="DejaVu Serif" w:hAnsi="DejaVu Serif"/>
          <w:b/>
          <w:bCs/>
          <w:color w:val="1B6EF3"/>
          <w:sz w:val="22"/>
          <w:szCs w:val="22"/>
        </w:rPr>
        <w:t xml:space="preserve">V</w:t>
      </w:r>
    </w:p>
    <w:p>
      <w:pPr>
        <w:spacing w:after="30" w:before="0" w:line="250"/>
        <w:ind w:left="240" w:hanging="240"/>
      </w:pPr>
      <w:r>
        <w:rPr>
          <w:sz w:val="17"/>
          <w:szCs w:val="17"/>
        </w:rPr>
        <w:t xml:space="preserve">Value ledger</w:t>
      </w:r>
      <w:r>
        <w:rPr>
          <w:rFonts w:ascii="DejaVu Sans" w:cs="DejaVu Sans" w:eastAsia="DejaVu Sans" w:hAnsi="DejaVu Sans"/>
          <w:color w:val="6B7480"/>
          <w:sz w:val="16"/>
          <w:szCs w:val="16"/>
        </w:rPr>
        <w:t xml:space="preserve">  11, 25</w:t>
      </w:r>
    </w:p>
    <w:p>
      <w:pPr>
        <w:spacing w:after="30" w:before="0" w:line="250"/>
        <w:ind w:left="240" w:hanging="240"/>
      </w:pPr>
      <w:r>
        <w:rPr>
          <w:sz w:val="17"/>
          <w:szCs w:val="17"/>
        </w:rPr>
        <w:t xml:space="preserve">Verification</w:t>
      </w:r>
      <w:r>
        <w:rPr>
          <w:rFonts w:ascii="DejaVu Sans" w:cs="DejaVu Sans" w:eastAsia="DejaVu Sans" w:hAnsi="DejaVu Sans"/>
          <w:color w:val="6B7480"/>
          <w:sz w:val="16"/>
          <w:szCs w:val="16"/>
        </w:rPr>
        <w:t xml:space="preserve">  2, 3, 4, 9, 14, 19, 21, 23, 25</w:t>
      </w:r>
    </w:p>
    <w:p>
      <w:pPr>
        <w:pageBreakBefore/>
        <w:spacing w:after="260" w:before="2400"/>
      </w:pPr>
      <w:r>
        <w:rPr>
          <w:rFonts w:ascii="DejaVu Serif" w:cs="DejaVu Serif" w:eastAsia="DejaVu Serif" w:hAnsi="DejaVu Serif"/>
          <w:b/>
          <w:bCs/>
          <w:color w:val="0B3C91"/>
          <w:sz w:val="34"/>
          <w:szCs w:val="34"/>
        </w:rPr>
        <w:t xml:space="preserve">Colophon</w:t>
      </w:r>
    </w:p>
    <w:p>
      <w:pPr>
        <w:pStyle w:val="FrontProse"/>
      </w:pPr>
      <w:r>
        <w:t xml:space="preserve">This edition is composed for A4 at 210 × 297 mm. Display matter is set in a serif book face and running text in a companion serif, with a sans for tables, captions and navigation and a monospaced face for code and architecture figures — the four typographic roles defined in Volume I, Chapter 10. The StromeX brand faces, </w:t>
      </w:r>
      <w:r>
        <w:rPr>
          <w:b/>
          <w:bCs/>
        </w:rPr>
        <w:t xml:space="preserve">Archivo</w:t>
      </w:r>
      <w:r>
        <w:t xml:space="preserve"> and </w:t>
      </w:r>
      <w:r>
        <w:rPr>
          <w:b/>
          <w:bCs/>
        </w:rPr>
        <w:t xml:space="preserve">Fraunces</w:t>
      </w:r>
      <w:r>
        <w:t xml:space="preserve">, ship with this edition in </w:t>
      </w:r>
      <w:r>
        <w:rPr>
          <w:rFonts w:ascii="DejaVu Sans Mono" w:cs="DejaVu Sans Mono" w:eastAsia="DejaVu Sans Mono" w:hAnsi="DejaVu Sans Mono"/>
          <w:color w:val="0B3C91"/>
          <w:sz w:val="17"/>
          <w:szCs w:val="17"/>
        </w:rPr>
        <w:t xml:space="preserve">docs/bible/publication/fonts/</w:t>
      </w:r>
      <w:r>
        <w:t xml:space="preserve">; the build selects them automatically wherever they are installed in the rendering environment, so the corpus can be reissued in full brand typography without editing a line of it.</w:t>
      </w:r>
    </w:p>
    <w:p>
      <w:pPr>
        <w:pStyle w:val="FrontProse"/>
      </w:pPr>
      <w:r>
        <w:t xml:space="preserve">The rules, tables and figures follow the design laws in Volume I, Chapter 12: typography carries the interface, space is a component, colour carries meaning, and structural devices encode something true about the content rather than decorating it. Tables use horizontal rules only; the vertical grid is carried by alignment, as it is in every well-set financial document.</w:t>
      </w:r>
    </w:p>
    <w:p>
      <w:pPr>
        <w:pStyle w:val="FrontProse"/>
      </w:pPr>
      <w:r>
        <w:t xml:space="preserve">This DOCX is the authoritative master. The press-quality PDF edition is generated from it and is content-identical. Both are produced from the markdown corpus of record under version control at </w:t>
      </w:r>
      <w:r>
        <w:rPr>
          <w:rFonts w:ascii="DejaVu Sans Mono" w:cs="DejaVu Sans Mono" w:eastAsia="DejaVu Sans Mono" w:hAnsi="DejaVu Sans Mono"/>
          <w:color w:val="0B3C91"/>
          <w:sz w:val="17"/>
          <w:szCs w:val="17"/>
        </w:rPr>
        <w:t xml:space="preserve">docs/bible/</w:t>
      </w:r>
      <w:r>
        <w:t xml:space="preserve">, by the build recorded at </w:t>
      </w:r>
      <w:r>
        <w:rPr>
          <w:rFonts w:ascii="DejaVu Sans Mono" w:cs="DejaVu Sans Mono" w:eastAsia="DejaVu Sans Mono" w:hAnsi="DejaVu Sans Mono"/>
          <w:color w:val="0B3C91"/>
          <w:sz w:val="17"/>
          <w:szCs w:val="17"/>
        </w:rPr>
        <w:t xml:space="preserve">docs/bible/publication/</w:t>
      </w:r>
      <w:r>
        <w:t xml:space="preserve">, so that the publication can be regenerated exactly whenever the corpus is amended.</w:t>
      </w:r>
    </w:p>
    <w:p>
      <w:pPr>
        <w:pBdr>
          <w:bottom w:val="single" w:color="C9CFD9" w:sz="4" w:space="1"/>
        </w:pBdr>
        <w:spacing w:after="240" w:before="400"/>
      </w:pPr>
      <w:r>
        <w:rPr>
          <w:rFonts w:ascii="Liberation Serif" w:cs="Liberation Serif" w:eastAsia="Liberation Serif" w:hAnsi="Liberation Serif"/>
        </w:rPr>
        <w:t xml:space="preserve"/>
      </w:r>
    </w:p>
    <w:p>
      <w:r>
        <w:rPr>
          <w:rFonts w:ascii="Liberation Serif" w:cs="Liberation Serif" w:eastAsia="Liberation Serif" w:hAnsi="Liberation Serif"/>
          <w:b/>
          <w:bCs/>
          <w:color w:val="6B7480"/>
          <w:spacing w:val="100"/>
          <w:sz w:val="13"/>
          <w:szCs w:val="13"/>
        </w:rPr>
        <w:t xml:space="preserve">THE STROMEX EDITORIAL BIBLE  ·  Edition II  ·  VERSION 2.0</w:t>
      </w:r>
    </w:p>
    <w:p>
      <w:pPr>
        <w:spacing w:before="40"/>
      </w:pPr>
      <w:r>
        <w:rPr>
          <w:rFonts w:ascii="Liberation Serif" w:cs="Liberation Serif" w:eastAsia="Liberation Serif" w:hAnsi="Liberation Serif"/>
          <w:color w:val="6B7480"/>
          <w:sz w:val="13"/>
          <w:szCs w:val="13"/>
        </w:rPr>
        <w:t xml:space="preserve">© 2026–2027 StromeX Group Holdings. Confidential.</w:t>
      </w:r>
    </w:p>
    <w:sectPr>
      <w:headerReference w:type="default" r:id="rId8"/>
      <w:footerReference w:type="default" r:id="rId9"/>
      <w:pgSz w:w="11906" w:h="16838" w:orient="portrait"/>
      <w:pgMar w:top="1300" w:right="1400" w:bottom="1240" w:left="1580" w:header="720" w:footer="68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DejaVu Sans" w:cs="DejaVu Sans" w:eastAsia="DejaVu Sans" w:hAnsi="DejaVu Sans"/>
        <w:color w:val="6B7480"/>
        <w:sz w:val="15"/>
        <w:szCs w:val="15"/>
      </w:rPr>
      <w:t xml:space="preserve">· </w:t>
    </w:r>
    <w:r>
      <w:rPr>
        <w:rFonts w:ascii="DejaVu Sans" w:cs="DejaVu Sans" w:eastAsia="DejaVu Sans" w:hAnsi="DejaVu Sans"/>
        <w:color w:val="6B7480"/>
        <w:sz w:val="15"/>
        <w:szCs w:val="15"/>
      </w:rPr>
      <w:fldChar w:fldCharType="begin"/>
      <w:instrText xml:space="preserve">PAGE</w:instrText>
      <w:fldChar w:fldCharType="separate"/>
      <w:fldChar w:fldCharType="end"/>
    </w:r>
    <w:r>
      <w:rPr>
        <w:rFonts w:ascii="DejaVu Sans" w:cs="DejaVu Sans" w:eastAsia="DejaVu Sans" w:hAnsi="DejaVu Sans"/>
        <w:color w:val="6B7480"/>
        <w:sz w:val="15"/>
        <w:szCs w:val="15"/>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DejaVu Sans" w:cs="DejaVu Sans" w:eastAsia="DejaVu Sans" w:hAnsi="DejaVu Sans"/>
        <w:color w:val="6B7480"/>
        <w:sz w:val="15"/>
        <w:szCs w:val="15"/>
      </w:rPr>
      <w:t xml:space="preserve">· </w:t>
    </w:r>
    <w:r>
      <w:rPr>
        <w:rFonts w:ascii="DejaVu Sans" w:cs="DejaVu Sans" w:eastAsia="DejaVu Sans" w:hAnsi="DejaVu Sans"/>
        <w:color w:val="6B7480"/>
        <w:sz w:val="15"/>
        <w:szCs w:val="15"/>
      </w:rPr>
      <w:fldChar w:fldCharType="begin"/>
      <w:instrText xml:space="preserve">PAGE</w:instrText>
      <w:fldChar w:fldCharType="separate"/>
      <w:fldChar w:fldCharType="end"/>
    </w:r>
    <w:r>
      <w:rPr>
        <w:rFonts w:ascii="DejaVu Sans" w:cs="DejaVu Sans" w:eastAsia="DejaVu Sans" w:hAnsi="DejaVu Sans"/>
        <w:color w:val="6B7480"/>
        <w:sz w:val="15"/>
        <w:szCs w:val="15"/>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9" w:sz="3" w:space="6"/>
      </w:pBdr>
      <w:tabs>
        <w:tab w:val="right" w:pos="8926"/>
      </w:tabs>
      <w:spacing w:after="0"/>
    </w:pPr>
    <w:r>
      <w:rPr>
        <w:rFonts w:ascii="DejaVu Sans" w:cs="DejaVu Sans" w:eastAsia="DejaVu Sans" w:hAnsi="DejaVu Sans"/>
        <w:b/>
        <w:bCs/>
        <w:color w:val="6B7480"/>
        <w:spacing w:val="90"/>
        <w:sz w:val="13"/>
        <w:szCs w:val="13"/>
      </w:rPr>
      <w:t xml:space="preserve">THE STROMEX EDITORIAL BIBLE</w:t>
    </w:r>
    <w:r>
      <w:rPr>
        <w:rFonts w:ascii="Liberation Serif" w:cs="Liberation Serif" w:eastAsia="Liberation Serif" w:hAnsi="Liberation Serif"/>
        <w:sz w:val="12"/>
        <w:szCs w:val="12"/>
      </w:rPr>
      <w:t xml:space="preserve">	</w:t>
    </w:r>
    <w:fldSimple w:instr="STYLEREF &quot;Heading 1&quot; \* MERGEFORMAT">
      <w:r>
        <w:t xml:space="preserve">Volume</w:t>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Liberation Serif" w:cs="Liberation Serif" w:eastAsia="Liberation Serif" w:hAnsi="Liberation Serif"/>
        <w:color w:val="1B6EF3"/>
      </w:rPr>
    </w:lvl>
    <w:lvl w:ilvl="1" w15:tentative="1">
      <w:start w:val="1"/>
      <w:numFmt w:val="bullet"/>
      <w:lvlText w:val="·"/>
      <w:lvlJc w:val="left"/>
      <w:pPr>
        <w:ind w:left="640" w:hanging="220"/>
      </w:pPr>
      <w:rPr>
        <w:rFonts w:ascii="Liberation Serif" w:cs="Liberation Serif" w:eastAsia="Liberation Serif" w:hAnsi="Liberation Serif"/>
        <w:color w:val="1B6EF3"/>
      </w:rPr>
    </w:lvl>
    <w:lvl w:ilvl="2" w15:tentative="1">
      <w:start w:val="1"/>
      <w:numFmt w:val="bullet"/>
      <w:lvlText w:val="–"/>
      <w:lvlJc w:val="left"/>
      <w:pPr>
        <w:ind w:left="940" w:hanging="220"/>
      </w:pPr>
      <w:rPr>
        <w:rFonts w:ascii="Liberation Serif" w:cs="Liberation Serif" w:eastAsia="Liberation Serif" w:hAnsi="Liberation Serif"/>
        <w:color w:val="1B6EF3"/>
      </w:rPr>
    </w:lvl>
  </w:abstractNum>
  <w:abstractNum w:abstractNumId="3" w15:restartNumberingAfterBreak="0">
    <w:multiLevelType w:val="hybridMultilevel"/>
    <w:lvl w:ilvl="0" w15:tentative="1">
      <w:start w:val="1"/>
      <w:numFmt w:val="decimal"/>
      <w:lvlText w:val="%1."/>
      <w:lvlJc w:val="left"/>
      <w:pPr>
        <w:ind w:left="380" w:hanging="260"/>
      </w:pPr>
      <w:rPr>
        <w:rFonts w:ascii="Liberation Serif" w:cs="Liberation Serif" w:eastAsia="Liberation Serif" w:hAnsi="Liberation Serif"/>
        <w:b/>
        <w:bCs/>
        <w:color w:val="0B3C91"/>
      </w:rPr>
    </w:lvl>
    <w:lvl w:ilvl="1" w15:tentative="1">
      <w:start w:val="1"/>
      <w:numFmt w:val="lowerLetter"/>
      <w:lvlText w:val="%2."/>
      <w:lvlJc w:val="left"/>
      <w:pPr>
        <w:ind w:left="680" w:hanging="260"/>
      </w:pPr>
      <w:rPr>
        <w:rFonts w:ascii="Liberation Serif" w:cs="Liberation Serif" w:eastAsia="Liberation Serif" w:hAnsi="Liberation Serif"/>
        <w:b/>
        <w:bCs/>
        <w:color w:val="0B3C91"/>
      </w:rPr>
    </w:lvl>
    <w:lvl w:ilvl="2" w15:tentative="1">
      <w:start w:val="1"/>
      <w:numFmt w:val="lowerRoman"/>
      <w:lvlText w:val="%3."/>
      <w:lvlJc w:val="left"/>
      <w:pPr>
        <w:ind w:left="980" w:hanging="260"/>
      </w:pPr>
      <w:rPr>
        <w:rFonts w:ascii="Liberation Serif" w:cs="Liberation Serif" w:eastAsia="Liberation Serif" w:hAnsi="Liberation Serif"/>
        <w:b/>
        <w:bCs/>
        <w:color w:val="0B3C9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color w:val="0D1117"/>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DejaVu Serif" w:cs="DejaVu Serif" w:eastAsia="DejaVu Serif" w:hAnsi="DejaVu Serif"/>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line="288"/>
    </w:pPr>
    <w:rPr>
      <w:rFonts w:ascii="Liberation Serif" w:cs="Liberation Serif" w:eastAsia="Liberation Serif" w:hAnsi="Liberation Serif"/>
      <w:color w:val="0D1117"/>
      <w:sz w:val="21"/>
      <w:szCs w:val="21"/>
    </w:rPr>
  </w:style>
  <w:style w:type="paragraph" w:styleId="BodyText">
    <w:name w:val="Body Text"/>
    <w:basedOn w:val="Normal"/>
    <w:next w:val="BodyText"/>
    <w:pPr>
      <w:spacing w:after="170" w:before="0" w:line="290"/>
      <w:jc w:val="both"/>
    </w:pPr>
    <w:rPr>
      <w:rFonts w:ascii="Liberation Serif" w:cs="Liberation Serif" w:eastAsia="Liberation Serif" w:hAnsi="Liberation Serif"/>
      <w:color w:val="0D1117"/>
      <w:sz w:val="21"/>
      <w:szCs w:val="21"/>
    </w:rPr>
  </w:style>
  <w:style w:type="paragraph" w:styleId="Heading1">
    <w:name w:val="Heading 1"/>
    <w:basedOn w:val="Normal"/>
    <w:next w:val="BodyText"/>
    <w:qFormat/>
    <w:pPr>
      <w:keepNext/>
      <w:spacing w:after="200" w:before="0" w:line="240"/>
      <w:outlineLvl w:val="0"/>
    </w:pPr>
    <w:rPr>
      <w:rFonts w:ascii="DejaVu Serif" w:cs="DejaVu Serif" w:eastAsia="DejaVu Serif" w:hAnsi="DejaVu Serif"/>
      <w:b/>
      <w:bCs/>
      <w:color w:val="FFFFFF"/>
      <w:sz w:val="60"/>
      <w:szCs w:val="60"/>
    </w:rPr>
  </w:style>
  <w:style w:type="paragraph" w:styleId="Heading2">
    <w:name w:val="Heading 2"/>
    <w:basedOn w:val="Normal"/>
    <w:next w:val="BodyText"/>
    <w:qFormat/>
    <w:pPr>
      <w:keepNext/>
      <w:spacing w:after="260" w:before="0" w:line="250"/>
      <w:outlineLvl w:val="1"/>
    </w:pPr>
    <w:rPr>
      <w:rFonts w:ascii="DejaVu Serif" w:cs="DejaVu Serif" w:eastAsia="DejaVu Serif" w:hAnsi="DejaVu Serif"/>
      <w:b/>
      <w:bCs/>
      <w:color w:val="0B3C91"/>
      <w:sz w:val="34"/>
      <w:szCs w:val="34"/>
    </w:rPr>
  </w:style>
  <w:style w:type="paragraph" w:styleId="Heading3">
    <w:name w:val="Heading 3"/>
    <w:basedOn w:val="Normal"/>
    <w:next w:val="BodyText"/>
    <w:qFormat/>
    <w:pPr>
      <w:keepNext/>
      <w:spacing w:after="150" w:before="360" w:line="260"/>
      <w:outlineLvl w:val="2"/>
    </w:pPr>
    <w:rPr>
      <w:rFonts w:ascii="DejaVu Serif" w:cs="DejaVu Serif" w:eastAsia="DejaVu Serif" w:hAnsi="DejaVu Serif"/>
      <w:b/>
      <w:bCs/>
      <w:color w:val="0B3C91"/>
      <w:sz w:val="25"/>
      <w:szCs w:val="25"/>
    </w:rPr>
  </w:style>
  <w:style w:type="paragraph" w:styleId="Heading4">
    <w:name w:val="Heading 4"/>
    <w:basedOn w:val="Normal"/>
    <w:next w:val="BodyText"/>
    <w:qFormat/>
    <w:pPr>
      <w:keepNext/>
      <w:spacing w:after="110" w:before="300" w:line="260"/>
      <w:outlineLvl w:val="3"/>
    </w:pPr>
    <w:rPr>
      <w:rFonts w:ascii="DejaVu Sans" w:cs="DejaVu Sans" w:eastAsia="DejaVu Sans" w:hAnsi="DejaVu Sans"/>
      <w:b/>
      <w:bCs/>
      <w:color w:val="0D1117"/>
      <w:sz w:val="20"/>
      <w:szCs w:val="20"/>
    </w:rPr>
  </w:style>
  <w:style w:type="paragraph" w:styleId="Heading5">
    <w:name w:val="Heading 5"/>
    <w:basedOn w:val="Normal"/>
    <w:next w:val="BodyText"/>
    <w:qFormat/>
    <w:pPr>
      <w:keepNext/>
      <w:spacing w:after="90" w:before="240" w:line="260"/>
      <w:outlineLvl w:val="4"/>
    </w:pPr>
    <w:rPr>
      <w:rFonts w:ascii="DejaVu Sans" w:cs="DejaVu Sans" w:eastAsia="DejaVu Sans" w:hAnsi="DejaVu Sans"/>
      <w:b/>
      <w:bCs/>
      <w:color w:val="38414D"/>
      <w:sz w:val="18"/>
      <w:szCs w:val="18"/>
    </w:rPr>
  </w:style>
  <w:style w:type="paragraph" w:styleId="Caption">
    <w:name w:val="Caption"/>
    <w:basedOn w:val="Normal"/>
    <w:next w:val="BodyText"/>
    <w:pPr>
      <w:spacing w:after="260" w:before="90"/>
      <w:jc w:val="left"/>
    </w:pPr>
    <w:rPr>
      <w:rFonts w:ascii="DejaVu Sans" w:cs="DejaVu Sans" w:eastAsia="DejaVu Sans" w:hAnsi="DejaVu Sans"/>
      <w:i w:val="false"/>
      <w:iCs w:val="false"/>
      <w:color w:val="6B7480"/>
      <w:sz w:val="16"/>
      <w:szCs w:val="16"/>
    </w:rPr>
  </w:style>
  <w:style w:type="paragraph" w:styleId="PullQuote">
    <w:name w:val="Pull Quote"/>
    <w:basedOn w:val="Normal"/>
    <w:next w:val="BodyText"/>
    <w:pPr>
      <w:pBdr>
        <w:left w:val="single" w:color="1B6EF3" w:sz="16" w:space="14"/>
      </w:pBdr>
      <w:spacing w:after="240" w:before="220" w:line="300"/>
      <w:ind w:left="340" w:right="200"/>
    </w:pPr>
    <w:rPr>
      <w:rFonts w:ascii="DejaVu Serif" w:cs="DejaVu Serif" w:eastAsia="DejaVu Serif" w:hAnsi="DejaVu Serif"/>
      <w:color w:val="0B3C91"/>
      <w:sz w:val="22"/>
      <w:szCs w:val="22"/>
    </w:rPr>
  </w:style>
  <w:style w:type="paragraph" w:styleId="EditorialNote">
    <w:name w:val="Editorial Note"/>
    <w:basedOn w:val="Normal"/>
    <w:next w:val="BodyText"/>
    <w:pPr>
      <w:spacing w:after="200" w:before="60" w:line="280"/>
    </w:pPr>
    <w:rPr>
      <w:rFonts w:ascii="Liberation Serif" w:cs="Liberation Serif" w:eastAsia="Liberation Serif" w:hAnsi="Liberation Serif"/>
      <w:i/>
      <w:iCs/>
      <w:color w:val="6B7480"/>
      <w:sz w:val="18"/>
      <w:szCs w:val="18"/>
    </w:rPr>
  </w:style>
  <w:style w:type="paragraph" w:styleId="CodeBlock">
    <w:name w:val="Code Block"/>
    <w:basedOn w:val="Normal"/>
    <w:next w:val="BodyText"/>
    <w:pPr>
      <w:spacing w:after="0" w:before="0" w:line="230"/>
      <w:ind w:left="260"/>
      <w:jc w:val="left"/>
    </w:pPr>
    <w:rPr>
      <w:rFonts w:ascii="DejaVu Sans Mono" w:cs="DejaVu Sans Mono" w:eastAsia="DejaVu Sans Mono" w:hAnsi="DejaVu Sans Mono"/>
      <w:color w:val="38414D"/>
      <w:sz w:val="15"/>
      <w:szCs w:val="15"/>
    </w:rPr>
  </w:style>
  <w:style w:type="paragraph" w:styleId="ExecSummary">
    <w:name w:val="Executive Summary"/>
    <w:basedOn w:val="Normal"/>
    <w:next w:val="BodyText"/>
    <w:pPr>
      <w:spacing w:after="200" w:before="0" w:line="300"/>
      <w:jc w:val="both"/>
    </w:pPr>
    <w:rPr>
      <w:rFonts w:ascii="Liberation Serif" w:cs="Liberation Serif" w:eastAsia="Liberation Serif" w:hAnsi="Liberation Serif"/>
      <w:color w:val="38414D"/>
      <w:sz w:val="20"/>
      <w:szCs w:val="20"/>
    </w:rPr>
  </w:style>
  <w:style w:type="paragraph" w:styleId="FrontProse">
    <w:name w:val="Front Prose"/>
    <w:basedOn w:val="Normal"/>
    <w:next w:val="FrontProse"/>
    <w:pPr>
      <w:spacing w:after="200" w:before="0" w:line="310"/>
      <w:jc w:val="both"/>
    </w:pPr>
    <w:rPr>
      <w:rFonts w:ascii="Liberation Serif" w:cs="Liberation Serif" w:eastAsia="Liberation Serif" w:hAnsi="Liberation Serif"/>
      <w:color w:val="0D1117"/>
      <w:sz w:val="20"/>
      <w:szCs w:val="20"/>
    </w:rPr>
  </w:style>
  <w:style w:type="character" w:styleId="Hyperlink">
    <w:name w:val="Hyperlink"/>
    <w:basedOn w:val="DefaultParagraphFont"/>
    <w:uiPriority w:val="99"/>
    <w:unhideWhenUsed/>
    <w:rPr>
      <w:color w:val="0B3C9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8ww7yxhvumtpq8an-lwqv" Type="http://schemas.openxmlformats.org/officeDocument/2006/relationships/hyperlink" Target="https://www.growthspreeofficial.com/blogs/b2b-saas-nrr-grr-net-gross-revenue-retention-benchmarks-2026-by-acv-stage-vertical" TargetMode="External"/><Relationship Id="rIdc20j_enkmzslkjje27rcz" Type="http://schemas.openxmlformats.org/officeDocument/2006/relationships/hyperlink" Target="https://www.digitalapplied.com/blog/net-revenue-retention-benchmarks-2026-saas-expansion-data" TargetMode="External"/><Relationship Id="rIdl6ldr-z1_m8nt1wtqcnf3" Type="http://schemas.openxmlformats.org/officeDocument/2006/relationships/hyperlink" Target="https://emis.education.gov.ng/portal/" TargetMode="External"/><Relationship Id="rIdpbgrzb7navv9dujuq-ws8" Type="http://schemas.openxmlformats.org/officeDocument/2006/relationships/hyperlink" Target="https://www.growthspreeofficial.com/blogs/b2b-saas-nrr-grr-net-gross-revenue-retention-benchmarks-2026-by-acv-stage-vertical" TargetMode="External"/><Relationship Id="rIdxq_c_s_maqltxxsyx47sz" Type="http://schemas.openxmlformats.org/officeDocument/2006/relationships/hyperlink" Target="https://www.digitalapplied.com/blog/net-revenue-retention-benchmarks-2026-saas-expansion-data" TargetMode="External"/><Relationship Id="rIdyskyueoift0kgavthzoan" Type="http://schemas.openxmlformats.org/officeDocument/2006/relationships/hyperlink" Target="https://valueaddvc.com/saas-valuations" TargetMode="External"/><Relationship Id="rIdjolpgtonoymsyfpcny5yu" Type="http://schemas.openxmlformats.org/officeDocument/2006/relationships/hyperlink" Target="https://aventis-advisors.com/saas-valuation-multiples/" TargetMode="External"/><Relationship Id="rIdrypluhlal504l8_wdhbej" Type="http://schemas.openxmlformats.org/officeDocument/2006/relationships/hyperlink" Target="https://www.l40.com/insights/saas-multiples" TargetMode="External"/><Relationship Id="rId239y6jrymq0fhjj_hcvto" Type="http://schemas.openxmlformats.org/officeDocument/2006/relationships/hyperlink" Target="https://eqvista.com/saas-index-revenue-multiples-valuations-market-trends/" TargetMode="External"/><Relationship Id="rIdzjxb-y_mbf6kaask9li4i" Type="http://schemas.openxmlformats.org/officeDocument/2006/relationships/hyperlink" Target="https://prioridata.com/data/messaging-app-stats/" TargetMode="External"/><Relationship Id="rIda6vifqihcajtth4vfofpy" Type="http://schemas.openxmlformats.org/officeDocument/2006/relationships/hyperlink" Target="https://www.theregister.com/on-prem/2026/02/09/matrix-messaging-gaining-ground-in-government-it/4663932" TargetMode="External"/><Relationship Id="rIdwrlz8g1ts0smd5pbkwwsk" Type="http://schemas.openxmlformats.org/officeDocument/2006/relationships/hyperlink" Target="https://element.io/blog/sweden-goes-live-with-matrix-based-federation/" TargetMode="External"/><Relationship Id="rIdosbgvqhhfmw_bvd_1wrgr" Type="http://schemas.openxmlformats.org/officeDocument/2006/relationships/hyperlink" Target="https://www.opensourceforu.com/2026/02/eu-backs-open-source-matrix-for-secure-internal-communications/"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V — Go-to-Market · The StromeX Editorial Bible</dc:title>
  <dc:subject>StromeX Executive Knowledge System</dc:subject>
  <dc:creator>StromeX Group Holdings</dc:creator>
  <dc:description>Sales · Customer Success · Partners · Ecosystem</dc:description>
  <cp:lastModifiedBy>StromeX Group Holdings</cp:lastModifiedBy>
  <cp:revision>1</cp:revision>
  <dcterms:created xsi:type="dcterms:W3CDTF">2026-08-13T08:40:11.327Z</dcterms:created>
  <dcterms:modified xsi:type="dcterms:W3CDTF">2026-08-13T08:40:11.328Z</dcterms:modified>
</cp:coreProperties>
</file>

<file path=docProps/custom.xml><?xml version="1.0" encoding="utf-8"?>
<Properties xmlns="http://schemas.openxmlformats.org/officeDocument/2006/custom-properties" xmlns:vt="http://schemas.openxmlformats.org/officeDocument/2006/docPropsVTypes"/>
</file>