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W w:type="dxa" w:w="11906"/>
            <w:tcBorders>
              <w:top w:val="none" w:color="FFFFFF" w:sz="0"/>
              <w:left w:val="none" w:color="FFFFFF" w:sz="0"/>
              <w:bottom w:val="none" w:color="FFFFFF" w:sz="0"/>
              <w:right w:val="none" w:color="FFFFFF" w:sz="0"/>
            </w:tcBorders>
            <w:shd w:fill="05070A" w:color="auto" w:val="clear"/>
            <w:tcMar>
              <w:top w:type="dxa" w:w="1900"/>
              <w:left w:type="dxa" w:w="1580"/>
              <w:bottom w:type="dxa" w:w="1500"/>
              <w:right w:type="dxa" w:w="1400"/>
            </w:tcMar>
            <w:vAlign w:val="center"/>
          </w:tcPr>
          <w:p>
            <w:pPr>
              <w:spacing w:after="0"/>
            </w:pPr>
            <w:r>
              <w:rPr>
                <w:rFonts w:ascii="DejaVu Sans" w:cs="DejaVu Sans" w:eastAsia="DejaVu Sans" w:hAnsi="DejaVu Sans"/>
                <w:b/>
                <w:bCs/>
                <w:color w:val="FFFFFF"/>
                <w:spacing w:val="240"/>
                <w:sz w:val="26"/>
                <w:szCs w:val="26"/>
              </w:rPr>
              <w:t xml:space="preserve">STROMEX</w:t>
            </w:r>
          </w:p>
          <w:p>
            <w:pPr>
              <w:spacing w:after="240" w:before="120"/>
            </w:pPr>
            <w:r>
              <w:rPr>
                <w:rFonts w:ascii="DejaVu Sans" w:cs="DejaVu Sans" w:eastAsia="DejaVu Sans" w:hAnsi="DejaVu Sans"/>
                <w:b/>
                <w:bCs/>
                <w:color w:val="1B6EF3"/>
                <w:spacing w:val="200"/>
                <w:sz w:val="14"/>
                <w:szCs w:val="14"/>
              </w:rPr>
              <w:t xml:space="preserve">EXECUTIVE KNOWLEDGE SYSTEM</w:t>
            </w:r>
          </w:p>
          <w:p>
            <w:pPr>
              <w:spacing w:after="60"/>
            </w:pPr>
            <w:r>
              <w:rPr>
                <w:rFonts w:ascii="DejaVu Sans" w:cs="DejaVu Sans" w:eastAsia="DejaVu Sans" w:hAnsi="DejaVu Sans"/>
                <w:b/>
                <w:bCs/>
                <w:color w:val="7C8794"/>
                <w:spacing w:val="220"/>
                <w:sz w:val="15"/>
                <w:szCs w:val="15"/>
              </w:rPr>
              <w:t xml:space="preserve">BOOK VI</w:t>
            </w:r>
          </w:p>
          <w:p>
            <w:pPr>
              <w:spacing w:after="700" w:line="1350"/>
            </w:pPr>
            <w:r>
              <w:rPr>
                <w:rFonts w:ascii="DejaVu Serif" w:cs="DejaVu Serif" w:eastAsia="DejaVu Serif" w:hAnsi="DejaVu Serif"/>
                <w:b/>
                <w:bCs/>
                <w:color w:val="FFFFFF"/>
                <w:sz w:val="150"/>
                <w:szCs w:val="150"/>
              </w:rPr>
              <w:t xml:space="preserve">VI</w:t>
            </w:r>
          </w:p>
          <w:p>
            <w:pPr>
              <w:spacing w:after="200" w:line="657"/>
            </w:pPr>
            <w:r>
              <w:rPr>
                <w:rFonts w:ascii="DejaVu Serif" w:cs="DejaVu Serif" w:eastAsia="DejaVu Serif" w:hAnsi="DejaVu Serif"/>
                <w:b/>
                <w:bCs/>
                <w:color w:val="1B6EF3"/>
                <w:sz w:val="62"/>
                <w:szCs w:val="62"/>
              </w:rPr>
              <w:t xml:space="preserve">The Creative Division</w:t>
            </w:r>
          </w:p>
          <w:p>
            <w:pPr>
              <w:pBdr>
                <w:bottom w:val="single" w:color="1B6EF3" w:sz="8" w:space="12"/>
              </w:pBdr>
              <w:spacing w:after="140"/>
            </w:pPr>
            <w:r>
              <w:rPr>
                <w:rFonts w:ascii="Liberation Serif" w:cs="Liberation Serif" w:eastAsia="Liberation Serif" w:hAnsi="Liberation Serif"/>
              </w:rPr>
              <w:t xml:space="preserve"/>
            </w:r>
          </w:p>
          <w:p>
            <w:pPr>
              <w:spacing w:after="90"/>
            </w:pPr>
            <w:r>
              <w:rPr>
                <w:rFonts w:ascii="Liberation Serif" w:cs="Liberation Serif" w:eastAsia="Liberation Serif" w:hAnsi="Liberation Serif"/>
                <w:color w:val="D9DEE5"/>
                <w:sz w:val="23"/>
                <w:szCs w:val="23"/>
              </w:rPr>
              <w:t xml:space="preserve">Design · Publishing · Print · Media · The Craft Standard</w:t>
            </w:r>
          </w:p>
          <w:p>
            <w:pPr>
              <w:spacing w:after="1200"/>
            </w:pPr>
            <w:r>
              <w:rPr>
                <w:rFonts w:ascii="Liberation Serif" w:cs="Liberation Serif" w:eastAsia="Liberation Serif" w:hAnsi="Liberation Serif"/>
                <w:color w:val="7C8794"/>
                <w:sz w:val="19"/>
                <w:szCs w:val="19"/>
              </w:rPr>
              <w:t xml:space="preserve">The StromeX Editorial Bible  ·  Edition II</w:t>
            </w:r>
          </w:p>
          <w:p>
            <w:pPr>
              <w:spacing w:after="40"/>
            </w:pPr>
            <w:r>
              <w:rPr>
                <w:rFonts w:ascii="DejaVu Sans" w:cs="DejaVu Sans" w:eastAsia="DejaVu Sans" w:hAnsi="DejaVu Sans"/>
                <w:b/>
                <w:bCs/>
                <w:color w:val="9AA5B1"/>
                <w:spacing w:val="40"/>
                <w:sz w:val="13"/>
                <w:szCs w:val="13"/>
              </w:rPr>
              <w:t xml:space="preserve">AUTHORITY — OPERATIONAL — CREATIVE DIRECTOR</w:t>
            </w:r>
          </w:p>
          <w:p>
            <w:r>
              <w:rPr>
                <w:rFonts w:ascii="DejaVu Sans" w:cs="DejaVu Sans" w:eastAsia="DejaVu Sans" w:hAnsi="DejaVu Sans"/>
                <w:color w:val="7C8794"/>
                <w:spacing w:val="40"/>
                <w:sz w:val="13"/>
                <w:szCs w:val="13"/>
              </w:rPr>
              <w:t xml:space="preserve">13 AUGUST 2026  ·  VERSION 2.0</w:t>
            </w:r>
          </w:p>
        </w:tc>
      </w:tr>
    </w:tbl>
    <w:p>
      <w:pPr>
        <w:sectPr>
          <w:pgSz w:w="11906" w:h="16838" w:orient="portrait"/>
          <w:pgMar w:top="0" w:right="0" w:bottom="0" w:left="0" w:header="0" w:footer="0" w:gutter="0"/>
          <w:pgNumType/>
          <w:docGrid w:linePitch="360"/>
        </w:sectPr>
      </w:pPr>
    </w:p>
    <w:p>
      <w:pPr>
        <w:spacing w:after="0" w:before="1400"/>
      </w:pPr>
      <w:r>
        <w:rPr>
          <w:rFonts w:ascii="DejaVu Sans" w:cs="DejaVu Sans" w:eastAsia="DejaVu Sans" w:hAnsi="DejaVu Sans"/>
          <w:b/>
          <w:bCs/>
          <w:color w:val="1B6EF3"/>
          <w:spacing w:val="160"/>
          <w:sz w:val="15"/>
          <w:szCs w:val="15"/>
        </w:rPr>
        <w:t xml:space="preserve">STROMEX GROUP  ·  EXECUTIVE KNOWLEDGE SYSTEM</w:t>
      </w:r>
    </w:p>
    <w:p>
      <w:pPr>
        <w:pBdr>
          <w:bottom w:val="single" w:color="C9CFD9" w:sz="4" w:space="1"/>
        </w:pBdr>
        <w:spacing w:after="640" w:before="200"/>
      </w:pPr>
      <w:r>
        <w:rPr>
          <w:rFonts w:ascii="Liberation Serif" w:cs="Liberation Serif" w:eastAsia="Liberation Serif" w:hAnsi="Liberation Serif"/>
        </w:rPr>
        <w:t xml:space="preserve"/>
      </w:r>
    </w:p>
    <w:p>
      <w:pPr>
        <w:spacing w:after="0"/>
      </w:pPr>
      <w:r>
        <w:rPr>
          <w:rFonts w:ascii="DejaVu Sans" w:cs="DejaVu Sans" w:eastAsia="DejaVu Sans" w:hAnsi="DejaVu Sans"/>
          <w:b/>
          <w:bCs/>
          <w:color w:val="6B7480"/>
          <w:spacing w:val="200"/>
          <w:sz w:val="16"/>
          <w:szCs w:val="16"/>
        </w:rPr>
        <w:t xml:space="preserve">BOOK VI</w:t>
      </w:r>
    </w:p>
    <w:p>
      <w:pPr>
        <w:spacing w:after="220" w:before="160" w:line="594"/>
      </w:pPr>
      <w:r>
        <w:rPr>
          <w:rFonts w:ascii="DejaVu Serif" w:cs="DejaVu Serif" w:eastAsia="DejaVu Serif" w:hAnsi="DejaVu Serif"/>
          <w:b/>
          <w:bCs/>
          <w:color w:val="0D1117"/>
          <w:sz w:val="56"/>
          <w:szCs w:val="56"/>
        </w:rPr>
        <w:t xml:space="preserve">The Creative Division</w:t>
      </w:r>
    </w:p>
    <w:p>
      <w:pPr>
        <w:spacing w:after="700"/>
      </w:pPr>
      <w:r>
        <w:rPr>
          <w:rFonts w:ascii="Liberation Serif" w:cs="Liberation Serif" w:eastAsia="Liberation Serif" w:hAnsi="Liberation Serif"/>
          <w:color w:val="38414D"/>
          <w:sz w:val="22"/>
          <w:szCs w:val="22"/>
        </w:rPr>
        <w:t xml:space="preserve">Design · Publishing · Print · Media · The Craft Standard</w:t>
      </w:r>
    </w:p>
    <w:p>
      <w:pPr>
        <w:spacing w:after="140"/>
      </w:pPr>
      <w:r>
        <w:rPr>
          <w:rFonts w:ascii="DejaVu Sans" w:cs="DejaVu Sans" w:eastAsia="DejaVu Sans" w:hAnsi="DejaVu Sans"/>
          <w:b/>
          <w:bCs/>
          <w:color w:val="1B6EF3"/>
          <w:spacing w:val="110"/>
          <w:sz w:val="13"/>
          <w:szCs w:val="13"/>
        </w:rPr>
        <w:t xml:space="preserve">EXECUTIVE SUMMARY</w:t>
      </w:r>
    </w:p>
    <w:p>
      <w:pPr>
        <w:pStyle w:val="ExecSummary"/>
      </w:pPr>
      <w:r>
        <w:t xml:space="preserve">Volume VI explains why a technology group owns a creative division: craft is the differentiator competitors cannot copy cheaply, it closes the loop on the institution’s physical reality, and it is the reason institutions refer one another. It sets the craft standard — work indistinguishable from a good London or New York studio that a Lagos printer can reproduce correctly on the first attempt — and the anti-slop rules that govern AI-assisted production, including the prohibition on inventing facts a client has not published. It specifies institutional identity and heraldry, security-document design and its layered defences, publishing practice, the exacting standards for Islamic and Arabic typesetting, rights and licensing, international print coordination, audio and motion, and educational publishing.</w:t>
      </w:r>
    </w:p>
    <w:p>
      <w:pPr>
        <w:pBdr>
          <w:bottom w:val="single" w:color="C9CFD9" w:sz="4" w:space="1"/>
        </w:pBdr>
        <w:spacing w:after="200" w:before="500"/>
      </w:pPr>
      <w:r>
        <w:rPr>
          <w:rFonts w:ascii="Liberation Serif" w:cs="Liberation Serif" w:eastAsia="Liberation Serif" w:hAnsi="Liberation Serif"/>
        </w:rPr>
        <w:t xml:space="preserve"/>
      </w:r>
    </w:p>
    <w:p>
      <w:r>
        <w:rPr>
          <w:rFonts w:ascii="Liberation Serif" w:cs="Liberation Serif" w:eastAsia="Liberation Serif" w:hAnsi="Liberation Serif"/>
          <w:color w:val="6B7480"/>
          <w:sz w:val="16"/>
          <w:szCs w:val="16"/>
        </w:rPr>
        <w:t xml:space="preserve">One book of ten. The corpus index and the other nine are at docs/library/.</w:t>
      </w:r>
    </w:p>
    <w:p>
      <w:r>
        <w:br w:type="page"/>
      </w:r>
    </w:p>
    <w:p>
      <w:pPr>
        <w:spacing w:after="300" w:before="260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The StromeX Editorial Bible, Edition II.</w:t>
      </w:r>
    </w:p>
    <w:p>
      <w:pPr>
        <w:spacing w:after="0" w:line="270"/>
        <w:jc w:val="left"/>
      </w:pPr>
      <w:r>
        <w:rPr>
          <w:rFonts w:ascii="Liberation Serif" w:cs="Liberation Serif" w:eastAsia="Liberation Serif" w:hAnsi="Liberation Serif"/>
          <w:color w:val="38414D"/>
          <w:sz w:val="16"/>
          <w:szCs w:val="16"/>
        </w:rPr>
        <w:t xml:space="preserve">Version 2.0. Published 13 August 2026.</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 2026–2027 StromeX Group Holdings. All rights reserved.</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This corpus is the confidential and proprietary property of StromeX Group Holdings. It is issued to directors, officers, employees, certified partners and such external parties as the Executive may authorise in writing. It may not be reproduced, redistributed, published or disclosed, in whole or in part, without prior written authorisation.</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The StromeX name, the StromeX mark and the sub-brand names recorded in Volume I, Chapter 10 are trademarks of StromeX Group Holdings. Third-party names appearing in this corpus are the trademarks of their respective owners and are used for identification and comparison only.</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This document contains forward-looking statements, including the financial scenarios in Volume VIII. Those scenarios are estimates constructed from stated assumptions. They are not forecasts of record, projections of guaranteed outcome, or a representation that any particular result will be achieved. Actual outcomes will differ, and may differ materially. Nothing in this corpus constitutes an offer of securities, investment advice, or a solicitation of any kind.</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External data cited in this corpus is attributed at the point of use and listed in the Bibliography. Figures describing the group’s own delivered work are drawn from the sources recorded in Internal Sources.</w:t>
      </w:r>
    </w:p>
    <w:p>
      <w:pPr>
        <w:spacing w:after="130"/>
      </w:pPr>
      <w:r>
        <w:rPr>
          <w:rFonts w:ascii="Liberation Serif" w:cs="Liberation Serif" w:eastAsia="Liberation Serif" w:hAnsi="Liberation Serif"/>
        </w:rPr>
        <w:t xml:space="preserve"/>
      </w:r>
    </w:p>
    <w:p>
      <w:pPr>
        <w:spacing w:after="0" w:line="270"/>
        <w:jc w:val="left"/>
      </w:pPr>
      <w:r>
        <w:rPr>
          <w:rFonts w:ascii="Liberation Serif" w:cs="Liberation Serif" w:eastAsia="Liberation Serif" w:hAnsi="Liberation Serif"/>
          <w:color w:val="38414D"/>
          <w:sz w:val="16"/>
          <w:szCs w:val="16"/>
        </w:rPr>
        <w:t xml:space="preserve">Composed for A4. The text is set in a serif book face with a companion sans for tabular and navigational matter, following the typographic roles defined in Volume I, Chapter 10; the StromeX brand faces Archivo and Fraunces are shipped alongside this edition and are selected by the build when they are present in the rendering environment. The press-quality PDF edition is generated from this master and the two are content-identical.</w:t>
      </w:r>
    </w:p>
    <w:p>
      <w:r>
        <w:br w:type="page"/>
      </w:r>
    </w:p>
    <w:p>
      <w:pPr>
        <w:spacing w:after="220" w:before="0"/>
      </w:pPr>
      <w:r>
        <w:rPr>
          <w:rFonts w:ascii="DejaVu Sans" w:cs="DejaVu Sans" w:eastAsia="DejaVu Sans" w:hAnsi="DejaVu Sans"/>
          <w:b/>
          <w:bCs/>
          <w:color w:val="6B7480"/>
          <w:spacing w:val="60"/>
          <w:sz w:val="14"/>
          <w:szCs w:val="14"/>
        </w:rPr>
        <w:t xml:space="preserve">DOCUMENT CONTROL</w:t>
      </w:r>
    </w:p>
    <w:p>
      <w:pPr>
        <w:spacing w:after="260"/>
      </w:pPr>
      <w:r>
        <w:rPr>
          <w:rFonts w:ascii="DejaVu Serif" w:cs="DejaVu Serif" w:eastAsia="DejaVu Serif" w:hAnsi="DejaVu Serif"/>
          <w:b/>
          <w:bCs/>
          <w:color w:val="0B3C91"/>
          <w:sz w:val="40"/>
          <w:szCs w:val="40"/>
        </w:rPr>
        <w:t xml:space="preserve">Document Control</w:t>
      </w:r>
    </w:p>
    <w:tbl>
      <w:tblPr>
        <w:tblW w:type="dxa" w:w="89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6326"/>
      </w:tblGrid>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BOOK</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Book VI — The Creative Division</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SERIES</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The StromeX Editorial Bible — Executive Knowledge System</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EDITION</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Edition II</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VERSION</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2.0</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STATUS</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Ratified</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CLASSIFICATION</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Confidential — internal and authorised parties</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AUTHORITY TIER</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Operational — Creative Director</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OWNER</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Creative Director</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REVIEW CYCLE</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Annually</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AMENDMENT PROTOCOL</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Book I, Chapter 9. Four tiers: Entrenched, Constitutional, Strategic, Operational.</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PRECEDENCE</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Book I governs. Where this book conflicts with Book I, Book I wins until formally amended.</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MASTER SOURCE</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The DOCX edition of this book. The PDF is generated from it and is content-identical.</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SOURCE OF RECORD</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docs/bible/VOLUME-VI-CREATIVE-PUBLISHING-PRINT.md, under version control.</w:t>
            </w:r>
          </w:p>
        </w:tc>
      </w:tr>
      <w:tr>
        <w:tc>
          <w:tcPr>
            <w:tcW w:type="dxa" w:w="2600"/>
            <w:tcBorders>
              <w:top w:val="none" w:color="FFFFFF" w:sz="0"/>
              <w:left w:val="none" w:color="FFFFFF" w:sz="0"/>
              <w:bottom w:val="single" w:color="E2E6EC" w:sz="2"/>
              <w:right w:val="none" w:color="FFFFFF" w:sz="0"/>
            </w:tcBorders>
            <w:tcMar>
              <w:top w:type="dxa" w:w="90"/>
              <w:left w:type="dxa" w:w="0"/>
              <w:bottom w:type="dxa" w:w="90"/>
              <w:right w:type="dxa" w:w="200"/>
            </w:tcMar>
          </w:tcPr>
          <w:p>
            <w:pPr>
              <w:spacing w:after="0"/>
            </w:pPr>
            <w:r>
              <w:rPr>
                <w:rFonts w:ascii="DejaVu Sans" w:cs="DejaVu Sans" w:eastAsia="DejaVu Sans" w:hAnsi="DejaVu Sans"/>
                <w:b/>
                <w:bCs/>
                <w:color w:val="6B7480"/>
                <w:spacing w:val="40"/>
                <w:sz w:val="14"/>
                <w:szCs w:val="14"/>
              </w:rPr>
              <w:t xml:space="preserve">ISSUED</w:t>
            </w:r>
          </w:p>
        </w:tc>
        <w:tc>
          <w:tcPr>
            <w:tcW w:type="dxa" w:w="6326"/>
            <w:tcBorders>
              <w:top w:val="none" w:color="FFFFFF" w:sz="0"/>
              <w:left w:val="none" w:color="FFFFFF" w:sz="0"/>
              <w:bottom w:val="single" w:color="E2E6EC" w:sz="2"/>
              <w:right w:val="none" w:color="FFFFFF" w:sz="0"/>
            </w:tcBorders>
            <w:tcMar>
              <w:top w:type="dxa" w:w="90"/>
              <w:left w:type="dxa" w:w="0"/>
              <w:bottom w:type="dxa" w:w="90"/>
              <w:right w:type="dxa" w:w="0"/>
            </w:tcMar>
          </w:tcPr>
          <w:p>
            <w:pPr>
              <w:spacing w:after="0" w:line="270"/>
            </w:pPr>
            <w:r>
              <w:rPr>
                <w:sz w:val="17"/>
                <w:szCs w:val="17"/>
              </w:rPr>
              <w:t xml:space="preserve">13 August 2026</w:t>
            </w:r>
          </w:p>
        </w:tc>
      </w:tr>
    </w:tbl>
    <w:p>
      <w:r>
        <w:br w:type="page"/>
      </w:r>
    </w:p>
    <w:p>
      <w:pPr>
        <w:spacing w:after="220" w:before="0"/>
      </w:pPr>
      <w:r>
        <w:rPr>
          <w:rFonts w:ascii="DejaVu Sans" w:cs="DejaVu Sans" w:eastAsia="DejaVu Sans" w:hAnsi="DejaVu Sans"/>
          <w:b/>
          <w:bCs/>
          <w:color w:val="6B7480"/>
          <w:spacing w:val="60"/>
          <w:sz w:val="14"/>
          <w:szCs w:val="14"/>
        </w:rPr>
        <w:t xml:space="preserve">NAVIGATION</w:t>
      </w:r>
    </w:p>
    <w:p>
      <w:pPr>
        <w:spacing w:after="200"/>
      </w:pPr>
      <w:r>
        <w:rPr>
          <w:rFonts w:ascii="DejaVu Serif" w:cs="DejaVu Serif" w:eastAsia="DejaVu Serif" w:hAnsi="DejaVu Serif"/>
          <w:b/>
          <w:bCs/>
          <w:color w:val="0B3C91"/>
          <w:sz w:val="40"/>
          <w:szCs w:val="40"/>
        </w:rPr>
        <w:t xml:space="preserve">Contents</w:t>
      </w:r>
    </w:p>
    <w:p>
      <w:pPr>
        <w:pStyle w:val="EditorialNote"/>
        <w:spacing w:after="300"/>
      </w:pPr>
      <w:r>
        <w:t xml:space="preserve">A live Word field. In Microsoft Word press Ctrl+A then F9 (⌘A then fn+F9 on macOS) to repaginate it, or right-click and choose Update Field; every entry is an internal hyperlink. The lists of tables and figures and the index that follow are generated by the build and already carry final page numbers.</w:t>
      </w:r>
    </w:p>
    <w:sdt>
      <w:sdtPr>
        <w:alias w:val="Contents"/>
      </w:sdtPr>
      <w:sdtContent>
        <w:p>
          <w:r>
            <w:fldChar w:fldCharType="begin" w:dirty="true"/>
            <w:instrText xml:space="preserve">TOC \o "1-3"</w:instrText>
            <w:fldChar w:fldCharType="separate"/>
          </w:r>
        </w:p>
        <w:p>
          <w:r>
            <w:fldChar w:fldCharType="end"/>
          </w:r>
        </w:p>
      </w:sdtContent>
    </w:sdt>
    <w:p>
      <w:r>
        <w:br w:type="page"/>
      </w:r>
    </w:p>
    <w:p>
      <w:pPr>
        <w:spacing w:after="220" w:before="0"/>
      </w:pPr>
      <w:r>
        <w:rPr>
          <w:rFonts w:ascii="DejaVu Sans" w:cs="DejaVu Sans" w:eastAsia="DejaVu Sans" w:hAnsi="DejaVu Sans"/>
          <w:b/>
          <w:bCs/>
          <w:color w:val="6B7480"/>
          <w:spacing w:val="60"/>
          <w:sz w:val="14"/>
          <w:szCs w:val="14"/>
        </w:rPr>
        <w:t xml:space="preserve">APPARATUS</w:t>
      </w:r>
    </w:p>
    <w:p>
      <w:pPr>
        <w:spacing w:after="300"/>
      </w:pPr>
      <w:r>
        <w:rPr>
          <w:rFonts w:ascii="DejaVu Serif" w:cs="DejaVu Serif" w:eastAsia="DejaVu Serif" w:hAnsi="DejaVu Serif"/>
          <w:b/>
          <w:bCs/>
          <w:color w:val="0B3C91"/>
          <w:sz w:val="40"/>
          <w:szCs w:val="40"/>
        </w:rPr>
        <w:t xml:space="preserve">List of Tables</w:t>
      </w:r>
    </w:p>
    <w:p>
      <w:pPr>
        <w:pStyle w:val="EditorialNote"/>
        <w:spacing w:after="260"/>
      </w:pPr>
      <w:r>
        <w:t xml:space="preserve">Generated by the build from the corpus. Every table in the ten volumes is listed in order of appearance, grouped by volume.</w:t>
      </w:r>
    </w:p>
    <w:p>
      <w:pPr>
        <w:tabs>
          <w:tab w:val="right" w:pos="8866" w:leader="dot"/>
        </w:tabs>
        <w:spacing w:after="20" w:before="0" w:line="260"/>
        <w:ind w:left="0" w:right="200" w:hanging="0"/>
      </w:pPr>
      <w:r>
        <w:rPr>
          <w:b/>
          <w:bCs/>
          <w:sz w:val="17"/>
          <w:szCs w:val="17"/>
        </w:rPr>
        <w:t xml:space="preserve">Table 1</w:t>
      </w:r>
      <w:r>
        <w:rPr>
          <w:sz w:val="17"/>
          <w:szCs w:val="17"/>
        </w:rPr>
        <w:t xml:space="preserve">  The model</w:t>
      </w:r>
      <w:r>
        <w:rPr>
          <w:rFonts w:ascii="DejaVu Sans" w:cs="DejaVu Sans" w:eastAsia="DejaVu Sans" w:hAnsi="DejaVu Sans"/>
          <w:color w:val="0B3C91"/>
          <w:sz w:val="16"/>
          <w:szCs w:val="16"/>
        </w:rPr>
        <w:t xml:space="preserve">	5</w:t>
      </w:r>
    </w:p>
    <w:p>
      <w:pPr>
        <w:tabs>
          <w:tab w:val="right" w:pos="8866" w:leader="dot"/>
        </w:tabs>
        <w:spacing w:after="20" w:before="0" w:line="260"/>
        <w:ind w:left="0" w:right="200" w:hanging="0"/>
      </w:pPr>
      <w:r>
        <w:rPr>
          <w:b/>
          <w:bCs/>
          <w:sz w:val="17"/>
          <w:szCs w:val="17"/>
        </w:rPr>
        <w:t xml:space="preserve">Table 2</w:t>
      </w:r>
      <w:r>
        <w:rPr>
          <w:sz w:val="17"/>
          <w:szCs w:val="17"/>
        </w:rPr>
        <w:t xml:space="preserve">  The design layers</w:t>
      </w:r>
      <w:r>
        <w:rPr>
          <w:rFonts w:ascii="DejaVu Sans" w:cs="DejaVu Sans" w:eastAsia="DejaVu Sans" w:hAnsi="DejaVu Sans"/>
          <w:color w:val="0B3C91"/>
          <w:sz w:val="16"/>
          <w:szCs w:val="16"/>
        </w:rPr>
        <w:t xml:space="preserve">	8</w:t>
      </w:r>
    </w:p>
    <w:p>
      <w:pPr>
        <w:tabs>
          <w:tab w:val="right" w:pos="8866" w:leader="dot"/>
        </w:tabs>
        <w:spacing w:after="20" w:before="0" w:line="260"/>
        <w:ind w:left="0" w:right="200" w:hanging="0"/>
      </w:pPr>
      <w:r>
        <w:rPr>
          <w:b/>
          <w:bCs/>
          <w:sz w:val="17"/>
          <w:szCs w:val="17"/>
        </w:rPr>
        <w:t xml:space="preserve">Table 3</w:t>
      </w:r>
      <w:r>
        <w:rPr>
          <w:sz w:val="17"/>
          <w:szCs w:val="17"/>
        </w:rPr>
        <w:t xml:space="preserve">  The typographic standard</w:t>
      </w:r>
      <w:r>
        <w:rPr>
          <w:rFonts w:ascii="DejaVu Sans" w:cs="DejaVu Sans" w:eastAsia="DejaVu Sans" w:hAnsi="DejaVu Sans"/>
          <w:color w:val="0B3C91"/>
          <w:sz w:val="16"/>
          <w:szCs w:val="16"/>
        </w:rPr>
        <w:t xml:space="preserve">	11</w:t>
      </w:r>
    </w:p>
    <w:p>
      <w:pPr>
        <w:tabs>
          <w:tab w:val="right" w:pos="8866" w:leader="dot"/>
        </w:tabs>
        <w:spacing w:after="20" w:before="0" w:line="260"/>
        <w:ind w:left="0" w:right="200" w:hanging="0"/>
      </w:pPr>
      <w:r>
        <w:rPr>
          <w:b/>
          <w:bCs/>
          <w:sz w:val="17"/>
          <w:szCs w:val="17"/>
        </w:rPr>
        <w:t xml:space="preserve">Table 4</w:t>
      </w:r>
      <w:r>
        <w:rPr>
          <w:sz w:val="17"/>
          <w:szCs w:val="17"/>
        </w:rPr>
        <w:t xml:space="preserve">  Rights, Licensing &amp; Attribution</w:t>
      </w:r>
      <w:r>
        <w:rPr>
          <w:rFonts w:ascii="DejaVu Sans" w:cs="DejaVu Sans" w:eastAsia="DejaVu Sans" w:hAnsi="DejaVu Sans"/>
          <w:color w:val="0B3C91"/>
          <w:sz w:val="16"/>
          <w:szCs w:val="16"/>
        </w:rPr>
        <w:t xml:space="preserve">	12</w:t>
      </w:r>
    </w:p>
    <w:p>
      <w:pPr>
        <w:tabs>
          <w:tab w:val="right" w:pos="8866" w:leader="dot"/>
        </w:tabs>
        <w:spacing w:after="20" w:before="0" w:line="260"/>
        <w:ind w:left="0" w:right="200" w:hanging="0"/>
      </w:pPr>
      <w:r>
        <w:rPr>
          <w:b/>
          <w:bCs/>
          <w:sz w:val="17"/>
          <w:szCs w:val="17"/>
        </w:rPr>
        <w:t xml:space="preserve">Table 5</w:t>
      </w:r>
      <w:r>
        <w:rPr>
          <w:sz w:val="17"/>
          <w:szCs w:val="17"/>
        </w:rPr>
        <w:t xml:space="preserve">  The tier decision</w:t>
      </w:r>
      <w:r>
        <w:rPr>
          <w:rFonts w:ascii="DejaVu Sans" w:cs="DejaVu Sans" w:eastAsia="DejaVu Sans" w:hAnsi="DejaVu Sans"/>
          <w:color w:val="0B3C91"/>
          <w:sz w:val="16"/>
          <w:szCs w:val="16"/>
        </w:rPr>
        <w:t xml:space="preserve">	13</w:t>
      </w:r>
    </w:p>
    <w:p>
      <w:pPr>
        <w:tabs>
          <w:tab w:val="right" w:pos="8866" w:leader="dot"/>
        </w:tabs>
        <w:spacing w:after="20" w:before="0" w:line="260"/>
        <w:ind w:left="0" w:right="200" w:hanging="0"/>
      </w:pPr>
      <w:r>
        <w:rPr>
          <w:b/>
          <w:bCs/>
          <w:sz w:val="17"/>
          <w:szCs w:val="17"/>
        </w:rPr>
        <w:t xml:space="preserve">Table 6</w:t>
      </w:r>
      <w:r>
        <w:rPr>
          <w:sz w:val="17"/>
          <w:szCs w:val="17"/>
        </w:rPr>
        <w:t xml:space="preserve">  Audio</w:t>
      </w:r>
      <w:r>
        <w:rPr>
          <w:rFonts w:ascii="DejaVu Sans" w:cs="DejaVu Sans" w:eastAsia="DejaVu Sans" w:hAnsi="DejaVu Sans"/>
          <w:color w:val="0B3C91"/>
          <w:sz w:val="16"/>
          <w:szCs w:val="16"/>
        </w:rPr>
        <w:t xml:space="preserve">	14</w:t>
      </w:r>
    </w:p>
    <w:p>
      <w:pPr>
        <w:tabs>
          <w:tab w:val="right" w:pos="8866" w:leader="dot"/>
        </w:tabs>
        <w:spacing w:after="20" w:before="0" w:line="260"/>
        <w:ind w:left="0" w:right="200" w:hanging="0"/>
      </w:pPr>
      <w:r>
        <w:rPr>
          <w:b/>
          <w:bCs/>
          <w:sz w:val="17"/>
          <w:szCs w:val="17"/>
        </w:rPr>
        <w:t xml:space="preserve">Table 7</w:t>
      </w:r>
      <w:r>
        <w:rPr>
          <w:sz w:val="17"/>
          <w:szCs w:val="17"/>
        </w:rPr>
        <w:t xml:space="preserve">  Quality gates</w:t>
      </w:r>
      <w:r>
        <w:rPr>
          <w:rFonts w:ascii="DejaVu Sans" w:cs="DejaVu Sans" w:eastAsia="DejaVu Sans" w:hAnsi="DejaVu Sans"/>
          <w:color w:val="0B3C91"/>
          <w:sz w:val="16"/>
          <w:szCs w:val="16"/>
        </w:rPr>
        <w:t xml:space="preserve">	16</w:t>
      </w:r>
    </w:p>
    <w:p>
      <w:pPr>
        <w:tabs>
          <w:tab w:val="right" w:pos="8866" w:leader="dot"/>
        </w:tabs>
        <w:spacing w:after="20" w:before="0" w:line="260"/>
        <w:ind w:left="0" w:right="200" w:hanging="0"/>
      </w:pPr>
      <w:r>
        <w:rPr>
          <w:b/>
          <w:bCs/>
          <w:sz w:val="17"/>
          <w:szCs w:val="17"/>
        </w:rPr>
        <w:t xml:space="preserve">Table 8</w:t>
      </w:r>
      <w:r>
        <w:rPr>
          <w:sz w:val="17"/>
          <w:szCs w:val="17"/>
        </w:rPr>
        <w:t xml:space="preserve">  Glossary of terms</w:t>
      </w:r>
      <w:r>
        <w:rPr>
          <w:rFonts w:ascii="DejaVu Sans" w:cs="DejaVu Sans" w:eastAsia="DejaVu Sans" w:hAnsi="DejaVu Sans"/>
          <w:color w:val="0B3C91"/>
          <w:sz w:val="16"/>
          <w:szCs w:val="16"/>
        </w:rPr>
        <w:t xml:space="preserve">	18</w:t>
      </w:r>
    </w:p>
    <w:p>
      <w:r>
        <w:br w:type="page"/>
      </w:r>
    </w:p>
    <w:p>
      <w:pPr>
        <w:spacing w:after="220" w:before="0"/>
      </w:pPr>
      <w:r>
        <w:rPr>
          <w:rFonts w:ascii="DejaVu Sans" w:cs="DejaVu Sans" w:eastAsia="DejaVu Sans" w:hAnsi="DejaVu Sans"/>
          <w:b/>
          <w:bCs/>
          <w:color w:val="6B7480"/>
          <w:spacing w:val="60"/>
          <w:sz w:val="14"/>
          <w:szCs w:val="14"/>
        </w:rPr>
        <w:t xml:space="preserve">APPARATUS</w:t>
      </w:r>
    </w:p>
    <w:p>
      <w:pPr>
        <w:spacing w:after="300"/>
      </w:pPr>
      <w:r>
        <w:rPr>
          <w:rFonts w:ascii="DejaVu Serif" w:cs="DejaVu Serif" w:eastAsia="DejaVu Serif" w:hAnsi="DejaVu Serif"/>
          <w:b/>
          <w:bCs/>
          <w:color w:val="0B3C91"/>
          <w:sz w:val="40"/>
          <w:szCs w:val="40"/>
        </w:rPr>
        <w:t xml:space="preserve">List of Figures</w:t>
      </w:r>
    </w:p>
    <w:p>
      <w:pPr>
        <w:pStyle w:val="EditorialNote"/>
        <w:spacing w:after="260"/>
      </w:pPr>
      <w:r>
        <w:t xml:space="preserve">Generated by the build from the corpus. Architecture, stack and process figures in order of appearance.</w:t>
      </w:r>
    </w:p>
    <w:p>
      <w:pPr>
        <w:pStyle w:val="EditorialNote"/>
      </w:pPr>
      <w:r>
        <w:t xml:space="preserve">This list is generated by the build. Rebuild the publication to populate it.</w:t>
      </w:r>
    </w:p>
    <w:p>
      <w:r>
        <w:br w:type="page"/>
      </w:r>
    </w:p>
    <w:p>
      <w:pPr>
        <w:sectPr>
          <w:footerReference w:type="default" r:id="rId7"/>
          <w:pgSz w:w="11906" w:h="16838" w:orient="portrait"/>
          <w:pgMar w:top="1300" w:right="1400" w:bottom="1240" w:left="1580" w:header="720" w:footer="680" w:gutter="0"/>
          <w:pgNumType w:start="1" w:fmt="lowerRoman"/>
          <w:docGrid w:linePitch="360"/>
        </w:sectPr>
      </w:pPr>
    </w:p>
    <w:tbl>
      <w:tblPr>
        <w:tblW w:type="dxa" w:w="89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8926"/>
      </w:tblGrid>
      <w:tr>
        <w:trPr>
          <w:trHeight w:val="8100" w:hRule="exact"/>
        </w:trPr>
        <w:tc>
          <w:tcPr>
            <w:tcW w:type="dxa" w:w="8926"/>
            <w:tcBorders>
              <w:top w:val="none" w:color="FFFFFF" w:sz="0"/>
              <w:left w:val="none" w:color="FFFFFF" w:sz="0"/>
              <w:bottom w:val="none" w:color="FFFFFF" w:sz="0"/>
              <w:right w:val="none" w:color="FFFFFF" w:sz="0"/>
            </w:tcBorders>
            <w:shd w:fill="05070A" w:color="auto" w:val="clear"/>
            <w:tcMar>
              <w:top w:type="dxa" w:w="900"/>
              <w:left w:type="dxa" w:w="620"/>
              <w:bottom w:type="dxa" w:w="900"/>
              <w:right w:type="dxa" w:w="620"/>
            </w:tcMar>
            <w:vAlign w:val="center"/>
          </w:tcPr>
          <w:p>
            <w:pPr>
              <w:spacing w:after="120"/>
            </w:pPr>
            <w:r>
              <w:rPr>
                <w:rFonts w:ascii="DejaVu Sans" w:cs="DejaVu Sans" w:eastAsia="DejaVu Sans" w:hAnsi="DejaVu Sans"/>
                <w:b/>
                <w:bCs/>
                <w:color w:val="1B6EF3"/>
                <w:spacing w:val="180"/>
                <w:sz w:val="16"/>
                <w:szCs w:val="16"/>
              </w:rPr>
              <w:t xml:space="preserve">VOLUME</w:t>
            </w:r>
          </w:p>
          <w:p>
            <w:pPr>
              <w:spacing w:after="240" w:line="1564"/>
            </w:pPr>
            <w:r>
              <w:rPr>
                <w:rFonts w:ascii="DejaVu Serif" w:cs="DejaVu Serif" w:eastAsia="DejaVu Serif" w:hAnsi="DejaVu Serif"/>
                <w:b/>
                <w:bCs/>
                <w:color w:val="FFFFFF"/>
                <w:sz w:val="170"/>
                <w:szCs w:val="170"/>
              </w:rPr>
              <w:t xml:space="preserve">VI</w:t>
            </w:r>
          </w:p>
          <w:p>
            <w:pPr>
              <w:pStyle w:val="Heading1"/>
              <w:spacing w:after="160" w:before="0" w:line="648"/>
            </w:pPr>
            <w:r>
              <w:rPr>
                <w:rFonts w:ascii="DejaVu Serif" w:cs="DejaVu Serif" w:eastAsia="DejaVu Serif" w:hAnsi="DejaVu Serif"/>
                <w:b/>
                <w:bCs/>
                <w:color w:val="FFFFFF"/>
                <w:sz w:val="60"/>
                <w:szCs w:val="60"/>
              </w:rPr>
              <w:t xml:space="preserve">The Creative Division</w:t>
            </w:r>
          </w:p>
          <w:p>
            <w:pPr>
              <w:spacing w:after="0"/>
            </w:pPr>
            <w:r>
              <w:rPr>
                <w:rFonts w:ascii="Liberation Serif" w:cs="Liberation Serif" w:eastAsia="Liberation Serif" w:hAnsi="Liberation Serif"/>
                <w:color w:val="8C97A4"/>
                <w:sz w:val="21"/>
                <w:szCs w:val="21"/>
              </w:rPr>
              <w:t xml:space="preserve">Design · Publishing · Print · Media · The Craft Standard</w:t>
            </w:r>
          </w:p>
        </w:tc>
      </w:tr>
    </w:tbl>
    <w:p>
      <w:pPr>
        <w:spacing w:after="60" w:before="320"/>
      </w:pPr>
      <w:r>
        <w:rPr>
          <w:rFonts w:ascii="DejaVu Sans" w:cs="DejaVu Sans" w:eastAsia="DejaVu Sans" w:hAnsi="DejaVu Sans"/>
          <w:b/>
          <w:bCs/>
          <w:color w:val="6B7480"/>
          <w:spacing w:val="110"/>
          <w:sz w:val="13"/>
          <w:szCs w:val="13"/>
        </w:rPr>
        <w:t xml:space="preserve">AUTHORITY</w:t>
      </w:r>
    </w:p>
    <w:p>
      <w:pPr>
        <w:spacing w:after="300"/>
      </w:pPr>
      <w:r>
        <w:rPr>
          <w:rFonts w:ascii="Liberation Serif" w:cs="Liberation Serif" w:eastAsia="Liberation Serif" w:hAnsi="Liberation Serif"/>
          <w:color w:val="0D1117"/>
          <w:sz w:val="18"/>
          <w:szCs w:val="18"/>
        </w:rPr>
        <w:t xml:space="preserve">Operational — Creative Director</w:t>
      </w:r>
    </w:p>
    <w:p>
      <w:pPr>
        <w:pBdr>
          <w:bottom w:val="single" w:color="C9CFD9" w:sz="4" w:space="1"/>
        </w:pBdr>
        <w:spacing w:after="240" w:before="0"/>
      </w:pPr>
      <w:r>
        <w:rPr>
          <w:rFonts w:ascii="Liberation Serif" w:cs="Liberation Serif" w:eastAsia="Liberation Serif" w:hAnsi="Liberation Serif"/>
        </w:rPr>
        <w:t xml:space="preserve"/>
      </w:r>
    </w:p>
    <w:p>
      <w:pPr>
        <w:spacing w:after="140"/>
      </w:pPr>
      <w:r>
        <w:rPr>
          <w:rFonts w:ascii="DejaVu Sans" w:cs="DejaVu Sans" w:eastAsia="DejaVu Sans" w:hAnsi="DejaVu Sans"/>
          <w:b/>
          <w:bCs/>
          <w:color w:val="1B6EF3"/>
          <w:spacing w:val="110"/>
          <w:sz w:val="14"/>
          <w:szCs w:val="14"/>
        </w:rPr>
        <w:t xml:space="preserve">EXECUTIVE SUMMARY</w:t>
      </w:r>
    </w:p>
    <w:p>
      <w:pPr>
        <w:pStyle w:val="ExecSummary"/>
      </w:pPr>
      <w:r>
        <w:t xml:space="preserve">Volume VI explains why a technology group owns a creative division: craft is the differentiator competitors cannot copy cheaply, it closes the loop on the institution’s physical reality, and it is the reason institutions refer one another. It sets the craft standard — work indistinguishable from a good London or New York studio that a Lagos printer can reproduce correctly on the first attempt — and the anti-slop rules that govern AI-assisted production, including the prohibition on inventing facts a client has not published. It specifies institutional identity and heraldry, security-document design and its layered defences, publishing practice, the exacting standards for Islamic and Arabic typesetting, rights and licensing, international print coordination, audio and motion, and educational publishing.</w:t>
      </w:r>
    </w:p>
    <w:p>
      <w:pPr>
        <w:pBdr>
          <w:bottom w:val="single" w:color="C9CFD9" w:sz="4" w:space="1"/>
        </w:pBdr>
        <w:spacing w:after="200" w:before="160"/>
      </w:pPr>
      <w:r>
        <w:t xml:space="preserve"/>
      </w:r>
    </w:p>
    <w:p>
      <w:pPr>
        <w:pStyle w:val="Heading2"/>
        <w:pageBreakBefore/>
      </w:pPr>
      <w:r>
        <w:t xml:space="preserve">CHAPTER 1 — WHY A TECHNOLOGY GROUP OWNS A CREATIVE DIVISION</w:t>
      </w:r>
    </w:p>
    <w:p>
      <w:pPr>
        <w:pStyle w:val="BodyText"/>
      </w:pPr>
      <w:r>
        <w:t xml:space="preserve">Three reasons, in ascending order of importance.</w:t>
      </w:r>
    </w:p>
    <w:p>
      <w:pPr>
        <w:pStyle w:val="BodyText"/>
      </w:pPr>
      <w:r>
        <w:rPr>
          <w:b/>
          <w:bCs/>
        </w:rPr>
        <w:t xml:space="preserve">1. It is the differentiator competitors cannot copy cheaply.</w:t>
      </w:r>
      <w:r>
        <w:t xml:space="preserve"> Volume II §6 Wedge 5: in a market where “good enough” is the norm, finished work is a moat. Software companies do not have art directors. Design agencies do not have credential infrastructure. The combination is rare because it is operationally awkward — which is exactly what makes it defensible.</w:t>
      </w:r>
    </w:p>
    <w:p>
      <w:pPr>
        <w:pStyle w:val="BodyText"/>
      </w:pPr>
      <w:r>
        <w:rPr>
          <w:b/>
          <w:bCs/>
        </w:rPr>
        <w:t xml:space="preserve">2. It closes the loop on the institution’s physical reality.</w:t>
      </w:r>
      <w:r>
        <w:t xml:space="preserve"> An institution’s certificate, ID card, prospectus, signage and textbook are the parts of the transformation that people </w:t>
      </w:r>
      <w:r>
        <w:rPr>
          <w:i/>
          <w:iCs/>
        </w:rPr>
        <w:t xml:space="preserve">touch</w:t>
      </w:r>
      <w:r>
        <w:t xml:space="preserve">. A beautiful portal and an ugly certificate is an incoherent institution, and the certificate is the part that goes out into the world and gets judged.</w:t>
      </w:r>
    </w:p>
    <w:p>
      <w:pPr>
        <w:pStyle w:val="BodyText"/>
      </w:pPr>
      <w:r>
        <w:rPr>
          <w:b/>
          <w:bCs/>
        </w:rPr>
        <w:t xml:space="preserve">3. It is the reason for referral.</w:t>
      </w:r>
      <w:r>
        <w:t xml:space="preserve"> Nobody photographs a database. Proprietors show other proprietors the prospectus, the certificate, the ID card. Craft is our most efficient marketing channel, and it is measured in Volume V §12.1 as the referral share of new customers.</w:t>
      </w:r>
    </w:p>
    <w:p>
      <w:pPr>
        <w:pStyle w:val="BodyText"/>
      </w:pPr>
      <w:r>
        <w:t xml:space="preserve">There is a fourth, quieter reason: the founder’s instruction to give institutions in our markets access to UK and US production standards they cannot reach directly. That is a genuine access gap, and closing it is worth doing on its own terms.</w:t>
      </w:r>
    </w:p>
    <w:p>
      <w:pPr>
        <w:pStyle w:val="Heading2"/>
        <w:pageBreakBefore/>
      </w:pPr>
      <w:r>
        <w:t xml:space="preserve">CHAPTER 2 — THE CRAFT STANDARD</w:t>
      </w:r>
      <w:fldSimple w:instr="XE &quot;Craft standard&quot;"/>
    </w:p>
    <w:p>
      <w:pPr>
        <w:pStyle w:val="Heading3"/>
      </w:pPr>
      <w:r>
        <w:t xml:space="preserve">2.1 The standard, stated</w:t>
      </w:r>
    </w:p>
    <w:p>
      <w:pPr>
        <w:pStyle w:val="BodyText"/>
      </w:pPr>
      <w:r>
        <w:rPr>
          <w:b/>
          <w:bCs/>
        </w:rPr>
        <w:t xml:space="preserve">Every piece of creative work leaving StromeX must be indistinguishable in quality from work produced by a good London or New York studio — and must be reproducible by a printer in Lagos on the first attempt.</w:t>
      </w:r>
    </w:p>
    <w:p>
      <w:pPr>
        <w:pStyle w:val="BodyText"/>
      </w:pPr>
      <w:r>
        <w:t xml:space="preserve">Both halves are binding. The first without the second is a portfolio piece that fails in production. The second without the first is why our market is full of mediocre work.</w:t>
      </w:r>
    </w:p>
    <w:p>
      <w:pPr>
        <w:pStyle w:val="Heading3"/>
      </w:pPr>
      <w:r>
        <w:t xml:space="preserve">2.2 The eleven qualities</w:t>
      </w:r>
    </w:p>
    <w:p>
      <w:pPr>
        <w:pStyle w:val="BodyText"/>
      </w:pPr>
      <w:r>
        <w:t xml:space="preserve">Volume I §12.1 applies to every creative surface: premium, elegant, minimalist, fast, reliable, beautiful, professional, accessible, human, modern, </w:t>
      </w:r>
      <w:r>
        <w:rPr>
          <w:b/>
          <w:bCs/>
        </w:rPr>
        <w:t xml:space="preserve">timeless</w:t>
      </w:r>
      <w:r>
        <w:t xml:space="preserve">.</w:t>
      </w:r>
    </w:p>
    <w:p>
      <w:pPr>
        <w:pStyle w:val="BodyText"/>
      </w:pPr>
      <w:r>
        <w:t xml:space="preserve">Timeless is the demanding one, and in print it is even more binding than on screen. A website can be redesigned in three years. A crest, a certificate template, a textbook series and a signage system cannot. Anything with a life over five years is designed against the fashion of its decade, not with it.</w:t>
      </w:r>
    </w:p>
    <w:p>
      <w:pPr>
        <w:pStyle w:val="Heading3"/>
      </w:pPr>
      <w:r>
        <w:t xml:space="preserve">2.3 The anti-slop rules</w:t>
      </w:r>
    </w:p>
    <w:p>
      <w:pPr>
        <w:pStyle w:val="BodyText"/>
      </w:pPr>
      <w:r>
        <w:t xml:space="preserve">Written explicitly because the failure mode of AI-assisted creative production is a specific, recognisable mediocrity:</w:t>
      </w:r>
    </w:p>
    <w:p>
      <w:pPr>
        <w:pStyle w:val="ListParagraph"/>
        <w:numPr>
          <w:ilvl w:val="0"/>
          <w:numId w:val="2"/>
        </w:numPr>
        <w:spacing w:after="40" w:before="40" w:line="276"/>
      </w:pPr>
      <w:r>
        <w:rPr>
          <w:b/>
          <w:bCs/>
        </w:rPr>
        <w:t xml:space="preserve">No stock-photo-and-gradient generic.</w:t>
      </w:r>
      <w:r>
        <w:t xml:space="preserve"> If the work could belong to any institution, it belongs to none.</w:t>
      </w:r>
    </w:p>
    <w:p>
      <w:pPr>
        <w:pStyle w:val="ListParagraph"/>
        <w:numPr>
          <w:ilvl w:val="0"/>
          <w:numId w:val="2"/>
        </w:numPr>
        <w:spacing w:after="40" w:before="40" w:line="276"/>
      </w:pPr>
      <w:r>
        <w:rPr>
          <w:b/>
          <w:bCs/>
        </w:rPr>
        <w:t xml:space="preserve">No template that has not been made specific.</w:t>
      </w:r>
      <w:r>
        <w:t xml:space="preserve"> A template is a starting point that must be earned away from.</w:t>
      </w:r>
    </w:p>
    <w:p>
      <w:pPr>
        <w:pStyle w:val="ListParagraph"/>
        <w:numPr>
          <w:ilvl w:val="0"/>
          <w:numId w:val="2"/>
        </w:numPr>
        <w:spacing w:after="40" w:before="40" w:line="276"/>
      </w:pPr>
      <w:r>
        <w:rPr>
          <w:b/>
          <w:bCs/>
        </w:rPr>
        <w:t xml:space="preserve">No AI output shipped unedited.</w:t>
      </w:r>
      <w:r>
        <w:t xml:space="preserve"> Generated imagery, layout and copy are raw material. A human art director is accountable for what ships.</w:t>
      </w:r>
    </w:p>
    <w:p>
      <w:pPr>
        <w:pStyle w:val="ListParagraph"/>
        <w:numPr>
          <w:ilvl w:val="0"/>
          <w:numId w:val="2"/>
        </w:numPr>
        <w:spacing w:after="40" w:before="40" w:line="276"/>
      </w:pPr>
      <w:r>
        <w:rPr>
          <w:b/>
          <w:bCs/>
        </w:rPr>
        <w:t xml:space="preserve">No filler.</w:t>
      </w:r>
      <w:r>
        <w:t xml:space="preserve"> Lorem ipsum never reaches a client. Placeholder content is labelled as placeholder, visibly (the reference implementations do exactly this — a labelled placeholder block rather than an invented fact).</w:t>
      </w:r>
    </w:p>
    <w:p>
      <w:pPr>
        <w:pStyle w:val="ListParagraph"/>
        <w:numPr>
          <w:ilvl w:val="0"/>
          <w:numId w:val="2"/>
        </w:numPr>
        <w:spacing w:after="40" w:before="40" w:line="276"/>
      </w:pPr>
      <w:r>
        <w:rPr>
          <w:b/>
          <w:bCs/>
        </w:rPr>
        <w:t xml:space="preserve">No invented facts.</w:t>
      </w:r>
      <w:r>
        <w:t xml:space="preserve"> Volume I §7.2.3. A prospectus does not claim an accreditation the institution does not hold, a student outcome it cannot evidence, or a partnership that does not exist. </w:t>
      </w:r>
      <w:r>
        <w:rPr>
          <w:b/>
          <w:bCs/>
        </w:rPr>
        <w:t xml:space="preserve">Where the client’s ambitions imply information they have not published, we say so plainly in a labelled placeholder rather than fabricating it.</w:t>
      </w:r>
      <w:r>
        <w:t xml:space="preserve"> This standard is already established in the group’s reference work and it is non-negotiable, including when the client asks.</w:t>
      </w:r>
    </w:p>
    <w:p>
      <w:pPr>
        <w:pStyle w:val="ListParagraph"/>
        <w:numPr>
          <w:ilvl w:val="0"/>
          <w:numId w:val="2"/>
        </w:numPr>
        <w:spacing w:after="40" w:before="40" w:line="276"/>
      </w:pPr>
      <w:r>
        <w:rPr>
          <w:b/>
          <w:bCs/>
        </w:rPr>
        <w:t xml:space="preserve">No borrowed identity.</w:t>
      </w:r>
      <w:r>
        <w:t xml:space="preserve"> Reference material is a mood board, never a source to imitate. A supplied “inspiration” crest informs the design </w:t>
      </w:r>
      <w:r>
        <w:rPr>
          <w:i/>
          <w:iCs/>
        </w:rPr>
        <w:t xml:space="preserve">vocabulary</w:t>
      </w:r>
      <w:r>
        <w:t xml:space="preserve"> — the formal register of seals, ledgers, folios, chapter marks — without borrowing its name, its claims, or its colour story.</w:t>
      </w:r>
    </w:p>
    <w:p>
      <w:pPr>
        <w:pStyle w:val="ListParagraph"/>
        <w:numPr>
          <w:ilvl w:val="0"/>
          <w:numId w:val="2"/>
        </w:numPr>
        <w:spacing w:after="40" w:before="40" w:line="276"/>
      </w:pPr>
      <w:r>
        <w:rPr>
          <w:b/>
          <w:bCs/>
        </w:rPr>
        <w:t xml:space="preserve">No unlicensed assets.</w:t>
      </w:r>
      <w:r>
        <w:t xml:space="preserve"> Chapter 9.</w:t>
      </w:r>
    </w:p>
    <w:p>
      <w:pPr>
        <w:pStyle w:val="ListParagraph"/>
        <w:numPr>
          <w:ilvl w:val="0"/>
          <w:numId w:val="2"/>
        </w:numPr>
        <w:spacing w:after="40" w:before="40" w:line="276"/>
      </w:pPr>
      <w:r>
        <w:rPr>
          <w:b/>
          <w:bCs/>
        </w:rPr>
        <w:t xml:space="preserve">No detail left to the printer.</w:t>
      </w:r>
      <w:r>
        <w:t xml:space="preserve"> Bleed, trim, colour profile, stock, finish, binding and imposition are specified by us.</w:t>
      </w:r>
    </w:p>
    <w:p>
      <w:pPr>
        <w:pStyle w:val="Heading3"/>
      </w:pPr>
      <w:r>
        <w:t xml:space="preserve">2.4 The three-look test</w:t>
      </w:r>
    </w:p>
    <w:p>
      <w:pPr>
        <w:pStyle w:val="BodyText"/>
      </w:pPr>
      <w:r>
        <w:t xml:space="preserve">Before any creative work ships:</w:t>
      </w:r>
    </w:p>
    <w:p>
      <w:pPr>
        <w:pStyle w:val="ListParagraph"/>
        <w:numPr>
          <w:ilvl w:val="0"/>
          <w:numId w:val="3"/>
        </w:numPr>
        <w:spacing w:after="40" w:before="40" w:line="276"/>
      </w:pPr>
      <w:r>
        <w:rPr>
          <w:b/>
          <w:bCs/>
        </w:rPr>
        <w:t xml:space="preserve">At arm’s length</w:t>
      </w:r>
      <w:r>
        <w:t xml:space="preserve"> — does the composition hold?</w:t>
      </w:r>
    </w:p>
    <w:p>
      <w:pPr>
        <w:pStyle w:val="ListParagraph"/>
        <w:numPr>
          <w:ilvl w:val="0"/>
          <w:numId w:val="3"/>
        </w:numPr>
        <w:spacing w:after="40" w:before="40" w:line="276"/>
      </w:pPr>
      <w:r>
        <w:rPr>
          <w:b/>
          <w:bCs/>
        </w:rPr>
        <w:t xml:space="preserve">At reading distance</w:t>
      </w:r>
      <w:r>
        <w:t xml:space="preserve"> — is the typography right?</w:t>
      </w:r>
    </w:p>
    <w:p>
      <w:pPr>
        <w:pStyle w:val="ListParagraph"/>
        <w:numPr>
          <w:ilvl w:val="0"/>
          <w:numId w:val="3"/>
        </w:numPr>
        <w:spacing w:after="40" w:before="40" w:line="276"/>
      </w:pPr>
      <w:r>
        <w:rPr>
          <w:b/>
          <w:bCs/>
        </w:rPr>
        <w:t xml:space="preserve">At 200%</w:t>
      </w:r>
      <w:r>
        <w:t xml:space="preserve"> — is the craft real, or does it fall apart?</w:t>
      </w:r>
    </w:p>
    <w:p>
      <w:pPr>
        <w:pStyle w:val="BodyText"/>
      </w:pPr>
      <w:r>
        <w:t xml:space="preserve">Most work that fails, fails the third.</w:t>
      </w:r>
    </w:p>
    <w:p>
      <w:pPr>
        <w:pStyle w:val="Heading2"/>
        <w:pageBreakBefore/>
      </w:pPr>
      <w:r>
        <w:t xml:space="preserve">CHAPTER 3 — THE AI-AND-HUMAN PRODUCTION MODEL</w:t>
      </w:r>
    </w:p>
    <w:p>
      <w:pPr>
        <w:pStyle w:val="Heading3"/>
      </w:pPr>
      <w:r>
        <w:t xml:space="preserve">3.1 The model</w:t>
      </w:r>
    </w:p>
    <w:p>
      <w:pPr>
        <w:pStyle w:val="BodyText"/>
      </w:pPr>
      <w:r>
        <w:t xml:space="preserve">The founder’s brief was that our blend of AI and human effort should be </w:t>
      </w:r>
      <w:r>
        <w:rPr>
          <w:b/>
          <w:bCs/>
        </w:rPr>
        <w:t xml:space="preserve">seamless</w:t>
      </w:r>
      <w:r>
        <w:t xml:space="preserve">. Seamless is a quality standard, not a concealment instruction, and Volume I §7.2 governs: we say “AI-assisted, human-reviewed”, and we make it true.</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Stage</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AI does</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Human does</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Research &amp; reference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Gathers, summarises, finds precedent</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Judges relevance, verifies facts</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Concept</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Generates volume and variation</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Selects the direction and says why</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Copy</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Drafts, restructures, adapts register</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Edits, fact-checks, owns the voice</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Layout</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Applies grids, flows text, produces variants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Sets the grid, resolves the hard spreads, judges rhythm</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Imagery</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Generates, extends, retouches</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Art-directs, licenses, verifies</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Translation</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First pass</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Reviews and signs off; literary and religious work is human-first</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Production</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Preflight, imposition checks, asset generation</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Approves, press-checks</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Approval</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A named human is accountable for everything that ships</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model</w:t>
      </w:r>
    </w:p>
    <w:p>
      <w:pPr>
        <w:pStyle w:val="Heading3"/>
      </w:pPr>
      <w:r>
        <w:t xml:space="preserve">3.2 Why this produces a structural advantage</w:t>
      </w:r>
    </w:p>
    <w:p>
      <w:pPr>
        <w:pStyle w:val="BodyText"/>
      </w:pPr>
      <w:r>
        <w:t xml:space="preserve">This is Volume II §6 Wedge 4 in practice: heavy AI leverage on </w:t>
      </w:r>
      <w:r>
        <w:rPr>
          <w:i/>
          <w:iCs/>
        </w:rPr>
        <w:t xml:space="preserve">production</w:t>
      </w:r>
      <w:r>
        <w:t xml:space="preserve">, deliberate human investment on </w:t>
      </w:r>
      <w:r>
        <w:rPr>
          <w:i/>
          <w:iCs/>
        </w:rPr>
        <w:t xml:space="preserve">judgement</w:t>
      </w:r>
      <w:r>
        <w:t xml:space="preserve">. It produces developed-market quality at emerging-market cost, which is the margin advantage funding the whole plan.</w:t>
      </w:r>
    </w:p>
    <w:p>
      <w:pPr>
        <w:pStyle w:val="BodyText"/>
      </w:pPr>
      <w:r>
        <w:rPr>
          <w:b/>
          <w:bCs/>
        </w:rPr>
        <w:t xml:space="preserve">And it is temporary.</w:t>
      </w:r>
      <w:r>
        <w:t xml:space="preserve"> Volume II §9 assesses this advantage as largely gone by around 2032, as every competitor adopts the same model. The correct response is not to defend it but to spend it: use the margin window to build the durable moats — the system of record, the credential infrastructure, the partner network — while it exists.</w:t>
      </w:r>
    </w:p>
    <w:p>
      <w:pPr>
        <w:pStyle w:val="Heading3"/>
      </w:pPr>
      <w:r>
        <w:t xml:space="preserve">3.3 Where AI does not lead</w:t>
      </w:r>
    </w:p>
    <w:p>
      <w:pPr>
        <w:pStyle w:val="ListParagraph"/>
        <w:numPr>
          <w:ilvl w:val="0"/>
          <w:numId w:val="3"/>
        </w:numPr>
        <w:spacing w:after="40" w:before="40" w:line="276"/>
      </w:pPr>
      <w:r>
        <w:rPr>
          <w:b/>
          <w:bCs/>
        </w:rPr>
        <w:t xml:space="preserve">Qur’anic and scriptural text</w:t>
      </w:r>
      <w:r>
        <w:t xml:space="preserve"> — reproduced from verified sources, never generated (Volume IV §8.3).</w:t>
      </w:r>
    </w:p>
    <w:p>
      <w:pPr>
        <w:pStyle w:val="ListParagraph"/>
        <w:numPr>
          <w:ilvl w:val="0"/>
          <w:numId w:val="3"/>
        </w:numPr>
        <w:spacing w:after="40" w:before="40" w:line="276"/>
      </w:pPr>
      <w:r>
        <w:rPr>
          <w:b/>
          <w:bCs/>
        </w:rPr>
        <w:t xml:space="preserve">Literary and religious translation</w:t>
      </w:r>
      <w:r>
        <w:t xml:space="preserve"> — human-first; AI assists the human, not the reverse.</w:t>
      </w:r>
    </w:p>
    <w:p>
      <w:pPr>
        <w:pStyle w:val="ListParagraph"/>
        <w:numPr>
          <w:ilvl w:val="0"/>
          <w:numId w:val="3"/>
        </w:numPr>
        <w:spacing w:after="40" w:before="40" w:line="276"/>
      </w:pPr>
      <w:r>
        <w:rPr>
          <w:b/>
          <w:bCs/>
        </w:rPr>
        <w:t xml:space="preserve">Anything asserting a fact about a real institution or person</w:t>
      </w:r>
      <w:r>
        <w:t xml:space="preserve"> — human-verified.</w:t>
      </w:r>
    </w:p>
    <w:p>
      <w:pPr>
        <w:pStyle w:val="ListParagraph"/>
        <w:numPr>
          <w:ilvl w:val="0"/>
          <w:numId w:val="3"/>
        </w:numPr>
        <w:spacing w:after="40" w:before="40" w:line="276"/>
      </w:pPr>
      <w:r>
        <w:rPr>
          <w:b/>
          <w:bCs/>
        </w:rPr>
        <w:t xml:space="preserve">Final art direction</w:t>
      </w:r>
      <w:r>
        <w:t xml:space="preserve"> — a machine can produce a hundred options; only a person can say which one is right and defend it.</w:t>
      </w:r>
    </w:p>
    <w:p>
      <w:pPr>
        <w:pStyle w:val="ListParagraph"/>
        <w:numPr>
          <w:ilvl w:val="0"/>
          <w:numId w:val="3"/>
        </w:numPr>
        <w:spacing w:after="40" w:before="40" w:line="276"/>
      </w:pPr>
      <w:r>
        <w:rPr>
          <w:b/>
          <w:bCs/>
        </w:rPr>
        <w:t xml:space="preserve">Voice, for a named human narrator</w:t>
      </w:r>
      <w:r>
        <w:t xml:space="preserve"> — synthetic voice may never impersonate a real person, and a “human-narrated” audiobook is narrated by a human.</w:t>
      </w:r>
    </w:p>
    <w:p>
      <w:pPr>
        <w:pStyle w:val="Heading2"/>
        <w:pageBreakBefore/>
      </w:pPr>
      <w:r>
        <w:t xml:space="preserve">CHAPTER 4 — STROMEX STUDIO: DESIGN PRACTICE</w:t>
      </w:r>
    </w:p>
    <w:p>
      <w:pPr>
        <w:pStyle w:val="Heading3"/>
      </w:pPr>
      <w:r>
        <w:t xml:space="preserve">4.1 The process</w:t>
      </w:r>
    </w:p>
    <w:p>
      <w:pPr>
        <w:pStyle w:val="BodyText"/>
      </w:pPr>
      <w:r>
        <w:t xml:space="preserve">Brief → research → strategy → concept (3–5 genuine directions, not one plus two weak decoys) → refinement → system → production → handover.</w:t>
      </w:r>
    </w:p>
    <w:p>
      <w:pPr>
        <w:pStyle w:val="BodyText"/>
      </w:pPr>
      <w:r>
        <w:rPr>
          <w:b/>
          <w:bCs/>
        </w:rPr>
        <w:t xml:space="preserve">The decoy rule:</w:t>
      </w:r>
      <w:r>
        <w:t xml:space="preserve"> presenting deliberately weak options to steer a client toward a preferred one is manipulation and is prohibited. Every option presented must be one we would be willing to build.</w:t>
      </w:r>
    </w:p>
    <w:p>
      <w:pPr>
        <w:pStyle w:val="Heading3"/>
      </w:pPr>
      <w:r>
        <w:t xml:space="preserve">4.2 Handover standard</w:t>
      </w:r>
    </w:p>
    <w:p>
      <w:pPr>
        <w:pStyle w:val="BodyText"/>
      </w:pPr>
      <w:r>
        <w:t xml:space="preserve">Every design engagement hands over: source files in an open or industry-standard format, all exported variants, a specification document, licences for every asset used, and — for identity work — the full brand kit per Volume I §10.1 (app icon, monochrome, embossed, reversed, digital variants). The client owns the work outright on final payment. </w:t>
      </w:r>
      <w:r>
        <w:rPr>
          <w:b/>
          <w:bCs/>
        </w:rPr>
        <w:t xml:space="preserve">We do not hold source files as leverage.</w:t>
      </w:r>
    </w:p>
    <w:p>
      <w:pPr>
        <w:pStyle w:val="Heading3"/>
      </w:pPr>
      <w:r>
        <w:t xml:space="preserve">4.3 Revisions</w:t>
      </w:r>
    </w:p>
    <w:p>
      <w:pPr>
        <w:pStyle w:val="BodyText"/>
      </w:pPr>
      <w:r>
        <w:t xml:space="preserve">Stated in the quote, always. Standard: 2 rounds. Premium: 3. Elite: unlimited within the agreed direction. A change of </w:t>
      </w:r>
      <w:r>
        <w:rPr>
          <w:i/>
          <w:iCs/>
        </w:rPr>
        <w:t xml:space="preserve">direction</w:t>
      </w:r>
      <w:r>
        <w:t xml:space="preserve"> is a new brief and is quoted as one — stated up front, not discovered at invoice.</w:t>
      </w:r>
    </w:p>
    <w:p>
      <w:pPr>
        <w:pStyle w:val="Heading2"/>
        <w:pageBreakBefore/>
      </w:pPr>
      <w:r>
        <w:t xml:space="preserve">CHAPTER 5 — INSTITUTIONAL IDENTITY &amp; HERALDRY</w:t>
      </w:r>
    </w:p>
    <w:p>
      <w:pPr>
        <w:pStyle w:val="BodyText"/>
      </w:pPr>
      <w:r>
        <w:t xml:space="preserve">Schools, universities, ministries, mosques and hospitals need identity systems with a formal register most commercial branding does not use: crests, seals, ledgers, folios, chapter marks, mottoes.</w:t>
      </w:r>
    </w:p>
    <w:p>
      <w:pPr>
        <w:pStyle w:val="BodyText"/>
      </w:pPr>
      <w:r>
        <w:rPr>
          <w:b/>
          <w:bCs/>
        </w:rPr>
        <w:t xml:space="preserve">The rules:</w:t>
      </w:r>
    </w:p>
    <w:p>
      <w:pPr>
        <w:pStyle w:val="ListParagraph"/>
        <w:numPr>
          <w:ilvl w:val="0"/>
          <w:numId w:val="2"/>
        </w:numPr>
        <w:spacing w:after="40" w:before="40" w:line="276"/>
      </w:pPr>
      <w:r>
        <w:rPr>
          <w:b/>
          <w:bCs/>
        </w:rPr>
        <w:t xml:space="preserve">Heraldic devices carry meaning.</w:t>
      </w:r>
      <w:r>
        <w:t xml:space="preserve"> Charges, tinctures and ordinaries mean things. We use them correctly or we design a modern mark instead. A crest assembled from decorative clip-art is worse than no crest.</w:t>
      </w:r>
    </w:p>
    <w:p>
      <w:pPr>
        <w:pStyle w:val="ListParagraph"/>
        <w:numPr>
          <w:ilvl w:val="0"/>
          <w:numId w:val="2"/>
        </w:numPr>
        <w:spacing w:after="40" w:before="40" w:line="276"/>
      </w:pPr>
      <w:r>
        <w:rPr>
          <w:b/>
          <w:bCs/>
        </w:rPr>
        <w:t xml:space="preserve">Never claim what is not held.</w:t>
      </w:r>
      <w:r>
        <w:t xml:space="preserve"> No crown implying royal patronage that does not exist, no laurel implying an award not won, no “Est. 1954” for an institution founded in 2017, no city or country claim the institution cannot make.</w:t>
      </w:r>
    </w:p>
    <w:p>
      <w:pPr>
        <w:pStyle w:val="ListParagraph"/>
        <w:numPr>
          <w:ilvl w:val="0"/>
          <w:numId w:val="2"/>
        </w:numPr>
        <w:spacing w:after="40" w:before="40" w:line="276"/>
      </w:pPr>
      <w:r>
        <w:rPr>
          <w:b/>
          <w:bCs/>
        </w:rPr>
        <w:t xml:space="preserve">The motto is in the institution’s own language and their own words</w:t>
      </w:r>
      <w:r>
        <w:t xml:space="preserve">, translated accurately, checked by a native speaker.</w:t>
      </w:r>
    </w:p>
    <w:p>
      <w:pPr>
        <w:pStyle w:val="ListParagraph"/>
        <w:numPr>
          <w:ilvl w:val="0"/>
          <w:numId w:val="2"/>
        </w:numPr>
        <w:spacing w:after="40" w:before="40" w:line="276"/>
      </w:pPr>
      <w:r>
        <w:rPr>
          <w:b/>
          <w:bCs/>
        </w:rPr>
        <w:t xml:space="preserve">Design for the seal first.</w:t>
      </w:r>
      <w:r>
        <w:t xml:space="preserve"> If it works blind-embossed at 25mm in one colour, it works everywhere. If it only works as a full-colour render, it is an illustration, not a crest — the same reasoning that selected Candidate D in Volume I §10.1.</w:t>
      </w:r>
    </w:p>
    <w:p>
      <w:pPr>
        <w:pStyle w:val="ListParagraph"/>
        <w:numPr>
          <w:ilvl w:val="0"/>
          <w:numId w:val="2"/>
        </w:numPr>
        <w:spacing w:after="40" w:before="40" w:line="276"/>
      </w:pPr>
      <w:r>
        <w:rPr>
          <w:b/>
          <w:bCs/>
        </w:rPr>
        <w:t xml:space="preserve">Deliver the full system</w:t>
      </w:r>
      <w:r>
        <w:t xml:space="preserve">: full colour, one colour, reversed, embossed/blind, engraved line art, digital icon, watermark, and a print specification.</w:t>
      </w:r>
    </w:p>
    <w:p>
      <w:pPr>
        <w:pStyle w:val="Heading2"/>
        <w:pageBreakBefore/>
      </w:pPr>
      <w:r>
        <w:t xml:space="preserve">CHAPTER 6 — SECURITY DOCUMENT DESIGN</w:t>
      </w:r>
    </w:p>
    <w:p>
      <w:pPr>
        <w:pStyle w:val="EditorialNote"/>
      </w:pPr>
      <w:r>
        <w:t xml:space="preserve">Certificates, transcripts, ID cards, receipts, licences. The most consequential creative work the group does — a forgeable credential destroys the institution’s trust and ours together.</w:t>
      </w:r>
    </w:p>
    <w:p>
      <w:pPr>
        <w:pStyle w:val="Heading3"/>
      </w:pPr>
      <w:r>
        <w:t xml:space="preserve">6.1 The dual mandate</w:t>
      </w:r>
    </w:p>
    <w:p>
      <w:pPr>
        <w:pStyle w:val="BodyText"/>
      </w:pPr>
      <w:r>
        <w:t xml:space="preserve">A security document must be </w:t>
      </w:r>
      <w:r>
        <w:rPr>
          <w:b/>
          <w:bCs/>
        </w:rPr>
        <w:t xml:space="preserve">beautiful enough that a graduate frames it</w:t>
      </w:r>
      <w:r>
        <w:t xml:space="preserve"> and </w:t>
      </w:r>
      <w:r>
        <w:rPr>
          <w:b/>
          <w:bCs/>
        </w:rPr>
        <w:t xml:space="preserve">hard enough to forge that an employer can rely on it.</w:t>
      </w:r>
      <w:r>
        <w:t xml:space="preserve"> Designers who treat security features as decoration and security engineers who treat beauty as optional both produce failures.</w:t>
      </w:r>
    </w:p>
    <w:p>
      <w:pPr>
        <w:pStyle w:val="Heading3"/>
      </w:pPr>
      <w:r>
        <w:t xml:space="preserve">6.2 The design layers</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Layer</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Purpose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Guilloche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Fine mathematical line-work; extremely difficult to reproduce by scan-and-print; the primary visual security element</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Microtext</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Legible only under magnification; degrades visibly under photocopying</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Cartouche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framed identifier field — designed so the credential number is unambiguous and transcribable (Volume IV §5.2)</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Seal</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Foil-blocked, embossed or blind-debossed; tactile evidence a scan cannot carry</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Substrate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Cotton stock, watermark, UV fibres, controlled deckle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UV / IR elements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Invisible under normal light</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Registered ground</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background vector whose registration to the trim is itself a check</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QR</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Layer 2 of the Volume IV §5.5 verification model — placed where it survives framing</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Signature blocks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Real, authorised signatories with a documented authority map</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design layers</w:t>
      </w:r>
    </w:p>
    <w:p>
      <w:pPr>
        <w:pStyle w:val="Heading3"/>
      </w:pPr>
      <w:r>
        <w:t xml:space="preserve">6.3 The specification is part of the deliverable</w:t>
      </w:r>
    </w:p>
    <w:p>
      <w:pPr>
        <w:pStyle w:val="BodyText"/>
      </w:pPr>
      <w:r>
        <w:t xml:space="preserve">Every security document ships with a </w:t>
      </w:r>
      <w:r>
        <w:rPr>
          <w:b/>
          <w:bCs/>
        </w:rPr>
        <w:t xml:space="preserve">press specification</w:t>
      </w:r>
      <w:r>
        <w:t xml:space="preserve">: stock weight and composition, colour profile and ink sequence, foil type and temperature, emboss depth and die spec, trim and bleed, imposition, varnish, and the acceptance criteria for a press check. Handing a printer a PDF and hoping is not a deliverable.</w:t>
      </w:r>
    </w:p>
    <w:p>
      <w:pPr>
        <w:pStyle w:val="Heading3"/>
      </w:pPr>
      <w:r>
        <w:t xml:space="preserve">6.4 Governance</w:t>
      </w:r>
    </w:p>
    <w:p>
      <w:pPr>
        <w:pStyle w:val="BodyText"/>
      </w:pPr>
      <w:r>
        <w:t xml:space="preserve">A security template is </w:t>
      </w:r>
      <w:r>
        <w:rPr>
          <w:b/>
          <w:bCs/>
        </w:rPr>
        <w:t xml:space="preserve">frozen</w:t>
      </w:r>
      <w:r>
        <w:t xml:space="preserve"> on approval. Changes require a documented amendment with a new version identifier, because a credential’s design is part of its verifiability — an employer comparing a 2031 certificate against a 2028 one must be able to establish which templates were valid when. Freeze declarations, revocation records and version registers are maintained as institutional records, not as design files.</w:t>
      </w:r>
    </w:p>
    <w:p>
      <w:pPr>
        <w:pStyle w:val="Heading2"/>
        <w:pageBreakBefore/>
      </w:pPr>
      <w:r>
        <w:t xml:space="preserve">CHAPTER 7 — STROMEX PRESS: PUBLISHING PRACTICE</w:t>
      </w:r>
    </w:p>
    <w:p>
      <w:pPr>
        <w:pStyle w:val="Heading3"/>
      </w:pPr>
      <w:r>
        <w:t xml:space="preserve">7.1 What we publish</w:t>
      </w:r>
    </w:p>
    <w:p>
      <w:pPr>
        <w:pStyle w:val="BodyText"/>
      </w:pPr>
      <w:r>
        <w:t xml:space="preserve">Institutional (prospectuses, yearbooks, handbooks, governance volumes, commemorative histories) · educational (textbooks, workbooks, teacher guides, question banks) · religious (Qur’anic study aids, Islamic scholarship, devotional works, children’s Islamic books) · trade (author services, general non-fiction, memoir) · academic (journals, monographs, research volumes) · children’s (picture books, readers, activity books).</w:t>
      </w:r>
    </w:p>
    <w:p>
      <w:pPr>
        <w:pStyle w:val="Heading3"/>
      </w:pPr>
      <w:r>
        <w:t xml:space="preserve">7.2 The editorial process</w:t>
      </w:r>
    </w:p>
    <w:p>
      <w:pPr>
        <w:pStyle w:val="BodyText"/>
      </w:pPr>
      <w:r>
        <w:t xml:space="preserve">Assessment → developmental edit → structural edit → line edit → copy-edit → </w:t>
      </w:r>
      <w:r>
        <w:rPr>
          <w:b/>
          <w:bCs/>
        </w:rPr>
        <w:t xml:space="preserve">fact-check</w:t>
      </w:r>
      <w:r>
        <w:t xml:space="preserve"> → design → typeset → proofread → </w:t>
      </w:r>
      <w:r>
        <w:rPr>
          <w:b/>
          <w:bCs/>
        </w:rPr>
        <w:t xml:space="preserve">second proof</w:t>
      </w:r>
      <w:r>
        <w:t xml:space="preserve"> → preflight → proof → print → distribute.</w:t>
      </w:r>
    </w:p>
    <w:p>
      <w:pPr>
        <w:pStyle w:val="BodyText"/>
      </w:pPr>
      <w:r>
        <w:rPr>
          <w:b/>
          <w:bCs/>
        </w:rPr>
        <w:t xml:space="preserve">Two proofreads are standard, not optional.</w:t>
      </w:r>
      <w:r>
        <w:t xml:space="preserve"> The cost of a typo in a printed run of 2,000 is the run.</w:t>
      </w:r>
    </w:p>
    <w:p>
      <w:pPr>
        <w:pStyle w:val="Heading3"/>
      </w:pPr>
      <w:r>
        <w:t xml:space="preserve">7.3 Editorial standards</w:t>
      </w:r>
    </w:p>
    <w:p>
      <w:pPr>
        <w:pStyle w:val="BodyText"/>
      </w:pPr>
      <w:r>
        <w:t xml:space="preserve">Volume I §11 governs voice. Additionally: house style documented per imprint · every factual claim verified and its source recorded · quotations checked against the original edition, never against a secondary source · names, dates, titles and honorifics verified with the person or institution · numbers checked twice · </w:t>
      </w:r>
      <w:r>
        <w:rPr>
          <w:b/>
          <w:bCs/>
        </w:rPr>
        <w:t xml:space="preserve">the author’s voice preserved</w:t>
      </w:r>
      <w:r>
        <w:t xml:space="preserve"> — editing improves clarity, it does not homogenise.</w:t>
      </w:r>
    </w:p>
    <w:p>
      <w:pPr>
        <w:pStyle w:val="Heading3"/>
      </w:pPr>
      <w:r>
        <w:t xml:space="preserve">7.4 The author covenant</w:t>
      </w:r>
    </w:p>
    <w:p>
      <w:pPr>
        <w:pStyle w:val="BodyText"/>
      </w:pPr>
      <w:r>
        <w:t xml:space="preserve">Clear contracts in plain language · rights and royalties stated without ambiguity · the author owns their work · transparent royalty accounting (Volume III §13.6) · no rights grab in a services agreement — an author paying us for editing does not thereby licence us anything · honest assessment even when it costs us the job · we say when a manuscript is not ready.</w:t>
      </w:r>
    </w:p>
    <w:p>
      <w:pPr>
        <w:pStyle w:val="Heading2"/>
        <w:pageBreakBefore/>
      </w:pPr>
      <w:r>
        <w:t xml:space="preserve">CHAPTER 8 — ISLAMIC &amp; ARABIC PUBLISHING</w:t>
      </w:r>
    </w:p>
    <w:p>
      <w:pPr>
        <w:pStyle w:val="EditorialNote"/>
      </w:pPr>
      <w:r>
        <w:t xml:space="preserve">The founder’s brief named premium Islamic book design specifically. It is also the area where error is least forgivable, so the standard is the highest in the division.</w:t>
      </w:r>
    </w:p>
    <w:p>
      <w:pPr>
        <w:pStyle w:val="Heading3"/>
      </w:pPr>
      <w:r>
        <w:t xml:space="preserve">8.1 The absolute rules</w:t>
      </w:r>
    </w:p>
    <w:p>
      <w:pPr>
        <w:pStyle w:val="ListParagraph"/>
        <w:numPr>
          <w:ilvl w:val="0"/>
          <w:numId w:val="2"/>
        </w:numPr>
        <w:spacing w:after="40" w:before="40" w:line="276"/>
      </w:pPr>
      <w:r>
        <w:rPr>
          <w:b/>
          <w:bCs/>
        </w:rPr>
        <w:t xml:space="preserve">Qur’anic text is reproduced, never generated, never paraphrased, never completed by a model.</w:t>
      </w:r>
      <w:r>
        <w:t xml:space="preserve"> It is set from a verified source with established provenance, and the source edition is recorded in the colophon.</w:t>
      </w:r>
    </w:p>
    <w:p>
      <w:pPr>
        <w:pStyle w:val="ListParagraph"/>
        <w:numPr>
          <w:ilvl w:val="0"/>
          <w:numId w:val="2"/>
        </w:numPr>
        <w:spacing w:after="40" w:before="40" w:line="276"/>
      </w:pPr>
      <w:r>
        <w:rPr>
          <w:b/>
          <w:bCs/>
        </w:rPr>
        <w:t xml:space="preserve">Translations and tafsir are attributed</w:t>
      </w:r>
      <w:r>
        <w:t xml:space="preserve"> to their named translator/scholar and edition. An unattributed translation is not publishable.</w:t>
      </w:r>
    </w:p>
    <w:p>
      <w:pPr>
        <w:pStyle w:val="ListParagraph"/>
        <w:numPr>
          <w:ilvl w:val="0"/>
          <w:numId w:val="2"/>
        </w:numPr>
        <w:spacing w:after="40" w:before="40" w:line="276"/>
      </w:pPr>
      <w:r>
        <w:rPr>
          <w:b/>
          <w:bCs/>
        </w:rPr>
        <w:t xml:space="preserve">No novel religious ruling is issued.</w:t>
      </w:r>
      <w:r>
        <w:t xml:space="preserve"> Where a text requires a ruling, a qualified human scholar provides it and is named (Volume I §7.5).</w:t>
      </w:r>
    </w:p>
    <w:p>
      <w:pPr>
        <w:pStyle w:val="ListParagraph"/>
        <w:numPr>
          <w:ilvl w:val="0"/>
          <w:numId w:val="2"/>
        </w:numPr>
        <w:spacing w:after="40" w:before="40" w:line="276"/>
      </w:pPr>
      <w:r>
        <w:rPr>
          <w:b/>
          <w:bCs/>
        </w:rPr>
        <w:t xml:space="preserve">Scholarly review before publication</w:t>
      </w:r>
      <w:r>
        <w:t xml:space="preserve"> for any work of religious instruction, by a reviewer qualified in the relevant tradition. If we do not have such a reviewer, we do not publish the work.</w:t>
      </w:r>
    </w:p>
    <w:p>
      <w:pPr>
        <w:pStyle w:val="ListParagraph"/>
        <w:numPr>
          <w:ilvl w:val="0"/>
          <w:numId w:val="2"/>
        </w:numPr>
        <w:spacing w:after="40" w:before="40" w:line="276"/>
      </w:pPr>
      <w:r>
        <w:rPr>
          <w:b/>
          <w:bCs/>
        </w:rPr>
        <w:t xml:space="preserve">Conventions differ between traditions and schools.</w:t>
      </w:r>
      <w:r>
        <w:t xml:space="preserve"> Where they differ, we ask; we do not assume, and we do not silently pick one.</w:t>
      </w:r>
    </w:p>
    <w:p>
      <w:pPr>
        <w:pStyle w:val="ListParagraph"/>
        <w:numPr>
          <w:ilvl w:val="0"/>
          <w:numId w:val="2"/>
        </w:numPr>
        <w:spacing w:after="40" w:before="40" w:line="276"/>
      </w:pPr>
      <w:r>
        <w:rPr>
          <w:b/>
          <w:bCs/>
        </w:rPr>
        <w:t xml:space="preserve">Handling standards</w:t>
      </w:r>
      <w:r>
        <w:t xml:space="preserve"> — the physical and typographic conventions for Qur’anic text (placement, ornamentation, what may appear on a facing page, binding and disposal guidance) are observed.</w:t>
      </w:r>
    </w:p>
    <w:p>
      <w:pPr>
        <w:pStyle w:val="Heading3"/>
      </w:pPr>
      <w:r>
        <w:t xml:space="preserve">8.2 The typographic standard</w:t>
      </w:r>
    </w:p>
    <w:p>
      <w:pPr>
        <w:pStyle w:val="BodyText"/>
      </w:pPr>
      <w:r>
        <w:t xml:space="preserve">Arabic typesetting is not Latin typesetting reversed. Getting it wrong is immediately visible to a literate reader and permanently damaging to credibility.</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Requirement</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Standard</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Typeface</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genuine Arabic face designed for the register — Amiri for literary and Qur’anic work, a modern face for interface and contemporary text. Never a Latin font’s fallback</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Harakat (vocalisation)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Correctly positioned, correctly spaced, not colliding with ascenders or with the line above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Ligatures &amp; contextual forms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Full shaping; a face and engine that handle initial/medial/final/isolated forms correctly</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Justification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Kashida-aware where the tradition calls for it; never letter-spaced like Latin</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Line spacing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Set for Arabic’s vertical extent, not inherited from a Latin grid</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Bidirectional runs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Latin, numeric and coded runs explicitly directed (Volume IV §11.2.5)</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Footnote apparatus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Designed for the density Islamic scholarship actually uses — multiple apparatus streams, verse references, transliteration</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Transliteration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One system, chosen and stated, applied consistently, with full diacritics</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Facing-page layouts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Arabic and translation in register, spread by spread</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Page furniture</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Running heads, folios and section marks in the correct script and direction</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typographic standard</w:t>
      </w:r>
    </w:p>
    <w:p>
      <w:pPr>
        <w:pStyle w:val="Heading3"/>
      </w:pPr>
      <w:r>
        <w:t xml:space="preserve">8.3 Why this is a business, not only a duty</w:t>
      </w:r>
    </w:p>
    <w:p>
      <w:pPr>
        <w:pStyle w:val="BodyText"/>
      </w:pPr>
      <w:r>
        <w:t xml:space="preserve">There is a real and underserved market: institutions and authors across West Africa, the Gulf and South Asia who want their work produced to a standard that currently requires a Beirut, Cairo or Istanbul house — and who cannot easily reach one. Doing this properly, at Band A and Band B prices, with UK print available, is a defensible position that very few can occupy, because it requires simultaneous competence in Arabic typography, Islamic scholarship, international print and modern production. The group has the first three in its reference work already.</w:t>
      </w:r>
    </w:p>
    <w:p>
      <w:pPr>
        <w:pStyle w:val="Heading2"/>
        <w:pageBreakBefore/>
      </w:pPr>
      <w:r>
        <w:t xml:space="preserve">CHAPTER 9 — RIGHTS, LICENSING &amp; ATTRIBUTION</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Asset</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Rule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Fonts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Licensed for the actual use (desktop, web, app, ePub, broadcast) and the actual volume. Licences recorded per project. Font piracy is a firing matter, not a mistake</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Images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Licensed or original. Model and property releases where people or private property appear. Children’s images require documented parental consent, always, in every jurisdiction</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Illustration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Commissioned with clear rights transfer, or licensed</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Music &amp; audio</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Licensed for the medium and the territory</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AI-generated assets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Provenance recorded; the provider’s terms verified as permitting commercial use; </w:t>
            </w:r>
            <w:r>
              <w:rPr>
                <w:rFonts w:ascii="DejaVu Sans" w:cs="DejaVu Sans" w:eastAsia="DejaVu Sans" w:hAnsi="DejaVu Sans"/>
                <w:b/>
                <w:bCs/>
                <w:color w:val="0D1117"/>
                <w:sz w:val="16"/>
                <w:szCs w:val="16"/>
              </w:rPr>
              <w:t xml:space="preserve">never used where a real person’s likeness or a living artist’s identifiable style is imitated</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Quotations</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Within fair dealing, or permission obtained and recorded</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Translation rights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Cleared before work starts</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Client-supplied material</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Client warrants their rights in writing; we verify what we reasonably can</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Our work</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Client owns the deliverable on final payment. We retain portfolio rights unless the client requests otherwise, and confidential work is never shown</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Rights, Licensing &amp; Attribution</w:t>
      </w:r>
    </w:p>
    <w:p>
      <w:pPr>
        <w:pStyle w:val="BodyText"/>
      </w:pPr>
      <w:r>
        <w:rPr>
          <w:b/>
          <w:bCs/>
        </w:rPr>
        <w:t xml:space="preserve">The standing instruction:</w:t>
      </w:r>
      <w:r>
        <w:t xml:space="preserve"> if the licence cannot be produced, the asset does not ship. “We found it online” is not a licence and never has been.</w:t>
      </w:r>
    </w:p>
    <w:p>
      <w:pPr>
        <w:pStyle w:val="Heading2"/>
        <w:pageBreakBefore/>
      </w:pPr>
      <w:r>
        <w:t xml:space="preserve">CHAPTER 10 — INTERNATIONAL PRINT COORDINATION</w:t>
      </w:r>
    </w:p>
    <w:p>
      <w:pPr>
        <w:pStyle w:val="Heading3"/>
      </w:pPr>
      <w:r>
        <w:t xml:space="preserve">10.1 What this service actually is</w:t>
      </w:r>
    </w:p>
    <w:p>
      <w:pPr>
        <w:pStyle w:val="BodyText"/>
      </w:pPr>
      <w:r>
        <w:t xml:space="preserve">The founder identified a genuine gap: institutions and authors in our markets cannot practically access UK and US production standards. The barriers are not price alone — they are specification literacy, colour management, freight, customs, minimum runs, payment mechanisms and the inability to attend a press check.</w:t>
      </w:r>
    </w:p>
    <w:p>
      <w:pPr>
        <w:pStyle w:val="BodyText"/>
      </w:pPr>
      <w:r>
        <w:rPr>
          <w:b/>
          <w:bCs/>
        </w:rPr>
        <w:t xml:space="preserve">StromeX takes responsibility for the outcome</w:t>
      </w:r>
      <w:r>
        <w:t xml:space="preserve">, not merely for placing the order. Volume III §13.3: coordination margin 18%, minimum $240, with print cost passed through at cost and disclosed.</w:t>
      </w:r>
    </w:p>
    <w:p>
      <w:pPr>
        <w:pStyle w:val="Heading3"/>
      </w:pPr>
      <w:r>
        <w:t xml:space="preserve">10.2 The tier decision</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31"/>
        <w:gridCol w:w="2231"/>
        <w:gridCol w:w="2231"/>
        <w:gridCol w:w="2233"/>
      </w:tblGrid>
      <w:tr>
        <w:trPr>
          <w:cantSplit w:val="false"/>
          <w:tblHeader/>
        </w:trPr>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Tier</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Where</w:t>
            </w:r>
          </w:p>
        </w:tc>
        <w:tc>
          <w:tcPr>
            <w:tcW w:type="dxa" w:w="223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Use it for</w:t>
            </w:r>
          </w:p>
        </w:tc>
        <w:tc>
          <w:tcPr>
            <w:tcW w:type="dxa" w:w="223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Do not use it for</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Local</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Nigeria / regional</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Workbooks, exam papers, newsletters, high-volume text</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Anything with critical colour or premium finishing</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Regional Premium</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UAE / Turkey / India</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Quality colour at moderate cost, medium runs</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Very short runs (setup dominates)</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UK Premium</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United Kingdom</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Prestige titles, case binding, foil, specialist finishing</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Price-sensitive volume work</w:t>
            </w:r>
          </w:p>
        </w:tc>
      </w:tr>
      <w:tr>
        <w:trPr>
          <w:cantSplit w:val="false"/>
          <w:tblHeader w:val="false"/>
        </w:trPr>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US Premium</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United States</w:t>
            </w:r>
          </w:p>
        </w:tc>
        <w:tc>
          <w:tcPr>
            <w:tcW w:type="dxa" w:w="223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Trade distribution, large runs, POD network</w:t>
            </w:r>
          </w:p>
        </w:tc>
        <w:tc>
          <w:tcPr>
            <w:tcW w:type="dxa" w:w="223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Small runs shipped to Africa (freight dominates)</w:t>
            </w:r>
          </w:p>
        </w:tc>
      </w:tr>
      <w:tr>
        <w:trPr>
          <w:cantSplit w:val="false"/>
          <w:tblHeader w:val="false"/>
        </w:trPr>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b/>
                <w:bCs/>
                <w:color w:val="0D1117"/>
                <w:sz w:val="16"/>
                <w:szCs w:val="16"/>
              </w:rPr>
              <w:t xml:space="preserve">Fine Press</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UK / EU specialist</w:t>
            </w:r>
          </w:p>
        </w:tc>
        <w:tc>
          <w:tcPr>
            <w:tcW w:type="dxa" w:w="223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Limited editions, hand-finishing, archival stock</w:t>
            </w:r>
          </w:p>
        </w:tc>
        <w:tc>
          <w:tcPr>
            <w:tcW w:type="dxa" w:w="223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Anything on a deadline</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The tier decision</w:t>
      </w:r>
    </w:p>
    <w:p>
      <w:pPr>
        <w:pStyle w:val="BodyText"/>
      </w:pPr>
      <w:r>
        <w:rPr>
          <w:b/>
          <w:bCs/>
        </w:rPr>
        <w:t xml:space="preserve">We recommend the cheapest tier that meets the requirement, and we say so even when a higher tier earns us more.</w:t>
      </w:r>
      <w:r>
        <w:t xml:space="preserve"> The coordination margin is a percentage, so recommending UK print for a workbook would pay us more and would be advice we could not defend. Volume I §6.1 governs.</w:t>
      </w:r>
    </w:p>
    <w:p>
      <w:pPr>
        <w:pStyle w:val="Heading3"/>
      </w:pPr>
      <w:r>
        <w:t xml:space="preserve">10.3 The coordination discipline</w:t>
      </w:r>
    </w:p>
    <w:p>
      <w:pPr>
        <w:pStyle w:val="BodyText"/>
      </w:pPr>
      <w:r>
        <w:t xml:space="preserve">Specification written by us · at least two quotes for any run above $2,000 · paper dummy before commitment on any premium title · </w:t>
      </w:r>
      <w:r>
        <w:rPr>
          <w:b/>
          <w:bCs/>
        </w:rPr>
        <w:t xml:space="preserve">wet proof for any title where colour matters</w:t>
      </w:r>
      <w:r>
        <w:t xml:space="preserve">, and we say plainly when a digital proof is insufficient · press check attended for Elite work · freight, insurance, duties and clearance quoted before commitment, not discovered · a landed-cost figure given to the client, not an ex-works one.</w:t>
      </w:r>
    </w:p>
    <w:p>
      <w:pPr>
        <w:pStyle w:val="BodyText"/>
      </w:pPr>
      <w:r>
        <w:rPr>
          <w:b/>
          <w:bCs/>
        </w:rPr>
        <w:t xml:space="preserve">The honest disclosure:</w:t>
      </w:r>
      <w:r>
        <w:t xml:space="preserve"> print coordination is our lowest-margin service line (22–35%, Volume I §6.2) and it is operationally the most exposed — currency movement, freight volatility, customs delay and press error are all real. We do it because it closes the loop for the customer and because nobody else in our market will. It is not a growth engine and it must never be sold as though it were.</w:t>
      </w:r>
    </w:p>
    <w:p>
      <w:pPr>
        <w:pStyle w:val="Heading2"/>
        <w:pageBreakBefore/>
      </w:pPr>
      <w:r>
        <w:t xml:space="preserve">CHAPTER 11 — AUDIO, MOTION &amp; MEDIA</w:t>
      </w:r>
    </w:p>
    <w:p>
      <w:pPr>
        <w:pStyle w:val="Heading3"/>
      </w:pPr>
      <w:r>
        <w:t xml:space="preserve">11.1 Audio</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35"/>
        <w:gridCol w:w="5891"/>
      </w:tblGrid>
      <w:tr>
        <w:trPr>
          <w:cantSplit w:val="false"/>
          <w:tblHeader/>
        </w:trPr>
        <w:tc>
          <w:tcPr>
            <w:tcW w:type="dxa" w:w="3035"/>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Standard</w:t>
            </w:r>
          </w:p>
        </w:tc>
        <w:tc>
          <w:tcPr>
            <w:tcW w:type="dxa" w:w="589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Rule</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Narration</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AI narration is disclosed as AI. Human narration is by a human. A synthetic voice never impersonates a real person</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Qur’anic recitation</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By a qualified human reciter, always. Never synthesised</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Mastering</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Loudness-normalised to platform standards; checked on phone speakers, not only on studio monitors</w:t>
            </w:r>
          </w:p>
        </w:tc>
      </w:tr>
      <w:tr>
        <w:trPr>
          <w:cantSplit w:val="false"/>
          <w:tblHeader w:val="false"/>
        </w:trPr>
        <w:tc>
          <w:tcPr>
            <w:tcW w:type="dxa" w:w="3035"/>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Accessibility</w:t>
            </w:r>
          </w:p>
        </w:tc>
        <w:tc>
          <w:tcPr>
            <w:tcW w:type="dxa" w:w="589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Transcripts and captions for everything</w:t>
            </w:r>
          </w:p>
        </w:tc>
      </w:tr>
      <w:tr>
        <w:trPr>
          <w:cantSplit w:val="false"/>
          <w:tblHeader w:val="false"/>
        </w:trPr>
        <w:tc>
          <w:tcPr>
            <w:tcW w:type="dxa" w:w="3035"/>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Languages</w:t>
            </w:r>
          </w:p>
        </w:tc>
        <w:tc>
          <w:tcPr>
            <w:tcW w:type="dxa" w:w="589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Recorded by native speakers of the target variety, not approximated</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Audio</w:t>
      </w:r>
    </w:p>
    <w:p>
      <w:pPr>
        <w:pStyle w:val="Heading3"/>
      </w:pPr>
      <w:r>
        <w:t xml:space="preserve">11.2 Motion</w:t>
      </w:r>
    </w:p>
    <w:p>
      <w:pPr>
        <w:pStyle w:val="BodyText"/>
      </w:pPr>
      <w:r>
        <w:t xml:space="preserve">Motion explains, never entertains (Volume I §12.2.3). Institutional motion work has a life of years, so it follows the timeless rule: no effects tied to a rendering fashion. Everything is delivered captioned and works with sound off, because most of it will be watched that way.</w:t>
      </w:r>
    </w:p>
    <w:p>
      <w:pPr>
        <w:pStyle w:val="Heading3"/>
      </w:pPr>
      <w:r>
        <w:t xml:space="preserve">11.3 Photography</w:t>
      </w:r>
    </w:p>
    <w:p>
      <w:pPr>
        <w:pStyle w:val="BodyText"/>
      </w:pPr>
      <w:r>
        <w:t xml:space="preserve">Institutional photography is the fastest way to make a school look either serious or cheap. Standards: real people from the institution, not stock · consent documented, and for children documented from parents · natural environments over staged ones · a consistent grade across a set · delivered in an organised, tagged library the institution can reuse, not as a folder of files.</w:t>
      </w:r>
    </w:p>
    <w:p>
      <w:pPr>
        <w:pStyle w:val="Heading2"/>
        <w:pageBreakBefore/>
      </w:pPr>
      <w:r>
        <w:t xml:space="preserve">CHAPTER 12 — EDUCATIONAL PUBLISHING</w:t>
      </w:r>
    </w:p>
    <w:p>
      <w:pPr>
        <w:pStyle w:val="Heading3"/>
      </w:pPr>
      <w:r>
        <w:t xml:space="preserve">12.1 The bespoke-textbook proposition</w:t>
      </w:r>
    </w:p>
    <w:p>
      <w:pPr>
        <w:pStyle w:val="BodyText"/>
      </w:pPr>
      <w:r>
        <w:t xml:space="preserve">The founder’s brief named specialised textbooks for individual schools. This is a real and unusually sticky product: a school with its own textbook series, carrying its own brand, aligned to its own scheme of work, has a differentiator its competitors cannot copy and a switching cost that is genuinely earned.</w:t>
      </w:r>
    </w:p>
    <w:p>
      <w:pPr>
        <w:pStyle w:val="BodyText"/>
      </w:pPr>
      <w:r>
        <w:rPr>
          <w:b/>
          <w:bCs/>
        </w:rPr>
        <w:t xml:space="preserve">Requirements before we accept the work:</w:t>
      </w:r>
      <w:r>
        <w:t xml:space="preserve"> the institution’s curriculum must be documented (we can produce it — Volume III §14.2) · alignment to the national or examination-board syllabus must be verified · subject-matter review by a qualified teacher of that subject · pedagogical structure designed by an instructional designer, not merely content laid out · assessment and answer material produced with it · a revision cycle agreed, because a textbook that is never revised becomes an embarrassment.</w:t>
      </w:r>
    </w:p>
    <w:p>
      <w:pPr>
        <w:pStyle w:val="Heading3"/>
      </w:pPr>
      <w:r>
        <w:t xml:space="preserve">12.2 The instructional design standard</w:t>
      </w:r>
    </w:p>
    <w:p>
      <w:pPr>
        <w:pStyle w:val="BodyText"/>
      </w:pPr>
      <w:r>
        <w:t xml:space="preserve">Content organised by learning outcome, not by chapter convenience · explicit prior-knowledge assumptions · worked examples before independent practice · retrieval practice and spacing built into the structure, not appended as end-of-chapter questions · differentiated pathways for stronger and weaker learners · accessibility (type size, contrast, line length, dyslexia-considerate setting) · culturally grounded examples — a Nigerian maths textbook uses naira, Nigerian names and Nigerian contexts, and the fact that this needs saying is itself the market gap.</w:t>
      </w:r>
    </w:p>
    <w:p>
      <w:pPr>
        <w:pStyle w:val="Heading3"/>
      </w:pPr>
      <w:r>
        <w:t xml:space="preserve">12.3 The digital-print pairing</w:t>
      </w:r>
    </w:p>
    <w:p>
      <w:pPr>
        <w:pStyle w:val="BodyText"/>
      </w:pPr>
      <w:r>
        <w:t xml:space="preserve">Every educational title is designed to exist in both forms from the start: print for the classroom, digital for access, with the same content model behind both. Retrofitting a print book into a digital one produces a bad PDF, which is what most of this market currently has.</w:t>
      </w:r>
    </w:p>
    <w:p>
      <w:pPr>
        <w:pStyle w:val="Heading2"/>
        <w:pageBreakBefore/>
      </w:pPr>
      <w:r>
        <w:t xml:space="preserve">CHAPTER 13 — CREATIVE OPERATIONS</w:t>
      </w:r>
    </w:p>
    <w:p>
      <w:pPr>
        <w:pStyle w:val="Heading3"/>
      </w:pPr>
      <w:r>
        <w:t xml:space="preserve">13.1 Roles</w:t>
      </w:r>
    </w:p>
    <w:p>
      <w:pPr>
        <w:pStyle w:val="BodyText"/>
      </w:pPr>
      <w:r>
        <w:t xml:space="preserve">Creative Director (final quality authority) · Art Director (per project) · Designers · Typesetters · Editors · Copywriters · Translators · Illustrators · Motion designers · Photographers · Production manager (print, freight, customs) · Scholarly reviewers (retained per tradition/discipline) · Subject reviewers (retained per subject).</w:t>
      </w:r>
    </w:p>
    <w:p>
      <w:pPr>
        <w:pStyle w:val="BodyText"/>
      </w:pPr>
      <w:r>
        <w:t xml:space="preserve">Scholarly and subject reviewers are </w:t>
      </w:r>
      <w:r>
        <w:rPr>
          <w:b/>
          <w:bCs/>
        </w:rPr>
        <w:t xml:space="preserve">retained, named and accountable</w:t>
      </w:r>
      <w:r>
        <w:t xml:space="preserve">. A pool of unnamed reviewers is how errors reach print.</w:t>
      </w:r>
    </w:p>
    <w:p>
      <w:pPr>
        <w:pStyle w:val="Heading3"/>
      </w:pPr>
      <w:r>
        <w:t xml:space="preserve">13.2 Quality gates</w:t>
      </w:r>
      <w:fldSimple w:instr="XE &quot;Gate&quot;"/>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21"/>
        <w:gridCol w:w="3303"/>
        <w:gridCol w:w="3302"/>
      </w:tblGrid>
      <w:tr>
        <w:trPr>
          <w:cantSplit w:val="false"/>
          <w:tblHeader/>
        </w:trPr>
        <w:tc>
          <w:tcPr>
            <w:tcW w:type="dxa" w:w="2321"/>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Gate</w:t>
            </w:r>
          </w:p>
        </w:tc>
        <w:tc>
          <w:tcPr>
            <w:tcW w:type="dxa" w:w="3303"/>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Who</w:t>
            </w:r>
          </w:p>
        </w:tc>
        <w:tc>
          <w:tcPr>
            <w:tcW w:type="dxa" w:w="3302"/>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Blocks</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Concept approval</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Creative Director</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Direction</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Content accuracy</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Editor + fact-checker</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Every claim</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Scholarly review</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Retained reviewer</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Religious and doctrinal content</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Subject review</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Retained subject expert</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Educational content</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Design review</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Art Director</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Craft</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Accessibility review</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Designer + checklist</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Type, contrast, structure</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Rights clearance</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Production</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Every asset (Chapter 9)</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Preflight</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Production</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Technical print readiness</w:t>
            </w:r>
          </w:p>
        </w:tc>
      </w:tr>
      <w:tr>
        <w:trPr>
          <w:cantSplit w:val="false"/>
          <w:tblHeader w:val="false"/>
        </w:trPr>
        <w:tc>
          <w:tcPr>
            <w:tcW w:type="dxa" w:w="2321"/>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Client approval</w:t>
            </w:r>
          </w:p>
        </w:tc>
        <w:tc>
          <w:tcPr>
            <w:tcW w:type="dxa" w:w="3303"/>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Client, in writing</w:t>
            </w:r>
          </w:p>
        </w:tc>
        <w:tc>
          <w:tcPr>
            <w:tcW w:type="dxa" w:w="3302"/>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Final</w:t>
            </w:r>
          </w:p>
        </w:tc>
      </w:tr>
      <w:tr>
        <w:trPr>
          <w:cantSplit w:val="false"/>
          <w:tblHeader w:val="false"/>
        </w:trPr>
        <w:tc>
          <w:tcPr>
            <w:tcW w:type="dxa" w:w="2321"/>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Press check</w:t>
            </w:r>
          </w:p>
        </w:tc>
        <w:tc>
          <w:tcPr>
            <w:tcW w:type="dxa" w:w="3303"/>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Production</w:t>
            </w:r>
          </w:p>
        </w:tc>
        <w:tc>
          <w:tcPr>
            <w:tcW w:type="dxa" w:w="3302"/>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Elite work</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Quality gates</w:t>
      </w:r>
    </w:p>
    <w:p>
      <w:pPr>
        <w:pStyle w:val="BodyText"/>
      </w:pPr>
      <w:r>
        <w:rPr>
          <w:b/>
          <w:bCs/>
        </w:rPr>
        <w:t xml:space="preserve">No gate is skipped for a deadline.</w:t>
      </w:r>
      <w:r>
        <w:t xml:space="preserve"> A deadline met with an error in a printed run of 2,000 has not been met.</w:t>
      </w:r>
    </w:p>
    <w:p>
      <w:pPr>
        <w:pStyle w:val="Heading3"/>
      </w:pPr>
      <w:r>
        <w:t xml:space="preserve">13.3 Capacity and honesty about it</w:t>
      </w:r>
    </w:p>
    <w:p>
      <w:pPr>
        <w:pStyle w:val="BodyText"/>
      </w:pPr>
      <w:r>
        <w:t xml:space="preserve">Creative capacity is finite and cannot be surged without quality loss. Volume I §14.2 applies with full force: we do not accept creative work we cannot staff. The correct response to overcapacity is a later date or a referral to a partner, never a rushed job — because in this division, a rushed job is the thing the client shows other people.</w:t>
      </w:r>
    </w:p>
    <w:p>
      <w:pPr>
        <w:pBdr>
          <w:bottom w:val="single" w:color="C9CFD9" w:sz="4" w:space="1"/>
        </w:pBdr>
        <w:spacing w:after="200" w:before="160"/>
      </w:pPr>
      <w:r>
        <w:t xml:space="preserve"/>
      </w:r>
    </w:p>
    <w:p>
      <w:pPr>
        <w:pStyle w:val="Heading2"/>
        <w:pageBreakBefore/>
      </w:pPr>
      <w:r>
        <w:rPr>
          <w:rFonts w:ascii="DejaVu Serif" w:cs="DejaVu Serif" w:eastAsia="DejaVu Serif" w:hAnsi="DejaVu Serif"/>
          <w:b/>
          <w:bCs/>
          <w:color w:val="0B3C91"/>
          <w:sz w:val="34"/>
          <w:szCs w:val="34"/>
        </w:rPr>
        <w:t xml:space="preserve">Glossary</w:t>
      </w:r>
    </w:p>
    <w:p>
      <w:pPr>
        <w:pStyle w:val="EditorialNote"/>
        <w:spacing w:after="240"/>
      </w:pPr>
      <w:r>
        <w:t xml:space="preserve">Terms are defined as this corpus uses them. Where a term also has a general industry meaning, the definition here governs internally and the cross-reference points to the chapter in which the term is established.</w:t>
      </w:r>
    </w:p>
    <w:tbl>
      <w:tblPr>
        <w:tblW w:type="dxa" w:w="89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6726"/>
      </w:tblGrid>
      <w:tr>
        <w:trPr>
          <w:cantSplit w:val="false"/>
          <w:tblHeader/>
        </w:trPr>
        <w:tc>
          <w:tcPr>
            <w:tcW w:type="dxa" w:w="2200"/>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Term</w:t>
            </w:r>
          </w:p>
        </w:tc>
        <w:tc>
          <w:tcPr>
            <w:tcW w:type="dxa" w:w="6726"/>
            <w:tcBorders>
              <w:top w:val="none" w:color="FFFFFF" w:sz="0"/>
              <w:left w:val="none" w:color="FFFFFF" w:sz="0"/>
              <w:bottom w:val="single" w:color="0B3C91" w:sz="8"/>
              <w:right w:val="none" w:color="FFFFFF" w:sz="0"/>
            </w:tcBorders>
            <w:shd w:fill="0B3C91" w:color="auto" w:val="clear"/>
            <w:tcMar>
              <w:top w:type="dxa" w:w="90"/>
              <w:left w:type="dxa" w:w="110"/>
              <w:bottom w:type="dxa" w:w="90"/>
              <w:right w:type="dxa" w:w="110"/>
            </w:tcMar>
            <w:vAlign w:val="top"/>
          </w:tcPr>
          <w:p>
            <w:pPr>
              <w:spacing w:after="0" w:before="0" w:line="250"/>
              <w:jc w:val="left"/>
            </w:pPr>
            <w:r>
              <w:rPr>
                <w:rFonts w:ascii="DejaVu Sans" w:cs="DejaVu Sans" w:eastAsia="DejaVu Sans" w:hAnsi="DejaVu Sans"/>
                <w:b/>
                <w:bCs/>
                <w:caps/>
                <w:color w:val="FFFFFF"/>
                <w:sz w:val="15"/>
                <w:szCs w:val="15"/>
              </w:rPr>
              <w:t xml:space="preserve">Definition</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ACV</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Annual contract value. The recurring revenue a customer contributes in a year, excluding one-time implementation and build fees.</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Band A / B / C</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three regional price bands defined in Volume I §6.4. All catalogue prices are quoted at Band C (list); Band A applies a 0.32× multiplier and Band B a 0.65×. The band follows the institution’s operating jurisdiction, not its billing address.</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CAC</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Customer acquisition cost. Loaded sales and marketing cost divided by customers acquired in the period.</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CAC payback</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number of months of gross profit from a customer required to recover that customer’s acquisition cost.</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Craft standard</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requirement in Volume VI §2.1 that creative work be indistinguishable from that of a good London or New York studio while remaining reproducible by a regional printer on the first attempt.</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Credential</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Any institution-issued, cryptographically signed record of an award, qualification, identity or transaction that a third party may need to verify. The subject of Volume IV, Chapter 5.</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Degraded mode</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defined, designed and tested behaviour of a surface under failure — no network, slow network, provider outage. Required of every surface by Volume IV §10.2.</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Ecosystem</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complete sector solution spanning all eight architectural layers, rather than a product sold into a sector. The unit of strategic expansion; see Volume I, Chapter 2.</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Entrenched provision</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clause amendable only by board supermajority with published rationale and thirty days’ notice. Enumerated in Volume IX §9.2.</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Federation</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Server-to-server interoperation across independently operated instances, allowing an institution to own its data while remaining reachable. The basis of the SpaceTalk government strategy; Volume X, Chapter 5.</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Foundation tier</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permanently free tier. Not a trial and not a demo; governed by the Free Constitution in Volume I, Chapter 5.</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Gate</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set of conditions that must be met before a roadmap phase may end. A phase ends when its gate is passed, not when its years elapse. Volume VIII, Chapter 2.</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GRR</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Gross revenue retention. Recurring revenue retained from existing customers excluding expansion; measures churn alone.</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Guilloche</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Fine mathematical line-work used in security printing, extremely difficult to reproduce by scan-and-print. The primary visual security element of a StromeX credential; Volume VI §6.2.</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Human-in-the-loop</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requirement that a named human decides, and is recorded as deciding, wherever the stakes ladder classifies a decision as high. Volume IV §8.1.</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LTV</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Lifetime value. The discounted gross profit expected from a customer over the expected life of the relationship.</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No-fork rule</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prohibition on forking shared platform layers for a single customer without written CTO approval and a sunset date. Volume IV §3.2.</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NRR</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Net revenue retention. Recurring revenue from existing customers including expansion and contraction. Above 100% means the existing base grows without new customers.</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Pricing Council</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standing body that owns Volume III, meets quarterly, and reviews every price against delivered margin. Volume I §8.4.</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Reference Implementation</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delivered institutional deployment used as proof of method and as a permanent sales asset. Four are recorded in this edition.</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Rule of 40</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Revenue growth percentage plus operating margin percentage. A common composite measure of whether a software company balances growth against profitability.</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Stakes ladder</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four-level classification — low, medium, high, prohibited — determining how much autonomy an AI system may exercise over a decision. Volume IV §8.1.</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System of record</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authoritative store of an institution’s people, money, documents, credentials and decisions. Identified in Volume II §9 as the group’s only genuinely durable moat.</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Value ledger</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The running, honest account of what an institution has gained from StromeX, shown at every renewal including the periods where the numbers are unimpressive. Volume I §4.4.</w:t>
            </w:r>
          </w:p>
        </w:tc>
      </w:tr>
      <w:tr>
        <w:trPr>
          <w:cantSplit w:val="false"/>
          <w:tblHeader w:val="false"/>
        </w:trPr>
        <w:tc>
          <w:tcPr>
            <w:tcW w:type="dxa" w:w="2200"/>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Verification token</w:t>
            </w:r>
          </w:p>
        </w:tc>
        <w:tc>
          <w:tcPr>
            <w:tcW w:type="dxa" w:w="6726"/>
            <w:tcBorders>
              <w:top w:val="single" w:color="C9CFD9" w:sz="2"/>
              <w:left w:val="none" w:color="FFFFFF" w:sz="0"/>
              <w:bottom w:val="single" w:color="C9CFD9" w:sz="2"/>
              <w:right w:val="none" w:color="FFFFFF" w:sz="0"/>
            </w:tcBorders>
            <w:shd w:fill="FFFFFF"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prepaid unit purchased by an institution for verification-adjacent services carrying real marginal cost. Verification itself is always free to the verifier. Volume III §3.5.</w:t>
            </w:r>
          </w:p>
        </w:tc>
      </w:tr>
      <w:tr>
        <w:trPr>
          <w:cantSplit w:val="false"/>
          <w:tblHeader w:val="false"/>
        </w:trPr>
        <w:tc>
          <w:tcPr>
            <w:tcW w:type="dxa" w:w="2200"/>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Wave</w:t>
            </w:r>
          </w:p>
        </w:tc>
        <w:tc>
          <w:tcPr>
            <w:tcW w:type="dxa" w:w="6726"/>
            <w:tcBorders>
              <w:top w:val="single" w:color="C9CFD9" w:sz="2"/>
              <w:left w:val="none" w:color="FFFFFF" w:sz="0"/>
              <w:bottom w:val="single" w:color="C9CFD9" w:sz="2"/>
              <w:right w:val="none" w:color="FFFFFF" w:sz="0"/>
            </w:tcBorders>
            <w:shd w:fill="F5F7FA" w:color="auto" w:val="clear"/>
            <w:tcMar>
              <w:top w:type="dxa" w:w="80"/>
              <w:left w:type="dxa" w:w="110"/>
              <w:bottom w:type="dxa" w:w="80"/>
              <w:right w:type="dxa" w:w="110"/>
            </w:tcMar>
            <w:vAlign w:val="top"/>
          </w:tcPr>
          <w:p>
            <w:pPr>
              <w:spacing w:after="0" w:before="0" w:line="250"/>
              <w:jc w:val="left"/>
            </w:pPr>
            <w:r>
              <w:rPr>
                <w:rFonts w:ascii="DejaVu Sans" w:cs="DejaVu Sans" w:eastAsia="DejaVu Sans" w:hAnsi="DejaVu Sans"/>
                <w:color w:val="0D1117"/>
                <w:sz w:val="16"/>
                <w:szCs w:val="16"/>
              </w:rPr>
              <w:t xml:space="preserve">A group of industry ecosystems opened in the same roadmap phase. Volume I §2.2.</w:t>
            </w:r>
          </w:p>
        </w:tc>
      </w:tr>
    </w:tbl>
    <w:p>
      <w:pPr>
        <w:pStyle w:val="Caption"/>
        <w:keepNext w:val="false"/>
      </w:pPr>
      <w:r>
        <w:rPr>
          <w:b/>
          <w:bCs/>
          <w:color w:val="0B3C91"/>
        </w:rPr>
        <w:t xml:space="preserve">Table </w:t>
      </w:r>
      <w:fldSimple w:instr="SEQ Table \* ARABIC"/>
      <w:r>
        <w:rPr>
          <w:color w:val="0B3C91"/>
        </w:rPr>
        <w:t xml:space="preserve"> — </w:t>
      </w:r>
      <w:r>
        <w:rPr>
          <w:color w:val="6B7480"/>
          <w:sz w:val="15"/>
          <w:szCs w:val="15"/>
        </w:rPr>
        <w:t xml:space="preserve">Glossary of terms</w:t>
      </w:r>
    </w:p>
    <w:p>
      <w:pPr>
        <w:pStyle w:val="Heading2"/>
        <w:pageBreakBefore/>
      </w:pPr>
      <w:r>
        <w:rPr>
          <w:rFonts w:ascii="DejaVu Serif" w:cs="DejaVu Serif" w:eastAsia="DejaVu Serif" w:hAnsi="DejaVu Serif"/>
          <w:b/>
          <w:bCs/>
          <w:color w:val="0B3C91"/>
          <w:sz w:val="34"/>
          <w:szCs w:val="34"/>
        </w:rPr>
        <w:t xml:space="preserve">References &amp; Bibliography</w:t>
      </w:r>
    </w:p>
    <w:p>
      <w:pPr>
        <w:pStyle w:val="EditorialNote"/>
        <w:spacing w:after="260"/>
      </w:pPr>
      <w:r>
        <w:t xml:space="preserve">Every external figure in this corpus is attributed at the point of use. This list consolidates those sources and records what each was used for. Sources were consulted in August 2026; where a source reports a market figure that moves, the figure is dated in the text.</w:t>
      </w:r>
    </w:p>
    <w:p>
      <w:pPr>
        <w:pStyle w:val="Heading3"/>
      </w:pPr>
      <w:r>
        <w:rPr>
          <w:rFonts w:ascii="DejaVu Serif" w:cs="DejaVu Serif" w:eastAsia="DejaVu Serif" w:hAnsi="DejaVu Serif"/>
          <w:b/>
          <w:bCs/>
          <w:color w:val="0B3C91"/>
          <w:sz w:val="25"/>
          <w:szCs w:val="25"/>
        </w:rPr>
        <w:t xml:space="preserve">External sources</w:t>
      </w:r>
    </w:p>
    <w:p>
      <w:pPr>
        <w:spacing w:after="40" w:before="0" w:line="275"/>
        <w:ind w:left="420" w:hanging="420"/>
      </w:pPr>
      <w:r>
        <w:rPr>
          <w:rFonts w:ascii="Liberation Serif" w:cs="Liberation Serif" w:eastAsia="Liberation Serif" w:hAnsi="Liberation Serif"/>
          <w:b/>
          <w:bCs/>
          <w:color w:val="1B6EF3"/>
          <w:sz w:val="16"/>
          <w:szCs w:val="16"/>
        </w:rPr>
        <w:t xml:space="preserve">[1]  </w:t>
      </w:r>
      <w:r>
        <w:rPr>
          <w:rFonts w:ascii="Liberation Serif" w:cs="Liberation Serif" w:eastAsia="Liberation Serif" w:hAnsi="Liberation Serif"/>
          <w:b/>
          <w:bCs/>
          <w:sz w:val="17"/>
          <w:szCs w:val="17"/>
        </w:rPr>
        <w:t xml:space="preserve">Federal Ministry of Education, Nigeria. </w:t>
      </w:r>
      <w:r>
        <w:rPr>
          <w:rFonts w:ascii="Liberation Serif" w:cs="Liberation Serif" w:eastAsia="Liberation Serif" w:hAnsi="Liberation Serif"/>
          <w:i/>
          <w:iCs/>
          <w:sz w:val="17"/>
          <w:szCs w:val="17"/>
        </w:rPr>
        <w:t xml:space="preserve">Nigeria Education Statistics — Annual School Census 2024/25. Education Management Information System portal. </w:t>
      </w:r>
      <w:hyperlink w:history="1" r:id="rIdhkumde9jmglcxrkf-xqo2">
        <w:r>
          <w:rPr>
            <w:rStyle w:val="Hyperlink"/>
            <w:rFonts w:ascii="Liberation Serif" w:cs="Liberation Serif" w:eastAsia="Liberation Serif" w:hAnsi="Liberation Serif"/>
            <w:sz w:val="14"/>
            <w:szCs w:val="14"/>
          </w:rPr>
          <w:t xml:space="preserve">https://emis.education.gov.ng/portal/</w:t>
        </w:r>
      </w:hyperlink>
    </w:p>
    <w:p>
      <w:pPr>
        <w:spacing w:after="170"/>
        <w:ind w:left="420"/>
      </w:pPr>
      <w:r>
        <w:rPr>
          <w:rFonts w:ascii="Liberation Serif" w:cs="Liberation Serif" w:eastAsia="Liberation Serif" w:hAnsi="Liberation Serif"/>
          <w:color w:val="6B7480"/>
          <w:sz w:val="15"/>
          <w:szCs w:val="15"/>
        </w:rPr>
        <w:t xml:space="preserve">Cited in Volume VII §1.1 for the count of private schools and enrolment in the founding market.</w:t>
      </w:r>
    </w:p>
    <w:p>
      <w:pPr>
        <w:spacing w:after="40" w:before="0" w:line="275"/>
        <w:ind w:left="420" w:hanging="420"/>
      </w:pPr>
      <w:r>
        <w:rPr>
          <w:rFonts w:ascii="Liberation Serif" w:cs="Liberation Serif" w:eastAsia="Liberation Serif" w:hAnsi="Liberation Serif"/>
          <w:b/>
          <w:bCs/>
          <w:color w:val="1B6EF3"/>
          <w:sz w:val="16"/>
          <w:szCs w:val="16"/>
        </w:rPr>
        <w:t xml:space="preserve">[2]  </w:t>
      </w:r>
      <w:r>
        <w:rPr>
          <w:rFonts w:ascii="Liberation Serif" w:cs="Liberation Serif" w:eastAsia="Liberation Serif" w:hAnsi="Liberation Serif"/>
          <w:b/>
          <w:bCs/>
          <w:sz w:val="17"/>
          <w:szCs w:val="17"/>
        </w:rPr>
        <w:t xml:space="preserve">Growthspree. </w:t>
      </w:r>
      <w:r>
        <w:rPr>
          <w:rFonts w:ascii="Liberation Serif" w:cs="Liberation Serif" w:eastAsia="Liberation Serif" w:hAnsi="Liberation Serif"/>
          <w:i/>
          <w:iCs/>
          <w:sz w:val="17"/>
          <w:szCs w:val="17"/>
        </w:rPr>
        <w:t xml:space="preserve">B2B SaaS NRR and GRR Benchmarks 2026, by ARR Stage, ACV Tier, Vertical and GTM Motion. </w:t>
      </w:r>
      <w:hyperlink w:history="1" r:id="rIdsdbnubatjieu-cgniij3u">
        <w:r>
          <w:rPr>
            <w:rStyle w:val="Hyperlink"/>
            <w:rFonts w:ascii="Liberation Serif" w:cs="Liberation Serif" w:eastAsia="Liberation Serif" w:hAnsi="Liberation Serif"/>
            <w:sz w:val="14"/>
            <w:szCs w:val="14"/>
          </w:rPr>
          <w:t xml:space="preserve">https://www.growthspreeofficial.com/blogs/b2b-saas-nrr-grr-net-gross-revenue-retention-benchmarks-2026-by-acv-stage-vertical</w:t>
        </w:r>
      </w:hyperlink>
    </w:p>
    <w:p>
      <w:pPr>
        <w:spacing w:after="170"/>
        <w:ind w:left="420"/>
      </w:pPr>
      <w:r>
        <w:rPr>
          <w:rFonts w:ascii="Liberation Serif" w:cs="Liberation Serif" w:eastAsia="Liberation Serif" w:hAnsi="Liberation Serif"/>
          <w:color w:val="6B7480"/>
          <w:sz w:val="15"/>
          <w:szCs w:val="15"/>
        </w:rPr>
        <w:t xml:space="preserve">Cited in Volume V §7.1 and Volume VII §14.4 for retention by contract-value band.</w:t>
      </w:r>
    </w:p>
    <w:p>
      <w:pPr>
        <w:spacing w:after="40" w:before="0" w:line="275"/>
        <w:ind w:left="420" w:hanging="420"/>
      </w:pPr>
      <w:r>
        <w:rPr>
          <w:rFonts w:ascii="Liberation Serif" w:cs="Liberation Serif" w:eastAsia="Liberation Serif" w:hAnsi="Liberation Serif"/>
          <w:b/>
          <w:bCs/>
          <w:color w:val="1B6EF3"/>
          <w:sz w:val="16"/>
          <w:szCs w:val="16"/>
        </w:rPr>
        <w:t xml:space="preserve">[3]  </w:t>
      </w:r>
      <w:r>
        <w:rPr>
          <w:rFonts w:ascii="Liberation Serif" w:cs="Liberation Serif" w:eastAsia="Liberation Serif" w:hAnsi="Liberation Serif"/>
          <w:b/>
          <w:bCs/>
          <w:sz w:val="17"/>
          <w:szCs w:val="17"/>
        </w:rPr>
        <w:t xml:space="preserve">Digital Applied. </w:t>
      </w:r>
      <w:r>
        <w:rPr>
          <w:rFonts w:ascii="Liberation Serif" w:cs="Liberation Serif" w:eastAsia="Liberation Serif" w:hAnsi="Liberation Serif"/>
          <w:i/>
          <w:iCs/>
          <w:sz w:val="17"/>
          <w:szCs w:val="17"/>
        </w:rPr>
        <w:t xml:space="preserve">Net Revenue Retention Benchmarks 2026: SaaS Expansion Data. </w:t>
      </w:r>
      <w:hyperlink w:history="1" r:id="rIdmjoqhuc7-8r_hp5aymb3o">
        <w:r>
          <w:rPr>
            <w:rStyle w:val="Hyperlink"/>
            <w:rFonts w:ascii="Liberation Serif" w:cs="Liberation Serif" w:eastAsia="Liberation Serif" w:hAnsi="Liberation Serif"/>
            <w:sz w:val="14"/>
            <w:szCs w:val="14"/>
          </w:rPr>
          <w:t xml:space="preserve">https://www.digitalapplied.com/blog/net-revenue-retention-benchmarks-2026-saas-expansion-data</w:t>
        </w:r>
      </w:hyperlink>
    </w:p>
    <w:p>
      <w:pPr>
        <w:spacing w:after="170"/>
        <w:ind w:left="420"/>
      </w:pPr>
      <w:r>
        <w:rPr>
          <w:rFonts w:ascii="Liberation Serif" w:cs="Liberation Serif" w:eastAsia="Liberation Serif" w:hAnsi="Liberation Serif"/>
          <w:color w:val="6B7480"/>
          <w:sz w:val="15"/>
          <w:szCs w:val="15"/>
        </w:rPr>
        <w:t xml:space="preserve">Cited in Volume V §7.1 for median B2B net revenue retention.</w:t>
      </w:r>
    </w:p>
    <w:p>
      <w:pPr>
        <w:spacing w:after="40" w:before="0" w:line="275"/>
        <w:ind w:left="420" w:hanging="420"/>
      </w:pPr>
      <w:r>
        <w:rPr>
          <w:rFonts w:ascii="Liberation Serif" w:cs="Liberation Serif" w:eastAsia="Liberation Serif" w:hAnsi="Liberation Serif"/>
          <w:b/>
          <w:bCs/>
          <w:color w:val="1B6EF3"/>
          <w:sz w:val="16"/>
          <w:szCs w:val="16"/>
        </w:rPr>
        <w:t xml:space="preserve">[4]  </w:t>
      </w:r>
      <w:r>
        <w:rPr>
          <w:rFonts w:ascii="Liberation Serif" w:cs="Liberation Serif" w:eastAsia="Liberation Serif" w:hAnsi="Liberation Serif"/>
          <w:b/>
          <w:bCs/>
          <w:sz w:val="17"/>
          <w:szCs w:val="17"/>
        </w:rPr>
        <w:t xml:space="preserve">Value Add VC. </w:t>
      </w:r>
      <w:r>
        <w:rPr>
          <w:rFonts w:ascii="Liberation Serif" w:cs="Liberation Serif" w:eastAsia="Liberation Serif" w:hAnsi="Liberation Serif"/>
          <w:i/>
          <w:iCs/>
          <w:sz w:val="17"/>
          <w:szCs w:val="17"/>
        </w:rPr>
        <w:t xml:space="preserve">SaaS Valuation Multiples 2026. </w:t>
      </w:r>
      <w:hyperlink w:history="1" r:id="rIdziwkrqk7tb_oxhn6zy4bf">
        <w:r>
          <w:rPr>
            <w:rStyle w:val="Hyperlink"/>
            <w:rFonts w:ascii="Liberation Serif" w:cs="Liberation Serif" w:eastAsia="Liberation Serif" w:hAnsi="Liberation Serif"/>
            <w:sz w:val="14"/>
            <w:szCs w:val="14"/>
          </w:rPr>
          <w:t xml:space="preserve">https://valueaddvc.com/saas-valuations</w:t>
        </w:r>
      </w:hyperlink>
    </w:p>
    <w:p>
      <w:pPr>
        <w:spacing w:after="170"/>
        <w:ind w:left="420"/>
      </w:pPr>
      <w:r>
        <w:rPr>
          <w:rFonts w:ascii="Liberation Serif" w:cs="Liberation Serif" w:eastAsia="Liberation Serif" w:hAnsi="Liberation Serif"/>
          <w:color w:val="6B7480"/>
          <w:sz w:val="15"/>
          <w:szCs w:val="15"/>
        </w:rPr>
        <w:t xml:space="preserve">Cited in Volume VIII §5.4 for public SaaS enterprise-value-to-revenue multiples.</w:t>
      </w:r>
    </w:p>
    <w:p>
      <w:pPr>
        <w:spacing w:after="40" w:before="0" w:line="275"/>
        <w:ind w:left="420" w:hanging="420"/>
      </w:pPr>
      <w:r>
        <w:rPr>
          <w:rFonts w:ascii="Liberation Serif" w:cs="Liberation Serif" w:eastAsia="Liberation Serif" w:hAnsi="Liberation Serif"/>
          <w:b/>
          <w:bCs/>
          <w:color w:val="1B6EF3"/>
          <w:sz w:val="16"/>
          <w:szCs w:val="16"/>
        </w:rPr>
        <w:t xml:space="preserve">[5]  </w:t>
      </w:r>
      <w:r>
        <w:rPr>
          <w:rFonts w:ascii="Liberation Serif" w:cs="Liberation Serif" w:eastAsia="Liberation Serif" w:hAnsi="Liberation Serif"/>
          <w:b/>
          <w:bCs/>
          <w:sz w:val="17"/>
          <w:szCs w:val="17"/>
        </w:rPr>
        <w:t xml:space="preserve">Aventis Advisors. </w:t>
      </w:r>
      <w:r>
        <w:rPr>
          <w:rFonts w:ascii="Liberation Serif" w:cs="Liberation Serif" w:eastAsia="Liberation Serif" w:hAnsi="Liberation Serif"/>
          <w:i/>
          <w:iCs/>
          <w:sz w:val="17"/>
          <w:szCs w:val="17"/>
        </w:rPr>
        <w:t xml:space="preserve">SaaS Valuation Multiples: 2015–2026. </w:t>
      </w:r>
      <w:hyperlink w:history="1" r:id="rIdixinw4z7axmljibssgxsd">
        <w:r>
          <w:rPr>
            <w:rStyle w:val="Hyperlink"/>
            <w:rFonts w:ascii="Liberation Serif" w:cs="Liberation Serif" w:eastAsia="Liberation Serif" w:hAnsi="Liberation Serif"/>
            <w:sz w:val="14"/>
            <w:szCs w:val="14"/>
          </w:rPr>
          <w:t xml:space="preserve">https://aventis-advisors.com/saas-valuation-multiples/</w:t>
        </w:r>
      </w:hyperlink>
    </w:p>
    <w:p>
      <w:pPr>
        <w:spacing w:after="170"/>
        <w:ind w:left="420"/>
      </w:pPr>
      <w:r>
        <w:rPr>
          <w:rFonts w:ascii="Liberation Serif" w:cs="Liberation Serif" w:eastAsia="Liberation Serif" w:hAnsi="Liberation Serif"/>
          <w:color w:val="6B7480"/>
          <w:sz w:val="15"/>
          <w:szCs w:val="15"/>
        </w:rPr>
        <w:t xml:space="preserve">Cited in Volume VIII §5.4 for the historical range of software multiples.</w:t>
      </w:r>
    </w:p>
    <w:p>
      <w:pPr>
        <w:spacing w:after="40" w:before="0" w:line="275"/>
        <w:ind w:left="420" w:hanging="420"/>
      </w:pPr>
      <w:r>
        <w:rPr>
          <w:rFonts w:ascii="Liberation Serif" w:cs="Liberation Serif" w:eastAsia="Liberation Serif" w:hAnsi="Liberation Serif"/>
          <w:b/>
          <w:bCs/>
          <w:color w:val="1B6EF3"/>
          <w:sz w:val="16"/>
          <w:szCs w:val="16"/>
        </w:rPr>
        <w:t xml:space="preserve">[6]  </w:t>
      </w:r>
      <w:r>
        <w:rPr>
          <w:rFonts w:ascii="Liberation Serif" w:cs="Liberation Serif" w:eastAsia="Liberation Serif" w:hAnsi="Liberation Serif"/>
          <w:b/>
          <w:bCs/>
          <w:sz w:val="17"/>
          <w:szCs w:val="17"/>
        </w:rPr>
        <w:t xml:space="preserve">L40. </w:t>
      </w:r>
      <w:r>
        <w:rPr>
          <w:rFonts w:ascii="Liberation Serif" w:cs="Liberation Serif" w:eastAsia="Liberation Serif" w:hAnsi="Liberation Serif"/>
          <w:i/>
          <w:iCs/>
          <w:sz w:val="17"/>
          <w:szCs w:val="17"/>
        </w:rPr>
        <w:t xml:space="preserve">SaaS Multiples 2026: The Real Private Range. </w:t>
      </w:r>
      <w:hyperlink w:history="1" r:id="rIdgkpccw9f6-86sld1w7jdr">
        <w:r>
          <w:rPr>
            <w:rStyle w:val="Hyperlink"/>
            <w:rFonts w:ascii="Liberation Serif" w:cs="Liberation Serif" w:eastAsia="Liberation Serif" w:hAnsi="Liberation Serif"/>
            <w:sz w:val="14"/>
            <w:szCs w:val="14"/>
          </w:rPr>
          <w:t xml:space="preserve">https://www.l40.com/insights/saas-multiples</w:t>
        </w:r>
      </w:hyperlink>
    </w:p>
    <w:p>
      <w:pPr>
        <w:spacing w:after="170"/>
        <w:ind w:left="420"/>
      </w:pPr>
      <w:r>
        <w:rPr>
          <w:rFonts w:ascii="Liberation Serif" w:cs="Liberation Serif" w:eastAsia="Liberation Serif" w:hAnsi="Liberation Serif"/>
          <w:color w:val="6B7480"/>
          <w:sz w:val="15"/>
          <w:szCs w:val="15"/>
        </w:rPr>
        <w:t xml:space="preserve">Cited in Volume VIII §5.4 for private-company multiples and the premium band.</w:t>
      </w:r>
    </w:p>
    <w:p>
      <w:pPr>
        <w:spacing w:after="40" w:before="0" w:line="275"/>
        <w:ind w:left="420" w:hanging="420"/>
      </w:pPr>
      <w:r>
        <w:rPr>
          <w:rFonts w:ascii="Liberation Serif" w:cs="Liberation Serif" w:eastAsia="Liberation Serif" w:hAnsi="Liberation Serif"/>
          <w:b/>
          <w:bCs/>
          <w:color w:val="1B6EF3"/>
          <w:sz w:val="16"/>
          <w:szCs w:val="16"/>
        </w:rPr>
        <w:t xml:space="preserve">[7]  </w:t>
      </w:r>
      <w:r>
        <w:rPr>
          <w:rFonts w:ascii="Liberation Serif" w:cs="Liberation Serif" w:eastAsia="Liberation Serif" w:hAnsi="Liberation Serif"/>
          <w:b/>
          <w:bCs/>
          <w:sz w:val="17"/>
          <w:szCs w:val="17"/>
        </w:rPr>
        <w:t xml:space="preserve">Eqvista. </w:t>
      </w:r>
      <w:r>
        <w:rPr>
          <w:rFonts w:ascii="Liberation Serif" w:cs="Liberation Serif" w:eastAsia="Liberation Serif" w:hAnsi="Liberation Serif"/>
          <w:i/>
          <w:iCs/>
          <w:sz w:val="17"/>
          <w:szCs w:val="17"/>
        </w:rPr>
        <w:t xml:space="preserve">SaaS Index: Revenue Multiples, Valuations &amp; Market Trends. </w:t>
      </w:r>
      <w:hyperlink w:history="1" r:id="rIdv7zjtgzafi-y_k8zl7rkv">
        <w:r>
          <w:rPr>
            <w:rStyle w:val="Hyperlink"/>
            <w:rFonts w:ascii="Liberation Serif" w:cs="Liberation Serif" w:eastAsia="Liberation Serif" w:hAnsi="Liberation Serif"/>
            <w:sz w:val="14"/>
            <w:szCs w:val="14"/>
          </w:rPr>
          <w:t xml:space="preserve">https://eqvista.com/saas-index-revenue-multiples-valuations-market-trends/</w:t>
        </w:r>
      </w:hyperlink>
    </w:p>
    <w:p>
      <w:pPr>
        <w:spacing w:after="170"/>
        <w:ind w:left="420"/>
      </w:pPr>
      <w:r>
        <w:rPr>
          <w:rFonts w:ascii="Liberation Serif" w:cs="Liberation Serif" w:eastAsia="Liberation Serif" w:hAnsi="Liberation Serif"/>
          <w:color w:val="6B7480"/>
          <w:sz w:val="15"/>
          <w:szCs w:val="15"/>
        </w:rPr>
        <w:t xml:space="preserve">Cited in Volume VIII §5.4 for the distribution of Rule of 40 outcomes.</w:t>
      </w:r>
    </w:p>
    <w:p>
      <w:pPr>
        <w:spacing w:after="40" w:before="0" w:line="275"/>
        <w:ind w:left="420" w:hanging="420"/>
      </w:pPr>
      <w:r>
        <w:rPr>
          <w:rFonts w:ascii="Liberation Serif" w:cs="Liberation Serif" w:eastAsia="Liberation Serif" w:hAnsi="Liberation Serif"/>
          <w:b/>
          <w:bCs/>
          <w:color w:val="1B6EF3"/>
          <w:sz w:val="16"/>
          <w:szCs w:val="16"/>
        </w:rPr>
        <w:t xml:space="preserve">[8]  </w:t>
      </w:r>
      <w:r>
        <w:rPr>
          <w:rFonts w:ascii="Liberation Serif" w:cs="Liberation Serif" w:eastAsia="Liberation Serif" w:hAnsi="Liberation Serif"/>
          <w:b/>
          <w:bCs/>
          <w:sz w:val="17"/>
          <w:szCs w:val="17"/>
        </w:rPr>
        <w:t xml:space="preserve">Priori Data. </w:t>
      </w:r>
      <w:r>
        <w:rPr>
          <w:rFonts w:ascii="Liberation Serif" w:cs="Liberation Serif" w:eastAsia="Liberation Serif" w:hAnsi="Liberation Serif"/>
          <w:i/>
          <w:iCs/>
          <w:sz w:val="17"/>
          <w:szCs w:val="17"/>
        </w:rPr>
        <w:t xml:space="preserve">Most Popular Messaging App Statistics 2026. </w:t>
      </w:r>
      <w:hyperlink w:history="1" r:id="rIdgdkq1zucmesshvwsz65jw">
        <w:r>
          <w:rPr>
            <w:rStyle w:val="Hyperlink"/>
            <w:rFonts w:ascii="Liberation Serif" w:cs="Liberation Serif" w:eastAsia="Liberation Serif" w:hAnsi="Liberation Serif"/>
            <w:sz w:val="14"/>
            <w:szCs w:val="14"/>
          </w:rPr>
          <w:t xml:space="preserve">https://prioridata.com/data/messaging-app-stats/</w:t>
        </w:r>
      </w:hyperlink>
    </w:p>
    <w:p>
      <w:pPr>
        <w:spacing w:after="170"/>
        <w:ind w:left="420"/>
      </w:pPr>
      <w:r>
        <w:rPr>
          <w:rFonts w:ascii="Liberation Serif" w:cs="Liberation Serif" w:eastAsia="Liberation Serif" w:hAnsi="Liberation Serif"/>
          <w:color w:val="6B7480"/>
          <w:sz w:val="15"/>
          <w:szCs w:val="15"/>
        </w:rPr>
        <w:t xml:space="preserve">Cited in Volume X §1.1 for messaging platform monthly active users.</w:t>
      </w:r>
    </w:p>
    <w:p>
      <w:pPr>
        <w:spacing w:after="40" w:before="0" w:line="275"/>
        <w:ind w:left="420" w:hanging="420"/>
      </w:pPr>
      <w:r>
        <w:rPr>
          <w:rFonts w:ascii="Liberation Serif" w:cs="Liberation Serif" w:eastAsia="Liberation Serif" w:hAnsi="Liberation Serif"/>
          <w:b/>
          <w:bCs/>
          <w:color w:val="1B6EF3"/>
          <w:sz w:val="16"/>
          <w:szCs w:val="16"/>
        </w:rPr>
        <w:t xml:space="preserve">[9]  </w:t>
      </w:r>
      <w:r>
        <w:rPr>
          <w:rFonts w:ascii="Liberation Serif" w:cs="Liberation Serif" w:eastAsia="Liberation Serif" w:hAnsi="Liberation Serif"/>
          <w:b/>
          <w:bCs/>
          <w:sz w:val="17"/>
          <w:szCs w:val="17"/>
        </w:rPr>
        <w:t xml:space="preserve">The Register. </w:t>
      </w:r>
      <w:r>
        <w:rPr>
          <w:rFonts w:ascii="Liberation Serif" w:cs="Liberation Serif" w:eastAsia="Liberation Serif" w:hAnsi="Liberation Serif"/>
          <w:i/>
          <w:iCs/>
          <w:sz w:val="17"/>
          <w:szCs w:val="17"/>
        </w:rPr>
        <w:t xml:space="preserve">Matrix messaging gaining ground in government IT, February 2026. </w:t>
      </w:r>
      <w:hyperlink w:history="1" r:id="rIdtyrpjhefi7fwpa4qwq94g">
        <w:r>
          <w:rPr>
            <w:rStyle w:val="Hyperlink"/>
            <w:rFonts w:ascii="Liberation Serif" w:cs="Liberation Serif" w:eastAsia="Liberation Serif" w:hAnsi="Liberation Serif"/>
            <w:sz w:val="14"/>
            <w:szCs w:val="14"/>
          </w:rPr>
          <w:t xml:space="preserve">https://www.theregister.com/on-prem/2026/02/09/matrix-messaging-gaining-ground-in-government-it/4663932</w:t>
        </w:r>
      </w:hyperlink>
    </w:p>
    <w:p>
      <w:pPr>
        <w:spacing w:after="170"/>
        <w:ind w:left="420"/>
      </w:pPr>
      <w:r>
        <w:rPr>
          <w:rFonts w:ascii="Liberation Serif" w:cs="Liberation Serif" w:eastAsia="Liberation Serif" w:hAnsi="Liberation Serif"/>
          <w:color w:val="6B7480"/>
          <w:sz w:val="15"/>
          <w:szCs w:val="15"/>
        </w:rPr>
        <w:t xml:space="preserve">Cited in Volume X §5.1 for public-sector adoption of federated messaging.</w:t>
      </w:r>
    </w:p>
    <w:p>
      <w:pPr>
        <w:spacing w:after="40" w:before="0" w:line="275"/>
        <w:ind w:left="420" w:hanging="420"/>
      </w:pPr>
      <w:r>
        <w:rPr>
          <w:rFonts w:ascii="Liberation Serif" w:cs="Liberation Serif" w:eastAsia="Liberation Serif" w:hAnsi="Liberation Serif"/>
          <w:b/>
          <w:bCs/>
          <w:color w:val="1B6EF3"/>
          <w:sz w:val="16"/>
          <w:szCs w:val="16"/>
        </w:rPr>
        <w:t xml:space="preserve">[10]  </w:t>
      </w:r>
      <w:r>
        <w:rPr>
          <w:rFonts w:ascii="Liberation Serif" w:cs="Liberation Serif" w:eastAsia="Liberation Serif" w:hAnsi="Liberation Serif"/>
          <w:b/>
          <w:bCs/>
          <w:sz w:val="17"/>
          <w:szCs w:val="17"/>
        </w:rPr>
        <w:t xml:space="preserve">Element. </w:t>
      </w:r>
      <w:r>
        <w:rPr>
          <w:rFonts w:ascii="Liberation Serif" w:cs="Liberation Serif" w:eastAsia="Liberation Serif" w:hAnsi="Liberation Serif"/>
          <w:i/>
          <w:iCs/>
          <w:sz w:val="17"/>
          <w:szCs w:val="17"/>
        </w:rPr>
        <w:t xml:space="preserve">Sweden goes live with Matrix-based federation. </w:t>
      </w:r>
      <w:hyperlink w:history="1" r:id="rIdqqdylnnxi5xnqevdxsct4">
        <w:r>
          <w:rPr>
            <w:rStyle w:val="Hyperlink"/>
            <w:rFonts w:ascii="Liberation Serif" w:cs="Liberation Serif" w:eastAsia="Liberation Serif" w:hAnsi="Liberation Serif"/>
            <w:sz w:val="14"/>
            <w:szCs w:val="14"/>
          </w:rPr>
          <w:t xml:space="preserve">https://element.io/blog/sweden-goes-live-with-matrix-based-federation/</w:t>
        </w:r>
      </w:hyperlink>
    </w:p>
    <w:p>
      <w:pPr>
        <w:spacing w:after="170"/>
        <w:ind w:left="420"/>
      </w:pPr>
      <w:r>
        <w:rPr>
          <w:rFonts w:ascii="Liberation Serif" w:cs="Liberation Serif" w:eastAsia="Liberation Serif" w:hAnsi="Liberation Serif"/>
          <w:color w:val="6B7480"/>
          <w:sz w:val="15"/>
          <w:szCs w:val="15"/>
        </w:rPr>
        <w:t xml:space="preserve">Cited in Volume X §5.1.</w:t>
      </w:r>
    </w:p>
    <w:p>
      <w:pPr>
        <w:spacing w:after="40" w:before="0" w:line="275"/>
        <w:ind w:left="420" w:hanging="420"/>
      </w:pPr>
      <w:r>
        <w:rPr>
          <w:rFonts w:ascii="Liberation Serif" w:cs="Liberation Serif" w:eastAsia="Liberation Serif" w:hAnsi="Liberation Serif"/>
          <w:b/>
          <w:bCs/>
          <w:color w:val="1B6EF3"/>
          <w:sz w:val="16"/>
          <w:szCs w:val="16"/>
        </w:rPr>
        <w:t xml:space="preserve">[11]  </w:t>
      </w:r>
      <w:r>
        <w:rPr>
          <w:rFonts w:ascii="Liberation Serif" w:cs="Liberation Serif" w:eastAsia="Liberation Serif" w:hAnsi="Liberation Serif"/>
          <w:b/>
          <w:bCs/>
          <w:sz w:val="17"/>
          <w:szCs w:val="17"/>
        </w:rPr>
        <w:t xml:space="preserve">Open Source For You. </w:t>
      </w:r>
      <w:r>
        <w:rPr>
          <w:rFonts w:ascii="Liberation Serif" w:cs="Liberation Serif" w:eastAsia="Liberation Serif" w:hAnsi="Liberation Serif"/>
          <w:i/>
          <w:iCs/>
          <w:sz w:val="17"/>
          <w:szCs w:val="17"/>
        </w:rPr>
        <w:t xml:space="preserve">EU Backs Open Source Matrix For Secure Internal Communications, February 2026. </w:t>
      </w:r>
      <w:hyperlink w:history="1" r:id="rIdflfjwxauri6pukka8qr0y">
        <w:r>
          <w:rPr>
            <w:rStyle w:val="Hyperlink"/>
            <w:rFonts w:ascii="Liberation Serif" w:cs="Liberation Serif" w:eastAsia="Liberation Serif" w:hAnsi="Liberation Serif"/>
            <w:sz w:val="14"/>
            <w:szCs w:val="14"/>
          </w:rPr>
          <w:t xml:space="preserve">https://www.opensourceforu.com/2026/02/eu-backs-open-source-matrix-for-secure-internal-communications/</w:t>
        </w:r>
      </w:hyperlink>
    </w:p>
    <w:p>
      <w:pPr>
        <w:spacing w:after="170"/>
        <w:ind w:left="420"/>
      </w:pPr>
      <w:r>
        <w:rPr>
          <w:rFonts w:ascii="Liberation Serif" w:cs="Liberation Serif" w:eastAsia="Liberation Serif" w:hAnsi="Liberation Serif"/>
          <w:color w:val="6B7480"/>
          <w:sz w:val="15"/>
          <w:szCs w:val="15"/>
        </w:rPr>
        <w:t xml:space="preserve">Cited in Volume X §5.1 for the European Commission trial.</w:t>
      </w:r>
    </w:p>
    <w:p>
      <w:pPr>
        <w:pStyle w:val="Heading3"/>
      </w:pPr>
      <w:r>
        <w:rPr>
          <w:rFonts w:ascii="DejaVu Serif" w:cs="DejaVu Serif" w:eastAsia="DejaVu Serif" w:hAnsi="DejaVu Serif"/>
          <w:b/>
          <w:bCs/>
          <w:color w:val="0B3C91"/>
          <w:sz w:val="25"/>
          <w:szCs w:val="25"/>
        </w:rPr>
        <w:t xml:space="preserve">Internal sources</w:t>
      </w:r>
    </w:p>
    <w:p>
      <w:pPr>
        <w:pStyle w:val="EditorialNote"/>
        <w:spacing w:after="200"/>
      </w:pPr>
      <w:r>
        <w:t xml:space="preserve">Claims in this corpus about what the group has built trace to these. Catalogue lines in Volume III are marked built, partial or specified-not-built on this basis.</w:t>
      </w:r>
    </w:p>
    <w:p>
      <w:pPr>
        <w:spacing w:after="30" w:before="0"/>
      </w:pPr>
      <w:r>
        <w:rPr>
          <w:rFonts w:ascii="Liberation Serif" w:cs="Liberation Serif" w:eastAsia="Liberation Serif" w:hAnsi="Liberation Serif"/>
          <w:b/>
          <w:bCs/>
          <w:sz w:val="17"/>
          <w:szCs w:val="17"/>
        </w:rPr>
        <w:t xml:space="preserve">StromeX MVP</w:t>
      </w:r>
      <w:r>
        <w:rPr>
          <w:rFonts w:ascii="Liberation Serif" w:cs="Liberation Serif" w:eastAsia="Liberation Serif" w:hAnsi="Liberation Serif"/>
          <w:color w:val="1B6EF3"/>
          <w:sz w:val="15"/>
          <w:szCs w:val="15"/>
        </w:rPr>
        <w:t xml:space="preserve">  ·  apps/api, apps/web, infra</w:t>
      </w:r>
    </w:p>
    <w:p>
      <w:pPr>
        <w:spacing w:after="170" w:line="275"/>
        <w:ind w:left="300"/>
      </w:pPr>
      <w:r>
        <w:rPr>
          <w:rFonts w:ascii="Liberation Serif" w:cs="Liberation Serif" w:eastAsia="Liberation Serif" w:hAnsi="Liberation Serif"/>
          <w:color w:val="38414D"/>
          <w:sz w:val="16"/>
          <w:szCs w:val="16"/>
        </w:rPr>
        <w:t xml:space="preserve">FastAPI backend with multi-provider AI routing, memory, spaced-repetition tutor and PDF export; Next.js frontend; Docker Compose infrastructure. Establishes the canonical stack in Volume IV §2.2.</w:t>
      </w:r>
    </w:p>
    <w:p>
      <w:pPr>
        <w:spacing w:after="30" w:before="0"/>
      </w:pPr>
      <w:r>
        <w:rPr>
          <w:rFonts w:ascii="Liberation Serif" w:cs="Liberation Serif" w:eastAsia="Liberation Serif" w:hAnsi="Liberation Serif"/>
          <w:b/>
          <w:bCs/>
          <w:sz w:val="17"/>
          <w:szCs w:val="17"/>
        </w:rPr>
        <w:t xml:space="preserve">Independent MVP Audit</w:t>
      </w:r>
      <w:r>
        <w:rPr>
          <w:rFonts w:ascii="Liberation Serif" w:cs="Liberation Serif" w:eastAsia="Liberation Serif" w:hAnsi="Liberation Serif"/>
          <w:color w:val="1B6EF3"/>
          <w:sz w:val="15"/>
          <w:szCs w:val="15"/>
        </w:rPr>
        <w:t xml:space="preserve">  ·  docs/04-STROMEX-INDEPENDENT-AUDIT.md</w:t>
      </w:r>
    </w:p>
    <w:p>
      <w:pPr>
        <w:spacing w:after="170" w:line="275"/>
        <w:ind w:left="300"/>
      </w:pPr>
      <w:r>
        <w:rPr>
          <w:rFonts w:ascii="Liberation Serif" w:cs="Liberation Serif" w:eastAsia="Liberation Serif" w:hAnsi="Liberation Serif"/>
          <w:color w:val="38414D"/>
          <w:sz w:val="16"/>
          <w:szCs w:val="16"/>
        </w:rPr>
        <w:t xml:space="preserve">Security, scalability, reliability and performance audit including a critical server-side request forgery vulnerability found, reproduced and fixed. Carried forward as a standing engineering rule in Volume IV §15.</w:t>
      </w:r>
    </w:p>
    <w:p>
      <w:pPr>
        <w:spacing w:after="30" w:before="0"/>
      </w:pPr>
      <w:r>
        <w:rPr>
          <w:rFonts w:ascii="Liberation Serif" w:cs="Liberation Serif" w:eastAsia="Liberation Serif" w:hAnsi="Liberation Serif"/>
          <w:b/>
          <w:bCs/>
          <w:sz w:val="17"/>
          <w:szCs w:val="17"/>
        </w:rPr>
        <w:t xml:space="preserve">Reference Implementation №1</w:t>
      </w:r>
      <w:r>
        <w:rPr>
          <w:rFonts w:ascii="Liberation Serif" w:cs="Liberation Serif" w:eastAsia="Liberation Serif" w:hAnsi="Liberation Serif"/>
          <w:color w:val="1B6EF3"/>
          <w:sz w:val="15"/>
          <w:szCs w:val="15"/>
        </w:rPr>
        <w:t xml:space="preserve">  ·  Sultan Hanafi Royal Schools</w:t>
      </w:r>
    </w:p>
    <w:p>
      <w:pPr>
        <w:spacing w:after="170" w:line="275"/>
        <w:ind w:left="300"/>
      </w:pPr>
      <w:r>
        <w:rPr>
          <w:rFonts w:ascii="Liberation Serif" w:cs="Liberation Serif" w:eastAsia="Liberation Serif" w:hAnsi="Liberation Serif"/>
          <w:color w:val="38414D"/>
          <w:sz w:val="16"/>
          <w:szCs w:val="16"/>
        </w:rPr>
        <w:t xml:space="preserve">Four-language institutional build (English, Arabic RTL, Yorùbá, French) with approximately thirty-five page templates per locale; four verification surfaces; certificate generation with documented identifier architecture, security model and signing-key deployment; digital identity and card system; finance platform; eight role portals; personalisation centre; and approximately one hundred and twenty institutional system, governance and design documents.</w:t>
      </w:r>
    </w:p>
    <w:p>
      <w:pPr>
        <w:spacing w:after="30" w:before="0"/>
      </w:pPr>
      <w:r>
        <w:rPr>
          <w:rFonts w:ascii="Liberation Serif" w:cs="Liberation Serif" w:eastAsia="Liberation Serif" w:hAnsi="Liberation Serif"/>
          <w:b/>
          <w:bCs/>
          <w:sz w:val="17"/>
          <w:szCs w:val="17"/>
        </w:rPr>
        <w:t xml:space="preserve">Reference Implementation №2</w:t>
      </w:r>
      <w:r>
        <w:rPr>
          <w:rFonts w:ascii="Liberation Serif" w:cs="Liberation Serif" w:eastAsia="Liberation Serif" w:hAnsi="Liberation Serif"/>
          <w:color w:val="1B6EF3"/>
          <w:sz w:val="15"/>
          <w:szCs w:val="15"/>
        </w:rPr>
        <w:t xml:space="preserve">  ·  WorldWide English College</w:t>
      </w:r>
    </w:p>
    <w:p>
      <w:pPr>
        <w:spacing w:after="170" w:line="275"/>
        <w:ind w:left="300"/>
      </w:pPr>
      <w:r>
        <w:rPr>
          <w:rFonts w:ascii="Liberation Serif" w:cs="Liberation Serif" w:eastAsia="Liberation Serif" w:hAnsi="Liberation Serif"/>
          <w:color w:val="38414D"/>
          <w:sz w:val="16"/>
          <w:szCs w:val="16"/>
        </w:rPr>
        <w:t xml:space="preserve">A seventy-three-table credential and commerce schema across fifteen migrations, covering enrolment integrity, competencies, evidence, awards, credential signing, issued documents, verifying institutions, payments, instalment plans, multi-currency routing, corporate seats and alumni chapters. The evidential basis for Volume IV §4.2.</w:t>
      </w:r>
    </w:p>
    <w:p>
      <w:pPr>
        <w:spacing w:after="30" w:before="0"/>
      </w:pPr>
      <w:r>
        <w:rPr>
          <w:rFonts w:ascii="Liberation Serif" w:cs="Liberation Serif" w:eastAsia="Liberation Serif" w:hAnsi="Liberation Serif"/>
          <w:b/>
          <w:bCs/>
          <w:sz w:val="17"/>
          <w:szCs w:val="17"/>
        </w:rPr>
        <w:t xml:space="preserve">Reference Implementation №3</w:t>
      </w:r>
      <w:r>
        <w:rPr>
          <w:rFonts w:ascii="Liberation Serif" w:cs="Liberation Serif" w:eastAsia="Liberation Serif" w:hAnsi="Liberation Serif"/>
          <w:color w:val="1B6EF3"/>
          <w:sz w:val="15"/>
          <w:szCs w:val="15"/>
        </w:rPr>
        <w:t xml:space="preserve">  ·  Al-Madeenah College</w:t>
      </w:r>
    </w:p>
    <w:p>
      <w:pPr>
        <w:spacing w:after="170" w:line="275"/>
        <w:ind w:left="300"/>
      </w:pPr>
      <w:r>
        <w:rPr>
          <w:rFonts w:ascii="Liberation Serif" w:cs="Liberation Serif" w:eastAsia="Liberation Serif" w:hAnsi="Liberation Serif"/>
          <w:color w:val="38414D"/>
          <w:sz w:val="16"/>
          <w:szCs w:val="16"/>
        </w:rPr>
        <w:t xml:space="preserve">Bilingual static build system with offline service worker, verification surfaces, font subsetting pipeline and document generation to PDF and DOCX.</w:t>
      </w:r>
    </w:p>
    <w:p>
      <w:pPr>
        <w:spacing w:after="30" w:before="0"/>
      </w:pPr>
      <w:r>
        <w:rPr>
          <w:rFonts w:ascii="Liberation Serif" w:cs="Liberation Serif" w:eastAsia="Liberation Serif" w:hAnsi="Liberation Serif"/>
          <w:b/>
          <w:bCs/>
          <w:sz w:val="17"/>
          <w:szCs w:val="17"/>
        </w:rPr>
        <w:t xml:space="preserve">Reference Implementation №4</w:t>
      </w:r>
      <w:r>
        <w:rPr>
          <w:rFonts w:ascii="Liberation Serif" w:cs="Liberation Serif" w:eastAsia="Liberation Serif" w:hAnsi="Liberation Serif"/>
          <w:color w:val="1B6EF3"/>
          <w:sz w:val="15"/>
          <w:szCs w:val="15"/>
        </w:rPr>
        <w:t xml:space="preserve">  ·  Institutional portal system</w:t>
      </w:r>
    </w:p>
    <w:p>
      <w:pPr>
        <w:spacing w:after="170" w:line="275"/>
        <w:ind w:left="300"/>
      </w:pPr>
      <w:r>
        <w:rPr>
          <w:rFonts w:ascii="Liberation Serif" w:cs="Liberation Serif" w:eastAsia="Liberation Serif" w:hAnsi="Liberation Serif"/>
          <w:color w:val="38414D"/>
          <w:sz w:val="16"/>
          <w:szCs w:val="16"/>
        </w:rPr>
        <w:t xml:space="preserve">Multi-role portal implementation covering student, staff, parent, applicant and administrative roles, admissions pipeline, attendance, timetable, assessment, finance and library.</w:t>
      </w:r>
    </w:p>
    <w:p>
      <w:pPr>
        <w:pStyle w:val="Heading2"/>
        <w:pageBreakBefore/>
      </w:pPr>
      <w:r>
        <w:rPr>
          <w:rFonts w:ascii="DejaVu Serif" w:cs="DejaVu Serif" w:eastAsia="DejaVu Serif" w:hAnsi="DejaVu Serif"/>
          <w:b/>
          <w:bCs/>
          <w:color w:val="0B3C91"/>
          <w:sz w:val="34"/>
          <w:szCs w:val="34"/>
        </w:rPr>
        <w:t xml:space="preserve">Index</w:t>
      </w:r>
    </w:p>
    <w:p>
      <w:pPr>
        <w:pStyle w:val="EditorialNote"/>
        <w:spacing w:after="300"/>
      </w:pPr>
      <w:r>
        <w:t xml:space="preserve">Generated by the build. Page references point to where each concept is established or substantively discussed; passing mentions are not indexed. Word index markers are also embedded throughout the corpus, so a live index can be built in Word if preferred.</w:t>
      </w:r>
    </w:p>
    <w:p>
      <w:pPr>
        <w:pBdr>
          <w:bottom w:val="single" w:color="C9CFD9" w:sz="3" w:space="4"/>
        </w:pBdr>
        <w:spacing w:after="100" w:before="0"/>
      </w:pPr>
      <w:r>
        <w:rPr>
          <w:rFonts w:ascii="DejaVu Serif" w:cs="DejaVu Serif" w:eastAsia="DejaVu Serif" w:hAnsi="DejaVu Serif"/>
          <w:b/>
          <w:bCs/>
          <w:color w:val="1B6EF3"/>
          <w:sz w:val="22"/>
          <w:szCs w:val="22"/>
        </w:rPr>
        <w:t xml:space="preserve">A</w:t>
      </w:r>
    </w:p>
    <w:p>
      <w:pPr>
        <w:spacing w:after="30" w:before="0" w:line="250"/>
        <w:ind w:left="240" w:hanging="240"/>
      </w:pPr>
      <w:r>
        <w:rPr>
          <w:sz w:val="17"/>
          <w:szCs w:val="17"/>
        </w:rPr>
        <w:t xml:space="preserve">ACV</w:t>
      </w:r>
      <w:r>
        <w:rPr>
          <w:rFonts w:ascii="DejaVu Sans" w:cs="DejaVu Sans" w:eastAsia="DejaVu Sans" w:hAnsi="DejaVu Sans"/>
          <w:color w:val="6B7480"/>
          <w:sz w:val="16"/>
          <w:szCs w:val="16"/>
        </w:rPr>
        <w:t xml:space="preserve">  17, 19, 21</w:t>
      </w:r>
    </w:p>
    <w:p>
      <w:pPr>
        <w:pBdr>
          <w:bottom w:val="single" w:color="C9CFD9" w:sz="3" w:space="4"/>
        </w:pBdr>
        <w:spacing w:after="100" w:before="240"/>
      </w:pPr>
      <w:r>
        <w:rPr>
          <w:rFonts w:ascii="DejaVu Serif" w:cs="DejaVu Serif" w:eastAsia="DejaVu Serif" w:hAnsi="DejaVu Serif"/>
          <w:b/>
          <w:bCs/>
          <w:color w:val="1B6EF3"/>
          <w:sz w:val="22"/>
          <w:szCs w:val="22"/>
        </w:rPr>
        <w:t xml:space="preserve">B</w:t>
      </w:r>
    </w:p>
    <w:p>
      <w:pPr>
        <w:spacing w:after="30" w:before="0" w:line="250"/>
        <w:ind w:left="240" w:hanging="240"/>
      </w:pPr>
      <w:r>
        <w:rPr>
          <w:sz w:val="17"/>
          <w:szCs w:val="17"/>
        </w:rPr>
        <w:t xml:space="preserve">Band A</w:t>
      </w:r>
      <w:r>
        <w:rPr>
          <w:rFonts w:ascii="DejaVu Sans" w:cs="DejaVu Sans" w:eastAsia="DejaVu Sans" w:hAnsi="DejaVu Sans"/>
          <w:color w:val="6B7480"/>
          <w:sz w:val="16"/>
          <w:szCs w:val="16"/>
        </w:rPr>
        <w:t xml:space="preserve">  11, 17, 21</w:t>
      </w:r>
    </w:p>
    <w:p>
      <w:pPr>
        <w:spacing w:after="30" w:before="0" w:line="250"/>
        <w:ind w:left="240" w:hanging="240"/>
      </w:pPr>
      <w:r>
        <w:rPr>
          <w:sz w:val="17"/>
          <w:szCs w:val="17"/>
        </w:rPr>
        <w:t xml:space="preserve">Band B</w:t>
      </w:r>
      <w:r>
        <w:rPr>
          <w:rFonts w:ascii="DejaVu Sans" w:cs="DejaVu Sans" w:eastAsia="DejaVu Sans" w:hAnsi="DejaVu Sans"/>
          <w:color w:val="6B7480"/>
          <w:sz w:val="16"/>
          <w:szCs w:val="16"/>
        </w:rPr>
        <w:t xml:space="preserve">  11, 21</w:t>
      </w:r>
    </w:p>
    <w:p>
      <w:pPr>
        <w:spacing w:after="30" w:before="0" w:line="250"/>
        <w:ind w:left="240" w:hanging="240"/>
      </w:pPr>
      <w:r>
        <w:rPr>
          <w:sz w:val="17"/>
          <w:szCs w:val="17"/>
        </w:rPr>
        <w:t xml:space="preserve">Band C</w:t>
      </w:r>
      <w:r>
        <w:rPr>
          <w:rFonts w:ascii="DejaVu Sans" w:cs="DejaVu Sans" w:eastAsia="DejaVu Sans" w:hAnsi="DejaVu Sans"/>
          <w:color w:val="6B7480"/>
          <w:sz w:val="16"/>
          <w:szCs w:val="16"/>
        </w:rPr>
        <w:t xml:space="preserve">  17, 21</w:t>
      </w:r>
    </w:p>
    <w:p>
      <w:pPr>
        <w:pBdr>
          <w:bottom w:val="single" w:color="C9CFD9" w:sz="3" w:space="4"/>
        </w:pBdr>
        <w:spacing w:after="100" w:before="240"/>
      </w:pPr>
      <w:r>
        <w:rPr>
          <w:rFonts w:ascii="DejaVu Serif" w:cs="DejaVu Serif" w:eastAsia="DejaVu Serif" w:hAnsi="DejaVu Serif"/>
          <w:b/>
          <w:bCs/>
          <w:color w:val="1B6EF3"/>
          <w:sz w:val="22"/>
          <w:szCs w:val="22"/>
        </w:rPr>
        <w:t xml:space="preserve">C</w:t>
      </w:r>
    </w:p>
    <w:p>
      <w:pPr>
        <w:spacing w:after="30" w:before="0" w:line="250"/>
        <w:ind w:left="240" w:hanging="240"/>
      </w:pPr>
      <w:r>
        <w:rPr>
          <w:sz w:val="17"/>
          <w:szCs w:val="17"/>
        </w:rPr>
        <w:t xml:space="preserve">Craft standard</w:t>
      </w:r>
      <w:r>
        <w:rPr>
          <w:rFonts w:ascii="DejaVu Sans" w:cs="DejaVu Sans" w:eastAsia="DejaVu Sans" w:hAnsi="DejaVu Sans"/>
          <w:color w:val="6B7480"/>
          <w:sz w:val="16"/>
          <w:szCs w:val="16"/>
        </w:rPr>
        <w:t xml:space="preserve">  1, 3, 21</w:t>
      </w:r>
    </w:p>
    <w:p>
      <w:pPr>
        <w:spacing w:after="30" w:before="0" w:line="250"/>
        <w:ind w:left="240" w:hanging="240"/>
      </w:pPr>
      <w:r>
        <w:rPr>
          <w:sz w:val="17"/>
          <w:szCs w:val="17"/>
        </w:rPr>
        <w:t xml:space="preserve">Credential</w:t>
      </w:r>
      <w:r>
        <w:rPr>
          <w:rFonts w:ascii="DejaVu Sans" w:cs="DejaVu Sans" w:eastAsia="DejaVu Sans" w:hAnsi="DejaVu Sans"/>
          <w:color w:val="6B7480"/>
          <w:sz w:val="16"/>
          <w:szCs w:val="16"/>
        </w:rPr>
        <w:t xml:space="preserve">  2, 8, 17, 20, 21</w:t>
      </w:r>
    </w:p>
    <w:p>
      <w:pPr>
        <w:pBdr>
          <w:bottom w:val="single" w:color="C9CFD9" w:sz="3" w:space="4"/>
        </w:pBdr>
        <w:spacing w:after="100" w:before="240"/>
      </w:pPr>
      <w:r>
        <w:rPr>
          <w:rFonts w:ascii="DejaVu Serif" w:cs="DejaVu Serif" w:eastAsia="DejaVu Serif" w:hAnsi="DejaVu Serif"/>
          <w:b/>
          <w:bCs/>
          <w:color w:val="1B6EF3"/>
          <w:sz w:val="22"/>
          <w:szCs w:val="22"/>
        </w:rPr>
        <w:t xml:space="preserve">F</w:t>
      </w:r>
    </w:p>
    <w:p>
      <w:pPr>
        <w:spacing w:after="30" w:before="0" w:line="250"/>
        <w:ind w:left="240" w:hanging="240"/>
      </w:pPr>
      <w:r>
        <w:rPr>
          <w:sz w:val="17"/>
          <w:szCs w:val="17"/>
        </w:rPr>
        <w:t xml:space="preserve">Federation</w:t>
      </w:r>
      <w:r>
        <w:rPr>
          <w:rFonts w:ascii="DejaVu Sans" w:cs="DejaVu Sans" w:eastAsia="DejaVu Sans" w:hAnsi="DejaVu Sans"/>
          <w:color w:val="6B7480"/>
          <w:sz w:val="16"/>
          <w:szCs w:val="16"/>
        </w:rPr>
        <w:t xml:space="preserve">  19, 21</w:t>
      </w:r>
    </w:p>
    <w:p>
      <w:pPr>
        <w:pBdr>
          <w:bottom w:val="single" w:color="C9CFD9" w:sz="3" w:space="4"/>
        </w:pBdr>
        <w:spacing w:after="100" w:before="240"/>
      </w:pPr>
      <w:r>
        <w:rPr>
          <w:rFonts w:ascii="DejaVu Serif" w:cs="DejaVu Serif" w:eastAsia="DejaVu Serif" w:hAnsi="DejaVu Serif"/>
          <w:b/>
          <w:bCs/>
          <w:color w:val="1B6EF3"/>
          <w:sz w:val="22"/>
          <w:szCs w:val="22"/>
        </w:rPr>
        <w:t xml:space="preserve">G</w:t>
      </w:r>
    </w:p>
    <w:p>
      <w:pPr>
        <w:spacing w:after="30" w:before="0" w:line="250"/>
        <w:ind w:left="240" w:hanging="240"/>
      </w:pPr>
      <w:r>
        <w:rPr>
          <w:sz w:val="17"/>
          <w:szCs w:val="17"/>
        </w:rPr>
        <w:t xml:space="preserve">Gate</w:t>
      </w:r>
      <w:r>
        <w:rPr>
          <w:rFonts w:ascii="DejaVu Sans" w:cs="DejaVu Sans" w:eastAsia="DejaVu Sans" w:hAnsi="DejaVu Sans"/>
          <w:color w:val="6B7480"/>
          <w:sz w:val="16"/>
          <w:szCs w:val="16"/>
        </w:rPr>
        <w:t xml:space="preserve">  16, 17, 21</w:t>
      </w:r>
    </w:p>
    <w:p>
      <w:pPr>
        <w:spacing w:after="30" w:before="0" w:line="250"/>
        <w:ind w:left="240" w:hanging="240"/>
      </w:pPr>
      <w:r>
        <w:rPr>
          <w:sz w:val="17"/>
          <w:szCs w:val="17"/>
        </w:rPr>
        <w:t xml:space="preserve">GRR</w:t>
      </w:r>
      <w:r>
        <w:rPr>
          <w:rFonts w:ascii="DejaVu Sans" w:cs="DejaVu Sans" w:eastAsia="DejaVu Sans" w:hAnsi="DejaVu Sans"/>
          <w:color w:val="6B7480"/>
          <w:sz w:val="16"/>
          <w:szCs w:val="16"/>
        </w:rPr>
        <w:t xml:space="preserve">  19, 21</w:t>
      </w:r>
    </w:p>
    <w:p>
      <w:pPr>
        <w:pBdr>
          <w:bottom w:val="single" w:color="C9CFD9" w:sz="3" w:space="4"/>
        </w:pBdr>
        <w:spacing w:after="100" w:before="240"/>
      </w:pPr>
      <w:r>
        <w:rPr>
          <w:rFonts w:ascii="DejaVu Serif" w:cs="DejaVu Serif" w:eastAsia="DejaVu Serif" w:hAnsi="DejaVu Serif"/>
          <w:b/>
          <w:bCs/>
          <w:color w:val="1B6EF3"/>
          <w:sz w:val="22"/>
          <w:szCs w:val="22"/>
        </w:rPr>
        <w:t xml:space="preserve">N</w:t>
      </w:r>
    </w:p>
    <w:p>
      <w:pPr>
        <w:spacing w:after="30" w:before="0" w:line="250"/>
        <w:ind w:left="240" w:hanging="240"/>
      </w:pPr>
      <w:r>
        <w:rPr>
          <w:sz w:val="17"/>
          <w:szCs w:val="17"/>
        </w:rPr>
        <w:t xml:space="preserve">Net revenue retention</w:t>
      </w:r>
      <w:r>
        <w:rPr>
          <w:rFonts w:ascii="DejaVu Sans" w:cs="DejaVu Sans" w:eastAsia="DejaVu Sans" w:hAnsi="DejaVu Sans"/>
          <w:color w:val="6B7480"/>
          <w:sz w:val="16"/>
          <w:szCs w:val="16"/>
        </w:rPr>
        <w:t xml:space="preserve">  18, 19, 21</w:t>
      </w:r>
    </w:p>
    <w:p>
      <w:pPr>
        <w:spacing w:after="30" w:before="0" w:line="250"/>
        <w:ind w:left="240" w:hanging="240"/>
      </w:pPr>
      <w:r>
        <w:rPr>
          <w:sz w:val="17"/>
          <w:szCs w:val="17"/>
        </w:rPr>
        <w:t xml:space="preserve">No-fork rule</w:t>
      </w:r>
      <w:r>
        <w:rPr>
          <w:rFonts w:ascii="DejaVu Sans" w:cs="DejaVu Sans" w:eastAsia="DejaVu Sans" w:hAnsi="DejaVu Sans"/>
          <w:color w:val="6B7480"/>
          <w:sz w:val="16"/>
          <w:szCs w:val="16"/>
        </w:rPr>
        <w:t xml:space="preserve">  18, 21</w:t>
      </w:r>
    </w:p>
    <w:p>
      <w:pPr>
        <w:spacing w:after="30" w:before="0" w:line="250"/>
        <w:ind w:left="240" w:hanging="240"/>
      </w:pPr>
      <w:r>
        <w:rPr>
          <w:sz w:val="17"/>
          <w:szCs w:val="17"/>
        </w:rPr>
        <w:t xml:space="preserve">NRR</w:t>
      </w:r>
      <w:r>
        <w:rPr>
          <w:rFonts w:ascii="DejaVu Sans" w:cs="DejaVu Sans" w:eastAsia="DejaVu Sans" w:hAnsi="DejaVu Sans"/>
          <w:color w:val="6B7480"/>
          <w:sz w:val="16"/>
          <w:szCs w:val="16"/>
        </w:rPr>
        <w:t xml:space="preserve">  18, 19, 21</w:t>
      </w:r>
    </w:p>
    <w:p>
      <w:pPr>
        <w:pBdr>
          <w:bottom w:val="single" w:color="C9CFD9" w:sz="3" w:space="4"/>
        </w:pBdr>
        <w:spacing w:after="100" w:before="240"/>
      </w:pPr>
      <w:r>
        <w:rPr>
          <w:rFonts w:ascii="DejaVu Serif" w:cs="DejaVu Serif" w:eastAsia="DejaVu Serif" w:hAnsi="DejaVu Serif"/>
          <w:b/>
          <w:bCs/>
          <w:color w:val="1B6EF3"/>
          <w:sz w:val="22"/>
          <w:szCs w:val="22"/>
        </w:rPr>
        <w:t xml:space="preserve">O</w:t>
      </w:r>
    </w:p>
    <w:p>
      <w:pPr>
        <w:spacing w:after="30" w:before="0" w:line="250"/>
        <w:ind w:left="240" w:hanging="240"/>
      </w:pPr>
      <w:r>
        <w:rPr>
          <w:sz w:val="17"/>
          <w:szCs w:val="17"/>
        </w:rPr>
        <w:t xml:space="preserve">Open source</w:t>
      </w:r>
      <w:r>
        <w:rPr>
          <w:rFonts w:ascii="DejaVu Sans" w:cs="DejaVu Sans" w:eastAsia="DejaVu Sans" w:hAnsi="DejaVu Sans"/>
          <w:color w:val="6B7480"/>
          <w:sz w:val="16"/>
          <w:szCs w:val="16"/>
        </w:rPr>
        <w:t xml:space="preserve">  19</w:t>
      </w:r>
    </w:p>
    <w:p>
      <w:pPr>
        <w:pBdr>
          <w:bottom w:val="single" w:color="C9CFD9" w:sz="3" w:space="4"/>
        </w:pBdr>
        <w:spacing w:after="100" w:before="240"/>
      </w:pPr>
      <w:r>
        <w:rPr>
          <w:rFonts w:ascii="DejaVu Serif" w:cs="DejaVu Serif" w:eastAsia="DejaVu Serif" w:hAnsi="DejaVu Serif"/>
          <w:b/>
          <w:bCs/>
          <w:color w:val="1B6EF3"/>
          <w:sz w:val="22"/>
          <w:szCs w:val="22"/>
        </w:rPr>
        <w:t xml:space="preserve">P</w:t>
      </w:r>
    </w:p>
    <w:p>
      <w:pPr>
        <w:spacing w:after="30" w:before="0" w:line="250"/>
        <w:ind w:left="240" w:hanging="240"/>
      </w:pPr>
      <w:r>
        <w:rPr>
          <w:sz w:val="17"/>
          <w:szCs w:val="17"/>
        </w:rPr>
        <w:t xml:space="preserve">Pricing Council</w:t>
      </w:r>
      <w:r>
        <w:rPr>
          <w:rFonts w:ascii="DejaVu Sans" w:cs="DejaVu Sans" w:eastAsia="DejaVu Sans" w:hAnsi="DejaVu Sans"/>
          <w:color w:val="6B7480"/>
          <w:sz w:val="16"/>
          <w:szCs w:val="16"/>
        </w:rPr>
        <w:t xml:space="preserve">  18</w:t>
      </w:r>
    </w:p>
    <w:p>
      <w:pPr>
        <w:pBdr>
          <w:bottom w:val="single" w:color="C9CFD9" w:sz="3" w:space="4"/>
        </w:pBdr>
        <w:spacing w:after="100" w:before="240"/>
      </w:pPr>
      <w:r>
        <w:rPr>
          <w:rFonts w:ascii="DejaVu Serif" w:cs="DejaVu Serif" w:eastAsia="DejaVu Serif" w:hAnsi="DejaVu Serif"/>
          <w:b/>
          <w:bCs/>
          <w:color w:val="1B6EF3"/>
          <w:sz w:val="22"/>
          <w:szCs w:val="22"/>
        </w:rPr>
        <w:t xml:space="preserve">R</w:t>
      </w:r>
    </w:p>
    <w:p>
      <w:pPr>
        <w:spacing w:after="30" w:before="0" w:line="250"/>
        <w:ind w:left="240" w:hanging="240"/>
      </w:pPr>
      <w:r>
        <w:rPr>
          <w:sz w:val="17"/>
          <w:szCs w:val="17"/>
        </w:rPr>
        <w:t xml:space="preserve">Reference Implementation</w:t>
      </w:r>
      <w:r>
        <w:rPr>
          <w:rFonts w:ascii="DejaVu Sans" w:cs="DejaVu Sans" w:eastAsia="DejaVu Sans" w:hAnsi="DejaVu Sans"/>
          <w:color w:val="6B7480"/>
          <w:sz w:val="16"/>
          <w:szCs w:val="16"/>
        </w:rPr>
        <w:t xml:space="preserve">  20</w:t>
      </w:r>
    </w:p>
    <w:p>
      <w:pPr>
        <w:pBdr>
          <w:bottom w:val="single" w:color="C9CFD9" w:sz="3" w:space="4"/>
        </w:pBdr>
        <w:spacing w:after="100" w:before="240"/>
      </w:pPr>
      <w:r>
        <w:rPr>
          <w:rFonts w:ascii="DejaVu Serif" w:cs="DejaVu Serif" w:eastAsia="DejaVu Serif" w:hAnsi="DejaVu Serif"/>
          <w:b/>
          <w:bCs/>
          <w:color w:val="1B6EF3"/>
          <w:sz w:val="22"/>
          <w:szCs w:val="22"/>
        </w:rPr>
        <w:t xml:space="preserve">V</w:t>
      </w:r>
    </w:p>
    <w:p>
      <w:pPr>
        <w:spacing w:after="30" w:before="0" w:line="250"/>
        <w:ind w:left="240" w:hanging="240"/>
      </w:pPr>
      <w:r>
        <w:rPr>
          <w:sz w:val="17"/>
          <w:szCs w:val="17"/>
        </w:rPr>
        <w:t xml:space="preserve">Verification</w:t>
      </w:r>
      <w:r>
        <w:rPr>
          <w:rFonts w:ascii="DejaVu Sans" w:cs="DejaVu Sans" w:eastAsia="DejaVu Sans" w:hAnsi="DejaVu Sans"/>
          <w:color w:val="6B7480"/>
          <w:sz w:val="16"/>
          <w:szCs w:val="16"/>
        </w:rPr>
        <w:t xml:space="preserve">  18, 20</w:t>
      </w:r>
    </w:p>
    <w:p>
      <w:pPr>
        <w:pageBreakBefore/>
        <w:spacing w:after="260" w:before="2400"/>
      </w:pPr>
      <w:r>
        <w:rPr>
          <w:rFonts w:ascii="DejaVu Serif" w:cs="DejaVu Serif" w:eastAsia="DejaVu Serif" w:hAnsi="DejaVu Serif"/>
          <w:b/>
          <w:bCs/>
          <w:color w:val="0B3C91"/>
          <w:sz w:val="34"/>
          <w:szCs w:val="34"/>
        </w:rPr>
        <w:t xml:space="preserve">Colophon</w:t>
      </w:r>
    </w:p>
    <w:p>
      <w:pPr>
        <w:pStyle w:val="FrontProse"/>
      </w:pPr>
      <w:r>
        <w:t xml:space="preserve">This edition is composed for A4 at 210 × 297 mm. Display matter is set in a serif book face and running text in a companion serif, with a sans for tables, captions and navigation and a monospaced face for code and architecture figures — the four typographic roles defined in Volume I, Chapter 10. The StromeX brand faces, </w:t>
      </w:r>
      <w:r>
        <w:rPr>
          <w:b/>
          <w:bCs/>
        </w:rPr>
        <w:t xml:space="preserve">Archivo</w:t>
      </w:r>
      <w:r>
        <w:t xml:space="preserve"> and </w:t>
      </w:r>
      <w:r>
        <w:rPr>
          <w:b/>
          <w:bCs/>
        </w:rPr>
        <w:t xml:space="preserve">Fraunces</w:t>
      </w:r>
      <w:r>
        <w:t xml:space="preserve">, ship with this edition in </w:t>
      </w:r>
      <w:r>
        <w:rPr>
          <w:rFonts w:ascii="DejaVu Sans Mono" w:cs="DejaVu Sans Mono" w:eastAsia="DejaVu Sans Mono" w:hAnsi="DejaVu Sans Mono"/>
          <w:color w:val="0B3C91"/>
          <w:sz w:val="17"/>
          <w:szCs w:val="17"/>
        </w:rPr>
        <w:t xml:space="preserve">docs/bible/publication/fonts/</w:t>
      </w:r>
      <w:r>
        <w:t xml:space="preserve">; the build selects them automatically wherever they are installed in the rendering environment, so the corpus can be reissued in full brand typography without editing a line of it.</w:t>
      </w:r>
    </w:p>
    <w:p>
      <w:pPr>
        <w:pStyle w:val="FrontProse"/>
      </w:pPr>
      <w:r>
        <w:t xml:space="preserve">The rules, tables and figures follow the design laws in Volume I, Chapter 12: typography carries the interface, space is a component, colour carries meaning, and structural devices encode something true about the content rather than decorating it. Tables use horizontal rules only; the vertical grid is carried by alignment, as it is in every well-set financial document.</w:t>
      </w:r>
    </w:p>
    <w:p>
      <w:pPr>
        <w:pStyle w:val="FrontProse"/>
      </w:pPr>
      <w:r>
        <w:t xml:space="preserve">This DOCX is the authoritative master. The press-quality PDF edition is generated from it and is content-identical. Both are produced from the markdown corpus of record under version control at </w:t>
      </w:r>
      <w:r>
        <w:rPr>
          <w:rFonts w:ascii="DejaVu Sans Mono" w:cs="DejaVu Sans Mono" w:eastAsia="DejaVu Sans Mono" w:hAnsi="DejaVu Sans Mono"/>
          <w:color w:val="0B3C91"/>
          <w:sz w:val="17"/>
          <w:szCs w:val="17"/>
        </w:rPr>
        <w:t xml:space="preserve">docs/bible/</w:t>
      </w:r>
      <w:r>
        <w:t xml:space="preserve">, by the build recorded at </w:t>
      </w:r>
      <w:r>
        <w:rPr>
          <w:rFonts w:ascii="DejaVu Sans Mono" w:cs="DejaVu Sans Mono" w:eastAsia="DejaVu Sans Mono" w:hAnsi="DejaVu Sans Mono"/>
          <w:color w:val="0B3C91"/>
          <w:sz w:val="17"/>
          <w:szCs w:val="17"/>
        </w:rPr>
        <w:t xml:space="preserve">docs/bible/publication/</w:t>
      </w:r>
      <w:r>
        <w:t xml:space="preserve">, so that the publication can be regenerated exactly whenever the corpus is amended.</w:t>
      </w:r>
    </w:p>
    <w:p>
      <w:pPr>
        <w:pBdr>
          <w:bottom w:val="single" w:color="C9CFD9" w:sz="4" w:space="1"/>
        </w:pBdr>
        <w:spacing w:after="240" w:before="400"/>
      </w:pPr>
      <w:r>
        <w:rPr>
          <w:rFonts w:ascii="Liberation Serif" w:cs="Liberation Serif" w:eastAsia="Liberation Serif" w:hAnsi="Liberation Serif"/>
        </w:rPr>
        <w:t xml:space="preserve"/>
      </w:r>
    </w:p>
    <w:p>
      <w:r>
        <w:rPr>
          <w:rFonts w:ascii="Liberation Serif" w:cs="Liberation Serif" w:eastAsia="Liberation Serif" w:hAnsi="Liberation Serif"/>
          <w:b/>
          <w:bCs/>
          <w:color w:val="6B7480"/>
          <w:spacing w:val="100"/>
          <w:sz w:val="13"/>
          <w:szCs w:val="13"/>
        </w:rPr>
        <w:t xml:space="preserve">THE STROMEX EDITORIAL BIBLE  ·  Edition II  ·  VERSION 2.0</w:t>
      </w:r>
    </w:p>
    <w:p>
      <w:pPr>
        <w:spacing w:before="40"/>
      </w:pPr>
      <w:r>
        <w:rPr>
          <w:rFonts w:ascii="Liberation Serif" w:cs="Liberation Serif" w:eastAsia="Liberation Serif" w:hAnsi="Liberation Serif"/>
          <w:color w:val="6B7480"/>
          <w:sz w:val="13"/>
          <w:szCs w:val="13"/>
        </w:rPr>
        <w:t xml:space="preserve">© 2026–2027 StromeX Group Holdings. Confidential.</w:t>
      </w:r>
    </w:p>
    <w:sectPr>
      <w:headerReference w:type="default" r:id="rId8"/>
      <w:footerReference w:type="default" r:id="rId9"/>
      <w:pgSz w:w="11906" w:h="16838" w:orient="portrait"/>
      <w:pgMar w:top="1300" w:right="1400" w:bottom="1240" w:left="1580" w:header="720" w:footer="68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DejaVu Sans" w:cs="DejaVu Sans" w:eastAsia="DejaVu Sans" w:hAnsi="DejaVu Sans"/>
        <w:color w:val="6B7480"/>
        <w:sz w:val="15"/>
        <w:szCs w:val="15"/>
      </w:rPr>
      <w:t xml:space="preserve">· </w:t>
    </w:r>
    <w:r>
      <w:rPr>
        <w:rFonts w:ascii="DejaVu Sans" w:cs="DejaVu Sans" w:eastAsia="DejaVu Sans" w:hAnsi="DejaVu Sans"/>
        <w:color w:val="6B7480"/>
        <w:sz w:val="15"/>
        <w:szCs w:val="15"/>
      </w:rPr>
      <w:fldChar w:fldCharType="begin"/>
      <w:instrText xml:space="preserve">PAGE</w:instrText>
      <w:fldChar w:fldCharType="separate"/>
      <w:fldChar w:fldCharType="end"/>
    </w:r>
    <w:r>
      <w:rPr>
        <w:rFonts w:ascii="DejaVu Sans" w:cs="DejaVu Sans" w:eastAsia="DejaVu Sans" w:hAnsi="DejaVu Sans"/>
        <w:color w:val="6B7480"/>
        <w:sz w:val="15"/>
        <w:szCs w:val="15"/>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DejaVu Sans" w:cs="DejaVu Sans" w:eastAsia="DejaVu Sans" w:hAnsi="DejaVu Sans"/>
        <w:color w:val="6B7480"/>
        <w:sz w:val="15"/>
        <w:szCs w:val="15"/>
      </w:rPr>
      <w:t xml:space="preserve">· </w:t>
    </w:r>
    <w:r>
      <w:rPr>
        <w:rFonts w:ascii="DejaVu Sans" w:cs="DejaVu Sans" w:eastAsia="DejaVu Sans" w:hAnsi="DejaVu Sans"/>
        <w:color w:val="6B7480"/>
        <w:sz w:val="15"/>
        <w:szCs w:val="15"/>
      </w:rPr>
      <w:fldChar w:fldCharType="begin"/>
      <w:instrText xml:space="preserve">PAGE</w:instrText>
      <w:fldChar w:fldCharType="separate"/>
      <w:fldChar w:fldCharType="end"/>
    </w:r>
    <w:r>
      <w:rPr>
        <w:rFonts w:ascii="DejaVu Sans" w:cs="DejaVu Sans" w:eastAsia="DejaVu Sans" w:hAnsi="DejaVu Sans"/>
        <w:color w:val="6B7480"/>
        <w:sz w:val="15"/>
        <w:szCs w:val="15"/>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FD9" w:sz="3" w:space="6"/>
      </w:pBdr>
      <w:tabs>
        <w:tab w:val="right" w:pos="8926"/>
      </w:tabs>
      <w:spacing w:after="0"/>
    </w:pPr>
    <w:r>
      <w:rPr>
        <w:rFonts w:ascii="DejaVu Sans" w:cs="DejaVu Sans" w:eastAsia="DejaVu Sans" w:hAnsi="DejaVu Sans"/>
        <w:b/>
        <w:bCs/>
        <w:color w:val="6B7480"/>
        <w:spacing w:val="90"/>
        <w:sz w:val="13"/>
        <w:szCs w:val="13"/>
      </w:rPr>
      <w:t xml:space="preserve">THE STROMEX EDITORIAL BIBLE</w:t>
    </w:r>
    <w:r>
      <w:rPr>
        <w:rFonts w:ascii="Liberation Serif" w:cs="Liberation Serif" w:eastAsia="Liberation Serif" w:hAnsi="Liberation Serif"/>
        <w:sz w:val="12"/>
        <w:szCs w:val="12"/>
      </w:rPr>
      <w:t xml:space="preserve">	</w:t>
    </w:r>
    <w:fldSimple w:instr="STYLEREF &quot;Heading 1&quot; \* MERGEFORMAT">
      <w:r>
        <w:t xml:space="preserve">Volume</w:t>
      </w:r>
    </w:fldSimple>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20"/>
      </w:pPr>
      <w:rPr>
        <w:rFonts w:ascii="Liberation Serif" w:cs="Liberation Serif" w:eastAsia="Liberation Serif" w:hAnsi="Liberation Serif"/>
        <w:color w:val="1B6EF3"/>
      </w:rPr>
    </w:lvl>
    <w:lvl w:ilvl="1" w15:tentative="1">
      <w:start w:val="1"/>
      <w:numFmt w:val="bullet"/>
      <w:lvlText w:val="·"/>
      <w:lvlJc w:val="left"/>
      <w:pPr>
        <w:ind w:left="640" w:hanging="220"/>
      </w:pPr>
      <w:rPr>
        <w:rFonts w:ascii="Liberation Serif" w:cs="Liberation Serif" w:eastAsia="Liberation Serif" w:hAnsi="Liberation Serif"/>
        <w:color w:val="1B6EF3"/>
      </w:rPr>
    </w:lvl>
    <w:lvl w:ilvl="2" w15:tentative="1">
      <w:start w:val="1"/>
      <w:numFmt w:val="bullet"/>
      <w:lvlText w:val="–"/>
      <w:lvlJc w:val="left"/>
      <w:pPr>
        <w:ind w:left="940" w:hanging="220"/>
      </w:pPr>
      <w:rPr>
        <w:rFonts w:ascii="Liberation Serif" w:cs="Liberation Serif" w:eastAsia="Liberation Serif" w:hAnsi="Liberation Serif"/>
        <w:color w:val="1B6EF3"/>
      </w:rPr>
    </w:lvl>
  </w:abstractNum>
  <w:abstractNum w:abstractNumId="3" w15:restartNumberingAfterBreak="0">
    <w:multiLevelType w:val="hybridMultilevel"/>
    <w:lvl w:ilvl="0" w15:tentative="1">
      <w:start w:val="1"/>
      <w:numFmt w:val="decimal"/>
      <w:lvlText w:val="%1."/>
      <w:lvlJc w:val="left"/>
      <w:pPr>
        <w:ind w:left="380" w:hanging="260"/>
      </w:pPr>
      <w:rPr>
        <w:rFonts w:ascii="Liberation Serif" w:cs="Liberation Serif" w:eastAsia="Liberation Serif" w:hAnsi="Liberation Serif"/>
        <w:b/>
        <w:bCs/>
        <w:color w:val="0B3C91"/>
      </w:rPr>
    </w:lvl>
    <w:lvl w:ilvl="1" w15:tentative="1">
      <w:start w:val="1"/>
      <w:numFmt w:val="lowerLetter"/>
      <w:lvlText w:val="%2."/>
      <w:lvlJc w:val="left"/>
      <w:pPr>
        <w:ind w:left="680" w:hanging="260"/>
      </w:pPr>
      <w:rPr>
        <w:rFonts w:ascii="Liberation Serif" w:cs="Liberation Serif" w:eastAsia="Liberation Serif" w:hAnsi="Liberation Serif"/>
        <w:b/>
        <w:bCs/>
        <w:color w:val="0B3C91"/>
      </w:rPr>
    </w:lvl>
    <w:lvl w:ilvl="2" w15:tentative="1">
      <w:start w:val="1"/>
      <w:numFmt w:val="lowerRoman"/>
      <w:lvlText w:val="%3."/>
      <w:lvlJc w:val="left"/>
      <w:pPr>
        <w:ind w:left="980" w:hanging="260"/>
      </w:pPr>
      <w:rPr>
        <w:rFonts w:ascii="Liberation Serif" w:cs="Liberation Serif" w:eastAsia="Liberation Serif" w:hAnsi="Liberation Serif"/>
        <w:b/>
        <w:bCs/>
        <w:color w:val="0B3C91"/>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cs="Liberation Serif" w:eastAsia="Liberation Serif" w:hAnsi="Liberation Serif"/>
        <w:color w:val="0D1117"/>
        <w:sz w:val="21"/>
        <w:szCs w:val="21"/>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DejaVu Serif" w:cs="DejaVu Serif" w:eastAsia="DejaVu Serif" w:hAnsi="DejaVu Serif"/>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0" w:line="288"/>
    </w:pPr>
    <w:rPr>
      <w:rFonts w:ascii="Liberation Serif" w:cs="Liberation Serif" w:eastAsia="Liberation Serif" w:hAnsi="Liberation Serif"/>
      <w:color w:val="0D1117"/>
      <w:sz w:val="21"/>
      <w:szCs w:val="21"/>
    </w:rPr>
  </w:style>
  <w:style w:type="paragraph" w:styleId="BodyText">
    <w:name w:val="Body Text"/>
    <w:basedOn w:val="Normal"/>
    <w:next w:val="BodyText"/>
    <w:pPr>
      <w:spacing w:after="170" w:before="0" w:line="290"/>
      <w:jc w:val="both"/>
    </w:pPr>
    <w:rPr>
      <w:rFonts w:ascii="Liberation Serif" w:cs="Liberation Serif" w:eastAsia="Liberation Serif" w:hAnsi="Liberation Serif"/>
      <w:color w:val="0D1117"/>
      <w:sz w:val="21"/>
      <w:szCs w:val="21"/>
    </w:rPr>
  </w:style>
  <w:style w:type="paragraph" w:styleId="Heading1">
    <w:name w:val="Heading 1"/>
    <w:basedOn w:val="Normal"/>
    <w:next w:val="BodyText"/>
    <w:qFormat/>
    <w:pPr>
      <w:keepNext/>
      <w:spacing w:after="200" w:before="0" w:line="240"/>
      <w:outlineLvl w:val="0"/>
    </w:pPr>
    <w:rPr>
      <w:rFonts w:ascii="DejaVu Serif" w:cs="DejaVu Serif" w:eastAsia="DejaVu Serif" w:hAnsi="DejaVu Serif"/>
      <w:b/>
      <w:bCs/>
      <w:color w:val="FFFFFF"/>
      <w:sz w:val="60"/>
      <w:szCs w:val="60"/>
    </w:rPr>
  </w:style>
  <w:style w:type="paragraph" w:styleId="Heading2">
    <w:name w:val="Heading 2"/>
    <w:basedOn w:val="Normal"/>
    <w:next w:val="BodyText"/>
    <w:qFormat/>
    <w:pPr>
      <w:keepNext/>
      <w:spacing w:after="260" w:before="0" w:line="250"/>
      <w:outlineLvl w:val="1"/>
    </w:pPr>
    <w:rPr>
      <w:rFonts w:ascii="DejaVu Serif" w:cs="DejaVu Serif" w:eastAsia="DejaVu Serif" w:hAnsi="DejaVu Serif"/>
      <w:b/>
      <w:bCs/>
      <w:color w:val="0B3C91"/>
      <w:sz w:val="34"/>
      <w:szCs w:val="34"/>
    </w:rPr>
  </w:style>
  <w:style w:type="paragraph" w:styleId="Heading3">
    <w:name w:val="Heading 3"/>
    <w:basedOn w:val="Normal"/>
    <w:next w:val="BodyText"/>
    <w:qFormat/>
    <w:pPr>
      <w:keepNext/>
      <w:spacing w:after="150" w:before="360" w:line="260"/>
      <w:outlineLvl w:val="2"/>
    </w:pPr>
    <w:rPr>
      <w:rFonts w:ascii="DejaVu Serif" w:cs="DejaVu Serif" w:eastAsia="DejaVu Serif" w:hAnsi="DejaVu Serif"/>
      <w:b/>
      <w:bCs/>
      <w:color w:val="0B3C91"/>
      <w:sz w:val="25"/>
      <w:szCs w:val="25"/>
    </w:rPr>
  </w:style>
  <w:style w:type="paragraph" w:styleId="Heading4">
    <w:name w:val="Heading 4"/>
    <w:basedOn w:val="Normal"/>
    <w:next w:val="BodyText"/>
    <w:qFormat/>
    <w:pPr>
      <w:keepNext/>
      <w:spacing w:after="110" w:before="300" w:line="260"/>
      <w:outlineLvl w:val="3"/>
    </w:pPr>
    <w:rPr>
      <w:rFonts w:ascii="DejaVu Sans" w:cs="DejaVu Sans" w:eastAsia="DejaVu Sans" w:hAnsi="DejaVu Sans"/>
      <w:b/>
      <w:bCs/>
      <w:color w:val="0D1117"/>
      <w:sz w:val="20"/>
      <w:szCs w:val="20"/>
    </w:rPr>
  </w:style>
  <w:style w:type="paragraph" w:styleId="Heading5">
    <w:name w:val="Heading 5"/>
    <w:basedOn w:val="Normal"/>
    <w:next w:val="BodyText"/>
    <w:qFormat/>
    <w:pPr>
      <w:keepNext/>
      <w:spacing w:after="90" w:before="240" w:line="260"/>
      <w:outlineLvl w:val="4"/>
    </w:pPr>
    <w:rPr>
      <w:rFonts w:ascii="DejaVu Sans" w:cs="DejaVu Sans" w:eastAsia="DejaVu Sans" w:hAnsi="DejaVu Sans"/>
      <w:b/>
      <w:bCs/>
      <w:color w:val="38414D"/>
      <w:sz w:val="18"/>
      <w:szCs w:val="18"/>
    </w:rPr>
  </w:style>
  <w:style w:type="paragraph" w:styleId="Caption">
    <w:name w:val="Caption"/>
    <w:basedOn w:val="Normal"/>
    <w:next w:val="BodyText"/>
    <w:pPr>
      <w:spacing w:after="260" w:before="90"/>
      <w:jc w:val="left"/>
    </w:pPr>
    <w:rPr>
      <w:rFonts w:ascii="DejaVu Sans" w:cs="DejaVu Sans" w:eastAsia="DejaVu Sans" w:hAnsi="DejaVu Sans"/>
      <w:i w:val="false"/>
      <w:iCs w:val="false"/>
      <w:color w:val="6B7480"/>
      <w:sz w:val="16"/>
      <w:szCs w:val="16"/>
    </w:rPr>
  </w:style>
  <w:style w:type="paragraph" w:styleId="PullQuote">
    <w:name w:val="Pull Quote"/>
    <w:basedOn w:val="Normal"/>
    <w:next w:val="BodyText"/>
    <w:pPr>
      <w:pBdr>
        <w:left w:val="single" w:color="1B6EF3" w:sz="16" w:space="14"/>
      </w:pBdr>
      <w:spacing w:after="240" w:before="220" w:line="300"/>
      <w:ind w:left="340" w:right="200"/>
    </w:pPr>
    <w:rPr>
      <w:rFonts w:ascii="DejaVu Serif" w:cs="DejaVu Serif" w:eastAsia="DejaVu Serif" w:hAnsi="DejaVu Serif"/>
      <w:color w:val="0B3C91"/>
      <w:sz w:val="22"/>
      <w:szCs w:val="22"/>
    </w:rPr>
  </w:style>
  <w:style w:type="paragraph" w:styleId="EditorialNote">
    <w:name w:val="Editorial Note"/>
    <w:basedOn w:val="Normal"/>
    <w:next w:val="BodyText"/>
    <w:pPr>
      <w:spacing w:after="200" w:before="60" w:line="280"/>
    </w:pPr>
    <w:rPr>
      <w:rFonts w:ascii="Liberation Serif" w:cs="Liberation Serif" w:eastAsia="Liberation Serif" w:hAnsi="Liberation Serif"/>
      <w:i/>
      <w:iCs/>
      <w:color w:val="6B7480"/>
      <w:sz w:val="18"/>
      <w:szCs w:val="18"/>
    </w:rPr>
  </w:style>
  <w:style w:type="paragraph" w:styleId="CodeBlock">
    <w:name w:val="Code Block"/>
    <w:basedOn w:val="Normal"/>
    <w:next w:val="BodyText"/>
    <w:pPr>
      <w:spacing w:after="0" w:before="0" w:line="230"/>
      <w:ind w:left="260"/>
      <w:jc w:val="left"/>
    </w:pPr>
    <w:rPr>
      <w:rFonts w:ascii="DejaVu Sans Mono" w:cs="DejaVu Sans Mono" w:eastAsia="DejaVu Sans Mono" w:hAnsi="DejaVu Sans Mono"/>
      <w:color w:val="38414D"/>
      <w:sz w:val="15"/>
      <w:szCs w:val="15"/>
    </w:rPr>
  </w:style>
  <w:style w:type="paragraph" w:styleId="ExecSummary">
    <w:name w:val="Executive Summary"/>
    <w:basedOn w:val="Normal"/>
    <w:next w:val="BodyText"/>
    <w:pPr>
      <w:spacing w:after="200" w:before="0" w:line="300"/>
      <w:jc w:val="both"/>
    </w:pPr>
    <w:rPr>
      <w:rFonts w:ascii="Liberation Serif" w:cs="Liberation Serif" w:eastAsia="Liberation Serif" w:hAnsi="Liberation Serif"/>
      <w:color w:val="38414D"/>
      <w:sz w:val="20"/>
      <w:szCs w:val="20"/>
    </w:rPr>
  </w:style>
  <w:style w:type="paragraph" w:styleId="FrontProse">
    <w:name w:val="Front Prose"/>
    <w:basedOn w:val="Normal"/>
    <w:next w:val="FrontProse"/>
    <w:pPr>
      <w:spacing w:after="200" w:before="0" w:line="310"/>
      <w:jc w:val="both"/>
    </w:pPr>
    <w:rPr>
      <w:rFonts w:ascii="Liberation Serif" w:cs="Liberation Serif" w:eastAsia="Liberation Serif" w:hAnsi="Liberation Serif"/>
      <w:color w:val="0D1117"/>
      <w:sz w:val="20"/>
      <w:szCs w:val="20"/>
    </w:rPr>
  </w:style>
  <w:style w:type="character" w:styleId="Hyperlink">
    <w:name w:val="Hyperlink"/>
    <w:basedOn w:val="DefaultParagraphFont"/>
    <w:uiPriority w:val="99"/>
    <w:unhideWhenUsed/>
    <w:rPr>
      <w:color w:val="0B3C9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hkumde9jmglcxrkf-xqo2" Type="http://schemas.openxmlformats.org/officeDocument/2006/relationships/hyperlink" Target="https://emis.education.gov.ng/portal/" TargetMode="External"/><Relationship Id="rIdsdbnubatjieu-cgniij3u" Type="http://schemas.openxmlformats.org/officeDocument/2006/relationships/hyperlink" Target="https://www.growthspreeofficial.com/blogs/b2b-saas-nrr-grr-net-gross-revenue-retention-benchmarks-2026-by-acv-stage-vertical" TargetMode="External"/><Relationship Id="rIdmjoqhuc7-8r_hp5aymb3o" Type="http://schemas.openxmlformats.org/officeDocument/2006/relationships/hyperlink" Target="https://www.digitalapplied.com/blog/net-revenue-retention-benchmarks-2026-saas-expansion-data" TargetMode="External"/><Relationship Id="rIdziwkrqk7tb_oxhn6zy4bf" Type="http://schemas.openxmlformats.org/officeDocument/2006/relationships/hyperlink" Target="https://valueaddvc.com/saas-valuations" TargetMode="External"/><Relationship Id="rIdixinw4z7axmljibssgxsd" Type="http://schemas.openxmlformats.org/officeDocument/2006/relationships/hyperlink" Target="https://aventis-advisors.com/saas-valuation-multiples/" TargetMode="External"/><Relationship Id="rIdgkpccw9f6-86sld1w7jdr" Type="http://schemas.openxmlformats.org/officeDocument/2006/relationships/hyperlink" Target="https://www.l40.com/insights/saas-multiples" TargetMode="External"/><Relationship Id="rIdv7zjtgzafi-y_k8zl7rkv" Type="http://schemas.openxmlformats.org/officeDocument/2006/relationships/hyperlink" Target="https://eqvista.com/saas-index-revenue-multiples-valuations-market-trends/" TargetMode="External"/><Relationship Id="rIdgdkq1zucmesshvwsz65jw" Type="http://schemas.openxmlformats.org/officeDocument/2006/relationships/hyperlink" Target="https://prioridata.com/data/messaging-app-stats/" TargetMode="External"/><Relationship Id="rIdtyrpjhefi7fwpa4qwq94g" Type="http://schemas.openxmlformats.org/officeDocument/2006/relationships/hyperlink" Target="https://www.theregister.com/on-prem/2026/02/09/matrix-messaging-gaining-ground-in-government-it/4663932" TargetMode="External"/><Relationship Id="rIdqqdylnnxi5xnqevdxsct4" Type="http://schemas.openxmlformats.org/officeDocument/2006/relationships/hyperlink" Target="https://element.io/blog/sweden-goes-live-with-matrix-based-federation/" TargetMode="External"/><Relationship Id="rIdflfjwxauri6pukka8qr0y" Type="http://schemas.openxmlformats.org/officeDocument/2006/relationships/hyperlink" Target="https://www.opensourceforu.com/2026/02/eu-backs-open-source-matrix-for-secure-internal-communications/"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Book VI — The Creative Division · The StromeX Editorial Bible</dc:title>
  <dc:subject>StromeX Executive Knowledge System</dc:subject>
  <dc:creator>StromeX Group Holdings</dc:creator>
  <dc:description>Design · Publishing · Print · Media · The Craft Standard</dc:description>
  <cp:lastModifiedBy>StromeX Group Holdings</cp:lastModifiedBy>
  <cp:revision>1</cp:revision>
  <dcterms:created xsi:type="dcterms:W3CDTF">2026-08-13T08:40:28.042Z</dcterms:created>
  <dcterms:modified xsi:type="dcterms:W3CDTF">2026-08-13T08:40:28.043Z</dcterms:modified>
</cp:coreProperties>
</file>

<file path=docProps/custom.xml><?xml version="1.0" encoding="utf-8"?>
<Properties xmlns="http://schemas.openxmlformats.org/officeDocument/2006/custom-properties" xmlns:vt="http://schemas.openxmlformats.org/officeDocument/2006/docPropsVTypes"/>
</file>