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VII</w:t>
            </w:r>
          </w:p>
          <w:p>
            <w:pPr>
              <w:spacing w:after="700" w:line="1350"/>
            </w:pPr>
            <w:r>
              <w:rPr>
                <w:rFonts w:ascii="DejaVu Serif" w:cs="DejaVu Serif" w:eastAsia="DejaVu Serif" w:hAnsi="DejaVu Serif"/>
                <w:b/>
                <w:bCs/>
                <w:color w:val="FFFFFF"/>
                <w:sz w:val="150"/>
                <w:szCs w:val="150"/>
              </w:rPr>
              <w:t xml:space="preserve">VII</w:t>
            </w:r>
          </w:p>
          <w:p>
            <w:pPr>
              <w:spacing w:after="200" w:line="657"/>
            </w:pPr>
            <w:r>
              <w:rPr>
                <w:rFonts w:ascii="DejaVu Serif" w:cs="DejaVu Serif" w:eastAsia="DejaVu Serif" w:hAnsi="DejaVu Serif"/>
                <w:b/>
                <w:bCs/>
                <w:color w:val="1B6EF3"/>
                <w:sz w:val="62"/>
                <w:szCs w:val="62"/>
              </w:rPr>
              <w:t xml:space="preserve">Industry Ecosystems</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Sector solutions · The Enterprise Division</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STRATEGIC</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VII</w:t>
      </w:r>
    </w:p>
    <w:p>
      <w:pPr>
        <w:spacing w:after="220" w:before="160" w:line="594"/>
      </w:pPr>
      <w:r>
        <w:rPr>
          <w:rFonts w:ascii="DejaVu Serif" w:cs="DejaVu Serif" w:eastAsia="DejaVu Serif" w:hAnsi="DejaVu Serif"/>
          <w:b/>
          <w:bCs/>
          <w:color w:val="0D1117"/>
          <w:sz w:val="56"/>
          <w:szCs w:val="56"/>
        </w:rPr>
        <w:t xml:space="preserve">Industry Ecosystems</w:t>
      </w:r>
    </w:p>
    <w:p>
      <w:pPr>
        <w:spacing w:after="700"/>
      </w:pPr>
      <w:r>
        <w:rPr>
          <w:rFonts w:ascii="Liberation Serif" w:cs="Liberation Serif" w:eastAsia="Liberation Serif" w:hAnsi="Liberation Serif"/>
          <w:color w:val="38414D"/>
          <w:sz w:val="22"/>
          <w:szCs w:val="22"/>
        </w:rPr>
        <w:t xml:space="preserve">Sector solutions · The Enterprise Division</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VII sets out how an ecosystem is built and the five conditions that must all hold before one may open — of which a domain expert already hired is the first and enthusiasm is not one. It then treats each sector in turn across three waves: education and higher education, faith institutions, publishing, professional services and small business in the first; healthcare, government, financial services, development, hospitality and property in the second; and the large, slow industrial ecosystems in the third. Each chapter states the institution’s real problem, its buyer, its regulatory surface, its ecosystem stack, its AI agents and its hard boundaries. The volume closes with the Enterprise Division and the retention economics that argue for moving up-market over time.</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VII — Industry Ecosystems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Strategic</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Executive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Half-yearly (sector readiness review)</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docs/bible/VOLUME-VII-INDUSTRY-ECOSYSTEMS.md,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ecosystem stack</w:t>
      </w:r>
      <w:r>
        <w:rPr>
          <w:rFonts w:ascii="DejaVu Sans" w:cs="DejaVu Sans" w:eastAsia="DejaVu Sans" w:hAnsi="DejaVu Sans"/>
          <w:color w:val="0B3C91"/>
          <w:sz w:val="16"/>
          <w:szCs w:val="16"/>
        </w:rPr>
        <w:t xml:space="preserve">	4</w:t>
      </w:r>
    </w:p>
    <w:p>
      <w:pPr>
        <w:tabs>
          <w:tab w:val="right" w:pos="8866" w:leader="dot"/>
        </w:tabs>
        <w:spacing w:after="20" w:before="0" w:line="260"/>
        <w:ind w:left="0" w:right="200" w:hanging="0"/>
      </w:pPr>
      <w:r>
        <w:rPr>
          <w:b/>
          <w:bCs/>
          <w:sz w:val="17"/>
          <w:szCs w:val="17"/>
        </w:rPr>
        <w:t xml:space="preserve">Table 2</w:t>
      </w:r>
      <w:r>
        <w:rPr>
          <w:sz w:val="17"/>
          <w:szCs w:val="17"/>
        </w:rPr>
        <w:t xml:space="preserve">  Wave 3 Ecosystems</w:t>
      </w:r>
      <w:r>
        <w:rPr>
          <w:rFonts w:ascii="DejaVu Sans" w:cs="DejaVu Sans" w:eastAsia="DejaVu Sans" w:hAnsi="DejaVu Sans"/>
          <w:color w:val="0B3C91"/>
          <w:sz w:val="16"/>
          <w:szCs w:val="16"/>
        </w:rPr>
        <w:t xml:space="preserve">	17</w:t>
      </w:r>
    </w:p>
    <w:p>
      <w:pPr>
        <w:tabs>
          <w:tab w:val="right" w:pos="8866" w:leader="dot"/>
        </w:tabs>
        <w:spacing w:after="20" w:before="0" w:line="260"/>
        <w:ind w:left="0" w:right="200" w:hanging="0"/>
      </w:pPr>
      <w:r>
        <w:rPr>
          <w:b/>
          <w:bCs/>
          <w:sz w:val="17"/>
          <w:szCs w:val="17"/>
        </w:rPr>
        <w:t xml:space="preserve">Table 3</w:t>
      </w:r>
      <w:r>
        <w:rPr>
          <w:sz w:val="17"/>
          <w:szCs w:val="17"/>
        </w:rPr>
        <w:t xml:space="preserve">  What it does differently</w:t>
      </w:r>
      <w:r>
        <w:rPr>
          <w:rFonts w:ascii="DejaVu Sans" w:cs="DejaVu Sans" w:eastAsia="DejaVu Sans" w:hAnsi="DejaVu Sans"/>
          <w:color w:val="0B3C91"/>
          <w:sz w:val="16"/>
          <w:szCs w:val="16"/>
        </w:rPr>
        <w:t xml:space="preserve">	18</w:t>
      </w:r>
    </w:p>
    <w:p>
      <w:pPr>
        <w:tabs>
          <w:tab w:val="right" w:pos="8866" w:leader="dot"/>
        </w:tabs>
        <w:spacing w:after="20" w:before="0" w:line="260"/>
        <w:ind w:left="0" w:right="200" w:hanging="0"/>
      </w:pPr>
      <w:r>
        <w:rPr>
          <w:b/>
          <w:bCs/>
          <w:sz w:val="17"/>
          <w:szCs w:val="17"/>
        </w:rPr>
        <w:t xml:space="preserve">Table 4</w:t>
      </w:r>
      <w:r>
        <w:rPr>
          <w:sz w:val="17"/>
          <w:szCs w:val="17"/>
        </w:rPr>
        <w:t xml:space="preserve">  Glossary of terms</w:t>
      </w:r>
      <w:r>
        <w:rPr>
          <w:rFonts w:ascii="DejaVu Sans" w:cs="DejaVu Sans" w:eastAsia="DejaVu Sans" w:hAnsi="DejaVu Sans"/>
          <w:color w:val="0B3C91"/>
          <w:sz w:val="16"/>
          <w:szCs w:val="16"/>
        </w:rPr>
        <w:t xml:space="preserve">	21</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pStyle w:val="EditorialNote"/>
      </w:pPr>
      <w:r>
        <w:t xml:space="preserve">This list is generated by the build. Rebuild the publication to populate it.</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VII</w:t>
            </w:r>
          </w:p>
          <w:p>
            <w:pPr>
              <w:pStyle w:val="Heading1"/>
              <w:spacing w:after="160" w:before="0" w:line="648"/>
            </w:pPr>
            <w:r>
              <w:rPr>
                <w:rFonts w:ascii="DejaVu Serif" w:cs="DejaVu Serif" w:eastAsia="DejaVu Serif" w:hAnsi="DejaVu Serif"/>
                <w:b/>
                <w:bCs/>
                <w:color w:val="FFFFFF"/>
                <w:sz w:val="60"/>
                <w:szCs w:val="60"/>
              </w:rPr>
              <w:t xml:space="preserve">Industry Ecosystems</w:t>
            </w:r>
          </w:p>
          <w:p>
            <w:pPr>
              <w:spacing w:after="0"/>
            </w:pPr>
            <w:r>
              <w:rPr>
                <w:rFonts w:ascii="Liberation Serif" w:cs="Liberation Serif" w:eastAsia="Liberation Serif" w:hAnsi="Liberation Serif"/>
                <w:color w:val="8C97A4"/>
                <w:sz w:val="21"/>
                <w:szCs w:val="21"/>
              </w:rPr>
              <w:t xml:space="preserve">Sector solutions · The Enterprise Division</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Strategic</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VII sets out how an ecosystem is built and the five conditions that must all hold before one may open — of which a domain expert already hired is the first and enthusiasm is not one. It then treats each sector in turn across three waves: education and higher education, faith institutions, publishing, professional services and small business in the first; healthcare, government, financial services, development, hospitality and property in the second; and the large, slow industrial ecosystems in the third. Each chapter states the institution’s real problem, its buyer, its regulatory surface, its ecosystem stack, its AI agents and its hard boundaries. The volume closes with the Enterprise Division and the retention economics that argue for moving up-market over time.</w:t>
      </w:r>
    </w:p>
    <w:p>
      <w:pPr>
        <w:pBdr>
          <w:bottom w:val="single" w:color="C9CFD9" w:sz="4" w:space="1"/>
        </w:pBdr>
        <w:spacing w:after="200" w:before="160"/>
      </w:pPr>
      <w:r>
        <w:t xml:space="preserve"/>
      </w:r>
    </w:p>
    <w:p>
      <w:pPr>
        <w:pStyle w:val="Heading2"/>
        <w:pageBreakBefore/>
      </w:pPr>
      <w:r>
        <w:t xml:space="preserve">CHAPTER 0 — HOW AN ECOSYSTEM IS BUILT</w:t>
      </w:r>
      <w:fldSimple w:instr="XE &quot;Ecosystem&quot;"/>
    </w:p>
    <w:p>
      <w:pPr>
        <w:pStyle w:val="Heading3"/>
      </w:pPr>
      <w:r>
        <w:t xml:space="preserve">0.1 The entry gate</w:t>
      </w:r>
      <w:fldSimple w:instr="XE &quot;Gate&quot;"/>
    </w:p>
    <w:p>
      <w:pPr>
        <w:pStyle w:val="BodyText"/>
      </w:pPr>
      <w:r>
        <w:t xml:space="preserve">An ecosystem may not open until </w:t>
      </w:r>
      <w:r>
        <w:rPr>
          <w:b/>
          <w:bCs/>
        </w:rPr>
        <w:t xml:space="preserve">all five</w:t>
      </w:r>
      <w:r>
        <w:t xml:space="preserve"> are true:</w:t>
      </w:r>
    </w:p>
    <w:p>
      <w:pPr>
        <w:pStyle w:val="ListParagraph"/>
        <w:numPr>
          <w:ilvl w:val="0"/>
          <w:numId w:val="2"/>
        </w:numPr>
        <w:spacing w:after="40" w:before="40" w:line="276"/>
      </w:pPr>
      <w:r>
        <w:t xml:space="preserve">A </w:t>
      </w:r>
      <w:r>
        <w:rPr>
          <w:b/>
          <w:bCs/>
        </w:rPr>
        <w:t xml:space="preserve">domain expert is hired</w:t>
      </w:r>
      <w:r>
        <w:t xml:space="preserve"> — someone who has actually done the work inside that sector (Volume I §14.6).</w:t>
      </w:r>
    </w:p>
    <w:p>
      <w:pPr>
        <w:pStyle w:val="ListParagraph"/>
        <w:numPr>
          <w:ilvl w:val="0"/>
          <w:numId w:val="2"/>
        </w:numPr>
        <w:spacing w:after="40" w:before="40" w:line="276"/>
      </w:pPr>
      <w:r>
        <w:t xml:space="preserve">The </w:t>
      </w:r>
      <w:r>
        <w:rPr>
          <w:b/>
          <w:bCs/>
        </w:rPr>
        <w:t xml:space="preserve">previous wave’s ecosystems are deep enough to leave</w:t>
      </w:r>
      <w:r>
        <w:t xml:space="preserve"> — ≥25 paying institutions, ≥110% NRR, a reference willing to take calls, a partner who can deliver without headquarters (Volume I §2.4).</w:t>
      </w:r>
    </w:p>
    <w:p>
      <w:pPr>
        <w:pStyle w:val="ListParagraph"/>
        <w:numPr>
          <w:ilvl w:val="0"/>
          <w:numId w:val="2"/>
        </w:numPr>
        <w:spacing w:after="40" w:before="40" w:line="276"/>
      </w:pPr>
      <w:r>
        <w:t xml:space="preserve">The </w:t>
      </w:r>
      <w:r>
        <w:rPr>
          <w:b/>
          <w:bCs/>
        </w:rPr>
        <w:t xml:space="preserve">regulatory surface is understood and documented</w:t>
      </w:r>
      <w:r>
        <w:t xml:space="preserve">, not assumed.</w:t>
      </w:r>
    </w:p>
    <w:p>
      <w:pPr>
        <w:pStyle w:val="ListParagraph"/>
        <w:numPr>
          <w:ilvl w:val="0"/>
          <w:numId w:val="2"/>
        </w:numPr>
        <w:spacing w:after="40" w:before="40" w:line="276"/>
      </w:pPr>
      <w:r>
        <w:t xml:space="preserve">A </w:t>
      </w:r>
      <w:r>
        <w:rPr>
          <w:b/>
          <w:bCs/>
        </w:rPr>
        <w:t xml:space="preserve">chapter of this volume is drafted and ratified.</w:t>
      </w:r>
    </w:p>
    <w:p>
      <w:pPr>
        <w:pStyle w:val="ListParagraph"/>
        <w:numPr>
          <w:ilvl w:val="0"/>
          <w:numId w:val="2"/>
        </w:numPr>
        <w:spacing w:after="40" w:before="40" w:line="276"/>
      </w:pPr>
      <w:r>
        <w:rPr>
          <w:b/>
          <w:bCs/>
        </w:rPr>
        <w:t xml:space="preserve">Delivery capacity exists</w:t>
      </w:r>
      <w:r>
        <w:t xml:space="preserve"> for the first ten customers without borrowing it from an existing ecosystem.</w:t>
      </w:r>
    </w:p>
    <w:p>
      <w:pPr>
        <w:pStyle w:val="BodyText"/>
      </w:pPr>
      <w:r>
        <w:t xml:space="preserve">Enthusiasm is not one of the five.</w:t>
      </w:r>
    </w:p>
    <w:p>
      <w:pPr>
        <w:pStyle w:val="Heading3"/>
      </w:pPr>
      <w:r>
        <w:t xml:space="preserve">0.2 The shared foundation</w:t>
      </w:r>
      <w:fldSimple w:instr="XE &quot;Foundation&quot;"/>
    </w:p>
    <w:p>
      <w:pPr>
        <w:pStyle w:val="BodyText"/>
      </w:pPr>
      <w:r>
        <w:t xml:space="preserve">Every sector reuses layers 1–7 of the Volume I §2.3 stack. Only layer 8 — vocabulary, workflows, compliance, sector apps — is new. </w:t>
      </w:r>
      <w:r>
        <w:rPr>
          <w:b/>
          <w:bCs/>
        </w:rPr>
        <w:t xml:space="preserve">This is what makes twenty sectors affordable for an engineering organisation sized for three,</w:t>
      </w:r>
      <w:r>
        <w:t xml:space="preserve"> and it is why the no-fork rule (Volume IV §3.2) is enforced as strictly as it is.</w:t>
      </w:r>
    </w:p>
    <w:p>
      <w:pPr>
        <w:pStyle w:val="BodyText"/>
      </w:pPr>
      <w:r>
        <w:t xml:space="preserve">The per-sector build is therefore, in practice: a vocabulary map, a set of role definitions, a compliance profile, a handful of sector-specific record types, the sector’s own workflows, its regulator connectors, and its AI agents. Typically 15–25% of a full platform, not 100%.</w:t>
      </w:r>
    </w:p>
    <w:p>
      <w:pPr>
        <w:pStyle w:val="Heading3"/>
      </w:pPr>
      <w:r>
        <w:t xml:space="preserve">0.3 The chapter template</w:t>
      </w:r>
    </w:p>
    <w:p>
      <w:pPr>
        <w:pStyle w:val="BodyText"/>
      </w:pPr>
      <w:r>
        <w:t xml:space="preserve">Each chapter states: the institution’s real problem · the buyer · the regulatory surface · the ecosystem stack · the AI agents · the physical layer · what we do </w:t>
      </w:r>
      <w:r>
        <w:rPr>
          <w:b/>
          <w:bCs/>
        </w:rPr>
        <w:t xml:space="preserve">not</w:t>
      </w:r>
      <w:r>
        <w:t xml:space="preserve"> do · the entry motion.</w:t>
      </w:r>
    </w:p>
    <w:p>
      <w:pPr>
        <w:pStyle w:val="Heading2"/>
        <w:pageBreakBefore/>
      </w:pPr>
      <w:r>
        <w:t xml:space="preserve">CHAPTER 1 — K-12 EDUCATION</w:t>
      </w:r>
    </w:p>
    <w:p>
      <w:pPr>
        <w:pStyle w:val="EditorialNote"/>
      </w:pPr>
      <w:r>
        <w:t xml:space="preserve">Wave 1. The founding ecosystem. Reference Implementations №1–4.</w:t>
      </w:r>
    </w:p>
    <w:p>
      <w:pPr>
        <w:pStyle w:val="Heading3"/>
      </w:pPr>
      <w:r>
        <w:t xml:space="preserve">1.1 The market</w:t>
      </w:r>
    </w:p>
    <w:p>
      <w:pPr>
        <w:pStyle w:val="BodyText"/>
      </w:pPr>
      <w:r>
        <w:t xml:space="preserve">Nigeria’s Federal Ministry of Education reports </w:t>
      </w:r>
      <w:r>
        <w:rPr>
          <w:b/>
          <w:bCs/>
        </w:rPr>
        <w:t xml:space="preserve">107,017 private schools in the 2024/25 school year — roughly 50% of the country’s 215,033 schools — enrolling 8,297,861 learners (21% of total enrolment), against 31,827,244 in public schools</w:t>
      </w:r>
      <w:r>
        <w:t xml:space="preserve"> (</w:t>
      </w:r>
      <w:hyperlink w:history="1" r:id="rIdrm9hciha8jwun6niidxk-">
        <w:r>
          <w:rPr>
            <w:rStyle w:val="Hyperlink"/>
          </w:rPr>
          <w:t xml:space="preserve">Federal Ministry of Education EMIS</w:t>
        </w:r>
      </w:hyperlink>
      <w:r>
        <w:t xml:space="preserve">).</w:t>
      </w:r>
    </w:p>
    <w:p>
      <w:pPr>
        <w:pStyle w:val="BodyText"/>
      </w:pPr>
      <w:r>
        <w:t xml:space="preserve">That is the single most important number in this corpus. Applying the Volume II §2.2 method to it — rather than treating it as a TAM headline — the reachable segment is the urban and peri-urban fee-charging private schools with the willingness and ability to pay a recurring subscription. That is a minority of the 107,017, but even a low-single-digit percentage of it, at the Volume III §20.1 configuration, is a substantial business, and it is reachable through referral density rather than paid acquisition.</w:t>
      </w:r>
    </w:p>
    <w:p>
      <w:pPr>
        <w:pStyle w:val="BodyText"/>
      </w:pPr>
      <w:r>
        <w:rPr>
          <w:b/>
          <w:bCs/>
        </w:rPr>
        <w:t xml:space="preserve">The honest counterweight:</w:t>
      </w:r>
      <w:r>
        <w:t xml:space="preserve"> a large share of Nigeria’s private schools are very small, very price-sensitive, and genuinely fragile as recurring-revenue customers. Volume II R2 (collection failure) is not a theoretical risk in this segment; it is the base case for the bottom half of it. Qualification at Volume V §6.1 Stage 2 exists precisely to decline institutions that would be harmed by committing.</w:t>
      </w:r>
    </w:p>
    <w:p>
      <w:pPr>
        <w:pStyle w:val="Heading3"/>
      </w:pPr>
      <w:r>
        <w:t xml:space="preserve">1.2 The institution’s real problem</w:t>
      </w:r>
    </w:p>
    <w:p>
      <w:pPr>
        <w:pStyle w:val="BodyText"/>
      </w:pPr>
      <w:r>
        <w:t xml:space="preserve">Not “we need a website”. The actual problems, in the order proprietors raise them: parents cannot see anything without calling the school · fees are collected in cash and reconciled by hand · admissions consumes weeks of a registrar’s life every year · results take days to compile and are transcribed by hand at least twice · certificates are photocopied and forged · staff records live in a cupboard · the proprietor cannot answer “how many students do we have, and how many have paid?” without a two-day exercise.</w:t>
      </w:r>
    </w:p>
    <w:p>
      <w:pPr>
        <w:pStyle w:val="Heading3"/>
      </w:pPr>
      <w:r>
        <w:t xml:space="preserve">1.3 The buyer</w:t>
      </w:r>
    </w:p>
    <w:p>
      <w:pPr>
        <w:pStyle w:val="BodyText"/>
      </w:pPr>
      <w:r>
        <w:t xml:space="preserve">Proprietor or Director signs (Volume II §3.1). Cares about prestige, parent perception and fee collection. Kills deals over price and over fear of disruption during term. The champion is usually the ICT coordinator or a young registrar. The blocker is usually the bursar whose manual process is being replaced — and Volume I §7.1′s free redeployment training is aimed directly at them.</w:t>
      </w:r>
    </w:p>
    <w:p>
      <w:pPr>
        <w:pStyle w:val="Heading3"/>
      </w:pPr>
      <w:r>
        <w:t xml:space="preserve">1.4 The regulatory surface</w:t>
      </w:r>
    </w:p>
    <w:p>
      <w:pPr>
        <w:pStyle w:val="BodyText"/>
      </w:pPr>
      <w:r>
        <w:t xml:space="preserve">State ministry of education registration and inspection · national curriculum compliance · examination board interfaces (WAEC, NECO, and Cambridge/Edexcel for international streams) · child protection and safeguarding obligations · the Nigeria Data Protection Act, with children’s data at the strictest handling class (Volume IV §4.3) · fee regulation where it applies · health and safety inspection.</w:t>
      </w:r>
    </w:p>
    <w:p>
      <w:pPr>
        <w:pStyle w:val="Heading3"/>
      </w:pPr>
      <w:r>
        <w:t xml:space="preserve">1.5 The ecosystem stack</w:t>
      </w:r>
      <w:fldSimple w:instr="XE &quot;Ecosystem&quot;"/>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Layer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8 Sector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 enrolment · classes &amp; cohorts · timetable · attendance · gradebook · examinations · report cards · transcripts · curriculum &amp; schemes of work · learning outcomes · competencies · evidence · discipline &amp; pastoral · safeguarding · library · hostel · transport · catering · clinic · SEN · alumni</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7 Intelligence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Enrolment forecasting · attrition risk · fee-default risk · comprehension-gap detection · timetable optimisation · inspection readiness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6 Automation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pack · fee pack · certificate pack · result-publication pack · attendance pack · safeguarding pack · board pack (Volume III §7.2)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 Records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People · finance · assets · documents · governance decisions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 Identity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Student/staff/parent identity · ID cards · biometrics · SSO · verifiable credentials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 Experience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Multilingual website · student, parent, staff, registrar, bursary, executive, alumni portals · mobile apps · kiosks · print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 Platform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 · payments · messaging (SMS/WhatsApp/push) · search · files · audit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 Infra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Cloud, backup, security, observability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ecosystem stack</w:t>
      </w:r>
    </w:p>
    <w:p>
      <w:pPr>
        <w:pStyle w:val="Heading3"/>
      </w:pPr>
      <w:r>
        <w:t xml:space="preserve">1.6 The AI agents</w:t>
      </w:r>
    </w:p>
    <w:p>
      <w:pPr>
        <w:pStyle w:val="BodyText"/>
      </w:pPr>
      <w:r>
        <w:t xml:space="preserve">Receptionist · Admissions Officer · Registrar · Bursar · Teacher (per subject) · Tutor (per student) · Homework Marker · Curriculum Designer · Examination Officer · Librarian · Timetable Optimiser · Parent Assistant · Student Companion · Inspection Readiness Assistant · Arabic Tutor · Qur’an Memorisation Coach.</w:t>
      </w:r>
    </w:p>
    <w:p>
      <w:pPr>
        <w:pStyle w:val="BodyText"/>
      </w:pPr>
      <w:r>
        <w:rPr>
          <w:b/>
          <w:bCs/>
        </w:rPr>
        <w:t xml:space="preserve">Hard boundaries in this sector:</w:t>
      </w:r>
      <w:r>
        <w:t xml:space="preserve"> final grades, admission decisions, disciplinary outcomes and safeguarding classifications are </w:t>
      </w:r>
      <w:r>
        <w:rPr>
          <w:b/>
          <w:bCs/>
        </w:rPr>
        <w:t xml:space="preserve">High stakes</w:t>
      </w:r>
      <w:r>
        <w:t xml:space="preserve"> — AI informs, a named human decides and is recorded as the decider (Volume IV §8.1). No exceptions, and no institution may configure them away.</w:t>
      </w:r>
    </w:p>
    <w:p>
      <w:pPr>
        <w:pStyle w:val="Heading3"/>
      </w:pPr>
      <w:r>
        <w:t xml:space="preserve">1.7 The physical layer</w:t>
      </w:r>
    </w:p>
    <w:p>
      <w:pPr>
        <w:pStyle w:val="BodyText"/>
      </w:pPr>
      <w:r>
        <w:t xml:space="preserve">Smart Entry (gates, readers) · Smart Attendance (kiosks) · Smart Identity (card printer, capture station, encoder) · CCTV · PA and bell · signage · interactive classrooms · bus tracking · power resilience (inverter/UPS — non-optional in this market, and a school without it will blame us for downtime that is not ours).</w:t>
      </w:r>
    </w:p>
    <w:p>
      <w:pPr>
        <w:pStyle w:val="Heading3"/>
      </w:pPr>
      <w:r>
        <w:t xml:space="preserve">1.8 What we do not do</w:t>
      </w:r>
    </w:p>
    <w:p>
      <w:pPr>
        <w:pStyle w:val="BodyText"/>
      </w:pPr>
      <w:r>
        <w:t xml:space="preserve">We do not teach. We do not employ teachers on the institution’s behalf. We do not assume the institution’s regulatory obligations. We do not warrant examination outcomes. We do not sell an ERP to a 40-student school (Volume V §1.2.2).</w:t>
      </w:r>
    </w:p>
    <w:p>
      <w:pPr>
        <w:pStyle w:val="Heading3"/>
      </w:pPr>
      <w:r>
        <w:t xml:space="preserve">1.9 Entry motion</w:t>
      </w:r>
    </w:p>
    <w:p>
      <w:pPr>
        <w:pStyle w:val="BodyText"/>
      </w:pPr>
      <w:r>
        <w:t xml:space="preserve">Free tools → free readiness assessment → website + core platform + admissions → the Volume I §6.5 ladder. Referral density is the growth engine; the reference deployment is the sales asset.</w:t>
      </w:r>
    </w:p>
    <w:p>
      <w:pPr>
        <w:pStyle w:val="Heading2"/>
        <w:pageBreakBefore/>
      </w:pPr>
      <w:r>
        <w:t xml:space="preserve">CHAPTER 2 — HIGHER EDUCATION</w:t>
      </w:r>
    </w:p>
    <w:p>
      <w:pPr>
        <w:pStyle w:val="EditorialNote"/>
      </w:pPr>
      <w:r>
        <w:t xml:space="preserve">Wave 1.</w:t>
      </w:r>
    </w:p>
    <w:p>
      <w:pPr>
        <w:pStyle w:val="BodyText"/>
      </w:pPr>
      <w:r>
        <w:rPr>
          <w:b/>
          <w:bCs/>
        </w:rPr>
        <w:t xml:space="preserve">The real problem.</w:t>
      </w:r>
      <w:r>
        <w:t xml:space="preserve"> Accreditation defensibility, records integrity across decades, credential fraud at scale, fragmented departmental systems, alumni relations that never got built, and research administration on spreadsheets.</w:t>
      </w:r>
    </w:p>
    <w:p>
      <w:pPr>
        <w:pStyle w:val="BodyText"/>
      </w:pPr>
      <w:r>
        <w:rPr>
          <w:b/>
          <w:bCs/>
        </w:rPr>
        <w:t xml:space="preserve">The buyer.</w:t>
      </w:r>
      <w:r>
        <w:t xml:space="preserve"> Registrar, Vice-Chancellor, Bursar. Committee segment — 3–9 month cycles, budget-bound. Kills deals over data-migration risk, which is the correct thing to fear.</w:t>
      </w:r>
    </w:p>
    <w:p>
      <w:pPr>
        <w:pStyle w:val="BodyText"/>
      </w:pPr>
      <w:r>
        <w:rPr>
          <w:b/>
          <w:bCs/>
        </w:rPr>
        <w:t xml:space="preserve">Regulatory surface.</w:t>
      </w:r>
      <w:r>
        <w:t xml:space="preserve"> National regulator (NUC in Nigeria; equivalents elsewhere) · programme accreditation · qualifications frameworks · research ethics · student data protection · international student compliance.</w:t>
      </w:r>
    </w:p>
    <w:p>
      <w:pPr>
        <w:pStyle w:val="BodyText"/>
      </w:pPr>
      <w:r>
        <w:rPr>
          <w:b/>
          <w:bCs/>
        </w:rPr>
        <w:t xml:space="preserve">Additional stack over K-12.</w:t>
      </w:r>
      <w:r>
        <w:t xml:space="preserve"> Faculty/department/school hierarchy · programme and level architecture · credit accumulation and transfer · modular course registration · academic bodies and external relations · senate/board governance registers · research management and outputs · CPD records · thesis and dissertation workflow · graduate register and graduate profiles · alumni chapters · corporate accounts and sponsored seats · scholarships and bursaries · convocation and graduation document production · institutional repository.</w:t>
      </w:r>
    </w:p>
    <w:p>
      <w:pPr>
        <w:pStyle w:val="EditorialNote"/>
      </w:pPr>
      <w:r>
        <w:t xml:space="preserve">The group’s reference credential schema already models programme definitions, levels, units, learning outcomes, competencies, evidence, awards, distinctions, credential signatures, issued documents, verifying institutions, graduate profiles and alumni chapters — this is the ecosystem those tables were built for.</w:t>
      </w:r>
    </w:p>
    <w:p>
      <w:pPr>
        <w:pStyle w:val="BodyText"/>
      </w:pPr>
      <w:r>
        <w:rPr>
          <w:b/>
          <w:bCs/>
        </w:rPr>
        <w:t xml:space="preserve">AI agents.</w:t>
      </w:r>
      <w:r>
        <w:t xml:space="preserve"> Registrar · Research Assistant · Librarian · Admissions Officer · Curriculum Designer · Examination Officer · Compliance Officer · Executive Analyst.</w:t>
      </w:r>
    </w:p>
    <w:p>
      <w:pPr>
        <w:pStyle w:val="BodyText"/>
      </w:pPr>
      <w:r>
        <w:rPr>
          <w:b/>
          <w:bCs/>
        </w:rPr>
        <w:t xml:space="preserve">Why this ecosystem matters disproportionately.</w:t>
      </w:r>
      <w:r>
        <w:t xml:space="preserve"> A university’s credentials are checked by employers, foreign universities and immigration authorities worldwide. Every verification is a Volume V §1.1 marketing event, at the highest-credibility end of the market. One university is worth more distribution than fifty schools.</w:t>
      </w:r>
    </w:p>
    <w:p>
      <w:pPr>
        <w:pStyle w:val="BodyText"/>
      </w:pPr>
      <w:r>
        <w:rPr>
          <w:b/>
          <w:bCs/>
        </w:rPr>
        <w:t xml:space="preserve">What we do not do.</w:t>
      </w:r>
      <w:r>
        <w:t xml:space="preserve"> Set academic policy. Award qualifications. Adjudicate academic misconduct. Guarantee accreditation outcomes.</w:t>
      </w:r>
    </w:p>
    <w:p>
      <w:pPr>
        <w:pStyle w:val="Heading2"/>
        <w:pageBreakBefore/>
      </w:pPr>
      <w:r>
        <w:t xml:space="preserve">CHAPTER 3 — FAITH INSTITUTIONS</w:t>
      </w:r>
    </w:p>
    <w:p>
      <w:pPr>
        <w:pStyle w:val="EditorialNote"/>
      </w:pPr>
      <w:r>
        <w:t xml:space="preserve">Wave 1. Mosques, churches, madrasahs, Islamic schools, seminaries, endowments.</w:t>
      </w:r>
    </w:p>
    <w:p>
      <w:pPr>
        <w:pStyle w:val="BodyText"/>
      </w:pPr>
      <w:r>
        <w:rPr>
          <w:b/>
          <w:bCs/>
        </w:rPr>
        <w:t xml:space="preserve">The real problem.</w:t>
      </w:r>
      <w:r>
        <w:t xml:space="preserve"> Community records nobody maintains, donations recorded on paper, programme scheduling by word of mouth, no way to show donors where money went, memorisation and study progress untracked, and endowment (waqf) assets undocumented.</w:t>
      </w:r>
    </w:p>
    <w:p>
      <w:pPr>
        <w:pStyle w:val="BodyText"/>
      </w:pPr>
      <w:r>
        <w:rPr>
          <w:b/>
          <w:bCs/>
        </w:rPr>
        <w:t xml:space="preserve">The buyer.</w:t>
      </w:r>
      <w:r>
        <w:t xml:space="preserve"> Imam, pastor, board of trustees, or the endowment’s administrator. Kills deals over anything culturally careless — this sector’s single largest vendor risk is not price, it is a supplier who gets the register wrong.</w:t>
      </w:r>
    </w:p>
    <w:p>
      <w:pPr>
        <w:pStyle w:val="BodyText"/>
      </w:pPr>
      <w:r>
        <w:rPr>
          <w:b/>
          <w:bCs/>
        </w:rPr>
        <w:t xml:space="preserve">The stack.</w:t>
      </w:r>
      <w:r>
        <w:t xml:space="preserve"> Community and membership register · programme and class scheduling · prayer/service times and displays · donations, zakat and sadaqah with </w:t>
      </w:r>
      <w:r>
        <w:rPr>
          <w:b/>
          <w:bCs/>
        </w:rPr>
        <w:t xml:space="preserve">designation tracking</w:t>
      </w:r>
      <w:r>
        <w:t xml:space="preserve"> (a donor who gave for a well must be able to see the well) · waqf and endowment asset records · madrasah records · Qur’an memorisation and tajweed tracking · recitation recording and review · Arabic instruction · Islamic certificates · event management · volunteer coordination · burial and welfare records · multilingual site (Arabic-first where appropriate) · signage · PA.</w:t>
      </w:r>
    </w:p>
    <w:p>
      <w:pPr>
        <w:pStyle w:val="BodyText"/>
      </w:pPr>
      <w:r>
        <w:rPr>
          <w:b/>
          <w:bCs/>
        </w:rPr>
        <w:t xml:space="preserve">AI agents.</w:t>
      </w:r>
      <w:r>
        <w:t xml:space="preserve"> Receptionist · Librarian · Arabic Tutor · Qur’an Memorisation Coach · Translator · Secretary.</w:t>
      </w:r>
    </w:p>
    <w:p>
      <w:pPr>
        <w:pStyle w:val="BodyText"/>
      </w:pPr>
      <w:r>
        <w:rPr>
          <w:b/>
          <w:bCs/>
        </w:rPr>
        <w:t xml:space="preserve">The hard boundary.</w:t>
      </w:r>
      <w:r>
        <w:t xml:space="preserve"> Volume I §7.5 and Volume IV §8.3 apply at their strictest. </w:t>
      </w:r>
      <w:r>
        <w:rPr>
          <w:b/>
          <w:bCs/>
        </w:rPr>
        <w:t xml:space="preserve">No StromeX system issues a religious ruling.</w:t>
      </w:r>
      <w:r>
        <w:t xml:space="preserve"> Qur’anic text is reproduced from verified sources, never generated. Questions of ruling route to a named qualified human, visibly. This is enforced in the policy gate and is not configurable.</w:t>
      </w:r>
    </w:p>
    <w:p>
      <w:pPr>
        <w:pStyle w:val="BodyText"/>
      </w:pPr>
      <w:r>
        <w:rPr>
          <w:b/>
          <w:bCs/>
        </w:rPr>
        <w:t xml:space="preserve">Commercial note.</w:t>
      </w:r>
      <w:r>
        <w:t xml:space="preserve"> This ecosystem has lower ACV and higher trust value than any other. It is served at or near cost in many cases, deliberately, and is a standing candidate for the Volume III §0.4 non-profit policy. Its return is reputational and referral-based, and that return is real.</w:t>
      </w:r>
    </w:p>
    <w:p>
      <w:pPr>
        <w:pStyle w:val="Heading2"/>
        <w:pageBreakBefore/>
      </w:pPr>
      <w:r>
        <w:t xml:space="preserve">CHAPTER 4 — PUBLISHING</w:t>
      </w:r>
    </w:p>
    <w:p>
      <w:pPr>
        <w:pStyle w:val="EditorialNote"/>
      </w:pPr>
      <w:r>
        <w:t xml:space="preserve">Wave 1. Detailed practice in Volume VI.</w:t>
      </w:r>
    </w:p>
    <w:p>
      <w:pPr>
        <w:pStyle w:val="BodyText"/>
      </w:pPr>
      <w:r>
        <w:rPr>
          <w:b/>
          <w:bCs/>
        </w:rPr>
        <w:t xml:space="preserve">The real problem.</w:t>
      </w:r>
      <w:r>
        <w:t xml:space="preserve"> Publishers in our markets cannot access international production standards; rights and royalties are administered on spreadsheets; distribution is fragmented; and print economics are opaque.</w:t>
      </w:r>
    </w:p>
    <w:p>
      <w:pPr>
        <w:pStyle w:val="BodyText"/>
      </w:pPr>
      <w:r>
        <w:rPr>
          <w:b/>
          <w:bCs/>
        </w:rPr>
        <w:t xml:space="preserve">The buyer.</w:t>
      </w:r>
      <w:r>
        <w:t xml:space="preserve"> Publisher, Managing Director. Kills deals over quality of finish.</w:t>
      </w:r>
    </w:p>
    <w:p>
      <w:pPr>
        <w:pStyle w:val="BodyText"/>
      </w:pPr>
      <w:r>
        <w:rPr>
          <w:b/>
          <w:bCs/>
        </w:rPr>
        <w:t xml:space="preserve">The stack.</w:t>
      </w:r>
      <w:r>
        <w:t xml:space="preserve"> Title and catalogue management · manuscript and editorial workflow · rights and permissions register · contributor and contract management · royalty calculation and statements · ISBN and metadata management · production tracking · print procurement (Volume VI §10) · inventory and warehousing · distribution and retail feeds · digital storefront · subscription and serial management · author portal · reader analytics.</w:t>
      </w:r>
    </w:p>
    <w:p>
      <w:pPr>
        <w:pStyle w:val="BodyText"/>
      </w:pPr>
      <w:r>
        <w:rPr>
          <w:b/>
          <w:bCs/>
        </w:rPr>
        <w:t xml:space="preserve">AI agents.</w:t>
      </w:r>
      <w:r>
        <w:t xml:space="preserve"> Editor · Fact-Checker · Translator · Marketing Assistant · Customer Support.</w:t>
      </w:r>
    </w:p>
    <w:p>
      <w:pPr>
        <w:pStyle w:val="BodyText"/>
      </w:pPr>
      <w:r>
        <w:rPr>
          <w:b/>
          <w:bCs/>
        </w:rPr>
        <w:t xml:space="preserve">Why it belongs in the group.</w:t>
      </w:r>
      <w:r>
        <w:t xml:space="preserve"> Publishing is where the Creative Division’s capability becomes a </w:t>
      </w:r>
      <w:r>
        <w:rPr>
          <w:i/>
          <w:iCs/>
        </w:rPr>
        <w:t xml:space="preserve">platform business</w:t>
      </w:r>
      <w:r>
        <w:t xml:space="preserve"> rather than a services business — and educational publishing (Volume VI §12) feeds directly back into the education ecosystem as bespoke textbooks, which is a cross-sell with unusually high switching cost.</w:t>
      </w:r>
    </w:p>
    <w:p>
      <w:pPr>
        <w:pStyle w:val="Heading2"/>
        <w:pageBreakBefore/>
      </w:pPr>
      <w:r>
        <w:t xml:space="preserve">CHAPTER 5 — PROFESSIONAL SERVICES</w:t>
      </w:r>
    </w:p>
    <w:p>
      <w:pPr>
        <w:pStyle w:val="EditorialNote"/>
      </w:pPr>
      <w:r>
        <w:t xml:space="preserve">Wave 1. Law firms, accounting firms, consultancies, architects, engineers, medical practices as businesses.</w:t>
      </w:r>
    </w:p>
    <w:p>
      <w:pPr>
        <w:pStyle w:val="BodyText"/>
      </w:pPr>
      <w:r>
        <w:rPr>
          <w:b/>
          <w:bCs/>
        </w:rPr>
        <w:t xml:space="preserve">The real problem.</w:t>
      </w:r>
      <w:r>
        <w:t xml:space="preserve"> Time and billing leakage, matter/engagement records scattered across email, document version chaos, client onboarding compliance, and no visibility of practice profitability.</w:t>
      </w:r>
    </w:p>
    <w:p>
      <w:pPr>
        <w:pStyle w:val="BodyText"/>
      </w:pPr>
      <w:r>
        <w:rPr>
          <w:b/>
          <w:bCs/>
        </w:rPr>
        <w:t xml:space="preserve">The buyer.</w:t>
      </w:r>
      <w:r>
        <w:t xml:space="preserve"> Managing Partner. Owner-led to committee depending on size.</w:t>
      </w:r>
    </w:p>
    <w:p>
      <w:pPr>
        <w:pStyle w:val="BodyText"/>
      </w:pPr>
      <w:r>
        <w:rPr>
          <w:b/>
          <w:bCs/>
        </w:rPr>
        <w:t xml:space="preserve">The stack.</w:t>
      </w:r>
      <w:r>
        <w:t xml:space="preserve"> Client and matter management · engagement letters · conflict checking · time recording and billing · trust/client account handling (regulated — jurisdiction-specific) · document management with version control · document assembly from templates · e-signature · deadline and limitation tracking · KYC/AML onboarding · knowledge base and precedent library · CPD records · practice analytics · client portal · secure client messaging.</w:t>
      </w:r>
    </w:p>
    <w:p>
      <w:pPr>
        <w:pStyle w:val="BodyText"/>
      </w:pPr>
      <w:r>
        <w:rPr>
          <w:b/>
          <w:bCs/>
        </w:rPr>
        <w:t xml:space="preserve">AI agents.</w:t>
      </w:r>
      <w:r>
        <w:t xml:space="preserve"> Legal Research Assistant · Contract Analyst · Secretary · Customer Support · Translator · Compliance Officer.</w:t>
      </w:r>
    </w:p>
    <w:p>
      <w:pPr>
        <w:pStyle w:val="BodyText"/>
      </w:pPr>
      <w:r>
        <w:rPr>
          <w:b/>
          <w:bCs/>
        </w:rPr>
        <w:t xml:space="preserve">The hard boundary.</w:t>
      </w:r>
      <w:r>
        <w:t xml:space="preserve"> </w:t>
      </w:r>
      <w:r>
        <w:rPr>
          <w:b/>
          <w:bCs/>
        </w:rPr>
        <w:t xml:space="preserve">AI does not give legal, accounting, tax or medical advice</w:t>
      </w:r>
      <w:r>
        <w:t xml:space="preserve"> (Volume IV §8.1, Prohibited row). It supports a qualified professional who remains accountable. Marketing for this sector states this explicitly.</w:t>
      </w:r>
    </w:p>
    <w:p>
      <w:pPr>
        <w:pStyle w:val="BodyText"/>
      </w:pPr>
      <w:r>
        <w:rPr>
          <w:b/>
          <w:bCs/>
        </w:rPr>
        <w:t xml:space="preserve">Regulatory surface.</w:t>
      </w:r>
      <w:r>
        <w:t xml:space="preserve"> Bar/professional body rules on client confidentiality, client accounts, conflicts and advertising · AML obligations · professional indemnity implications of any system we supply.</w:t>
      </w:r>
    </w:p>
    <w:p>
      <w:pPr>
        <w:pStyle w:val="Heading2"/>
        <w:pageBreakBefore/>
      </w:pPr>
      <w:r>
        <w:t xml:space="preserve">CHAPTER 6 — SME &amp; RETAIL</w:t>
      </w:r>
    </w:p>
    <w:p>
      <w:pPr>
        <w:pStyle w:val="EditorialNote"/>
      </w:pPr>
      <w:r>
        <w:t xml:space="preserve">Wave 1. The self-serve volume ecosystem.</w:t>
      </w:r>
    </w:p>
    <w:p>
      <w:pPr>
        <w:pStyle w:val="BodyText"/>
      </w:pPr>
      <w:r>
        <w:rPr>
          <w:b/>
          <w:bCs/>
        </w:rPr>
        <w:t xml:space="preserve">The real problem.</w:t>
      </w:r>
      <w:r>
        <w:t xml:space="preserve"> Get found, get paid, get organised. In that order, and rarely anything more sophisticated.</w:t>
      </w:r>
    </w:p>
    <w:p>
      <w:pPr>
        <w:pStyle w:val="BodyText"/>
      </w:pPr>
      <w:r>
        <w:rPr>
          <w:b/>
          <w:bCs/>
        </w:rPr>
        <w:t xml:space="preserve">The buyer.</w:t>
      </w:r>
      <w:r>
        <w:t xml:space="preserve"> The owner. Self-serve. Decides in minutes. Churns instantly if it is complicated or if the monthly cost is not obviously worth it.</w:t>
      </w:r>
    </w:p>
    <w:p>
      <w:pPr>
        <w:pStyle w:val="BodyText"/>
      </w:pPr>
      <w:r>
        <w:rPr>
          <w:b/>
          <w:bCs/>
        </w:rPr>
        <w:t xml:space="preserve">The stack.</w:t>
      </w:r>
      <w:r>
        <w:t xml:space="preserve"> Website and online presence · online store · bookings and appointments · invoicing and payments · customer records (light CRM) · inventory · POS · staff and rota · basic accounting integration · WhatsApp Business integration (in our markets this is the actual customer channel, not a nice-to-have) · marketing tools · business email · domain.</w:t>
      </w:r>
    </w:p>
    <w:p>
      <w:pPr>
        <w:pStyle w:val="BodyText"/>
      </w:pPr>
      <w:r>
        <w:rPr>
          <w:b/>
          <w:bCs/>
        </w:rPr>
        <w:t xml:space="preserve">AI agents.</w:t>
      </w:r>
      <w:r>
        <w:t xml:space="preserve"> Receptionist · Customer Support · Marketing Assistant · Sales Development.</w:t>
      </w:r>
    </w:p>
    <w:p>
      <w:pPr>
        <w:pStyle w:val="BodyText"/>
      </w:pPr>
      <w:r>
        <w:rPr>
          <w:b/>
          <w:bCs/>
        </w:rPr>
        <w:t xml:space="preserve">Strategic role.</w:t>
      </w:r>
      <w:r>
        <w:t xml:space="preserve"> This ecosystem is not primarily a profit centre in Phase I. It is the </w:t>
      </w:r>
      <w:r>
        <w:rPr>
          <w:b/>
          <w:bCs/>
        </w:rPr>
        <w:t xml:space="preserve">free-tier engine’s natural home</w:t>
      </w:r>
      <w:r>
        <w:t xml:space="preserve"> and the volume top of the funnel: hundreds of thousands of micro-businesses using free tools, a small percentage converting, and — critically — a large number of those owners also being school proprietors, mosque trustees, clinic owners and NGO directors. The SME funnel feeds every other ecosystem.</w:t>
      </w:r>
    </w:p>
    <w:p>
      <w:pPr>
        <w:pStyle w:val="Heading2"/>
        <w:pageBreakBefore/>
      </w:pPr>
      <w:r>
        <w:t xml:space="preserve">CHAPTER 7 — HEALTHCARE</w:t>
      </w:r>
    </w:p>
    <w:p>
      <w:pPr>
        <w:pStyle w:val="EditorialNote"/>
      </w:pPr>
      <w:r>
        <w:t xml:space="preserve">Wave 2. Requires a clinical domain hire before entry — non-negotiable.</w:t>
      </w:r>
    </w:p>
    <w:p>
      <w:pPr>
        <w:pStyle w:val="BodyText"/>
      </w:pPr>
      <w:r>
        <w:rPr>
          <w:b/>
          <w:bCs/>
        </w:rPr>
        <w:t xml:space="preserve">The real problem.</w:t>
      </w:r>
      <w:r>
        <w:t xml:space="preserve"> Paper records, unfindable patient histories, no continuity between visits, billing and insurance friction, drug stock-outs, and regulatory reporting done by hand.</w:t>
      </w:r>
    </w:p>
    <w:p>
      <w:pPr>
        <w:pStyle w:val="BodyText"/>
      </w:pPr>
      <w:r>
        <w:rPr>
          <w:b/>
          <w:bCs/>
        </w:rPr>
        <w:t xml:space="preserve">The buyer.</w:t>
      </w:r>
      <w:r>
        <w:t xml:space="preserve"> Medical Director, Chief Medical Director, Hospital Administrator. Kills deals over clinical risk and downtime — a system that is down during an emergency is not a software problem, and this sector’s tolerance is correctly near zero.</w:t>
      </w:r>
    </w:p>
    <w:p>
      <w:pPr>
        <w:pStyle w:val="BodyText"/>
      </w:pPr>
      <w:r>
        <w:rPr>
          <w:b/>
          <w:bCs/>
        </w:rPr>
        <w:t xml:space="preserve">The stack.</w:t>
      </w:r>
      <w:r>
        <w:t xml:space="preserve"> Patient records · appointments and queue management · triage · clinical notes and encounters · orders and results (lab, imaging) · pharmacy and dispensing · inventory with expiry tracking · theatre scheduling · ward and bed management · billing and insurance claims · staff rota and credentialing · referrals · public health and regulatory reporting · patient portal · consent management.</w:t>
      </w:r>
    </w:p>
    <w:p>
      <w:pPr>
        <w:pStyle w:val="BodyText"/>
      </w:pPr>
      <w:r>
        <w:rPr>
          <w:b/>
          <w:bCs/>
        </w:rPr>
        <w:t xml:space="preserve">AI agents.</w:t>
      </w:r>
      <w:r>
        <w:t xml:space="preserve"> Patient Coordinator · Clinical Documentation Assistant · Receptionist · Bursar · Compliance Officer.</w:t>
      </w:r>
    </w:p>
    <w:p>
      <w:pPr>
        <w:pStyle w:val="BodyText"/>
      </w:pPr>
      <w:r>
        <w:rPr>
          <w:b/>
          <w:bCs/>
        </w:rPr>
        <w:t xml:space="preserve">The hard boundary, stated as strongly as this corpus can.</w:t>
      </w:r>
      <w:r>
        <w:t xml:space="preserve"> </w:t>
      </w:r>
      <w:r>
        <w:rPr>
          <w:b/>
          <w:bCs/>
        </w:rPr>
        <w:t xml:space="preserve">No StromeX system diagnoses, prescribes, triages autonomously, or makes a clinical decision.</w:t>
      </w:r>
      <w:r>
        <w:t xml:space="preserve"> Clinical documentation assistance means transcribing and structuring what a clinician said — it does not mean suggesting a diagnosis. This is the Prohibited row of Volume IV §8.1 and it is enforced in the policy gate, not in a disclaimer.</w:t>
      </w:r>
    </w:p>
    <w:p>
      <w:pPr>
        <w:pStyle w:val="BodyText"/>
      </w:pPr>
      <w:r>
        <w:rPr>
          <w:b/>
          <w:bCs/>
        </w:rPr>
        <w:t xml:space="preserve">Regulatory surface.</w:t>
      </w:r>
      <w:r>
        <w:t xml:space="preserve"> National health regulator · professional council registration · patient data protection at the sensitive class · medical device regulation (which certain software features can inadvertently trigger — this must be assessed by counsel before any clinical-decision-adjacent feature ships) · insurance and NHIS-equivalent interfaces · retention obligations measured in decades.</w:t>
      </w:r>
    </w:p>
    <w:p>
      <w:pPr>
        <w:pStyle w:val="BodyText"/>
      </w:pPr>
      <w:r>
        <w:rPr>
          <w:b/>
          <w:bCs/>
        </w:rPr>
        <w:t xml:space="preserve">Uptime.</w:t>
      </w:r>
      <w:r>
        <w:t xml:space="preserve"> Elite-tier RPO/RTO minimum (Volume IV §16.2), offline-capable clinical surfaces, and power resilience specified as part of every deployment.</w:t>
      </w:r>
    </w:p>
    <w:p>
      <w:pPr>
        <w:pStyle w:val="Heading2"/>
        <w:pageBreakBefore/>
      </w:pPr>
      <w:r>
        <w:t xml:space="preserve">CHAPTER 8 — GOVERNMENT &amp; PUBLIC SECTOR</w:t>
      </w:r>
    </w:p>
    <w:p>
      <w:pPr>
        <w:pStyle w:val="EditorialNote"/>
      </w:pPr>
      <w:r>
        <w:t xml:space="preserve">Wave 2. The largest contracts, the slowest cycles, the highest integrity exposure.</w:t>
      </w:r>
    </w:p>
    <w:p>
      <w:pPr>
        <w:pStyle w:val="BodyText"/>
      </w:pPr>
      <w:r>
        <w:rPr>
          <w:b/>
          <w:bCs/>
        </w:rPr>
        <w:t xml:space="preserve">The real problem.</w:t>
      </w:r>
      <w:r>
        <w:t xml:space="preserve"> Ministries cannot see what their own institutions are doing, records are unauditable, service delivery is invisible to the citizen, and procurement produces systems nobody uses.</w:t>
      </w:r>
    </w:p>
    <w:p>
      <w:pPr>
        <w:pStyle w:val="BodyText"/>
      </w:pPr>
      <w:r>
        <w:rPr>
          <w:b/>
          <w:bCs/>
        </w:rPr>
        <w:t xml:space="preserve">The buyer.</w:t>
      </w:r>
      <w:r>
        <w:t xml:space="preserve"> Permanent Secretary, Director-General, Commissioner. Procurement segment: 6–24 months, formal tender. Kills deals over anything resembling scandal — which is why Volume V §5.1 is absolute and why published pricing, complete audit logs and published incident history are the actual competitive weapons here.</w:t>
      </w:r>
    </w:p>
    <w:p>
      <w:pPr>
        <w:pStyle w:val="BodyText"/>
      </w:pPr>
      <w:r>
        <w:rPr>
          <w:b/>
          <w:bCs/>
        </w:rPr>
        <w:t xml:space="preserve">The stack.</w:t>
      </w:r>
      <w:r>
        <w:t xml:space="preserve"> Citizen-facing service portals · case and workflow management · licensing and permits · registries (business, land, vehicle, vital records) · inspection and compliance management · grants and disbursement · public procurement · asset and facilities management · workforce management · document and records management with statutory retention · FOI request handling · multi-institution reporting and dashboards · inter-agency data exchange · public open-data publication.</w:t>
      </w:r>
    </w:p>
    <w:p>
      <w:pPr>
        <w:pStyle w:val="BodyText"/>
      </w:pPr>
      <w:r>
        <w:rPr>
          <w:b/>
          <w:bCs/>
        </w:rPr>
        <w:t xml:space="preserve">Education ministry variant</w:t>
      </w:r>
      <w:r>
        <w:t xml:space="preserve"> (the natural first entry, given Wave 1): multi-school oversight, per-school dashboards, enrolment and attendance aggregation, teacher deployment, examination results at state level, school inspection, capitation and grant disbursement, and state-wide credential verification.</w:t>
      </w:r>
    </w:p>
    <w:p>
      <w:pPr>
        <w:pStyle w:val="BodyText"/>
      </w:pPr>
      <w:r>
        <w:rPr>
          <w:b/>
          <w:bCs/>
        </w:rPr>
        <w:t xml:space="preserve">AI agents.</w:t>
      </w:r>
      <w:r>
        <w:t xml:space="preserve"> Case Officer · Compliance Officer · Executive Analyst · Translator · Customer Support (citizen-facing).</w:t>
      </w:r>
    </w:p>
    <w:p>
      <w:pPr>
        <w:pStyle w:val="BodyText"/>
      </w:pPr>
      <w:r>
        <w:rPr>
          <w:b/>
          <w:bCs/>
        </w:rPr>
        <w:t xml:space="preserve">Requirements unique to this sector.</w:t>
      </w:r>
      <w:r>
        <w:t xml:space="preserve"> In-country data residency, technically enforced (Volume III §4.6) · source-available or on-premise options where sovereignty is required · full audit defensibility · accessibility to the strictest standard, because a government service must serve everyone · local-language coverage including minority languages · offline and USSD access for citizens without smartphones · procurement-compliant documentation.</w:t>
      </w:r>
    </w:p>
    <w:p>
      <w:pPr>
        <w:pStyle w:val="BodyText"/>
      </w:pPr>
      <w:r>
        <w:rPr>
          <w:b/>
          <w:bCs/>
        </w:rPr>
        <w:t xml:space="preserve">The integrity commitment.</w:t>
      </w:r>
      <w:r>
        <w:t xml:space="preserve"> Volume I §6.6 and Volume V §5.1. No facilitation payments, ever. An engagement where a payment is requested is escalated, documented, and withdrawn from if the request stands. </w:t>
      </w:r>
      <w:r>
        <w:rPr>
          <w:b/>
          <w:bCs/>
        </w:rPr>
        <w:t xml:space="preserve">We will lose contracts for this and we will report those losses as integrity wins.</w:t>
      </w:r>
    </w:p>
    <w:p>
      <w:pPr>
        <w:pStyle w:val="BodyText"/>
      </w:pPr>
      <w:r>
        <w:rPr>
          <w:b/>
          <w:bCs/>
        </w:rPr>
        <w:t xml:space="preserve">The value argument.</w:t>
      </w:r>
      <w:r>
        <w:t xml:space="preserve"> Volume III §20.4: ≈$1.48 per student per year across a 400-school state deployment. Per-beneficiary cost is what wins a public tender, and ours is defensible under scrutiny because it is true.</w:t>
      </w:r>
    </w:p>
    <w:p>
      <w:pPr>
        <w:pStyle w:val="Heading2"/>
        <w:pageBreakBefore/>
      </w:pPr>
      <w:r>
        <w:t xml:space="preserve">CHAPTER 9 — FINANCIAL SERVICES</w:t>
      </w:r>
    </w:p>
    <w:p>
      <w:pPr>
        <w:pStyle w:val="EditorialNote"/>
      </w:pPr>
      <w:r>
        <w:t xml:space="preserve">Wave 2. Microfinance, cooperatives, insurance brokers, fintechs, SACCOs, bureaux de change. </w:t>
      </w:r>
      <w:r>
        <w:rPr>
          <w:b/>
          <w:bCs/>
        </w:rPr>
        <w:t xml:space="preserve">Not</w:t>
      </w:r>
      <w:r>
        <w:t xml:space="preserve"> deposit-taking banks in Phase II.</w:t>
      </w:r>
    </w:p>
    <w:p>
      <w:pPr>
        <w:pStyle w:val="BodyText"/>
      </w:pPr>
      <w:r>
        <w:rPr>
          <w:b/>
          <w:bCs/>
        </w:rPr>
        <w:t xml:space="preserve">The real problem.</w:t>
      </w:r>
      <w:r>
        <w:t xml:space="preserve"> Regulatory reporting consumes disproportionate capacity; loan and policy administration is manual; KYC is a paper exercise; and reconciliation is a permanent fire.</w:t>
      </w:r>
    </w:p>
    <w:p>
      <w:pPr>
        <w:pStyle w:val="BodyText"/>
      </w:pPr>
      <w:r>
        <w:rPr>
          <w:b/>
          <w:bCs/>
        </w:rPr>
        <w:t xml:space="preserve">The buyer.</w:t>
      </w:r>
      <w:r>
        <w:t xml:space="preserve"> COO or CTO. Kills deals over security review failure — this sector will audit us properly, which is good for the group.</w:t>
      </w:r>
    </w:p>
    <w:p>
      <w:pPr>
        <w:pStyle w:val="BodyText"/>
      </w:pPr>
      <w:r>
        <w:rPr>
          <w:b/>
          <w:bCs/>
        </w:rPr>
        <w:t xml:space="preserve">The stack.</w:t>
      </w:r>
      <w:r>
        <w:t xml:space="preserve"> Customer onboarding and KYC/AML · account and portfolio management · loan origination, servicing and collections · savings and cooperative contributions · insurance policy administration and claims · agent and branch networks · commission management · regulatory reporting · reconciliation · credit scoring inputs (as inputs to a human decision) · customer portal and mobile · fraud monitoring.</w:t>
      </w:r>
    </w:p>
    <w:p>
      <w:pPr>
        <w:pStyle w:val="BodyText"/>
      </w:pPr>
      <w:r>
        <w:rPr>
          <w:b/>
          <w:bCs/>
        </w:rPr>
        <w:t xml:space="preserve">AI agents.</w:t>
      </w:r>
      <w:r>
        <w:t xml:space="preserve"> Loan Officer Assistant · Underwriting Assistant · Customer Support · Compliance Officer · Executive Analyst.</w:t>
      </w:r>
    </w:p>
    <w:p>
      <w:pPr>
        <w:pStyle w:val="BodyText"/>
      </w:pPr>
      <w:r>
        <w:rPr>
          <w:b/>
          <w:bCs/>
        </w:rPr>
        <w:t xml:space="preserve">Hard boundary.</w:t>
      </w:r>
      <w:r>
        <w:t xml:space="preserve"> </w:t>
      </w:r>
      <w:r>
        <w:rPr>
          <w:b/>
          <w:bCs/>
        </w:rPr>
        <w:t xml:space="preserve">AI does not approve or decline credit, does not set premiums, and does not make an underwriting decision.</w:t>
      </w:r>
      <w:r>
        <w:t xml:space="preserve"> It assembles, summarises and flags for a human who decides and is recorded. Beyond the Volume IV §8.1 ladder, this is also the position most financial regulators are converging on, and building it any other way would be building a compliance problem.</w:t>
      </w:r>
    </w:p>
    <w:p>
      <w:pPr>
        <w:pStyle w:val="BodyText"/>
      </w:pPr>
      <w:r>
        <w:rPr>
          <w:b/>
          <w:bCs/>
        </w:rPr>
        <w:t xml:space="preserve">What we decline.</w:t>
      </w:r>
      <w:r>
        <w:t xml:space="preserve"> Predatory lending, payday-style products, and any product whose economics depend on the borrower failing (Volume I §7.4).</w:t>
      </w:r>
    </w:p>
    <w:p>
      <w:pPr>
        <w:pStyle w:val="Heading2"/>
        <w:pageBreakBefore/>
      </w:pPr>
      <w:r>
        <w:t xml:space="preserve">CHAPTER 10 — NGO &amp; DEVELOPMENT</w:t>
      </w:r>
    </w:p>
    <w:p>
      <w:pPr>
        <w:pStyle w:val="EditorialNote"/>
      </w:pPr>
      <w:r>
        <w:t xml:space="preserve">Wave 2.</w:t>
      </w:r>
    </w:p>
    <w:p>
      <w:pPr>
        <w:pStyle w:val="BodyText"/>
      </w:pPr>
      <w:r>
        <w:rPr>
          <w:b/>
          <w:bCs/>
        </w:rPr>
        <w:t xml:space="preserve">The real problem.</w:t>
      </w:r>
      <w:r>
        <w:t xml:space="preserve"> Donor reporting consumes programme capacity; beneficiary data is scattered; impact cannot be evidenced; and multi-donor compliance is contradictory.</w:t>
      </w:r>
    </w:p>
    <w:p>
      <w:pPr>
        <w:pStyle w:val="BodyText"/>
      </w:pPr>
      <w:r>
        <w:rPr>
          <w:b/>
          <w:bCs/>
        </w:rPr>
        <w:t xml:space="preserve">The buyer.</w:t>
      </w:r>
      <w:r>
        <w:t xml:space="preserve"> Country Director, Programme Director. Cares about cost per beneficiary and donor audit survivability.</w:t>
      </w:r>
    </w:p>
    <w:p>
      <w:pPr>
        <w:pStyle w:val="BodyText"/>
      </w:pPr>
      <w:r>
        <w:rPr>
          <w:b/>
          <w:bCs/>
        </w:rPr>
        <w:t xml:space="preserve">The stack.</w:t>
      </w:r>
      <w:r>
        <w:t xml:space="preserve"> Beneficiary registry with consent and minimisation by design · programme and project management · results and indicator frameworks (logframe/theory of change) · monitoring, evaluation and learning · field data collection (offline-first, non-negotiable) · grant management and donor reporting · disbursement and cash-transfer tracking · procurement and logistics · volunteer management · safeguarding case management · impact dashboards · donor portal.</w:t>
      </w:r>
    </w:p>
    <w:p>
      <w:pPr>
        <w:pStyle w:val="BodyText"/>
      </w:pPr>
      <w:r>
        <w:rPr>
          <w:b/>
          <w:bCs/>
        </w:rPr>
        <w:t xml:space="preserve">AI agents.</w:t>
      </w:r>
      <w:r>
        <w:t xml:space="preserve"> Executive Analyst · Translator · Compliance Officer · Secretary.</w:t>
      </w:r>
    </w:p>
    <w:p>
      <w:pPr>
        <w:pStyle w:val="BodyText"/>
      </w:pPr>
      <w:r>
        <w:rPr>
          <w:b/>
          <w:bCs/>
        </w:rPr>
        <w:t xml:space="preserve">The specific obligation.</w:t>
      </w:r>
      <w:r>
        <w:t xml:space="preserve"> Beneficiary data belongs to vulnerable people who often cannot meaningfully consent and have no recourse. Data minimisation, short retention, no secondary use, and a genuine deletion path are not compliance items here — they are the ethical core of serving this sector. Volume IV §4.3 sensitive class applies to every beneficiary record by default.</w:t>
      </w:r>
    </w:p>
    <w:p>
      <w:pPr>
        <w:pStyle w:val="Heading2"/>
        <w:pageBreakBefore/>
      </w:pPr>
      <w:r>
        <w:t xml:space="preserve">CHAPTER 11 — HOSPITALITY</w:t>
      </w:r>
    </w:p>
    <w:p>
      <w:pPr>
        <w:pStyle w:val="EditorialNote"/>
      </w:pPr>
      <w:r>
        <w:t xml:space="preserve">Wave 2. Hotels, restaurants, event venues, tourism.</w:t>
      </w:r>
    </w:p>
    <w:p>
      <w:pPr>
        <w:pStyle w:val="BodyText"/>
      </w:pPr>
      <w:r>
        <w:rPr>
          <w:b/>
          <w:bCs/>
        </w:rPr>
        <w:t xml:space="preserve">Stack.</w:t>
      </w:r>
      <w:r>
        <w:t xml:space="preserve"> Property management · reservations and channel management · front desk and housekeeping · food and beverage · POS · table and event booking · guest profiles and loyalty · staff rota · procurement and stock · maintenance · revenue management · guest messaging · review management · digital signage · smart room access (Volume III Division 11).</w:t>
      </w:r>
    </w:p>
    <w:p>
      <w:pPr>
        <w:pStyle w:val="BodyText"/>
      </w:pPr>
      <w:r>
        <w:rPr>
          <w:b/>
          <w:bCs/>
        </w:rPr>
        <w:t xml:space="preserve">AI agents.</w:t>
      </w:r>
      <w:r>
        <w:t xml:space="preserve"> Receptionist · Customer Support · Marketing Assistant · Bursar.</w:t>
      </w:r>
    </w:p>
    <w:p>
      <w:pPr>
        <w:pStyle w:val="BodyText"/>
      </w:pPr>
      <w:r>
        <w:rPr>
          <w:b/>
          <w:bCs/>
        </w:rPr>
        <w:t xml:space="preserve">Note.</w:t>
      </w:r>
      <w:r>
        <w:t xml:space="preserve"> Lower strategic priority than its revenue suggests — it is competitive, has weak switching costs, and does not feed other ecosystems. It is included because the SME ecosystem naturally produces these customers, not because we would enter it deliberately.</w:t>
      </w:r>
    </w:p>
    <w:p>
      <w:pPr>
        <w:pStyle w:val="Heading2"/>
        <w:pageBreakBefore/>
      </w:pPr>
      <w:r>
        <w:t xml:space="preserve">CHAPTER 12 — REAL ESTATE &amp; CONSTRUCTION</w:t>
      </w:r>
    </w:p>
    <w:p>
      <w:pPr>
        <w:pStyle w:val="EditorialNote"/>
      </w:pPr>
      <w:r>
        <w:t xml:space="preserve">Wave 2.</w:t>
      </w:r>
    </w:p>
    <w:p>
      <w:pPr>
        <w:pStyle w:val="BodyText"/>
      </w:pPr>
      <w:r>
        <w:rPr>
          <w:b/>
          <w:bCs/>
        </w:rPr>
        <w:t xml:space="preserve">Stack.</w:t>
      </w:r>
      <w:r>
        <w:t xml:space="preserve"> Property and unit registry · listings and marketing · tenancy and lease management · rent collection and arrears · facilities and maintenance requests · service charge accounting · project management · bill of quantities and cost control · site progress and photo record · subcontractor management · procurement and materials · plant and equipment tracking · health and safety records and incident reporting · document control and drawing registers · handover and snagging · client portal.</w:t>
      </w:r>
    </w:p>
    <w:p>
      <w:pPr>
        <w:pStyle w:val="BodyText"/>
      </w:pPr>
      <w:r>
        <w:rPr>
          <w:b/>
          <w:bCs/>
        </w:rPr>
        <w:t xml:space="preserve">AI agents.</w:t>
      </w:r>
      <w:r>
        <w:t xml:space="preserve"> Contract Analyst · Procurement Officer · Executive Analyst · Customer Support.</w:t>
      </w:r>
    </w:p>
    <w:p>
      <w:pPr>
        <w:pStyle w:val="BodyText"/>
      </w:pPr>
      <w:r>
        <w:rPr>
          <w:b/>
          <w:bCs/>
        </w:rPr>
        <w:t xml:space="preserve">Physical layer.</w:t>
      </w:r>
      <w:r>
        <w:t xml:space="preserve"> Site access control, plant tracking, environmental sensors, drone progress capture (Volume III Divisions 11–12).</w:t>
      </w:r>
    </w:p>
    <w:p>
      <w:pPr>
        <w:pStyle w:val="Heading2"/>
        <w:pageBreakBefore/>
      </w:pPr>
      <w:r>
        <w:t xml:space="preserve">CHAPTER 13 — WAVE 3 ECOSYSTEMS</w:t>
      </w:r>
      <w:fldSimple w:instr="XE &quot;Ecosystem&quot;"/>
      <w:fldSimple w:instr="XE &quot;Wave&quot;"/>
    </w:p>
    <w:p>
      <w:pPr>
        <w:pStyle w:val="EditorialNote"/>
      </w:pPr>
      <w:r>
        <w:t xml:space="preserve">Phase III (2036–2040). Specified at outline depth; each requires a full chapter and a domain hire before entry.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Ecosystem</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The real problem</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Distinctive stack elements</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Distinctive AI</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Manufacturing &amp; Industry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visibility of production, quality or downtime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 planning · MES · quality management · maintenance · traceability · OEE · supply chain · warehouse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Maintenance predictor · Quality analyst · Procurement Officer</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Agriculture &amp; Agritech</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Yields, inputs and offtake undocumented; finance inaccessible without records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Farm and plot registry · input distribution · extension services · yield and harvest records · cold chain · offtake and market linkage · farmer credit records · weather and advisory</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Extension advisor · Yield analyst · Loan Officer Assistant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Logistics &amp; Transport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Fleet, cargo and cost per trip invisible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Fleet · route planning · dispatch · consignment tracking · proof of delivery · fuel and maintenance · driver management · customs documentation</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Route optimiser · Dispatch assistant · Compliance Officer</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Media &amp; Broadcast</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Rights, archives and scheduling unmanaged</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and rights management · scheduling · archive and MAM · production workflow · advertising sales · audience analytics · distribution</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Editor · Fact-Checker · Archivist · Translator</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Energy &amp; Utilities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Metering, billing and outage response manual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Asset and network registry · metering · billing · outage management · field service · regulatory reporting · customer portal · prepaid/token vending</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Demand forecaster · Outage analyst · Customer Support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Telecommunications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Subscriber, network and revenue systems siloed</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Subscriber management · provisioning · billing and mediation · network inventory · field operations · dealer networks · regulatory reporting</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Support · Churn predictor · Executive Analyst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Research Institutions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Grants, outputs and integrity administration manual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Grant lifecycle · ethics approval · research data management · outputs repository · collaboration · equipment booking · researcher profiles · integrity records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Research Assistant · Fact-Checker · Compliance Officer</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Cities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Services, assets and citizens on unconnected systems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Integrated citizen services · asset registry · sensor networks · traffic · waste · public safety coordination · permits · civic engagement · open data</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Case Officer · Anomaly detector · Executive Analyst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Wave 3 Ecosystems</w:t>
      </w:r>
    </w:p>
    <w:p>
      <w:pPr>
        <w:pStyle w:val="BodyText"/>
      </w:pPr>
      <w:r>
        <w:rPr>
          <w:b/>
          <w:bCs/>
        </w:rPr>
        <w:t xml:space="preserve">Standing caution for Wave 3.</w:t>
      </w:r>
      <w:r>
        <w:t xml:space="preserve"> Every ecosystem in this table is served today by large, entrenched, well-capitalised specialists. The group enters these only where the </w:t>
      </w:r>
      <w:r>
        <w:rPr>
          <w:i/>
          <w:iCs/>
        </w:rPr>
        <w:t xml:space="preserve">emerging-market</w:t>
      </w:r>
      <w:r>
        <w:t xml:space="preserve"> variant is genuinely under-served, where the shared platform gives a real cost advantage, and where a credible domain hire is in place. Entering because a sector is large is precisely the over-extension failure mode Volume II R4 identifies.</w:t>
      </w:r>
    </w:p>
    <w:p>
      <w:pPr>
        <w:pStyle w:val="Heading2"/>
        <w:pageBreakBefore/>
      </w:pPr>
      <w:r>
        <w:t xml:space="preserve">CHAPTER 14 — THE ENTERPRISE DIVISION</w:t>
      </w:r>
    </w:p>
    <w:p>
      <w:pPr>
        <w:pStyle w:val="Heading3"/>
      </w:pPr>
      <w:r>
        <w:t xml:space="preserve">14.1 What it is</w:t>
      </w:r>
    </w:p>
    <w:p>
      <w:pPr>
        <w:pStyle w:val="BodyText"/>
      </w:pPr>
      <w:r>
        <w:t xml:space="preserve">A cross-sector division serving organisations whose complexity exceeds any single ecosystem: multi-site groups, conglomerates, multinationals, and organisations spanning several of the sectors above (a group that owns schools, a clinic and a farm is a real and common shape in our markets).</w:t>
      </w:r>
    </w:p>
    <w:p>
      <w:pPr>
        <w:pStyle w:val="Heading3"/>
      </w:pPr>
      <w:r>
        <w:t xml:space="preserve">14.2 What it does differently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Dimension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 delivery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Enterprise delivery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Scoping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Configurator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Discovery engagement, architecture design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Tenancy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Shared schema</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schema, database or deployment (Volume IV §3.1)</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terms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Negotiated MSA, bespoke SLA, security schedule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Templated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Named team, programme management, phased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Tiered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Named TAM, 24×7, on-site option (Volume III §17)</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Integration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Connectors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Bespoke bridges to whatever they already run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Governance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Steering committee, executive sponsor both sides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Compliance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posture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Their audit, their pen test, their questionnaire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What it does differently</w:t>
      </w:r>
    </w:p>
    <w:p>
      <w:pPr>
        <w:pStyle w:val="Heading3"/>
      </w:pPr>
      <w:r>
        <w:t xml:space="preserve">14.3 The enterprise disciplines</w:t>
      </w:r>
    </w:p>
    <w:p>
      <w:pPr>
        <w:pStyle w:val="BodyText"/>
      </w:pPr>
      <w:r>
        <w:rPr>
          <w:b/>
          <w:bCs/>
        </w:rPr>
        <w:t xml:space="preserve">Never sign what we cannot deliver</w:t>
      </w:r>
      <w:r>
        <w:t xml:space="preserve"> (Volume I §14.2) — applied hardest here, because an enterprise failure is a public failure. Delivery capacity is confirmed in writing by the person who will deliver it, before signature, without exception and without regard to the quarter.</w:t>
      </w:r>
    </w:p>
    <w:p>
      <w:pPr>
        <w:pStyle w:val="BodyText"/>
      </w:pPr>
      <w:r>
        <w:rPr>
          <w:b/>
          <w:bCs/>
        </w:rPr>
        <w:t xml:space="preserve">Phase everything.</w:t>
      </w:r>
      <w:r>
        <w:t xml:space="preserve"> No enterprise programme goes live as a single event. Sequence by risk: lowest-risk highest-visibility first, so the organisation sees value while the hard parts are still being built.</w:t>
      </w:r>
    </w:p>
    <w:p>
      <w:pPr>
        <w:pStyle w:val="BodyText"/>
      </w:pPr>
      <w:r>
        <w:rPr>
          <w:b/>
          <w:bCs/>
        </w:rPr>
        <w:t xml:space="preserve">Multi-thread the relationship.</w:t>
      </w:r>
      <w:r>
        <w:t xml:space="preserve"> Never fewer than five relationships in an enterprise account. Champion departure is the leading cause of enterprise churn (Volume V §7.3).</w:t>
      </w:r>
    </w:p>
    <w:p>
      <w:pPr>
        <w:pStyle w:val="BodyText"/>
      </w:pPr>
      <w:r>
        <w:rPr>
          <w:b/>
          <w:bCs/>
        </w:rPr>
        <w:t xml:space="preserve">Own the integration burden.</w:t>
      </w:r>
      <w:r>
        <w:t xml:space="preserve"> An enterprise runs systems we did not build and will not replace. Our willingness to integrate rather than demand replacement is a decisive advantage over competitors who require a rip-and-replace, and it is consistent with Volume II §5.1 Class 1: integrate, never fight.</w:t>
      </w:r>
    </w:p>
    <w:p>
      <w:pPr>
        <w:pStyle w:val="Heading3"/>
      </w:pPr>
      <w:r>
        <w:t xml:space="preserve">14.4 The enterprise economics</w:t>
      </w:r>
    </w:p>
    <w:p>
      <w:pPr>
        <w:pStyle w:val="BodyText"/>
      </w:pPr>
      <w:r>
        <w:t xml:space="preserve">Enterprise ACV supports a median NRR around 118% against ~97% for sub-$25k accounts (</w:t>
      </w:r>
      <w:hyperlink w:history="1" r:id="rId6iqlln1bpbv5w1ukmhv6g">
        <w:r>
          <w:rPr>
            <w:rStyle w:val="Hyperlink"/>
          </w:rPr>
          <w:t xml:space="preserve">Growthspree, 2026</w:t>
        </w:r>
      </w:hyperlink>
      <w:r>
        <w:t xml:space="preserve">). </w:t>
      </w:r>
      <w:r>
        <w:rPr>
          <w:b/>
          <w:bCs/>
        </w:rPr>
        <w:t xml:space="preserve">This is the single strongest argument in the corpus for moving up-market over time</w:t>
      </w:r>
      <w:r>
        <w:t xml:space="preserve"> — not abandoning the founding market, but ensuring that by Phase II a meaningful share of revenue sits in the ACV band where retention economics actually compound.</w:t>
      </w:r>
    </w:p>
    <w:p>
      <w:pPr>
        <w:pStyle w:val="BodyText"/>
      </w:pPr>
      <w:r>
        <w:t xml:space="preserve">Volume VIII, Chapter 5 builds this into the financial model explicitly: the growth and transformational scenarios depend on the enterprise and government mix rising, and the conservative scenario is what happens if it does not.</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hojcz2xlbxi6p-qlzx0oq">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mombjtyzxvtuqkzlmfuug">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wxacrabdetwdgjhncfxnp">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olrr3rjidrrfenmnsqdsq">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klcnb129cqvtykrruvwqb">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rd7a2gdqluupb3aomate">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8ysbeb7mxwidsxjwq6rpl">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og2b5ucmbdawxnjm-dqbr">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ruy3xdoq4knutzvaqzrje">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yi1zpurzzzqyvvpux8le6">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plhka-eppv8jcbhf5_xxn">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19, 20, 22, 24</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20, 24</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20, 24</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4, 5, 20, 23, 24</w:t>
      </w:r>
    </w:p>
    <w:p>
      <w:pPr>
        <w:pBdr>
          <w:bottom w:val="single" w:color="C9CFD9" w:sz="3" w:space="4"/>
        </w:pBdr>
        <w:spacing w:after="100" w:before="240"/>
      </w:pPr>
      <w:r>
        <w:rPr>
          <w:rFonts w:ascii="DejaVu Serif" w:cs="DejaVu Serif" w:eastAsia="DejaVu Serif" w:hAnsi="DejaVu Serif"/>
          <w:b/>
          <w:bCs/>
          <w:color w:val="1B6EF3"/>
          <w:sz w:val="22"/>
          <w:szCs w:val="22"/>
        </w:rPr>
        <w:t xml:space="preserve">E</w:t>
      </w:r>
    </w:p>
    <w:p>
      <w:pPr>
        <w:spacing w:after="30" w:before="0" w:line="250"/>
        <w:ind w:left="240" w:hanging="240"/>
      </w:pPr>
      <w:r>
        <w:rPr>
          <w:sz w:val="17"/>
          <w:szCs w:val="17"/>
        </w:rPr>
        <w:t xml:space="preserve">Ecosystem</w:t>
      </w:r>
      <w:r>
        <w:rPr>
          <w:rFonts w:ascii="DejaVu Sans" w:cs="DejaVu Sans" w:eastAsia="DejaVu Sans" w:hAnsi="DejaVu Sans"/>
          <w:color w:val="6B7480"/>
          <w:sz w:val="16"/>
          <w:szCs w:val="16"/>
        </w:rPr>
        <w:t xml:space="preserve">  1, 2, 3, 4, 5, 6, 7, 8, 9, 10, 11, 12, 13, 14</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22, 24</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2, 20, 24</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22, 24</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21, 22, 24</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21, 24</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2, 19, 21, 22, 24</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22</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21</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3, 23</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21, 23</w:t>
      </w:r>
    </w:p>
    <w:p>
      <w:pPr>
        <w:pBdr>
          <w:bottom w:val="single" w:color="C9CFD9" w:sz="3" w:space="4"/>
        </w:pBdr>
        <w:spacing w:after="100" w:before="240"/>
      </w:pPr>
      <w:r>
        <w:rPr>
          <w:rFonts w:ascii="DejaVu Serif" w:cs="DejaVu Serif" w:eastAsia="DejaVu Serif" w:hAnsi="DejaVu Serif"/>
          <w:b/>
          <w:bCs/>
          <w:color w:val="1B6EF3"/>
          <w:sz w:val="22"/>
          <w:szCs w:val="22"/>
        </w:rPr>
        <w:t xml:space="preserve">W</w:t>
      </w:r>
    </w:p>
    <w:p>
      <w:pPr>
        <w:spacing w:after="30" w:before="0" w:line="250"/>
        <w:ind w:left="240" w:hanging="240"/>
      </w:pPr>
      <w:r>
        <w:rPr>
          <w:sz w:val="17"/>
          <w:szCs w:val="17"/>
        </w:rPr>
        <w:t xml:space="preserve">Wave</w:t>
      </w:r>
      <w:r>
        <w:rPr>
          <w:rFonts w:ascii="DejaVu Sans" w:cs="DejaVu Sans" w:eastAsia="DejaVu Sans" w:hAnsi="DejaVu Sans"/>
          <w:color w:val="6B7480"/>
          <w:sz w:val="16"/>
          <w:szCs w:val="16"/>
        </w:rPr>
        <w:t xml:space="preserve">  1, 2, 3, 5, 6, 7, 8, 9, 10, 11, 12, 13, 14, 15</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rm9hciha8jwun6niidxk-" Type="http://schemas.openxmlformats.org/officeDocument/2006/relationships/hyperlink" Target="https://emis.education.gov.ng/portal/" TargetMode="External"/><Relationship Id="rId6iqlln1bpbv5w1ukmhv6g" Type="http://schemas.openxmlformats.org/officeDocument/2006/relationships/hyperlink" Target="https://www.growthspreeofficial.com/blogs/b2b-saas-nrr-grr-net-gross-revenue-retention-benchmarks-2026-by-acv-stage-vertical" TargetMode="External"/><Relationship Id="rIdhojcz2xlbxi6p-qlzx0oq" Type="http://schemas.openxmlformats.org/officeDocument/2006/relationships/hyperlink" Target="https://emis.education.gov.ng/portal/" TargetMode="External"/><Relationship Id="rIdmombjtyzxvtuqkzlmfuug" Type="http://schemas.openxmlformats.org/officeDocument/2006/relationships/hyperlink" Target="https://www.growthspreeofficial.com/blogs/b2b-saas-nrr-grr-net-gross-revenue-retention-benchmarks-2026-by-acv-stage-vertical" TargetMode="External"/><Relationship Id="rIdwxacrabdetwdgjhncfxnp" Type="http://schemas.openxmlformats.org/officeDocument/2006/relationships/hyperlink" Target="https://www.digitalapplied.com/blog/net-revenue-retention-benchmarks-2026-saas-expansion-data" TargetMode="External"/><Relationship Id="rIdolrr3rjidrrfenmnsqdsq" Type="http://schemas.openxmlformats.org/officeDocument/2006/relationships/hyperlink" Target="https://valueaddvc.com/saas-valuations" TargetMode="External"/><Relationship Id="rIdklcnb129cqvtykrruvwqb" Type="http://schemas.openxmlformats.org/officeDocument/2006/relationships/hyperlink" Target="https://aventis-advisors.com/saas-valuation-multiples/" TargetMode="External"/><Relationship Id="rId-rd7a2gdqluupb3aomate" Type="http://schemas.openxmlformats.org/officeDocument/2006/relationships/hyperlink" Target="https://www.l40.com/insights/saas-multiples" TargetMode="External"/><Relationship Id="rId8ysbeb7mxwidsxjwq6rpl" Type="http://schemas.openxmlformats.org/officeDocument/2006/relationships/hyperlink" Target="https://eqvista.com/saas-index-revenue-multiples-valuations-market-trends/" TargetMode="External"/><Relationship Id="rIdog2b5ucmbdawxnjm-dqbr" Type="http://schemas.openxmlformats.org/officeDocument/2006/relationships/hyperlink" Target="https://prioridata.com/data/messaging-app-stats/" TargetMode="External"/><Relationship Id="rIdruy3xdoq4knutzvaqzrje" Type="http://schemas.openxmlformats.org/officeDocument/2006/relationships/hyperlink" Target="https://www.theregister.com/on-prem/2026/02/09/matrix-messaging-gaining-ground-in-government-it/4663932" TargetMode="External"/><Relationship Id="rIdyi1zpurzzzqyvvpux8le6" Type="http://schemas.openxmlformats.org/officeDocument/2006/relationships/hyperlink" Target="https://element.io/blog/sweden-goes-live-with-matrix-based-federation/" TargetMode="External"/><Relationship Id="rIdplhka-eppv8jcbhf5_xxn" Type="http://schemas.openxmlformats.org/officeDocument/2006/relationships/hyperlink" Target="https://www.opensourceforu.com/2026/02/eu-backs-open-source-matrix-for-secure-internal-communication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VII — Industry Ecosystems · The StromeX Editorial Bible</dc:title>
  <dc:subject>StromeX Executive Knowledge System</dc:subject>
  <dc:creator>StromeX Group Holdings</dc:creator>
  <dc:description>Sector solutions · The Enterprise Division</dc:description>
  <cp:lastModifiedBy>StromeX Group Holdings</cp:lastModifiedBy>
  <cp:revision>1</cp:revision>
  <dcterms:created xsi:type="dcterms:W3CDTF">2026-08-13T08:40:44.295Z</dcterms:created>
  <dcterms:modified xsi:type="dcterms:W3CDTF">2026-08-13T08:40:44.295Z</dcterms:modified>
</cp:coreProperties>
</file>

<file path=docProps/custom.xml><?xml version="1.0" encoding="utf-8"?>
<Properties xmlns="http://schemas.openxmlformats.org/officeDocument/2006/custom-properties" xmlns:vt="http://schemas.openxmlformats.org/officeDocument/2006/docPropsVTypes"/>
</file>