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VIII</w:t>
            </w:r>
          </w:p>
          <w:p>
            <w:pPr>
              <w:spacing w:after="700" w:line="1350"/>
            </w:pPr>
            <w:r>
              <w:rPr>
                <w:rFonts w:ascii="DejaVu Serif" w:cs="DejaVu Serif" w:eastAsia="DejaVu Serif" w:hAnsi="DejaVu Serif"/>
                <w:b/>
                <w:bCs/>
                <w:color w:val="FFFFFF"/>
                <w:sz w:val="150"/>
                <w:szCs w:val="150"/>
              </w:rPr>
              <w:t xml:space="preserve">VIII</w:t>
            </w:r>
          </w:p>
          <w:p>
            <w:pPr>
              <w:spacing w:after="200" w:line="657"/>
            </w:pPr>
            <w:r>
              <w:rPr>
                <w:rFonts w:ascii="DejaVu Serif" w:cs="DejaVu Serif" w:eastAsia="DejaVu Serif" w:hAnsi="DejaVu Serif"/>
                <w:b/>
                <w:bCs/>
                <w:color w:val="1B6EF3"/>
                <w:sz w:val="62"/>
                <w:szCs w:val="62"/>
              </w:rPr>
              <w:t xml:space="preserve">Expansion, Finance &amp; the Roadmap</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The three phases · The three scenarios · Capital · Geography · Acquisitions</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STRATEGIC — BOARD</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VIII</w:t>
      </w:r>
    </w:p>
    <w:p>
      <w:pPr>
        <w:spacing w:after="220" w:before="160" w:line="594"/>
      </w:pPr>
      <w:r>
        <w:rPr>
          <w:rFonts w:ascii="DejaVu Serif" w:cs="DejaVu Serif" w:eastAsia="DejaVu Serif" w:hAnsi="DejaVu Serif"/>
          <w:b/>
          <w:bCs/>
          <w:color w:val="0D1117"/>
          <w:sz w:val="56"/>
          <w:szCs w:val="56"/>
        </w:rPr>
        <w:t xml:space="preserve">Expansion, Finance &amp; the Roadmap</w:t>
      </w:r>
    </w:p>
    <w:p>
      <w:pPr>
        <w:spacing w:after="700"/>
      </w:pPr>
      <w:r>
        <w:rPr>
          <w:rFonts w:ascii="Liberation Serif" w:cs="Liberation Serif" w:eastAsia="Liberation Serif" w:hAnsi="Liberation Serif"/>
          <w:color w:val="38414D"/>
          <w:sz w:val="22"/>
          <w:szCs w:val="22"/>
        </w:rPr>
        <w:t xml:space="preserve">The three phases · The three scenarios · Capital · Geography · Acquisitions</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VIII carries the canonical three-phase roadmap — Foundation, Race and Global Scale — from which every date in the corpus derives, together with the gates that a phase must pass before the next may open. It builds the unit economics from the ground up, states plainly where the founding market’s favourable ratios will compress and why, and models the group’s future as three scenarios rather than one target: a conservative path that is a good outcome and not a failure, a growth path the company should plan against, and a transformational path that alone reaches the stated ambition. It sets the capital strategy and the constitutional condition on capital, the allocation framework, the international expansion sequence and its entry checklist, the acquisition doctrine, and the conditions that would make the plan wrong.</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VIII — Expansion, Finance &amp; the Roadmap</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Strategic — Board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Executive; Board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 at the strategy offsite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docs/bible/VOLUME-VIII-EXPANSION-FINANCE-ROADMAP.md,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three phases</w:t>
      </w:r>
      <w:r>
        <w:rPr>
          <w:rFonts w:ascii="DejaVu Sans" w:cs="DejaVu Sans" w:eastAsia="DejaVu Sans" w:hAnsi="DejaVu Sans"/>
          <w:color w:val="0B3C91"/>
          <w:sz w:val="16"/>
          <w:szCs w:val="16"/>
        </w:rPr>
        <w:t xml:space="preserve">	2</w:t>
      </w:r>
    </w:p>
    <w:p>
      <w:pPr>
        <w:tabs>
          <w:tab w:val="right" w:pos="8866" w:leader="dot"/>
        </w:tabs>
        <w:spacing w:after="20" w:before="0" w:line="260"/>
        <w:ind w:left="0" w:right="200" w:hanging="0"/>
      </w:pPr>
      <w:r>
        <w:rPr>
          <w:b/>
          <w:bCs/>
          <w:sz w:val="17"/>
          <w:szCs w:val="17"/>
        </w:rPr>
        <w:t xml:space="preserve">Table 2</w:t>
      </w:r>
      <w:r>
        <w:rPr>
          <w:sz w:val="17"/>
          <w:szCs w:val="17"/>
        </w:rPr>
        <w:t xml:space="preserve">  PHASE II — RACE (2031–2035)</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3</w:t>
      </w:r>
      <w:r>
        <w:rPr>
          <w:sz w:val="17"/>
          <w:szCs w:val="17"/>
        </w:rPr>
        <w:t xml:space="preserve">  Gate I → II (assessed from 2030)</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4</w:t>
      </w:r>
      <w:r>
        <w:rPr>
          <w:sz w:val="17"/>
          <w:szCs w:val="17"/>
        </w:rPr>
        <w:t xml:space="preserve">  The reference customer — a Band A Professional-tier school</w:t>
      </w:r>
      <w:r>
        <w:rPr>
          <w:rFonts w:ascii="DejaVu Sans" w:cs="DejaVu Sans" w:eastAsia="DejaVu Sans" w:hAnsi="DejaVu Sans"/>
          <w:color w:val="0B3C91"/>
          <w:sz w:val="16"/>
          <w:szCs w:val="16"/>
        </w:rPr>
        <w:t xml:space="preserve">	6</w:t>
      </w:r>
    </w:p>
    <w:p>
      <w:pPr>
        <w:tabs>
          <w:tab w:val="right" w:pos="8866" w:leader="dot"/>
        </w:tabs>
        <w:spacing w:after="20" w:before="0" w:line="260"/>
        <w:ind w:left="0" w:right="200" w:hanging="0"/>
      </w:pPr>
      <w:r>
        <w:rPr>
          <w:b/>
          <w:bCs/>
          <w:sz w:val="17"/>
          <w:szCs w:val="17"/>
        </w:rPr>
        <w:t xml:space="preserve">Table 5</w:t>
      </w:r>
      <w:r>
        <w:rPr>
          <w:sz w:val="17"/>
          <w:szCs w:val="17"/>
        </w:rPr>
        <w:t xml:space="preserve">  The other reference customers</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6</w:t>
      </w:r>
      <w:r>
        <w:rPr>
          <w:sz w:val="17"/>
          <w:szCs w:val="17"/>
        </w:rPr>
        <w:t xml:space="preserve">  The engine mix over time</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7</w:t>
      </w:r>
      <w:r>
        <w:rPr>
          <w:sz w:val="17"/>
          <w:szCs w:val="17"/>
        </w:rPr>
        <w:t xml:space="preserve">  Gross margin trajectory</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8</w:t>
      </w:r>
      <w:r>
        <w:rPr>
          <w:sz w:val="17"/>
          <w:szCs w:val="17"/>
        </w:rPr>
        <w:t xml:space="preserve">  The scenarios</w:t>
      </w:r>
      <w:r>
        <w:rPr>
          <w:rFonts w:ascii="DejaVu Sans" w:cs="DejaVu Sans" w:eastAsia="DejaVu Sans" w:hAnsi="DejaVu Sans"/>
          <w:color w:val="0B3C91"/>
          <w:sz w:val="16"/>
          <w:szCs w:val="16"/>
        </w:rPr>
        <w:t xml:space="preserve">	9</w:t>
      </w:r>
    </w:p>
    <w:p>
      <w:pPr>
        <w:tabs>
          <w:tab w:val="right" w:pos="8866" w:leader="dot"/>
        </w:tabs>
        <w:spacing w:after="20" w:before="0" w:line="260"/>
        <w:ind w:left="0" w:right="200" w:hanging="0"/>
      </w:pPr>
      <w:r>
        <w:rPr>
          <w:b/>
          <w:bCs/>
          <w:sz w:val="17"/>
          <w:szCs w:val="17"/>
        </w:rPr>
        <w:t xml:space="preserve">Table 9</w:t>
      </w:r>
      <w:r>
        <w:rPr>
          <w:sz w:val="17"/>
          <w:szCs w:val="17"/>
        </w:rPr>
        <w:t xml:space="preserve">  The scenarios</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10</w:t>
      </w:r>
      <w:r>
        <w:rPr>
          <w:sz w:val="17"/>
          <w:szCs w:val="17"/>
        </w:rPr>
        <w:t xml:space="preserve">  The scenarios</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11</w:t>
      </w:r>
      <w:r>
        <w:rPr>
          <w:sz w:val="17"/>
          <w:szCs w:val="17"/>
        </w:rPr>
        <w:t xml:space="preserve">  The valuation arithmetic, stated plainly</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12</w:t>
      </w:r>
      <w:r>
        <w:rPr>
          <w:sz w:val="17"/>
          <w:szCs w:val="17"/>
        </w:rPr>
        <w:t xml:space="preserve">  Valuation Logic, Honestly Stated</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13</w:t>
      </w:r>
      <w:r>
        <w:rPr>
          <w:sz w:val="17"/>
          <w:szCs w:val="17"/>
        </w:rPr>
        <w:t xml:space="preserve">  The sequence</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14</w:t>
      </w:r>
      <w:r>
        <w:rPr>
          <w:sz w:val="17"/>
          <w:szCs w:val="17"/>
        </w:rPr>
        <w:t xml:space="preserve">  Allocation of free cash flow, by phase</w:t>
      </w:r>
      <w:r>
        <w:rPr>
          <w:rFonts w:ascii="DejaVu Sans" w:cs="DejaVu Sans" w:eastAsia="DejaVu Sans" w:hAnsi="DejaVu Sans"/>
          <w:color w:val="0B3C91"/>
          <w:sz w:val="16"/>
          <w:szCs w:val="16"/>
        </w:rPr>
        <w:t xml:space="preserve">	16</w:t>
      </w:r>
    </w:p>
    <w:p>
      <w:pPr>
        <w:tabs>
          <w:tab w:val="right" w:pos="8866" w:leader="dot"/>
        </w:tabs>
        <w:spacing w:after="20" w:before="0" w:line="260"/>
        <w:ind w:left="0" w:right="200" w:hanging="0"/>
      </w:pPr>
      <w:r>
        <w:rPr>
          <w:b/>
          <w:bCs/>
          <w:sz w:val="17"/>
          <w:szCs w:val="17"/>
        </w:rPr>
        <w:t xml:space="preserve">Table 15</w:t>
      </w:r>
      <w:r>
        <w:rPr>
          <w:sz w:val="17"/>
          <w:szCs w:val="17"/>
        </w:rPr>
        <w:t xml:space="preserve">  The sequence and its logic</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16</w:t>
      </w:r>
      <w:r>
        <w:rPr>
          <w:sz w:val="17"/>
          <w:szCs w:val="17"/>
        </w:rPr>
        <w:t xml:space="preserve">  The three entry modes</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17</w:t>
      </w:r>
      <w:r>
        <w:rPr>
          <w:sz w:val="17"/>
          <w:szCs w:val="17"/>
        </w:rPr>
        <w:t xml:space="preserve">  The target categories</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18</w:t>
      </w:r>
      <w:r>
        <w:rPr>
          <w:sz w:val="17"/>
          <w:szCs w:val="17"/>
        </w:rPr>
        <w:t xml:space="preserve">  What Would Make This Plan Wrong</w:t>
      </w:r>
      <w:r>
        <w:rPr>
          <w:rFonts w:ascii="DejaVu Sans" w:cs="DejaVu Sans" w:eastAsia="DejaVu Sans" w:hAnsi="DejaVu Sans"/>
          <w:color w:val="0B3C91"/>
          <w:sz w:val="16"/>
          <w:szCs w:val="16"/>
        </w:rPr>
        <w:t xml:space="preserve">	25</w:t>
      </w:r>
    </w:p>
    <w:p>
      <w:pPr>
        <w:tabs>
          <w:tab w:val="right" w:pos="8866" w:leader="dot"/>
        </w:tabs>
        <w:spacing w:after="20" w:before="0" w:line="260"/>
        <w:ind w:left="0" w:right="200" w:hanging="0"/>
      </w:pPr>
      <w:r>
        <w:rPr>
          <w:b/>
          <w:bCs/>
          <w:sz w:val="17"/>
          <w:szCs w:val="17"/>
        </w:rPr>
        <w:t xml:space="preserve">Table 19</w:t>
      </w:r>
      <w:r>
        <w:rPr>
          <w:sz w:val="17"/>
          <w:szCs w:val="17"/>
        </w:rPr>
        <w:t xml:space="preserve">  Glossary of terms</w:t>
      </w:r>
      <w:r>
        <w:rPr>
          <w:rFonts w:ascii="DejaVu Sans" w:cs="DejaVu Sans" w:eastAsia="DejaVu Sans" w:hAnsi="DejaVu Sans"/>
          <w:color w:val="0B3C91"/>
          <w:sz w:val="16"/>
          <w:szCs w:val="16"/>
        </w:rPr>
        <w:t xml:space="preserve">	27</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VIII</w:t>
            </w:r>
          </w:p>
          <w:p>
            <w:pPr>
              <w:pStyle w:val="Heading1"/>
              <w:spacing w:after="160" w:before="0" w:line="648"/>
            </w:pPr>
            <w:r>
              <w:rPr>
                <w:rFonts w:ascii="DejaVu Serif" w:cs="DejaVu Serif" w:eastAsia="DejaVu Serif" w:hAnsi="DejaVu Serif"/>
                <w:b/>
                <w:bCs/>
                <w:color w:val="FFFFFF"/>
                <w:sz w:val="60"/>
                <w:szCs w:val="60"/>
              </w:rPr>
              <w:t xml:space="preserve">Expansion, Finance &amp; the Roadmap</w:t>
            </w:r>
          </w:p>
          <w:p>
            <w:pPr>
              <w:spacing w:after="0"/>
            </w:pPr>
            <w:r>
              <w:rPr>
                <w:rFonts w:ascii="Liberation Serif" w:cs="Liberation Serif" w:eastAsia="Liberation Serif" w:hAnsi="Liberation Serif"/>
                <w:color w:val="8C97A4"/>
                <w:sz w:val="21"/>
                <w:szCs w:val="21"/>
              </w:rPr>
              <w:t xml:space="preserve">The three phases · The three scenarios · Capital · Geography · Acquisitions</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 — Board</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VIII carries the canonical three-phase roadmap — Foundation, Race and Global Scale — from which every date in the corpus derives, together with the gates that a phase must pass before the next may open. It builds the unit economics from the ground up, states plainly where the founding market’s favourable ratios will compress and why, and models the group’s future as three scenarios rather than one target: a conservative path that is a good outcome and not a failure, a growth path the company should plan against, and a transformational path that alone reaches the stated ambition. It sets the capital strategy and the constitutional condition on capital, the allocation framework, the international expansion sequence and its entry checklist, the acquisition doctrine, and the conditions that would make the plan wrong.</w:t>
      </w:r>
    </w:p>
    <w:p>
      <w:pPr>
        <w:pBdr>
          <w:bottom w:val="single" w:color="C9CFD9" w:sz="4" w:space="1"/>
        </w:pBdr>
        <w:spacing w:after="200" w:before="160"/>
      </w:pPr>
      <w:r>
        <w:t xml:space="preserve"/>
      </w:r>
    </w:p>
    <w:p>
      <w:pPr>
        <w:pStyle w:val="Heading2"/>
        <w:pageBreakBefore/>
      </w:pPr>
      <w:r>
        <w:t xml:space="preserve">CHAPTER 1 — THE 20-YEAR MASTER ROADMAP</w:t>
      </w:r>
    </w:p>
    <w:p>
      <w:pPr>
        <w:pStyle w:val="EditorialNote"/>
      </w:pPr>
      <w:r>
        <w:t xml:space="preserve">Ratified as the canonical phase structure of the group. Every other volume’s dates derive from this chapter.</w:t>
      </w:r>
    </w:p>
    <w:p>
      <w:pPr>
        <w:pStyle w:val="Heading3"/>
      </w:pPr>
      <w:r>
        <w:t xml:space="preserve">1.1 The three phases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Name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Governing question</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2027–2030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“Will this decision make StromeX stronger in 2031?”</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II</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2031–2035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Race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“How do we scale without compromising quality, trust or customer satisfaction?”</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III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2036–2040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Global Scale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“How do we become durable enough to outlive our founders?”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three phases</w:t>
      </w:r>
    </w:p>
    <w:p>
      <w:pPr>
        <w:pStyle w:val="BodyText"/>
      </w:pPr>
      <w:r>
        <w:t xml:space="preserve">Beyond 2040 the corpus plans in decades rather than phases (Volume IX, Chapter 9 — the 100-Year Plan).</w:t>
      </w:r>
    </w:p>
    <w:p>
      <w:pPr>
        <w:pStyle w:val="Heading3"/>
      </w:pPr>
      <w:r>
        <w:t xml:space="preserve">1.2 PHASE I — FOUNDATION (2027–2030)</w:t>
      </w:r>
      <w:fldSimple w:instr="XE &quot;Foundation&quot;"/>
    </w:p>
    <w:p>
      <w:pPr>
        <w:pStyle w:val="PullQuote"/>
        <w:spacing w:after="220" w:before="200"/>
      </w:pPr>
      <w:r>
        <w:rPr>
          <w:b/>
          <w:bCs/>
        </w:rPr>
        <w:t xml:space="preserve">Mission: build quietly. Perfect the products. Build trust instead of chasing growth.</w:t>
      </w:r>
    </w:p>
    <w:p>
      <w:pPr>
        <w:pStyle w:val="BodyText"/>
      </w:pPr>
      <w:r>
        <w:t xml:space="preserve">This phase prepares for scale. It does not maximise revenue, and it is not judged on revenue.</w:t>
      </w:r>
    </w:p>
    <w:p>
      <w:pPr>
        <w:pStyle w:val="Heading4"/>
      </w:pPr>
      <w:r>
        <w:t xml:space="preserve">Objectives</w:t>
      </w:r>
    </w:p>
    <w:p>
      <w:pPr>
        <w:pStyle w:val="BodyText"/>
      </w:pPr>
      <w:r>
        <w:rPr>
          <w:b/>
          <w:bCs/>
        </w:rPr>
        <w:t xml:space="preserve">Engineering &amp; product</w:t>
      </w:r>
      <w:r>
        <w:t xml:space="preserve"> Build world-class engineering capability · take every core product to genuine production quality (Volume IV §18.2 definition of done, applied without exception) · build the StromeX Design System to open-source quality · build the AI infrastructure with provider independence proven, not asserted · build StromeX Cloud to the point where we run our own customers on it · build internal automation tools so the group’s own operations are the first proof of the automation thesis.</w:t>
      </w:r>
    </w:p>
    <w:p>
      <w:pPr>
        <w:pStyle w:val="BodyText"/>
      </w:pPr>
      <w:r>
        <w:rPr>
          <w:b/>
          <w:bCs/>
        </w:rPr>
        <w:t xml:space="preserve">Institutional</w:t>
      </w:r>
      <w:r>
        <w:t xml:space="preserve"> Establish standard operating procedures across every function (Volume IX, Chapter 6) · build the knowledge base and this Editorial Bible into a genuine operating manual · obtain legal registrations in Nigeria and secure trademarks in the markets of Phase II · secure intellectual property where it is worth securing and open-source the rest deliberately (Volume I §5.5) · put governance in place before it is needed, not after.</w:t>
      </w:r>
    </w:p>
    <w:p>
      <w:pPr>
        <w:pStyle w:val="BodyText"/>
      </w:pPr>
      <w:r>
        <w:rPr>
          <w:b/>
          <w:bCs/>
        </w:rPr>
        <w:t xml:space="preserve">Market</w:t>
      </w:r>
      <w:r>
        <w:t xml:space="preserve"> Develop partnerships with schools and institutions · pilot every product with real users, on real data, with real consequences · build case studies from real deployments with written permission · recruit a high-quality core team · create documentation, APIs, SDKs and developer resources to a standard a stranger can build against · refine pricing through actual customer feedback rather than through theory · invest heavily and consistently in SEO and educational content, because it compounds and because paid acquisition does not work in this market (Volume V §1.1).</w:t>
      </w:r>
    </w:p>
    <w:p>
      <w:pPr>
        <w:pStyle w:val="Heading4"/>
      </w:pPr>
      <w:r>
        <w:t xml:space="preserve">The financial posture</w:t>
      </w:r>
    </w:p>
    <w:p>
      <w:pPr>
        <w:pStyle w:val="BodyText"/>
      </w:pPr>
      <w:r>
        <w:t xml:space="preserve">Phase I optimises for </w:t>
      </w:r>
      <w:r>
        <w:rPr>
          <w:b/>
          <w:bCs/>
        </w:rPr>
        <w:t xml:space="preserve">product quality, customer satisfaction, reputation and recurring revenue mix</w:t>
      </w:r>
      <w:r>
        <w:t xml:space="preserve"> — explicitly </w:t>
      </w:r>
      <w:r>
        <w:rPr>
          <w:b/>
          <w:bCs/>
        </w:rPr>
        <w:t xml:space="preserve">not</w:t>
      </w:r>
      <w:r>
        <w:t xml:space="preserve"> for rapid profitability and explicitly not for headline growth.</w:t>
      </w:r>
    </w:p>
    <w:p>
      <w:pPr>
        <w:pStyle w:val="BodyText"/>
      </w:pPr>
      <w:r>
        <w:rPr>
          <w:b/>
          <w:bCs/>
        </w:rPr>
        <w:t xml:space="preserve">A smaller number of delighted customers is worth more than a larger number of dissatisfied ones</w:t>
      </w:r>
      <w:r>
        <w:t xml:space="preserve">, and in a referral-driven market this is not a platitude — it is the growth mechanism. Ten institutions that recommend us are worth more than a hundred that do not.</w:t>
      </w:r>
    </w:p>
    <w:p>
      <w:pPr>
        <w:pStyle w:val="Heading4"/>
      </w:pPr>
      <w:r>
        <w:t xml:space="preserve">What Phase I deliberately does not do</w:t>
      </w:r>
    </w:p>
    <w:p>
      <w:pPr>
        <w:pStyle w:val="BodyText"/>
      </w:pPr>
      <w:r>
        <w:t xml:space="preserve">Enter a new country · enter Wave 2 sectors · open enterprise or government sales motions · raise institutional capital before the unit economics are demonstrated · hire ahead of demonstrated demand · pre-announce anything · take a contract to make a quarter.</w:t>
      </w:r>
    </w:p>
    <w:p>
      <w:pPr>
        <w:pStyle w:val="Heading3"/>
      </w:pPr>
      <w:r>
        <w:t xml:space="preserve">1.3 PHASE II — RACE (2031–2035)</w:t>
      </w:r>
      <w:fldSimple w:instr="XE &quot;Race&quot;"/>
    </w:p>
    <w:p>
      <w:pPr>
        <w:pStyle w:val="PullQuote"/>
        <w:spacing w:after="220" w:before="200"/>
      </w:pPr>
      <w:r>
        <w:rPr>
          <w:b/>
          <w:bCs/>
        </w:rPr>
        <w:t xml:space="preserve">The company expands aggressively, having earned the right to.</w:t>
      </w:r>
    </w:p>
    <w:p>
      <w:pPr>
        <w:pStyle w:val="Heading4"/>
      </w:pPr>
      <w:r>
        <w:t xml:space="preserve">Objectives</w:t>
      </w:r>
    </w:p>
    <w:p>
      <w:pPr>
        <w:pStyle w:val="BodyText"/>
      </w:pPr>
      <w:r>
        <w:t xml:space="preserve">Nigeria-wide leadership in education technology · expansion into fintech and business automation · build enterprise sales capability · pursue government partnerships now that the reference base makes them winnable (Volume V §3) · scale cloud infrastructure services · large-scale digital transformation engagements · open international offices (Chapter 9) · marketing at scale · begin strategic acquisitions (Chapter 11) · establish a formal, funded R&amp;D division (Volume IX, Chapters 2–3).</w:t>
      </w:r>
    </w:p>
    <w:p>
      <w:pPr>
        <w:pStyle w:val="Heading4"/>
      </w:pPr>
      <w:r>
        <w:t xml:space="preserve">The major product launches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Product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is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Education OS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full Wave 1 education ecosystem as a single coherent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Finance OS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services ecosystem (Volume VII §9) plus StromeX Pay at scale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Government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Public-sector ecosystem with sovereignty, residency and audit posture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Business Cloud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SME and enterprise cross-sector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AI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agent family as an independent product 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Marketplace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third-party ecosystem at scale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Payments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Payments as infrastructure, not a module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and credentials as a standalone, sellable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IoT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campus, smart facility, sensor and access infrastructure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Analytics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Intelligence as a product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SpaceTalk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communication operating system (Volume X)</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PHASE II — RACE (2031–2035)</w:t>
      </w:r>
    </w:p>
    <w:p>
      <w:pPr>
        <w:pStyle w:val="Heading4"/>
      </w:pPr>
      <w:r>
        <w:t xml:space="preserve">The Phase II discipline</w:t>
      </w:r>
    </w:p>
    <w:p>
      <w:pPr>
        <w:pStyle w:val="BodyText"/>
      </w:pPr>
      <w:r>
        <w:t xml:space="preserve">Growth in this phase is the objective, and the constitution is the constraint. The specific failure mode to guard against is </w:t>
      </w:r>
      <w:r>
        <w:rPr>
          <w:b/>
          <w:bCs/>
        </w:rPr>
        <w:t xml:space="preserve">delivery quality collapse under growth</w:t>
      </w:r>
      <w:r>
        <w:t xml:space="preserve"> (Volume II R5) — which is why partner certification, templated delivery and the written capacity confirmation before signature all become load-bearing in exactly this phase rather than earlier.</w:t>
      </w:r>
    </w:p>
    <w:p>
      <w:pPr>
        <w:pStyle w:val="Heading3"/>
      </w:pPr>
      <w:r>
        <w:t xml:space="preserve">1.4 PHASE III — GLOBAL SCALE (2036–2040)</w:t>
      </w:r>
      <w:fldSimple w:instr="XE &quot;Global Scale&quot;"/>
    </w:p>
    <w:p>
      <w:pPr>
        <w:pStyle w:val="PullQuote"/>
        <w:spacing w:after="220" w:before="200"/>
      </w:pPr>
      <w:r>
        <w:rPr>
          <w:b/>
          <w:bCs/>
        </w:rPr>
        <w:t xml:space="preserve">Become a globally recognised technology company.</w:t>
      </w:r>
    </w:p>
    <w:p>
      <w:pPr>
        <w:pStyle w:val="Heading4"/>
      </w:pPr>
      <w:r>
        <w:t xml:space="preserve">Geography</w:t>
      </w:r>
    </w:p>
    <w:p>
      <w:pPr>
        <w:pStyle w:val="BodyText"/>
      </w:pPr>
      <w:r>
        <w:t xml:space="preserve">United States · United Kingdom · Europe · Middle East · Asia · Latin America, sequenced per Chapter 9.</w:t>
      </w:r>
    </w:p>
    <w:p>
      <w:pPr>
        <w:pStyle w:val="Heading4"/>
      </w:pPr>
      <w:r>
        <w:t xml:space="preserve">Priorities</w:t>
      </w:r>
    </w:p>
    <w:p>
      <w:pPr>
        <w:pStyle w:val="BodyText"/>
      </w:pPr>
      <w:r>
        <w:t xml:space="preserve">AI research at a level that produces original contribution, not only application · robotics integration where it creates real customer value · enterprise cloud at scale · digital identity as global infrastructure · smart cities · healthcare technology · financial infrastructure · educational infrastructure.</w:t>
      </w:r>
    </w:p>
    <w:p>
      <w:pPr>
        <w:pStyle w:val="Heading4"/>
      </w:pPr>
      <w:r>
        <w:t xml:space="preserve">The Phase III question</w:t>
      </w:r>
    </w:p>
    <w:p>
      <w:pPr>
        <w:pStyle w:val="BodyText"/>
      </w:pPr>
      <w:r>
        <w:t xml:space="preserve">The governing question shifts again in this phase, and the shift matters: from </w:t>
      </w:r>
      <w:r>
        <w:rPr>
          <w:i/>
          <w:iCs/>
        </w:rPr>
        <w:t xml:space="preserve">how do we grow</w:t>
      </w:r>
      <w:r>
        <w:t xml:space="preserve"> to </w:t>
      </w:r>
      <w:r>
        <w:rPr>
          <w:b/>
          <w:bCs/>
        </w:rPr>
        <w:t xml:space="preserve">how do we become durable enough to outlive our founders.</w:t>
      </w:r>
      <w:r>
        <w:t xml:space="preserve"> A company that reaches global scale and remains dependent on one person has not succeeded; it has deferred a failure. Volume II R3 (key-person dependency) is a Phase I risk that becomes a Phase III existential one if it was never actually addressed.</w:t>
      </w:r>
    </w:p>
    <w:p>
      <w:pPr>
        <w:pStyle w:val="Heading2"/>
        <w:pageBreakBefore/>
      </w:pPr>
      <w:r>
        <w:t xml:space="preserve">CHAPTER 2 — THE PHASE GATES</w:t>
      </w:r>
      <w:fldSimple w:instr="XE &quot;Gate&quot;"/>
    </w:p>
    <w:p>
      <w:pPr>
        <w:pStyle w:val="BodyText"/>
      </w:pPr>
      <w:r>
        <w:rPr>
          <w:b/>
          <w:bCs/>
        </w:rPr>
        <w:t xml:space="preserve">A phase does not end because its years elapsed.</w:t>
      </w:r>
      <w:r>
        <w:t xml:space="preserve"> It ends when its gate is passed. Running Phase I into 2032 because the gate was not met is a correct decision; entering Phase II in 2031 with the gate unmet is how companies destroy themselves.</w:t>
      </w:r>
    </w:p>
    <w:p>
      <w:pPr>
        <w:pStyle w:val="Heading3"/>
      </w:pPr>
      <w:r>
        <w:t xml:space="preserve">Gate I → II (assessed from 2030)</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Criterion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Threshold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Paying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250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105% (Volume V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92%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share of revenue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60%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 months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share of new customers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35%</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Certified delivery partners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customers willing to take calls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layer capable of operating without the founder for 60 days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Demonstrated, not asserted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independent penetration test passed, no unresolved high findings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Free-tier monthly active institutions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Gate I → II (assessed from 2030)</w:t>
      </w:r>
    </w:p>
    <w:p>
      <w:pPr>
        <w:pStyle w:val="BodyText"/>
      </w:pPr>
      <w:r>
        <w:rPr>
          <w:b/>
          <w:bCs/>
        </w:rPr>
        <w:t xml:space="preserve">Gate 10 is the one most likely to be quietly skipped and the one that matters most.</w:t>
      </w:r>
      <w:r>
        <w:t xml:space="preserve"> It is assessed by the founder actually being absent for 60 days.</w:t>
      </w:r>
    </w:p>
    <w:p>
      <w:pPr>
        <w:pStyle w:val="Heading3"/>
      </w:pPr>
      <w:r>
        <w:t xml:space="preserve">Gate II → III (assessed from 2035)</w:t>
      </w:r>
    </w:p>
    <w:p>
      <w:pPr>
        <w:pStyle w:val="BodyText"/>
      </w:pPr>
      <w:r>
        <w:t xml:space="preserve">Revenue ≥ the Chapter 5 growth-scenario floor · recurring share ≥ 65% (Volume I §6.2 portfolio rule) · NRR ≥ 115% · operations in ≥ 3 countries with local leadership · ≥ 2 ecosystems beyond education at Volume I §2.4 depth · partner-delivered revenue ≥ 30% · a functioning board with independent directors · audited accounts · Rule of 40 ≥ 30.</w:t>
      </w:r>
    </w:p>
    <w:p>
      <w:pPr>
        <w:pStyle w:val="Heading2"/>
        <w:pageBreakBefore/>
      </w:pPr>
      <w:r>
        <w:t xml:space="preserve">CHAPTER 3 — UNIT ECONOMICS</w:t>
      </w:r>
    </w:p>
    <w:p>
      <w:pPr>
        <w:pStyle w:val="EditorialNote"/>
      </w:pPr>
      <w:r>
        <w:t xml:space="preserve">The foundation of every number in this volume. Assumptions are stated so they can be attacked.</w:t>
      </w:r>
    </w:p>
    <w:p>
      <w:pPr>
        <w:pStyle w:val="Heading3"/>
      </w:pPr>
      <w:r>
        <w:t xml:space="preserve">3.1 The reference customer — a Band A Professional-tier school</w:t>
      </w:r>
    </w:p>
    <w:p>
      <w:pPr>
        <w:pStyle w:val="BodyText"/>
      </w:pPr>
      <w:r>
        <w:t xml:space="preserve">Derived from the Volume III §20.1–20.2 worked configurations.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Metric</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Assumption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Year-1 revenue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$3,435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§20.1, small school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revenue (year 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$1,413/yr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total × 12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Expansion (module ladder)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+18%/yr, years 2–5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§6.5 ladder at historical attach rates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Software 82%, services 48%, weighted by mix</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(low-touch, referral-heavy)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Loaded sales cost ÷ customers; assumes ≥35% referral share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 months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 year-1 gross profit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annual churn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sub-$25k ACV; deliberately pessimistic vs. our 92% GRR target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Expected lifetime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years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 (churn − expansion offset), capped conservatively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LTV (gross profit)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 $11,400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Discounted at 15%</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LTV : CAC</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 39 : 1</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reference customer — a Band A Professional-tier school</w:t>
      </w:r>
    </w:p>
    <w:p>
      <w:pPr>
        <w:pStyle w:val="BodyText"/>
      </w:pPr>
      <w:r>
        <w:rPr>
          <w:b/>
          <w:bCs/>
        </w:rPr>
        <w:t xml:space="preserve">That ratio looks implausible and requires explanation, because a number that good is usually a modelling error.</w:t>
      </w:r>
      <w:r>
        <w:t xml:space="preserve"> It is high for three real reasons and one caveat:</w:t>
      </w:r>
    </w:p>
    <w:p>
      <w:pPr>
        <w:pStyle w:val="ListParagraph"/>
        <w:numPr>
          <w:ilvl w:val="0"/>
          <w:numId w:val="2"/>
        </w:numPr>
        <w:spacing w:after="40" w:before="40" w:line="276"/>
      </w:pPr>
      <w:r>
        <w:t xml:space="preserve">CAC is genuinely low because acquisition is referral- and free-tier-driven rather than paid (Volume V §1.1).</w:t>
      </w:r>
    </w:p>
    <w:p>
      <w:pPr>
        <w:pStyle w:val="ListParagraph"/>
        <w:numPr>
          <w:ilvl w:val="0"/>
          <w:numId w:val="2"/>
        </w:numPr>
        <w:spacing w:after="40" w:before="40" w:line="276"/>
      </w:pPr>
      <w:r>
        <w:t xml:space="preserve">Delivery labour is local and Band A pricing is set against local cost, so margin survives the discount.</w:t>
      </w:r>
    </w:p>
    <w:p>
      <w:pPr>
        <w:pStyle w:val="ListParagraph"/>
        <w:numPr>
          <w:ilvl w:val="0"/>
          <w:numId w:val="2"/>
        </w:numPr>
        <w:spacing w:after="40" w:before="40" w:line="276"/>
      </w:pPr>
      <w:r>
        <w:t xml:space="preserve">The module ladder produces expansion revenue that partially offsets churn.</w:t>
      </w:r>
    </w:p>
    <w:p>
      <w:pPr>
        <w:pStyle w:val="BodyText"/>
      </w:pPr>
      <w:r>
        <w:rPr>
          <w:b/>
          <w:bCs/>
        </w:rPr>
        <w:t xml:space="preserve">The caveat that matters:</w:t>
      </w:r>
      <w:r>
        <w:t xml:space="preserve"> this ratio is only achievable </w:t>
      </w:r>
      <w:r>
        <w:rPr>
          <w:i/>
          <w:iCs/>
        </w:rPr>
        <w:t xml:space="preserve">at low volume, in the founding market, with the founder’s network doing much of the referral work.</w:t>
      </w:r>
      <w:r>
        <w:t xml:space="preserve"> It will compress substantially as the group scales beyond the network, enters Band B and C markets where CAC is far higher, and takes on the delivery cost of institutions that are not near an office. </w:t>
      </w:r>
      <w:r>
        <w:rPr>
          <w:b/>
          <w:bCs/>
        </w:rPr>
        <w:t xml:space="preserve">Chapter 5′s scenarios assume LTV:CAC compresses to roughly 8:1 by 2035 and 4–5:1 by 2040</w:t>
      </w:r>
      <w:r>
        <w:t xml:space="preserve">, which is still healthy and is a far safer planning basis than the Phase I figure.</w:t>
      </w:r>
    </w:p>
    <w:p>
      <w:pPr>
        <w:pStyle w:val="Heading3"/>
      </w:pPr>
      <w:r>
        <w:t xml:space="preserve">3.2 The other reference customers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7"/>
        <w:gridCol w:w="1487"/>
        <w:gridCol w:w="1487"/>
        <w:gridCol w:w="1487"/>
        <w:gridCol w:w="1487"/>
        <w:gridCol w:w="1491"/>
      </w:tblGrid>
      <w:tr>
        <w:trPr>
          <w:cantSplit w:val="false"/>
          <w:tblHeader/>
        </w:trPr>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Customer</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Year-1</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GM</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CAC</w:t>
            </w:r>
          </w:p>
        </w:tc>
        <w:tc>
          <w:tcPr>
            <w:tcW w:type="dxa" w:w="14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Payback</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(self-serve, Band A)</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&lt;2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school group (Band A)</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$36,263</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$8,331/yr</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(Band A)</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~$34,000/yr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$14,000</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(state, Band A)</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~$266,000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~$150,000/yr</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$48,000</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C school (UK/US)</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$14,600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$6,100/yr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66%</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 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other reference customers</w:t>
      </w:r>
    </w:p>
    <w:p>
      <w:pPr>
        <w:pStyle w:val="BodyText"/>
      </w:pPr>
      <w:r>
        <w:rPr>
          <w:b/>
          <w:bCs/>
        </w:rPr>
        <w:t xml:space="preserve">The pattern to notice:</w:t>
      </w:r>
      <w:r>
        <w:t xml:space="preserve"> CAC payback lengthens dramatically up-market and in Band C, while NRR improves dramatically (Volume VII §14.4). This tension — cheap-to-acquire customers that retain poorly, expensive-to-acquire customers that retain well — is the central financial dynamic of the whole plan, and Chapter 5′s scenarios differ mostly in how successfully the group navigates it.</w:t>
      </w:r>
    </w:p>
    <w:p>
      <w:pPr>
        <w:pStyle w:val="Heading2"/>
        <w:pageBreakBefore/>
      </w:pPr>
      <w:r>
        <w:t xml:space="preserve">CHAPTER 4 — THE REVENUE MODEL</w:t>
      </w:r>
    </w:p>
    <w:p>
      <w:pPr>
        <w:pStyle w:val="Heading3"/>
      </w:pPr>
      <w:r>
        <w:t xml:space="preserve">4.1 The engine mix over time</w:t>
      </w:r>
    </w:p>
    <w:p>
      <w:pPr>
        <w:pStyle w:val="BodyText"/>
      </w:pPr>
      <w:r>
        <w:t xml:space="preserve">Volume I §6.2′s portfolio rule requires recurring, high-margin engines (subscription, consumption, cloud, licensing) to exceed </w:t>
      </w:r>
      <w:r>
        <w:rPr>
          <w:b/>
          <w:bCs/>
        </w:rPr>
        <w:t xml:space="preserve">65% of group revenue by 2031</w:t>
      </w:r>
      <w:r>
        <w:t xml:space="preser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2027</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2030</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2035</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Subscription software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Consumption (AI, cloud, verification)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 infrastructure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Licensing &amp; white-label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Recurring subtotal</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76%</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86%</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services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Creative services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&amp; print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Hardware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 &amp; financial services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engine mix over time</w:t>
      </w:r>
    </w:p>
    <w:p>
      <w:pPr>
        <w:pStyle w:val="EditorialNote"/>
      </w:pPr>
      <w:r>
        <w:t xml:space="preserve">Assumption: services and creative revenue keep growing in absolute terms throughout — they simply grow more slowly than software, so their share falls. </w:t>
      </w:r>
      <w:r>
        <w:rPr>
          <w:b/>
          <w:bCs/>
        </w:rPr>
        <w:t xml:space="preserve">Services are never deliberately shrunk</w:t>
      </w:r>
      <w:r>
        <w:t xml:space="preserve">; they win deals nobody else can win and they create the relationship (Volume I §6.2).</w:t>
      </w:r>
    </w:p>
    <w:p>
      <w:pPr>
        <w:pStyle w:val="Heading3"/>
      </w:pPr>
      <w:r>
        <w:t xml:space="preserve">4.2 Gross margin trajectory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2027</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2030</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2035</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Gross margin trajectory</w:t>
      </w:r>
    </w:p>
    <w:p>
      <w:pPr>
        <w:pStyle w:val="EditorialNote"/>
      </w:pPr>
      <w:r>
        <w:t xml:space="preserve">Driven by mix shift, not by price increases. Assumes cloud gross margin improves as we move from rented to owned-and-optimised infrastructure, and that the AI inference cost per task continues to fall — the latter is an assumption about the industry, not about us, and is the single most exposed line in this table.</w:t>
      </w:r>
    </w:p>
    <w:p>
      <w:pPr>
        <w:pStyle w:val="Heading2"/>
        <w:pageBreakBefore/>
      </w:pPr>
      <w:r>
        <w:t xml:space="preserve">CHAPTER 5 — THE THREE SCENARIOS</w:t>
      </w:r>
    </w:p>
    <w:p>
      <w:pPr>
        <w:pStyle w:val="EditorialNote"/>
      </w:pPr>
      <w:r>
        <w:t xml:space="preserve">The founder’s stated target is a group valued at $15–40B within 10–20 years. This chapter takes that seriously by modelling what would actually have to be true — and by stating plainly which scenario the group should plan against.</w:t>
      </w:r>
    </w:p>
    <w:p>
      <w:pPr>
        <w:pStyle w:val="PullQuote"/>
        <w:spacing w:after="220" w:before="200"/>
      </w:pPr>
      <w:r>
        <w:rPr>
          <w:b/>
          <w:bCs/>
        </w:rPr>
        <w:t xml:space="preserve">The primary objective of StromeX is not a valuation.</w:t>
      </w:r>
      <w:r>
        <w:t xml:space="preserve"> It is: build products customers genuinely value, achieve world-class quality, create a trusted brand, generate sustainable cash flow, expand methodically, invest consistently in R&amp;D, and reinvest profits wisely. Those are the things the company can directly influence. A very large valuation is a </w:t>
      </w:r>
      <w:r>
        <w:rPr>
          <w:i/>
          <w:iCs/>
        </w:rPr>
        <w:t xml:space="preserve">possible consequence</w:t>
      </w:r>
      <w:r>
        <w:t xml:space="preserve"> of doing them exceptionally well over two decades — it is not the mission, and it must never become the operating target, because optimising directly for valuation reliably produces the behaviours the Volume I constitution prohibits.</w:t>
      </w:r>
    </w:p>
    <w:p>
      <w:pPr>
        <w:pStyle w:val="Heading3"/>
      </w:pPr>
      <w:r>
        <w:t xml:space="preserve">5.1 Shared assumptions across all three scenarios</w:t>
      </w:r>
    </w:p>
    <w:p>
      <w:pPr>
        <w:pStyle w:val="ListParagraph"/>
        <w:numPr>
          <w:ilvl w:val="0"/>
          <w:numId w:val="3"/>
        </w:numPr>
        <w:spacing w:after="40" w:before="40" w:line="276"/>
      </w:pPr>
      <w:r>
        <w:t xml:space="preserve">Phase structure per Chapter 1; gates per Chapter 2.</w:t>
      </w:r>
    </w:p>
    <w:p>
      <w:pPr>
        <w:pStyle w:val="ListParagraph"/>
        <w:numPr>
          <w:ilvl w:val="0"/>
          <w:numId w:val="3"/>
        </w:numPr>
        <w:spacing w:after="40" w:before="40" w:line="276"/>
      </w:pPr>
      <w:r>
        <w:t xml:space="preserve">Nigeria remains the founding market; no country entry before Phase II.</w:t>
      </w:r>
    </w:p>
    <w:p>
      <w:pPr>
        <w:pStyle w:val="ListParagraph"/>
        <w:numPr>
          <w:ilvl w:val="0"/>
          <w:numId w:val="3"/>
        </w:numPr>
        <w:spacing w:after="40" w:before="40" w:line="276"/>
      </w:pPr>
      <w:r>
        <w:t xml:space="preserve">Recurring mix reaches ≥65% by 2031 (Volume I §6.2).</w:t>
      </w:r>
    </w:p>
    <w:p>
      <w:pPr>
        <w:pStyle w:val="ListParagraph"/>
        <w:numPr>
          <w:ilvl w:val="0"/>
          <w:numId w:val="3"/>
        </w:numPr>
        <w:spacing w:after="40" w:before="40" w:line="276"/>
      </w:pPr>
      <w:r>
        <w:t xml:space="preserve">The free tier is maintained at its constitutional commitments throughout.</w:t>
      </w:r>
    </w:p>
    <w:p>
      <w:pPr>
        <w:pStyle w:val="ListParagraph"/>
        <w:numPr>
          <w:ilvl w:val="0"/>
          <w:numId w:val="3"/>
        </w:numPr>
        <w:spacing w:after="40" w:before="40" w:line="276"/>
      </w:pPr>
      <w:r>
        <w:t xml:space="preserve">No revenue from data sale, advertising, or any prohibited practice.</w:t>
      </w:r>
    </w:p>
    <w:p>
      <w:pPr>
        <w:pStyle w:val="ListParagraph"/>
        <w:numPr>
          <w:ilvl w:val="0"/>
          <w:numId w:val="3"/>
        </w:numPr>
        <w:spacing w:after="40" w:before="40" w:line="276"/>
      </w:pPr>
      <w:r>
        <w:t xml:space="preserve">Figures are </w:t>
      </w:r>
      <w:r>
        <w:rPr>
          <w:b/>
          <w:bCs/>
        </w:rPr>
        <w:t xml:space="preserve">group revenue in nominal USD</w:t>
      </w:r>
      <w:r>
        <w:t xml:space="preserve">, not ARR alone (StromeX is not a pure-SaaS business, and reporting only ARR would flatter it).</w:t>
      </w:r>
    </w:p>
    <w:p>
      <w:pPr>
        <w:pStyle w:val="ListParagraph"/>
        <w:numPr>
          <w:ilvl w:val="0"/>
          <w:numId w:val="3"/>
        </w:numPr>
        <w:spacing w:after="40" w:before="40" w:line="276"/>
      </w:pPr>
      <w:r>
        <w:t xml:space="preserve">2027 is Phase I year one, with revenue in the low single-digit millions at most.</w:t>
      </w:r>
    </w:p>
    <w:p>
      <w:pPr>
        <w:pStyle w:val="Heading3"/>
      </w:pPr>
      <w:r>
        <w:t xml:space="preserve">5.2 The scenarios</w:t>
      </w:r>
    </w:p>
    <w:p>
      <w:pPr>
        <w:pStyle w:val="Heading4"/>
      </w:pPr>
      <w:r>
        <w:t xml:space="preserve">SCENARIO A — CONSERVATIVE: “Sustainable Regional Leader”</w:t>
      </w:r>
    </w:p>
    <w:p>
      <w:pPr>
        <w:pStyle w:val="EditorialNote"/>
      </w:pPr>
      <w:r>
        <w:t xml:space="preserve">The most probable good outcome. This is not failure.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BodyText"/>
      </w:pPr>
      <w:r>
        <w:rPr>
          <w:b/>
          <w:bCs/>
        </w:rPr>
        <w:t xml:space="preserve">Assumptions:</w:t>
      </w:r>
      <w:r>
        <w:t xml:space="preserve"> NRR stabilises at ~105% · Nigeria and West Africa only until late Phase II · one modest developed-market entry (UK) that takes longer and costs more than planned · government contracts won but slowly · recurring mix reaches 70% · gross margin 68% by 2040 · profitable from ~2032 · minimal external capital. </w:t>
      </w:r>
      <w:r>
        <w:rPr>
          <w:b/>
          <w:bCs/>
        </w:rPr>
        <w:t xml:space="preserve">Implied CAGR 2030→2040: ~31%.</w:t>
      </w:r>
      <w:r>
        <w:t xml:space="preserve"> </w:t>
      </w:r>
      <w:r>
        <w:rPr>
          <w:b/>
          <w:bCs/>
        </w:rPr>
        <w:t xml:space="preserve">Indicative valuation at 4–5× revenue: $680M–$850M (2046).</w:t>
      </w:r>
    </w:p>
    <w:p>
      <w:pPr>
        <w:pStyle w:val="BodyText"/>
      </w:pPr>
      <w:r>
        <w:rPr>
          <w:b/>
          <w:bCs/>
        </w:rPr>
        <w:t xml:space="preserve">Why this is a good outcome.</w:t>
      </w:r>
      <w:r>
        <w:t xml:space="preserve"> A profitable, independent, $170M-revenue company employing a thousand people, serving nine thousand institutions across six countries, with a genuinely trusted brand and no external control, is a serious achievement and a fine life’s work. Any plan that treats this as failure will make bad decisions to avoid it.</w:t>
      </w:r>
    </w:p>
    <w:p>
      <w:pPr>
        <w:pStyle w:val="Heading4"/>
      </w:pPr>
      <w:r>
        <w:t xml:space="preserve">SCENARIO B — GROWTH: “Multinational Technology Company”</w:t>
      </w:r>
    </w:p>
    <w:p>
      <w:pPr>
        <w:pStyle w:val="EditorialNote"/>
      </w:pPr>
      <w:r>
        <w:t xml:space="preserve">The scenario the group should plan and staff against.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~~$700M~~ </w:t>
            </w:r>
            <w:r>
              <w:rPr>
                <w:rFonts w:ascii="DejaVu Sans" w:cs="DejaVu Sans" w:eastAsia="DejaVu Sans" w:hAnsi="DejaVu Sans"/>
                <w:b/>
                <w:bCs/>
                <w:color w:val="0D1117"/>
                <w:sz w:val="16"/>
                <w:szCs w:val="16"/>
              </w:rPr>
              <w:t xml:space="preserve">$311M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~~$1.8B~~ </w:t>
            </w:r>
            <w:r>
              <w:rPr>
                <w:rFonts w:ascii="DejaVu Sans" w:cs="DejaVu Sans" w:eastAsia="DejaVu Sans" w:hAnsi="DejaVu Sans"/>
                <w:b/>
                <w:bCs/>
                <w:color w:val="0D1117"/>
                <w:sz w:val="16"/>
                <w:szCs w:val="16"/>
              </w:rPr>
              <w:t xml:space="preserve">$1.24B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PullQuote"/>
        <w:spacing w:after="220" w:before="200"/>
      </w:pPr>
      <w:r>
        <w:rPr>
          <w:b/>
          <w:bCs/>
        </w:rPr>
        <w:t xml:space="preserve">Amended, 13 August 2026 — reconciliation with the model.</w:t>
      </w:r>
      <w:r>
        <w:t xml:space="preserve"> The revenue figures in this table were originally constructed top-down and independently of the institution counts beside them. Building the driver-based model in </w:t>
      </w:r>
      <w:r>
        <w:rPr>
          <w:b/>
          <w:bCs/>
        </w:rPr>
        <w:t xml:space="preserve">Volume XI</w:t>
      </w:r>
      <w:r>
        <w:t xml:space="preserve"> from Book III’s published prices showed they do not reconcile: $1.8B across 45,000 institutions implies roughly $40,000 of annual revenue per institution, where the price book and twenty years of retention compounding produce about $27,700. The institution counts are unchanged and the model reproduces them exactly; the revenue figures are restated to the model’s output. Original estimates are struck through and retained per Volume I §9.2.4. The indicative valuation below is restated accordingly. Volume XI, Chapter 9 carries the full reconciliation.</w:t>
      </w:r>
    </w:p>
    <w:p>
      <w:pPr>
        <w:pStyle w:val="BodyText"/>
      </w:pPr>
      <w:r>
        <w:rPr>
          <w:b/>
          <w:bCs/>
        </w:rPr>
        <w:t xml:space="preserve">Assumptions:</w:t>
      </w:r>
      <w:r>
        <w:t xml:space="preserve"> NRR reaches 115% by 2033 and holds · successful UK and US entry in Phase II · at least three ecosystems beyond education at depth · government revenue reaches 20% of the mix · partner-delivered revenue exceeds 35% · marketplace and licensing become material · recurring mix 82% · gross margin 74% by 2040 · Rule of 40 sustained above 40 from 2034 · two to three growth financing rounds plus selective acquisitions. </w:t>
      </w:r>
      <w:r>
        <w:rPr>
          <w:b/>
          <w:bCs/>
        </w:rPr>
        <w:t xml:space="preserve">Implied CAGR 2030→2040: ~46%</w:t>
      </w:r>
      <w:r>
        <w:t xml:space="preserve"> — demanding, sustained for a decade, and achieved by real companies but not by most. </w:t>
      </w:r>
      <w:r>
        <w:rPr>
          <w:b/>
          <w:bCs/>
        </w:rPr>
        <w:t xml:space="preserve">Indicative valuation at 6–8× revenue: ~~$10.8B–$14.4B~~ $7.5B–$9.9B (2046).</w:t>
      </w:r>
    </w:p>
    <w:p>
      <w:pPr>
        <w:pStyle w:val="Heading4"/>
      </w:pPr>
      <w:r>
        <w:t xml:space="preserve">SCENARIO C — TRANSFORMATIONAL: “Global Platform Company”</w:t>
      </w:r>
    </w:p>
    <w:p>
      <w:pPr>
        <w:pStyle w:val="EditorialNote"/>
      </w:pPr>
      <w:r>
        <w:t xml:space="preserve">The only scenario in which the $15–40B target is reached. Possible; not probable.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BodyText"/>
      </w:pPr>
      <w:r>
        <w:rPr>
          <w:b/>
          <w:bCs/>
        </w:rPr>
        <w:t xml:space="preserve">Assumptions — all of which must hold simultaneously:</w:t>
      </w:r>
      <w:r>
        <w:t xml:space="preserve"> NRR ≥ 125% · StromeX Identity and credential verification become </w:t>
      </w:r>
      <w:r>
        <w:rPr>
          <w:i/>
          <w:iCs/>
        </w:rPr>
        <w:t xml:space="preserve">de facto</w:t>
      </w:r>
      <w:r>
        <w:t xml:space="preserve"> infrastructure across multiple national education systems · SpaceTalk (Volume X) achieves genuine network effects and becomes a platform rather than a product · the marketplace becomes a significant independent economy · government becomes the largest single revenue line through multi-country national deployments · at least two developed markets reach material scale · several successful acquisitions integrate cleanly · recurring mix 86% · gross margin 78% · Rule of 40 above 50 · substantial growth capital available at each stage without loss of constitutional control. </w:t>
      </w:r>
      <w:r>
        <w:rPr>
          <w:b/>
          <w:bCs/>
        </w:rPr>
        <w:t xml:space="preserve">Implied CAGR 2030→2040: ~57%,</w:t>
      </w:r>
      <w:r>
        <w:t xml:space="preserve"> sustained for a decade. </w:t>
      </w:r>
      <w:r>
        <w:rPr>
          <w:b/>
          <w:bCs/>
        </w:rPr>
        <w:t xml:space="preserve">Indicative valuation at 6–8× revenue: $33B–$44B (2046).</w:t>
      </w:r>
    </w:p>
    <w:p>
      <w:pPr>
        <w:pStyle w:val="EditorialNote"/>
      </w:pPr>
      <w:r>
        <w:t xml:space="preserve">Modelled outputs (Volume XI): peak funding requirement ≈ $4.5M, first cash-positive year 2033, EBITDA margin 33% and Rule of 40 at 57% by 2046, recurring share 82%.</w:t>
      </w:r>
    </w:p>
    <w:p>
      <w:pPr>
        <w:pStyle w:val="Heading3"/>
      </w:pPr>
      <w:r>
        <w:t xml:space="preserve">5.3 The valuation arithmetic, stated plainly</w:t>
      </w:r>
    </w:p>
    <w:p>
      <w:pPr>
        <w:pStyle w:val="BodyText"/>
      </w:pPr>
      <w:r>
        <w:t xml:space="preserve">Working backwards from the target rather than forwards from optimism: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 valuation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5× 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6×</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8×</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10×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$3.0B revenue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$1.88B</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$1.5B</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$40B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$8.0B revenue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$6.7B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$5.0B</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$4.0B</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valuation arithmetic, stated plainly</w:t>
      </w:r>
    </w:p>
    <w:p>
      <w:pPr>
        <w:pStyle w:val="BodyText"/>
      </w:pPr>
      <w:r>
        <w:rPr>
          <w:b/>
          <w:bCs/>
        </w:rPr>
        <w:t xml:space="preserve">Therefore: the $15–40B ambition requires group revenue somewhere between roughly $1.9B and $8B, depending entirely on the multiple the group earns.</w:t>
      </w:r>
      <w:r>
        <w:t xml:space="preserve"> Scenario B, as restated by the model, reaches $1.24B by 2046 — which does </w:t>
      </w:r>
      <w:r>
        <w:rPr>
          <w:b/>
          <w:bCs/>
        </w:rPr>
        <w:t xml:space="preserve">not</w:t>
      </w:r>
      <w:r>
        <w:t xml:space="preserve"> reach $15B at any defensible multiple. Scenario C reaches the band. Scenario A does not approach it.</w:t>
      </w:r>
    </w:p>
    <w:p>
      <w:pPr>
        <w:pStyle w:val="BodyText"/>
      </w:pPr>
      <w:r>
        <w:t xml:space="preserve">That restatement is uncomfortable and it is the correct thing to record. It does not change the instruction in §5.5; it sharpens what Scenario C would require — net revenue retention sustained above 115% against a segment median near 97%, a band-mix shift above 3× meaning genuine scale in developed markets, and roughly 130,000 institutions. None of those is impossible; all three must happen together.</w:t>
      </w:r>
    </w:p>
    <w:p>
      <w:pPr>
        <w:pStyle w:val="Heading3"/>
      </w:pPr>
      <w:r>
        <w:t xml:space="preserve">5.4 What determines the multiple</w:t>
      </w:r>
    </w:p>
    <w:p>
      <w:pPr>
        <w:pStyle w:val="BodyText"/>
      </w:pPr>
      <w:r>
        <w:t xml:space="preserve">Public SaaS median EV/Revenue sat at roughly </w:t>
      </w:r>
      <w:r>
        <w:rPr>
          <w:b/>
          <w:bCs/>
        </w:rPr>
        <w:t xml:space="preserve">8.5× NTM revenue as of mid-2026</w:t>
      </w:r>
      <w:r>
        <w:t xml:space="preserve">, having recovered from a ~4.5× trough in Q1 2023 but remaining well below the ~16× 2021 peak; other measures of the same market put the median EV/TTM materially lower, around 3.3×, and private SaaS medians around </w:t>
      </w:r>
      <w:r>
        <w:rPr>
          <w:b/>
          <w:bCs/>
        </w:rPr>
        <w:t xml:space="preserve">4–5× ARR</w:t>
      </w:r>
      <w:r>
        <w:t xml:space="preserve">. Companies with </w:t>
      </w:r>
      <w:r>
        <w:rPr>
          <w:b/>
          <w:bCs/>
        </w:rPr>
        <w:t xml:space="preserve">NRR above 120% and a Rule of 40 above 50 reach 7–9×</w:t>
      </w:r>
      <w:r>
        <w:t xml:space="preserve"> (</w:t>
      </w:r>
      <w:hyperlink w:history="1" r:id="rIdcr_ouifm04hiium53chsi">
        <w:r>
          <w:rPr>
            <w:rStyle w:val="Hyperlink"/>
          </w:rPr>
          <w:t xml:space="preserve">ValueAdd VC</w:t>
        </w:r>
      </w:hyperlink>
      <w:r>
        <w:t xml:space="preserve">, </w:t>
      </w:r>
      <w:hyperlink w:history="1" r:id="rIdzfyuttzfk4hzdusmnjz32">
        <w:r>
          <w:rPr>
            <w:rStyle w:val="Hyperlink"/>
          </w:rPr>
          <w:t xml:space="preserve">Aventis Advisors</w:t>
        </w:r>
      </w:hyperlink>
      <w:r>
        <w:t xml:space="preserve">, </w:t>
      </w:r>
      <w:hyperlink w:history="1" r:id="rIdzxugzdeummds2mztikjqo">
        <w:r>
          <w:rPr>
            <w:rStyle w:val="Hyperlink"/>
          </w:rPr>
          <w:t xml:space="preserve">L40</w:t>
        </w:r>
      </w:hyperlink>
      <w:r>
        <w:t xml:space="preserve">). The median Rule of 40 score across actively traded SaaS companies is only </w:t>
      </w:r>
      <w:r>
        <w:rPr>
          <w:b/>
          <w:bCs/>
        </w:rPr>
        <w:t xml:space="preserve">28%, with just 20% exceeding 40</w:t>
      </w:r>
      <w:r>
        <w:t xml:space="preserve"> (</w:t>
      </w:r>
      <w:hyperlink w:history="1" r:id="rIdekl6nj-alyglda1cnwz0h">
        <w:r>
          <w:rPr>
            <w:rStyle w:val="Hyperlink"/>
          </w:rPr>
          <w:t xml:space="preserve">Eqvista</w:t>
        </w:r>
      </w:hyperlink>
      <w:r>
        <w:t xml:space="preserve">).</w:t>
      </w:r>
    </w:p>
    <w:p>
      <w:pPr>
        <w:pStyle w:val="BodyText"/>
      </w:pPr>
      <w:r>
        <w:t xml:space="preserve">Three consequences the group must internalise:</w:t>
      </w:r>
    </w:p>
    <w:p>
      <w:pPr>
        <w:pStyle w:val="ListParagraph"/>
        <w:numPr>
          <w:ilvl w:val="0"/>
          <w:numId w:val="2"/>
        </w:numPr>
        <w:spacing w:after="40" w:before="40" w:line="276"/>
      </w:pPr>
      <w:r>
        <w:rPr>
          <w:b/>
          <w:bCs/>
        </w:rPr>
        <w:t xml:space="preserve">Multiples are volatile and outside our control.</w:t>
      </w:r>
      <w:r>
        <w:t xml:space="preserve"> The same company was worth 16× in 2021 and 4.5× in 2023. Any plan whose success depends on a specific multiple is a plan that depends on the weather. </w:t>
      </w:r>
      <w:r>
        <w:rPr>
          <w:b/>
          <w:bCs/>
        </w:rPr>
        <w:t xml:space="preserve">We control revenue, margin, retention and growth. We do not control the multiple, and we will not manage the company as though we do.</w:t>
      </w:r>
    </w:p>
    <w:p>
      <w:pPr>
        <w:pStyle w:val="ListParagraph"/>
        <w:numPr>
          <w:ilvl w:val="0"/>
          <w:numId w:val="2"/>
        </w:numPr>
        <w:spacing w:after="40" w:before="40" w:line="276"/>
      </w:pPr>
      <w:r>
        <w:rPr>
          <w:b/>
          <w:bCs/>
        </w:rPr>
        <w:t xml:space="preserve">A mixed-margin group is valued below a pure-SaaS comparable.</w:t>
      </w:r>
      <w:r>
        <w:t xml:space="preserve"> Services, print and hardware drag the blended multiple. This is a real and permanent cost of the completeness strategy (Volume II §6, Wedge 2) — and it is a cost worth paying, because completeness is what wins the customers in the first place. But it must be stated rather than wished away.</w:t>
      </w:r>
    </w:p>
    <w:p>
      <w:pPr>
        <w:pStyle w:val="ListParagraph"/>
        <w:numPr>
          <w:ilvl w:val="0"/>
          <w:numId w:val="2"/>
        </w:numPr>
        <w:spacing w:after="40" w:before="40" w:line="276"/>
      </w:pPr>
      <w:r>
        <w:rPr>
          <w:b/>
          <w:bCs/>
        </w:rPr>
        <w:t xml:space="preserve">The premium band is earned by two specific numbers: NRR and Rule of 40.</w:t>
      </w:r>
      <w:r>
        <w:t xml:space="preserve"> Everything in Volume V Chapter 7 exists to move the first. Everything in Volume I §6.2′s portfolio rule exists to make the second possible.</w:t>
      </w:r>
    </w:p>
    <w:p>
      <w:pPr>
        <w:pStyle w:val="Heading3"/>
      </w:pPr>
      <w:r>
        <w:t xml:space="preserve">5.5 The standing instruction on this chapter</w:t>
      </w:r>
    </w:p>
    <w:p>
      <w:pPr>
        <w:pStyle w:val="BodyText"/>
      </w:pPr>
      <w:r>
        <w:t xml:space="preserve">Anyone in this company who cites the $15–40B figure without the qualification in §5.3 is misrepresenting the company. Anyone who dismisses the ambition because it is improbable is misunderstanding the job. </w:t>
      </w:r>
      <w:r>
        <w:rPr>
          <w:b/>
          <w:bCs/>
        </w:rPr>
        <w:t xml:space="preserve">We plan against Scenario B, prepare for Scenario A, and build the company so that Scenario C remains structurally possible.</w:t>
      </w:r>
    </w:p>
    <w:p>
      <w:pPr>
        <w:pStyle w:val="Heading2"/>
        <w:pageBreakBefore/>
      </w:pPr>
      <w:r>
        <w:t xml:space="preserve">CHAPTER 6 — VALUATION LOGIC, HONESTLY STATED</w:t>
      </w:r>
    </w:p>
    <w:p>
      <w:pPr>
        <w:pStyle w:val="BodyText"/>
      </w:pPr>
      <w:r>
        <w:t xml:space="preserve">Beyond the multiple, the group’s value in any transaction rests on assets that are not on a balance sheet: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a buyer or investor values it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system of record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Ten-year institutional data that cannot be replicated by capital (Volume II §9)</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Credential infrastructure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credential we have ever issued must remain verifiable; whoever owns that owns a permanent utility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free-tier install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that cost no acquisition spend and cannot be bought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and marketplace ecosystem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 parties whose businesses depend on the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Trust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only asset that takes a decade to build and a day to lose, and the one that makes government and enterprise revenue possible at all</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Emerging-market-native architecture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hard for an incumbent to retrofit (Volume II §6, Wedge 7)</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Valuation Logic, Honestly Stated</w:t>
      </w:r>
    </w:p>
    <w:p>
      <w:pPr>
        <w:pStyle w:val="BodyText"/>
      </w:pPr>
      <w:r>
        <w:t xml:space="preserve">And the liabilities an honest assessment must state: concentration in volatile currencies · dependence on a founder through Phase I · a services and hardware mix that dilutes the multiple · exposure to foundation-model providers whose pricing and terms we do not control · and a customer base with structurally weaker retention economics than a developed-market equivalent.</w:t>
      </w:r>
    </w:p>
    <w:p>
      <w:pPr>
        <w:pStyle w:val="Heading2"/>
        <w:pageBreakBefore/>
      </w:pPr>
      <w:r>
        <w:t xml:space="preserve">CHAPTER 7 — CAPITAL STRATEGY</w:t>
      </w:r>
    </w:p>
    <w:p>
      <w:pPr>
        <w:pStyle w:val="Heading3"/>
      </w:pPr>
      <w:r>
        <w:t xml:space="preserve">7.1 The sequence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Constitutional condition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Bootstrap</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2027–2029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Services revenue funding product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the platform; prove unit economics</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None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Seed / strategic angel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2029–2030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Angels with sector or market knowledge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Reach Gate I; hire the executive layer</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Terms must not touch Volume I Ch. 5 or 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Series A</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VC, Africa or global</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launch; enterprise motion; first country entry</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seat acceptable; constitutional veto not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Series B/C</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2032–2035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Growth equity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International expansion; acquisitions; R&amp;D division</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Debt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Working-capital and hardware-inventory facilities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 receivables and hardware without dilution</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to fund losses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Pre-IPO / late growth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2037–2039</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Crossover funds, strategic investors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Scale, acquisitions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listing or independence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Decision, not assumption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7.3</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sequence</w:t>
      </w:r>
    </w:p>
    <w:p>
      <w:pPr>
        <w:pStyle w:val="Heading3"/>
      </w:pPr>
      <w:r>
        <w:t xml:space="preserve">7.2 The bootstrap doctrine of Phase I</w:t>
      </w:r>
    </w:p>
    <w:p>
      <w:pPr>
        <w:pStyle w:val="BodyText"/>
      </w:pPr>
      <w:r>
        <w:t xml:space="preserve">Phase I is funded primarily by services revenue. This is deliberate and it has a cost: it is slower. It buys three things worth the delay — the unit economics get proven with real money before anyone bets on them; the constitution is not negotiated away at a moment of weakness; and the founder retains the ability to run Phase I on Phase I’s terms rather than on an investor’s growth expectations.</w:t>
      </w:r>
    </w:p>
    <w:p>
      <w:pPr>
        <w:pStyle w:val="BodyText"/>
      </w:pPr>
      <w:r>
        <w:rPr>
          <w:b/>
          <w:bCs/>
        </w:rPr>
        <w:t xml:space="preserve">Do not raise institutional capital before Gate I.</w:t>
      </w:r>
      <w:r>
        <w:t xml:space="preserve"> Capital raised against an unproven model buys pressure to grow before the product deserves it, which is precisely the failure mode Phase I exists to avoid.</w:t>
      </w:r>
    </w:p>
    <w:p>
      <w:pPr>
        <w:pStyle w:val="Heading3"/>
      </w:pPr>
      <w:r>
        <w:t xml:space="preserve">7.3 The constitutional condition on capital</w:t>
      </w:r>
    </w:p>
    <w:p>
      <w:pPr>
        <w:pStyle w:val="BodyText"/>
      </w:pPr>
      <w:r>
        <w:rPr>
          <w:b/>
          <w:bCs/>
        </w:rPr>
        <w:t xml:space="preserve">If a term sheet requires amending Volume I Chapter 5 (the free constitution) or Chapter 7 (ethics), we decline the term sheet.</w:t>
      </w:r>
      <w:r>
        <w:t xml:space="preserve"> (Volume I §14.9.)</w:t>
      </w:r>
    </w:p>
    <w:p>
      <w:pPr>
        <w:pStyle w:val="BodyText"/>
      </w:pPr>
      <w:r>
        <w:t xml:space="preserve">This will cost the group money at least once. It is the single most important sentence in this chapter, because a company that will trade its constitution for capital does not have a constitution — it has a marketing document.</w:t>
      </w:r>
    </w:p>
    <w:p>
      <w:pPr>
        <w:pStyle w:val="BodyText"/>
      </w:pPr>
      <w:r>
        <w:t xml:space="preserve">Related conditions: no investor gets a veto over the entrenched provisions · no investor may compel entry into a declined sector (Volume I §7.4) · no investor may compel the sale or monetisation of customer data.</w:t>
      </w:r>
    </w:p>
    <w:p>
      <w:pPr>
        <w:pStyle w:val="Heading3"/>
      </w:pPr>
      <w:r>
        <w:t xml:space="preserve">7.4 On listing</w:t>
      </w:r>
    </w:p>
    <w:p>
      <w:pPr>
        <w:pStyle w:val="BodyText"/>
      </w:pPr>
      <w:r>
        <w:t xml:space="preserve">An IPO is a financing decision, not an achievement. It is appropriate only if the group needs public capital, can sustain quarterly scrutiny without degrading the twenty-year posture, and can protect the entrenched provisions through the listing structure. </w:t>
      </w:r>
      <w:r>
        <w:rPr>
          <w:b/>
          <w:bCs/>
        </w:rPr>
        <w:t xml:space="preserve">Remaining private and profitable is a legitimate permanent outcome</w:t>
      </w:r>
      <w:r>
        <w:t xml:space="preserve"> and is the base case in Scenario A.</w:t>
      </w:r>
    </w:p>
    <w:p>
      <w:pPr>
        <w:pStyle w:val="Heading2"/>
        <w:pageBreakBefore/>
      </w:pPr>
      <w:r>
        <w:t xml:space="preserve">CHAPTER 8 — CAPITAL ALLOCATION &amp; INVESTMENT FRAMEWORK</w:t>
      </w:r>
    </w:p>
    <w:p>
      <w:pPr>
        <w:pStyle w:val="Heading3"/>
      </w:pPr>
      <w:r>
        <w:t xml:space="preserve">8.1 Allocation of free cash flow, by phase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II</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&amp; development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Infrastructure &amp; platform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Hiring ahead of demonstrated demand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Sales &amp; marketing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International expansion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Strategic acquisitions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Emergency reserve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Distributions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Allocation of free cash flow, by phase</w:t>
      </w:r>
    </w:p>
    <w:p>
      <w:pPr>
        <w:pStyle w:val="Heading3"/>
      </w:pPr>
      <w:r>
        <w:t xml:space="preserve">8.2 The emergency reserve</w:t>
      </w:r>
    </w:p>
    <w:p>
      <w:pPr>
        <w:pStyle w:val="BodyText"/>
      </w:pPr>
      <w:r>
        <w:rPr>
          <w:b/>
          <w:bCs/>
        </w:rPr>
        <w:t xml:space="preserve">Never below six months of fully-loaded operating expense, in hard currency, in a jurisdiction outside the primary operating market.</w:t>
      </w:r>
    </w:p>
    <w:p>
      <w:pPr>
        <w:pStyle w:val="BodyText"/>
      </w:pPr>
      <w:r>
        <w:t xml:space="preserve">This is not conservatism for its own sake. It is a direct response to Volume II R1 (FX volatility), R2 (collection failure) and R9 (political shock). A company operating in naira-denominated markets with dollar-denominated costs and a customer base whose ability to pay is genuinely fragile needs a reserve that survives a bad year — and the years in which a reserve is needed are precisely the years in which raising capital is hardest.</w:t>
      </w:r>
    </w:p>
    <w:p>
      <w:pPr>
        <w:pStyle w:val="BodyText"/>
      </w:pPr>
      <w:r>
        <w:t xml:space="preserve">The reserve may be drawn only on Board decision, and drawing it triggers a mandatory plan to restore it.</w:t>
      </w:r>
    </w:p>
    <w:p>
      <w:pPr>
        <w:pStyle w:val="Heading3"/>
      </w:pPr>
      <w:r>
        <w:t xml:space="preserve">8.3 The investment test</w:t>
      </w:r>
    </w:p>
    <w:p>
      <w:pPr>
        <w:pStyle w:val="BodyText"/>
      </w:pPr>
      <w:r>
        <w:t xml:space="preserve">Every material investment answers, in writing, the same five questions the whole corpus is held to:</w:t>
      </w:r>
    </w:p>
    <w:p>
      <w:pPr>
        <w:pStyle w:val="ListParagraph"/>
        <w:numPr>
          <w:ilvl w:val="0"/>
          <w:numId w:val="2"/>
        </w:numPr>
        <w:spacing w:after="40" w:before="40" w:line="276"/>
      </w:pPr>
      <w:r>
        <w:rPr>
          <w:b/>
          <w:bCs/>
        </w:rPr>
        <w:t xml:space="preserve">Why is this included?</w:t>
      </w:r>
      <w:r>
        <w:t xml:space="preserve"> What does the group get that it does not have?</w:t>
      </w:r>
    </w:p>
    <w:p>
      <w:pPr>
        <w:pStyle w:val="ListParagraph"/>
        <w:numPr>
          <w:ilvl w:val="0"/>
          <w:numId w:val="2"/>
        </w:numPr>
        <w:spacing w:after="40" w:before="40" w:line="276"/>
      </w:pPr>
      <w:r>
        <w:rPr>
          <w:b/>
          <w:bCs/>
        </w:rPr>
        <w:t xml:space="preserve">What measurable value does it create?</w:t>
      </w:r>
      <w:r>
        <w:t xml:space="preserve"> In what units, by when?</w:t>
      </w:r>
    </w:p>
    <w:p>
      <w:pPr>
        <w:pStyle w:val="ListParagraph"/>
        <w:numPr>
          <w:ilvl w:val="0"/>
          <w:numId w:val="2"/>
        </w:numPr>
        <w:spacing w:after="40" w:before="40" w:line="276"/>
      </w:pPr>
      <w:r>
        <w:rPr>
          <w:b/>
          <w:bCs/>
        </w:rPr>
        <w:t xml:space="preserve">What risks does it introduce?</w:t>
      </w:r>
      <w:r>
        <w:t xml:space="preserve"> Including the risk of distraction.</w:t>
      </w:r>
    </w:p>
    <w:p>
      <w:pPr>
        <w:pStyle w:val="ListParagraph"/>
        <w:numPr>
          <w:ilvl w:val="0"/>
          <w:numId w:val="2"/>
        </w:numPr>
        <w:spacing w:after="40" w:before="40" w:line="276"/>
      </w:pPr>
      <w:r>
        <w:rPr>
          <w:b/>
          <w:bCs/>
        </w:rPr>
        <w:t xml:space="preserve">What assumptions underpin it?</w:t>
      </w:r>
      <w:r>
        <w:t xml:space="preserve"> Which one, if wrong, kills it?</w:t>
      </w:r>
    </w:p>
    <w:p>
      <w:pPr>
        <w:pStyle w:val="ListParagraph"/>
        <w:numPr>
          <w:ilvl w:val="0"/>
          <w:numId w:val="2"/>
        </w:numPr>
        <w:spacing w:after="40" w:before="40" w:line="276"/>
      </w:pPr>
      <w:r>
        <w:rPr>
          <w:b/>
          <w:bCs/>
        </w:rPr>
        <w:t xml:space="preserve">How will success be measured?</w:t>
      </w:r>
      <w:r>
        <w:t xml:space="preserve"> And who is accountable for measuring it?</w:t>
      </w:r>
    </w:p>
    <w:p>
      <w:pPr>
        <w:pStyle w:val="BodyText"/>
      </w:pPr>
      <w:r>
        <w:t xml:space="preserve">An investment case that cannot answer all five is not declined for being unattractive — it is declined for being unfinished.</w:t>
      </w:r>
    </w:p>
    <w:p>
      <w:pPr>
        <w:pStyle w:val="Heading3"/>
      </w:pPr>
      <w:r>
        <w:t xml:space="preserve">8.4 The R&amp;D commitment</w:t>
      </w:r>
    </w:p>
    <w:p>
      <w:pPr>
        <w:pStyle w:val="BodyText"/>
      </w:pPr>
      <w:r>
        <w:t xml:space="preserve">R&amp;D is funded as a </w:t>
      </w:r>
      <w:r>
        <w:rPr>
          <w:b/>
          <w:bCs/>
        </w:rPr>
        <w:t xml:space="preserve">fixed percentage of revenue, not as a residual after other budgets are met.</w:t>
      </w:r>
      <w:r>
        <w:t xml:space="preserve"> A residual R&amp;D budget is the first thing cut under pressure and the last thing recovered, and a company that stops investing in R&amp;D during a hard year has traded its next decade for its current quarter. The percentage is set in §8.1 and may be reduced only by Board decision.</w:t>
      </w:r>
    </w:p>
    <w:p>
      <w:pPr>
        <w:pStyle w:val="Heading2"/>
        <w:pageBreakBefore/>
      </w:pPr>
      <w:r>
        <w:t xml:space="preserve">CHAPTER 9 — INTERNATIONAL EXPANSION</w:t>
      </w:r>
    </w:p>
    <w:p>
      <w:pPr>
        <w:pStyle w:val="Heading3"/>
      </w:pPr>
      <w:r>
        <w:t xml:space="preserve">9.1 The sequence and its logic</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Wave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Markets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here, why now</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Home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founding market; proof; referral density; 107,017 private schools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Ghana, Kenya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(2031–32)</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Anglophone, similar education structures, credential fraud is a live issue, low regulatory delta</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(2032–33)</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Diaspora bridge; Band C revenue; credibility that reflects back into African markets; </w:t>
            </w:r>
            <w:r>
              <w:rPr>
                <w:rFonts w:ascii="DejaVu Sans" w:cs="DejaVu Sans" w:eastAsia="DejaVu Sans" w:hAnsi="DejaVu Sans"/>
                <w:b/>
                <w:bCs/>
                <w:color w:val="0D1117"/>
                <w:sz w:val="16"/>
                <w:szCs w:val="16"/>
              </w:rPr>
              <w:t xml:space="preserve">and geographic risk diversification</w:t>
            </w:r>
            <w:r>
              <w:rPr>
                <w:rFonts w:ascii="DejaVu Sans" w:cs="DejaVu Sans" w:eastAsia="DejaVu Sans" w:hAnsi="DejaVu Sans"/>
                <w:color w:val="0D1117"/>
                <w:sz w:val="16"/>
                <w:szCs w:val="16"/>
              </w:rPr>
              <w:t xml:space="preserve"> (Volume II R9)</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Saudi Arabia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(2033–34)</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Arabic-first capability is already built and is a genuine differentiator; large education and government spend; Islamic publishing and institutions are a natural fit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South Africa, Egypt, Tanzania, Rwanda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II–III (2034–36)</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Regional depth; Rwanda and Egypt as government-partnership entries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(2036–37)</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market, hardest to win; entered only with scale, references and capital already in place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Canada, EU (France, Germany)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(2037–38)</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French capability already built; EU data-residency posture already required by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Pakistan, Indonesia, Malaysia, Bangladesh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(2038–39)</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Muslim-majority education markets where the Islamic-education capability is decisive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Latin America (Brazil, Mexico), India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(2039–40)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competitive, entered last and only through partnership or acquisition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sequence and its logic</w:t>
      </w:r>
    </w:p>
    <w:p>
      <w:pPr>
        <w:pStyle w:val="Heading3"/>
      </w:pPr>
      <w:r>
        <w:t xml:space="preserve">9.2 The three entry modes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 when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Speed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Partner-first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market is reachable through an existing distribution network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Fastest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Acquisition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credible local player exists and integration is realistic</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Direct entry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market is strategically essential and no partner or target is adequate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Slowest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three entry modes</w:t>
      </w:r>
    </w:p>
    <w:p>
      <w:pPr>
        <w:pStyle w:val="BodyText"/>
      </w:pPr>
      <w:r>
        <w:rPr>
          <w:b/>
          <w:bCs/>
        </w:rPr>
        <w:t xml:space="preserve">Default to partner-first.</w:t>
      </w:r>
      <w:r>
        <w:t xml:space="preserve"> Direct entry into a market where we have no relationships, no local leadership and no reference customers is the most reliable way to spend two years learning what a partner would have told us in a month.</w:t>
      </w:r>
    </w:p>
    <w:p>
      <w:pPr>
        <w:pStyle w:val="Heading3"/>
      </w:pPr>
      <w:r>
        <w:t xml:space="preserve">9.3 The localisation obligation</w:t>
      </w:r>
    </w:p>
    <w:p>
      <w:pPr>
        <w:pStyle w:val="BodyText"/>
      </w:pPr>
      <w:r>
        <w:t xml:space="preserve">A market is not entered by translating the website. Entry requires: language (properly — Volume IV §11), currency and local payment rails, local legal entity and tax registration, data residency where required, local employment compliance, curriculum or sector-standard alignment, local support hours, local pricing band (Volume I §6.4), and </w:t>
      </w:r>
      <w:r>
        <w:rPr>
          <w:b/>
          <w:bCs/>
        </w:rPr>
        <w:t xml:space="preserve">local leadership with genuine authority</w:t>
      </w:r>
      <w:r>
        <w:t xml:space="preserve">. A country run remotely by headquarters is a country we will lose.</w:t>
      </w:r>
    </w:p>
    <w:p>
      <w:pPr>
        <w:pStyle w:val="Heading2"/>
        <w:pageBreakBefore/>
      </w:pPr>
      <w:r>
        <w:t xml:space="preserve">CHAPTER 10 — THE MARKET-ENTRY CHECKLIST</w:t>
      </w:r>
    </w:p>
    <w:p>
      <w:pPr>
        <w:pStyle w:val="EditorialNote"/>
      </w:pPr>
      <w:r>
        <w:t xml:space="preserve">Every item must be complete and signed off before the first customer contract in a new country. Executive and Board approval per Volume I §8.3.</w:t>
      </w:r>
    </w:p>
    <w:p>
      <w:pPr>
        <w:pStyle w:val="BodyText"/>
      </w:pPr>
      <w:r>
        <w:rPr>
          <w:b/>
          <w:bCs/>
        </w:rPr>
        <w:t xml:space="preserve">Legal &amp; regulatory</w:t>
      </w:r>
      <w:r>
        <w:t xml:space="preserve"> ☐ Entity incorporated ☐ Tax registration ☐ Employment compliance reviewed ☐ Data protection regime mapped and implemented ☐ Sector regulator requirements documented ☐ Trademark filed ☐ Contracts localised by local counsel ☐ Sanctions and export-control screening ☐ Anti-corruption exposure assessed (Volume I §6.6)</w:t>
      </w:r>
    </w:p>
    <w:p>
      <w:pPr>
        <w:pStyle w:val="BodyText"/>
      </w:pPr>
      <w:r>
        <w:rPr>
          <w:b/>
          <w:bCs/>
        </w:rPr>
        <w:t xml:space="preserve">Commercial</w:t>
      </w:r>
      <w:r>
        <w:t xml:space="preserve"> ☐ Market sized by the Volume II §2.2 method with dated inputs ☐ Price band assigned ☐ Competitors mapped ☐ At least three reference prospects identified ☐ Partner or acquisition target assessed ☐ Payment rails live ☐ Local currency handling ☐ Collection risk assessed</w:t>
      </w:r>
    </w:p>
    <w:p>
      <w:pPr>
        <w:pStyle w:val="BodyText"/>
      </w:pPr>
      <w:r>
        <w:rPr>
          <w:b/>
          <w:bCs/>
        </w:rPr>
        <w:t xml:space="preserve">Product</w:t>
      </w:r>
      <w:r>
        <w:t xml:space="preserve"> ☐ Language complete ☐ Curriculum/sector standards mapped ☐ Local integrations built (payments, examination boards, regulators) ☐ Data residency in place if required ☐ Accessibility to local standard ☐ Offline/low-bandwidth verified on local networks</w:t>
      </w:r>
    </w:p>
    <w:p>
      <w:pPr>
        <w:pStyle w:val="BodyText"/>
      </w:pPr>
      <w:r>
        <w:rPr>
          <w:b/>
          <w:bCs/>
        </w:rPr>
        <w:t xml:space="preserve">Operational</w:t>
      </w:r>
      <w:r>
        <w:t xml:space="preserve"> ☐ Local leader hired, with authority ☐ Support hours covered ☐ Delivery capacity confirmed in writing ☐ Escalation path defined ☐ Local banking ☐ Insurance ☐ Office or remote model decided</w:t>
      </w:r>
    </w:p>
    <w:p>
      <w:pPr>
        <w:pStyle w:val="BodyText"/>
      </w:pPr>
      <w:r>
        <w:rPr>
          <w:b/>
          <w:bCs/>
        </w:rPr>
        <w:t xml:space="preserve">Financial</w:t>
      </w:r>
      <w:r>
        <w:t xml:space="preserve"> ☐ Entry budget approved ☐ Break-even modelled with stated assumptions ☐ FX exposure hedged or accepted explicitly ☐ </w:t>
      </w:r>
      <w:r>
        <w:rPr>
          <w:b/>
          <w:bCs/>
        </w:rPr>
        <w:t xml:space="preserve">Exit criteria defined</w:t>
      </w:r>
      <w:r>
        <w:t xml:space="preserve"> — what would make us withdraw, and by when</w:t>
      </w:r>
    </w:p>
    <w:p>
      <w:pPr>
        <w:pStyle w:val="BodyText"/>
      </w:pPr>
      <w:r>
        <w:rPr>
          <w:b/>
          <w:bCs/>
        </w:rPr>
        <w:t xml:space="preserve">That last item is the one most often omitted and the most valuable.</w:t>
      </w:r>
      <w:r>
        <w:t xml:space="preserve"> A market entry with no pre-agreed failure condition will be defended indefinitely by the people who championed it.</w:t>
      </w:r>
    </w:p>
    <w:p>
      <w:pPr>
        <w:pStyle w:val="Heading2"/>
        <w:pageBreakBefore/>
      </w:pPr>
      <w:r>
        <w:t xml:space="preserve">CHAPTER 11 — ACQUISITION STRATEGY</w:t>
      </w:r>
    </w:p>
    <w:p>
      <w:pPr>
        <w:pStyle w:val="Heading3"/>
      </w:pPr>
      <w:r>
        <w:t xml:space="preserve">11.1 The doctrine</w:t>
      </w:r>
    </w:p>
    <w:p>
      <w:pPr>
        <w:pStyle w:val="BodyText"/>
      </w:pPr>
      <w:r>
        <w:rPr>
          <w:b/>
          <w:bCs/>
        </w:rPr>
        <w:t xml:space="preserve">Acquire capability, market access, or a team — never size.</w:t>
      </w:r>
      <w:r>
        <w:t xml:space="preserve"> An acquisition that adds revenue without adding one of those three adds integration risk, cultural dilution and management distraction in exchange for a number.</w:t>
      </w:r>
    </w:p>
    <w:p>
      <w:pPr>
        <w:pStyle w:val="BodyText"/>
      </w:pPr>
      <w:r>
        <w:t xml:space="preserve">Acquisitions begin in Phase II (§8.1 allocates no acquisition capital in Phase I) and become material in Phase III.</w:t>
      </w:r>
    </w:p>
    <w:p>
      <w:pPr>
        <w:pStyle w:val="Heading3"/>
      </w:pPr>
      <w:r>
        <w:t xml:space="preserve">11.2 The target categories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Category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we would buy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 &amp; creative studios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capability, art direction, a book of institutional clients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capacity is the hardest to hire and the slowest to build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teams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Applied research capability, agent tooling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 not models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Fintech / payments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Licences, rails, compliance infrastructure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Licences take years; buying them is often the only realistic path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EdTech (regional)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Installed base, local relationships, market entry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fastest legitimate route into a new country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Publishing houses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Catalogue, rights, editorial capability, distribution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§7 at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Cybersecurity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 and credibility for government and enterprise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Buys the posture Volume VII §8 requires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 / infrastructure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Capacity, regional presence, residency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Improves cloud gross margin and sovereignty options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Analytics / data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Division 9</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 vendors (Class 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 and continuity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Often the graceful outcome for a competitor that is failing (Volume II §5.1)</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target categories</w:t>
      </w:r>
    </w:p>
    <w:p>
      <w:pPr>
        <w:pStyle w:val="Heading3"/>
      </w:pPr>
      <w:r>
        <w:t xml:space="preserve">11.3 The acquisition test</w:t>
      </w:r>
    </w:p>
    <w:p>
      <w:pPr>
        <w:pStyle w:val="BodyText"/>
      </w:pPr>
      <w:r>
        <w:t xml:space="preserve">Every target must pass </w:t>
      </w:r>
      <w:r>
        <w:rPr>
          <w:b/>
          <w:bCs/>
        </w:rPr>
        <w:t xml:space="preserve">all seven</w:t>
      </w:r>
      <w:r>
        <w:t xml:space="preserve">:</w:t>
      </w:r>
    </w:p>
    <w:p>
      <w:pPr>
        <w:pStyle w:val="ListParagraph"/>
        <w:numPr>
          <w:ilvl w:val="0"/>
          <w:numId w:val="2"/>
        </w:numPr>
        <w:spacing w:after="40" w:before="40" w:line="276"/>
      </w:pPr>
      <w:r>
        <w:rPr>
          <w:b/>
          <w:bCs/>
        </w:rPr>
        <w:t xml:space="preserve">Strategic fit</w:t>
      </w:r>
      <w:r>
        <w:t xml:space="preserve"> — it advances a named objective in this corpus, not merely an adjacent opportunity.</w:t>
      </w:r>
    </w:p>
    <w:p>
      <w:pPr>
        <w:pStyle w:val="ListParagraph"/>
        <w:numPr>
          <w:ilvl w:val="0"/>
          <w:numId w:val="2"/>
        </w:numPr>
        <w:spacing w:after="40" w:before="40" w:line="276"/>
      </w:pPr>
      <w:r>
        <w:rPr>
          <w:b/>
          <w:bCs/>
        </w:rPr>
        <w:t xml:space="preserve">Cultural fit</w:t>
      </w:r>
      <w:r>
        <w:t xml:space="preserve"> — would we hire these people? Do they share the Volume I §7 ethics? </w:t>
      </w:r>
      <w:r>
        <w:rPr>
          <w:i/>
          <w:iCs/>
        </w:rPr>
        <w:t xml:space="preserve">A team that would not pass our ethics review is not acquirable at any price.</w:t>
      </w:r>
    </w:p>
    <w:p>
      <w:pPr>
        <w:pStyle w:val="ListParagraph"/>
        <w:numPr>
          <w:ilvl w:val="0"/>
          <w:numId w:val="2"/>
        </w:numPr>
        <w:spacing w:after="40" w:before="40" w:line="276"/>
      </w:pPr>
      <w:r>
        <w:rPr>
          <w:b/>
          <w:bCs/>
        </w:rPr>
        <w:t xml:space="preserve">Integration plan exists</w:t>
      </w:r>
      <w:r>
        <w:t xml:space="preserve"> — written before the offer, naming who integrates it and by when.</w:t>
      </w:r>
    </w:p>
    <w:p>
      <w:pPr>
        <w:pStyle w:val="ListParagraph"/>
        <w:numPr>
          <w:ilvl w:val="0"/>
          <w:numId w:val="2"/>
        </w:numPr>
        <w:spacing w:after="40" w:before="40" w:line="276"/>
      </w:pPr>
      <w:r>
        <w:rPr>
          <w:b/>
          <w:bCs/>
        </w:rPr>
        <w:t xml:space="preserve">The team stays</w:t>
      </w:r>
      <w:r>
        <w:t xml:space="preserve"> — key people committed, or the acquisition is of assets and priced as such.</w:t>
      </w:r>
    </w:p>
    <w:p>
      <w:pPr>
        <w:pStyle w:val="ListParagraph"/>
        <w:numPr>
          <w:ilvl w:val="0"/>
          <w:numId w:val="2"/>
        </w:numPr>
        <w:spacing w:after="40" w:before="40" w:line="276"/>
      </w:pPr>
      <w:r>
        <w:rPr>
          <w:b/>
          <w:bCs/>
        </w:rPr>
        <w:t xml:space="preserve">Clean diligence</w:t>
      </w:r>
      <w:r>
        <w:t xml:space="preserve"> — legal, financial, technical, security, IP ownership, customer contracts, and data-handling practices. </w:t>
      </w:r>
      <w:r>
        <w:rPr>
          <w:b/>
          <w:bCs/>
        </w:rPr>
        <w:t xml:space="preserve">A target that has been selling or mishandling customer data is not acquirable</w:t>
      </w:r>
      <w:r>
        <w:t xml:space="preserve">, regardless of its numbers.</w:t>
      </w:r>
    </w:p>
    <w:p>
      <w:pPr>
        <w:pStyle w:val="ListParagraph"/>
        <w:numPr>
          <w:ilvl w:val="0"/>
          <w:numId w:val="2"/>
        </w:numPr>
        <w:spacing w:after="40" w:before="40" w:line="276"/>
      </w:pPr>
      <w:r>
        <w:rPr>
          <w:b/>
          <w:bCs/>
        </w:rPr>
        <w:t xml:space="preserve">We can afford to be wrong</w:t>
      </w:r>
      <w:r>
        <w:t xml:space="preserve"> — no single acquisition may risk the group.</w:t>
      </w:r>
    </w:p>
    <w:p>
      <w:pPr>
        <w:pStyle w:val="ListParagraph"/>
        <w:numPr>
          <w:ilvl w:val="0"/>
          <w:numId w:val="2"/>
        </w:numPr>
        <w:spacing w:after="40" w:before="40" w:line="276"/>
      </w:pPr>
      <w:r>
        <w:rPr>
          <w:b/>
          <w:bCs/>
        </w:rPr>
        <w:t xml:space="preserve">The alternative was considered</w:t>
      </w:r>
      <w:r>
        <w:t xml:space="preserve"> — build, partner or buy, compared explicitly. Buying because it is faster is a valid answer only when the comparison was actually made.</w:t>
      </w:r>
    </w:p>
    <w:p>
      <w:pPr>
        <w:pStyle w:val="Heading3"/>
      </w:pPr>
      <w:r>
        <w:t xml:space="preserve">11.4 Post-acquisition</w:t>
      </w:r>
    </w:p>
    <w:p>
      <w:pPr>
        <w:pStyle w:val="BodyText"/>
      </w:pPr>
      <w:r>
        <w:t xml:space="preserve">Constitution applies from day one — the acquired team is briefed on Volume I before anything else · customers are told what changes and what does not, in the first week · </w:t>
      </w:r>
      <w:r>
        <w:rPr>
          <w:b/>
          <w:bCs/>
        </w:rPr>
        <w:t xml:space="preserve">existing customer prices are honoured for their term</w:t>
      </w:r>
      <w:r>
        <w:t xml:space="preserve"> (Volume I §6.3.6 applies to inherited contracts) · products are integrated onto the platform or explicitly sunset with a stated date and a migration path, never left to drift · </w:t>
      </w:r>
      <w:r>
        <w:rPr>
          <w:b/>
          <w:bCs/>
        </w:rPr>
        <w:t xml:space="preserve">and if the acquisition competes with an existing partner, we say so immediately and offer a transition</w:t>
      </w:r>
      <w:r>
        <w:t xml:space="preserve"> (Volume V §9.5).</w:t>
      </w:r>
    </w:p>
    <w:p>
      <w:pPr>
        <w:pStyle w:val="Heading3"/>
      </w:pPr>
      <w:r>
        <w:t xml:space="preserve">11.5 The standing caution</w:t>
      </w:r>
    </w:p>
    <w:p>
      <w:pPr>
        <w:pStyle w:val="BodyText"/>
      </w:pPr>
      <w:r>
        <w:t xml:space="preserve">Most acquisitions in most companies destroy value. The group’s default answer is </w:t>
      </w:r>
      <w:r>
        <w:rPr>
          <w:b/>
          <w:bCs/>
        </w:rPr>
        <w:t xml:space="preserve">build or partner</w:t>
      </w:r>
      <w:r>
        <w:t xml:space="preserve">. Acquisition is the exception, requires an explicit case against the alternatives, and is reviewed 24 months later against the case that justified it — with the review published internally whether it flatters the decision or not.</w:t>
      </w:r>
    </w:p>
    <w:p>
      <w:pPr>
        <w:pStyle w:val="Heading2"/>
        <w:pageBreakBefore/>
      </w:pPr>
      <w:r>
        <w:t xml:space="preserve">CHAPTER 12 — FINANCIAL CONTROLS &amp; REPORTING</w:t>
      </w:r>
    </w:p>
    <w:p>
      <w:pPr>
        <w:pStyle w:val="BodyText"/>
      </w:pPr>
      <w:r>
        <w:rPr>
          <w:b/>
          <w:bCs/>
        </w:rPr>
        <w:t xml:space="preserve">Controls.</w:t>
      </w:r>
      <w:r>
        <w:t xml:space="preserve"> Segregation of duties · documented approval thresholds and a delegation-of-authority matrix · dual authorisation above threshold · monthly bank and revenue reconciliation · fixed-asset register · </w:t>
      </w:r>
      <w:r>
        <w:rPr>
          <w:b/>
          <w:bCs/>
        </w:rPr>
        <w:t xml:space="preserve">no cash payments to officials, ever</w:t>
      </w:r>
      <w:r>
        <w:t xml:space="preserve"> (Volume I §6.6) · expense policy with published limits · related-party transactions disclosed to the Board · annual external audit from the point the group exceeds $10M revenue · an internal audit function independent of finance above $25M (Volume I §8.6).</w:t>
      </w:r>
    </w:p>
    <w:p>
      <w:pPr>
        <w:pStyle w:val="BodyText"/>
      </w:pPr>
      <w:r>
        <w:rPr>
          <w:b/>
          <w:bCs/>
        </w:rPr>
        <w:t xml:space="preserve">Reporting cadence.</w:t>
      </w:r>
      <w:r>
        <w:t xml:space="preserve"> Weekly: cash, collections, pipeline. Monthly: divisional P&amp;L against margin band, revenue by engine, headcount, ARR/NRR/GRR, CAC payback, Rule of 40. Quarterly: full management accounts, Pricing Council report and changelog, risk register review, ethics docket. Annually: audited accounts, strategy review, corpus amendment cycle.</w:t>
      </w:r>
    </w:p>
    <w:p>
      <w:pPr>
        <w:pStyle w:val="BodyText"/>
      </w:pPr>
      <w:r>
        <w:rPr>
          <w:b/>
          <w:bCs/>
        </w:rPr>
        <w:t xml:space="preserve">The reporting honesty rule.</w:t>
      </w:r>
      <w:r>
        <w:t xml:space="preserve"> Bookings are always reported alongside 90-day adoption, in the same table (Volume V §12.5). A board pack that shows bookings without adoption is not a board pack, it is a sales presentation.</w:t>
      </w:r>
    </w:p>
    <w:p>
      <w:pPr>
        <w:pStyle w:val="Heading2"/>
        <w:pageBreakBefore/>
      </w:pPr>
      <w:r>
        <w:t xml:space="preserve">CHAPTER 13 — WHAT WOULD MAKE THIS PLAN WRONG</w:t>
      </w:r>
    </w:p>
    <w:p>
      <w:pPr>
        <w:pStyle w:val="EditorialNote"/>
      </w:pPr>
      <w:r>
        <w:t xml:space="preserve">A plan that cannot state its own falsification conditions is not a plan. Each of these is monitored, with a named owner, and any one of them triggering requires the plan to be revised rather than defended.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Condition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would mean</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Detected by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NRR stays below 105% through Phase 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expansion ladder does not work; Scenarios B and C are unavailable; the group is a Scenario A business and should be run as one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 §12.3, 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CAC payback exceeds 18 months in the home market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density is weaker than assumed; growth requires capital we planned not to need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cohort analysis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Gross retention falls below 88%</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cannot sustain the recurring commitment; the Band A pricing model needs restructuring, not defending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cost per converted customer exceeds CAC of paid channels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free engine is a cost centre rather than a distribution strategy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free-tier unit economics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inference cost per task stops falling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Chapter 4.2 margin trajectory breaks; consumption pricing must be restructured</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well-funded competitor replicates the transparency and completeness wedges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Volume II §6 advantage compresses faster than the durable moats can form</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Competitive review, quarterly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quality degrades as volume grows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must be slowed; this is the failure that ends companies like ours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Adoption rates, health scores, go-lives requiring heroics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founder remains structurally indispensable at Gate I</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cannot open. Gate 10 exists precisely for this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 I assessment, by absence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FX movement makes Band A revenue unviable in USD terms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bands, not the strategy, must change — but the model’s dollar figures become unreliable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security incident involving children’s data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Existential for trust. Volume IV Chapters 12–17 exist to prevent it, and Volume I §4.3 governs the response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What Would Make This Plan Wrong</w:t>
      </w:r>
    </w:p>
    <w:p>
      <w:pPr>
        <w:pStyle w:val="BodyText"/>
      </w:pPr>
      <w:r>
        <w:rPr>
          <w:b/>
          <w:bCs/>
        </w:rPr>
        <w:t xml:space="preserve">The standing instruction:</w:t>
      </w:r>
      <w:r>
        <w:t xml:space="preserve"> when one of these triggers, the correct response is to change the plan. The incorrect response — and the common one — is to change the measurement.</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pinhurt8tak86zgcddixn">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ufamuho8napx06ux_pgvd">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cpqx6h1hnxmatnw3bta2r">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1k9ti1_zoetjoxhqncwjl">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kbx6loppp6kqf0_rf9cq3">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r6ny45lljvvdtwcpw5swc">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xtnwdbd2zg-larz7uaob7">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6mxuwzv9_o8lluwhockcg">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reyt20bfdjnotuqf4u06h">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qbizbfazxds4nodwtbotd">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pzf0-jdznwq_n1kj0nhif">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26, 28, 30</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6, 7, 26, 30</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7, 18, 26, 30</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CAC payback</w:t>
      </w:r>
      <w:r>
        <w:rPr>
          <w:rFonts w:ascii="DejaVu Sans" w:cs="DejaVu Sans" w:eastAsia="DejaVu Sans" w:hAnsi="DejaVu Sans"/>
          <w:color w:val="6B7480"/>
          <w:sz w:val="16"/>
          <w:szCs w:val="16"/>
        </w:rPr>
        <w:t xml:space="preserve">  7, 30</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11, 13, 18, 26, 29, 30</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3, 30</w:t>
      </w:r>
    </w:p>
    <w:p>
      <w:pPr>
        <w:spacing w:after="30" w:before="0" w:line="250"/>
        <w:ind w:left="240" w:hanging="240"/>
      </w:pPr>
      <w:r>
        <w:rPr>
          <w:sz w:val="17"/>
          <w:szCs w:val="17"/>
        </w:rPr>
        <w:t xml:space="preserve">Entrenched provision</w:t>
      </w:r>
      <w:r>
        <w:rPr>
          <w:rFonts w:ascii="DejaVu Sans" w:cs="DejaVu Sans" w:eastAsia="DejaVu Sans" w:hAnsi="DejaVu Sans"/>
          <w:color w:val="6B7480"/>
          <w:sz w:val="16"/>
          <w:szCs w:val="16"/>
        </w:rPr>
        <w:t xml:space="preserve">  15, 30</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28, 30</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1, 5, 14, 24, 26, 30</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28, 30</w:t>
      </w:r>
    </w:p>
    <w:p>
      <w:pPr>
        <w:pBdr>
          <w:bottom w:val="single" w:color="C9CFD9" w:sz="3" w:space="4"/>
        </w:pBdr>
        <w:spacing w:after="100" w:before="240"/>
      </w:pPr>
      <w:r>
        <w:rPr>
          <w:rFonts w:ascii="DejaVu Serif" w:cs="DejaVu Serif" w:eastAsia="DejaVu Serif" w:hAnsi="DejaVu Serif"/>
          <w:b/>
          <w:bCs/>
          <w:color w:val="1B6EF3"/>
          <w:sz w:val="22"/>
          <w:szCs w:val="22"/>
        </w:rPr>
        <w:t xml:space="preserve">L</w:t>
      </w:r>
    </w:p>
    <w:p>
      <w:pPr>
        <w:spacing w:after="30" w:before="0" w:line="250"/>
        <w:ind w:left="240" w:hanging="240"/>
      </w:pPr>
      <w:r>
        <w:rPr>
          <w:sz w:val="17"/>
          <w:szCs w:val="17"/>
        </w:rPr>
        <w:t xml:space="preserve">LTV</w:t>
      </w:r>
      <w:r>
        <w:rPr>
          <w:rFonts w:ascii="DejaVu Sans" w:cs="DejaVu Sans" w:eastAsia="DejaVu Sans" w:hAnsi="DejaVu Sans"/>
          <w:color w:val="6B7480"/>
          <w:sz w:val="16"/>
          <w:szCs w:val="16"/>
        </w:rPr>
        <w:t xml:space="preserve">  6, 30</w:t>
      </w:r>
    </w:p>
    <w:p>
      <w:pPr>
        <w:pBdr>
          <w:bottom w:val="single" w:color="C9CFD9" w:sz="3" w:space="4"/>
        </w:pBdr>
        <w:spacing w:after="100" w:before="240"/>
      </w:pPr>
      <w:r>
        <w:rPr>
          <w:rFonts w:ascii="DejaVu Serif" w:cs="DejaVu Serif" w:eastAsia="DejaVu Serif" w:hAnsi="DejaVu Serif"/>
          <w:b/>
          <w:bCs/>
          <w:color w:val="1B6EF3"/>
          <w:sz w:val="22"/>
          <w:szCs w:val="22"/>
        </w:rPr>
        <w:t xml:space="preserve">M</w:t>
      </w:r>
    </w:p>
    <w:p>
      <w:pPr>
        <w:spacing w:after="30" w:before="0" w:line="250"/>
        <w:ind w:left="240" w:hanging="240"/>
      </w:pPr>
      <w:r>
        <w:rPr>
          <w:sz w:val="17"/>
          <w:szCs w:val="17"/>
        </w:rPr>
        <w:t xml:space="preserve">Marketplace</w:t>
      </w:r>
      <w:r>
        <w:rPr>
          <w:rFonts w:ascii="DejaVu Sans" w:cs="DejaVu Sans" w:eastAsia="DejaVu Sans" w:hAnsi="DejaVu Sans"/>
          <w:color w:val="6B7480"/>
          <w:sz w:val="16"/>
          <w:szCs w:val="16"/>
        </w:rPr>
        <w:t xml:space="preserve">  11</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5, 27, 28</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27</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11, 12, 24, 27, 28</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28</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Phase gate</w:t>
      </w:r>
      <w:r>
        <w:rPr>
          <w:rFonts w:ascii="DejaVu Sans" w:cs="DejaVu Sans" w:eastAsia="DejaVu Sans" w:hAnsi="DejaVu Sans"/>
          <w:color w:val="6B7480"/>
          <w:sz w:val="16"/>
          <w:szCs w:val="16"/>
        </w:rPr>
        <w:t xml:space="preserve">  5</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27</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29, 31</w:t>
      </w:r>
    </w:p>
    <w:p>
      <w:pPr>
        <w:spacing w:after="30" w:before="0" w:line="250"/>
        <w:ind w:left="240" w:hanging="240"/>
      </w:pPr>
      <w:r>
        <w:rPr>
          <w:sz w:val="17"/>
          <w:szCs w:val="17"/>
        </w:rPr>
        <w:t xml:space="preserve">Rule of 40</w:t>
      </w:r>
      <w:r>
        <w:rPr>
          <w:rFonts w:ascii="DejaVu Sans" w:cs="DejaVu Sans" w:eastAsia="DejaVu Sans" w:hAnsi="DejaVu Sans"/>
          <w:color w:val="6B7480"/>
          <w:sz w:val="16"/>
          <w:szCs w:val="16"/>
        </w:rPr>
        <w:t xml:space="preserve">  11, 12, 31</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SpaceTalk</w:t>
      </w:r>
      <w:r>
        <w:rPr>
          <w:rFonts w:ascii="DejaVu Sans" w:cs="DejaVu Sans" w:eastAsia="DejaVu Sans" w:hAnsi="DejaVu Sans"/>
          <w:color w:val="6B7480"/>
          <w:sz w:val="16"/>
          <w:szCs w:val="16"/>
        </w:rPr>
        <w:t xml:space="preserve">  11, 31</w:t>
      </w:r>
    </w:p>
    <w:p>
      <w:pPr>
        <w:spacing w:after="30" w:before="0" w:line="250"/>
        <w:ind w:left="240" w:hanging="240"/>
      </w:pPr>
      <w:r>
        <w:rPr>
          <w:sz w:val="17"/>
          <w:szCs w:val="17"/>
        </w:rPr>
        <w:t xml:space="preserve">StromeX Identity</w:t>
      </w:r>
      <w:r>
        <w:rPr>
          <w:rFonts w:ascii="DejaVu Sans" w:cs="DejaVu Sans" w:eastAsia="DejaVu Sans" w:hAnsi="DejaVu Sans"/>
          <w:color w:val="6B7480"/>
          <w:sz w:val="16"/>
          <w:szCs w:val="16"/>
        </w:rPr>
        <w:t xml:space="preserve">  11, 31</w:t>
      </w:r>
    </w:p>
    <w:p>
      <w:pPr>
        <w:spacing w:after="30" w:before="0" w:line="250"/>
        <w:ind w:left="240" w:hanging="240"/>
      </w:pPr>
      <w:r>
        <w:rPr>
          <w:sz w:val="17"/>
          <w:szCs w:val="17"/>
        </w:rPr>
        <w:t xml:space="preserve">StromeX Pay</w:t>
      </w:r>
      <w:r>
        <w:rPr>
          <w:rFonts w:ascii="DejaVu Sans" w:cs="DejaVu Sans" w:eastAsia="DejaVu Sans" w:hAnsi="DejaVu Sans"/>
          <w:color w:val="6B7480"/>
          <w:sz w:val="16"/>
          <w:szCs w:val="16"/>
        </w:rPr>
        <w:t xml:space="preserve">  3, 31</w:t>
      </w:r>
    </w:p>
    <w:p>
      <w:pPr>
        <w:spacing w:after="30" w:before="0" w:line="250"/>
        <w:ind w:left="240" w:hanging="240"/>
      </w:pPr>
      <w:r>
        <w:rPr>
          <w:sz w:val="17"/>
          <w:szCs w:val="17"/>
        </w:rPr>
        <w:t xml:space="preserve">System of record</w:t>
      </w:r>
      <w:r>
        <w:rPr>
          <w:rFonts w:ascii="DejaVu Sans" w:cs="DejaVu Sans" w:eastAsia="DejaVu Sans" w:hAnsi="DejaVu Sans"/>
          <w:color w:val="6B7480"/>
          <w:sz w:val="16"/>
          <w:szCs w:val="16"/>
        </w:rPr>
        <w:t xml:space="preserve">  13, 31</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8, 11, 27, 29, 31</w:t>
      </w:r>
    </w:p>
    <w:p>
      <w:pPr>
        <w:pBdr>
          <w:bottom w:val="single" w:color="C9CFD9" w:sz="3" w:space="4"/>
        </w:pBdr>
        <w:spacing w:after="100" w:before="240"/>
      </w:pPr>
      <w:r>
        <w:rPr>
          <w:rFonts w:ascii="DejaVu Serif" w:cs="DejaVu Serif" w:eastAsia="DejaVu Serif" w:hAnsi="DejaVu Serif"/>
          <w:b/>
          <w:bCs/>
          <w:color w:val="1B6EF3"/>
          <w:sz w:val="22"/>
          <w:szCs w:val="22"/>
        </w:rPr>
        <w:t xml:space="preserve">W</w:t>
      </w:r>
    </w:p>
    <w:p>
      <w:pPr>
        <w:spacing w:after="30" w:before="0" w:line="250"/>
        <w:ind w:left="240" w:hanging="240"/>
      </w:pPr>
      <w:r>
        <w:rPr>
          <w:sz w:val="17"/>
          <w:szCs w:val="17"/>
        </w:rPr>
        <w:t xml:space="preserve">Wave</w:t>
      </w:r>
      <w:r>
        <w:rPr>
          <w:rFonts w:ascii="DejaVu Sans" w:cs="DejaVu Sans" w:eastAsia="DejaVu Sans" w:hAnsi="DejaVu Sans"/>
          <w:color w:val="6B7480"/>
          <w:sz w:val="16"/>
          <w:szCs w:val="16"/>
        </w:rPr>
        <w:t xml:space="preserve">  3, 18, 31</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cr_ouifm04hiium53chsi" Type="http://schemas.openxmlformats.org/officeDocument/2006/relationships/hyperlink" Target="https://valueaddvc.com/saas-valuations" TargetMode="External"/><Relationship Id="rIdzfyuttzfk4hzdusmnjz32" Type="http://schemas.openxmlformats.org/officeDocument/2006/relationships/hyperlink" Target="https://aventis-advisors.com/saas-valuation-multiples/" TargetMode="External"/><Relationship Id="rIdzxugzdeummds2mztikjqo" Type="http://schemas.openxmlformats.org/officeDocument/2006/relationships/hyperlink" Target="https://www.l40.com/insights/saas-multiples" TargetMode="External"/><Relationship Id="rIdekl6nj-alyglda1cnwz0h" Type="http://schemas.openxmlformats.org/officeDocument/2006/relationships/hyperlink" Target="https://eqvista.com/saas-index-revenue-multiples-valuations-market-trends/" TargetMode="External"/><Relationship Id="rIdpinhurt8tak86zgcddixn" Type="http://schemas.openxmlformats.org/officeDocument/2006/relationships/hyperlink" Target="https://emis.education.gov.ng/portal/" TargetMode="External"/><Relationship Id="rIdufamuho8napx06ux_pgvd" Type="http://schemas.openxmlformats.org/officeDocument/2006/relationships/hyperlink" Target="https://www.growthspreeofficial.com/blogs/b2b-saas-nrr-grr-net-gross-revenue-retention-benchmarks-2026-by-acv-stage-vertical" TargetMode="External"/><Relationship Id="rIdcpqx6h1hnxmatnw3bta2r" Type="http://schemas.openxmlformats.org/officeDocument/2006/relationships/hyperlink" Target="https://www.digitalapplied.com/blog/net-revenue-retention-benchmarks-2026-saas-expansion-data" TargetMode="External"/><Relationship Id="rId1k9ti1_zoetjoxhqncwjl" Type="http://schemas.openxmlformats.org/officeDocument/2006/relationships/hyperlink" Target="https://valueaddvc.com/saas-valuations" TargetMode="External"/><Relationship Id="rIdkbx6loppp6kqf0_rf9cq3" Type="http://schemas.openxmlformats.org/officeDocument/2006/relationships/hyperlink" Target="https://aventis-advisors.com/saas-valuation-multiples/" TargetMode="External"/><Relationship Id="rIdr6ny45lljvvdtwcpw5swc" Type="http://schemas.openxmlformats.org/officeDocument/2006/relationships/hyperlink" Target="https://www.l40.com/insights/saas-multiples" TargetMode="External"/><Relationship Id="rIdxtnwdbd2zg-larz7uaob7" Type="http://schemas.openxmlformats.org/officeDocument/2006/relationships/hyperlink" Target="https://eqvista.com/saas-index-revenue-multiples-valuations-market-trends/" TargetMode="External"/><Relationship Id="rId6mxuwzv9_o8lluwhockcg" Type="http://schemas.openxmlformats.org/officeDocument/2006/relationships/hyperlink" Target="https://prioridata.com/data/messaging-app-stats/" TargetMode="External"/><Relationship Id="rIdreyt20bfdjnotuqf4u06h" Type="http://schemas.openxmlformats.org/officeDocument/2006/relationships/hyperlink" Target="https://www.theregister.com/on-prem/2026/02/09/matrix-messaging-gaining-ground-in-government-it/4663932" TargetMode="External"/><Relationship Id="rIdqbizbfazxds4nodwtbotd" Type="http://schemas.openxmlformats.org/officeDocument/2006/relationships/hyperlink" Target="https://element.io/blog/sweden-goes-live-with-matrix-based-federation/" TargetMode="External"/><Relationship Id="rIdpzf0-jdznwq_n1kj0nhif" Type="http://schemas.openxmlformats.org/officeDocument/2006/relationships/hyperlink" Target="https://www.opensourceforu.com/2026/02/eu-backs-open-source-matrix-for-secure-internal-communications/"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VIII — Expansion, Finance &amp; the Roadmap · The StromeX Editorial Bible</dc:title>
  <dc:subject>StromeX Executive Knowledge System</dc:subject>
  <dc:creator>StromeX Group Holdings</dc:creator>
  <dc:description>The three phases · The three scenarios · Capital · Geography · Acquisitions</dc:description>
  <cp:lastModifiedBy>StromeX Group Holdings</cp:lastModifiedBy>
  <cp:revision>1</cp:revision>
  <dcterms:created xsi:type="dcterms:W3CDTF">2026-08-13T09:13:14.317Z</dcterms:created>
  <dcterms:modified xsi:type="dcterms:W3CDTF">2026-08-13T09:13:14.317Z</dcterms:modified>
</cp:coreProperties>
</file>

<file path=docProps/custom.xml><?xml version="1.0" encoding="utf-8"?>
<Properties xmlns="http://schemas.openxmlformats.org/officeDocument/2006/custom-properties" xmlns:vt="http://schemas.openxmlformats.org/officeDocument/2006/docPropsVTypes"/>
</file>