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IX</w:t>
            </w:r>
          </w:p>
          <w:p>
            <w:pPr>
              <w:spacing w:after="700" w:line="1350"/>
            </w:pPr>
            <w:r>
              <w:rPr>
                <w:rFonts w:ascii="DejaVu Serif" w:cs="DejaVu Serif" w:eastAsia="DejaVu Serif" w:hAnsi="DejaVu Serif"/>
                <w:b/>
                <w:bCs/>
                <w:color w:val="FFFFFF"/>
                <w:sz w:val="150"/>
                <w:szCs w:val="150"/>
              </w:rPr>
              <w:t xml:space="preserve">IX</w:t>
            </w:r>
          </w:p>
          <w:p>
            <w:pPr>
              <w:spacing w:after="200" w:line="657"/>
            </w:pPr>
            <w:r>
              <w:rPr>
                <w:rFonts w:ascii="DejaVu Serif" w:cs="DejaVu Serif" w:eastAsia="DejaVu Serif" w:hAnsi="DejaVu Serif"/>
                <w:b/>
                <w:bCs/>
                <w:color w:val="1B6EF3"/>
                <w:sz w:val="62"/>
                <w:szCs w:val="62"/>
              </w:rPr>
              <w:t xml:space="preserve">The Institution</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Innovation · Research · Talent · Operations · The 100-Year Plan</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CONSTITUTIONAL &amp; STRATEGIC</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IX</w:t>
      </w:r>
    </w:p>
    <w:p>
      <w:pPr>
        <w:spacing w:after="220" w:before="160" w:line="594"/>
      </w:pPr>
      <w:r>
        <w:rPr>
          <w:rFonts w:ascii="DejaVu Serif" w:cs="DejaVu Serif" w:eastAsia="DejaVu Serif" w:hAnsi="DejaVu Serif"/>
          <w:b/>
          <w:bCs/>
          <w:color w:val="0D1117"/>
          <w:sz w:val="56"/>
          <w:szCs w:val="56"/>
        </w:rPr>
        <w:t xml:space="preserve">The Institution</w:t>
      </w:r>
    </w:p>
    <w:p>
      <w:pPr>
        <w:spacing w:after="700"/>
      </w:pPr>
      <w:r>
        <w:rPr>
          <w:rFonts w:ascii="Liberation Serif" w:cs="Liberation Serif" w:eastAsia="Liberation Serif" w:hAnsi="Liberation Serif"/>
          <w:color w:val="38414D"/>
          <w:sz w:val="22"/>
          <w:szCs w:val="22"/>
        </w:rPr>
        <w:t xml:space="preserve">Innovation · Research · Talent · Operations · The 100-Year Plan</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IX defines StromeX as an institution rather than as a business — the parts that must outlive any product, market or founder. It establishes the innovation laboratory with its annual production targets and its kill discipline, the research institute and the independence clause that permits it to publish findings unfavourable to the company, and the measurement constitution together with the anti-metrics the group refuses to optimise. It sets the talent system from hiring through promotion, leadership development, entry programmes and performance review; the standard operating procedure library; the future-technology watch list and its adoption test; and the sustainability commitments. It closes with the 100-Year Plan, the values that must never change, and the Living Constitution Directive that governs every future addition to this corpus.</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IX — The Institution</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Constitutional &amp; Strategic</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Office of the Founder</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Annually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docs/bible/VOLUME-IX-THE-INSTITUTION.md,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annual production target</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Table 2</w:t>
      </w:r>
      <w:r>
        <w:rPr>
          <w:sz w:val="17"/>
          <w:szCs w:val="17"/>
        </w:rPr>
        <w:t xml:space="preserve">  The 100-idea discipline</w:t>
      </w:r>
      <w:r>
        <w:rPr>
          <w:rFonts w:ascii="DejaVu Sans" w:cs="DejaVu Sans" w:eastAsia="DejaVu Sans" w:hAnsi="DejaVu Sans"/>
          <w:color w:val="0B3C91"/>
          <w:sz w:val="16"/>
          <w:szCs w:val="16"/>
        </w:rPr>
        <w:t xml:space="preserve">	3</w:t>
      </w:r>
    </w:p>
    <w:p>
      <w:pPr>
        <w:tabs>
          <w:tab w:val="right" w:pos="8866" w:leader="dot"/>
        </w:tabs>
        <w:spacing w:after="20" w:before="0" w:line="260"/>
        <w:ind w:left="0" w:right="200" w:hanging="0"/>
      </w:pPr>
      <w:r>
        <w:rPr>
          <w:b/>
          <w:bCs/>
          <w:sz w:val="17"/>
          <w:szCs w:val="17"/>
        </w:rPr>
        <w:t xml:space="preserve">Table 3</w:t>
      </w:r>
      <w:r>
        <w:rPr>
          <w:sz w:val="17"/>
          <w:szCs w:val="17"/>
        </w:rPr>
        <w:t xml:space="preserve">  Research domains</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4</w:t>
      </w:r>
      <w:r>
        <w:rPr>
          <w:sz w:val="17"/>
          <w:szCs w:val="17"/>
        </w:rPr>
        <w:t xml:space="preserve">  The measurement domains</w:t>
      </w:r>
      <w:r>
        <w:rPr>
          <w:rFonts w:ascii="DejaVu Sans" w:cs="DejaVu Sans" w:eastAsia="DejaVu Sans" w:hAnsi="DejaVu Sans"/>
          <w:color w:val="0B3C91"/>
          <w:sz w:val="16"/>
          <w:szCs w:val="16"/>
        </w:rPr>
        <w:t xml:space="preserve">	7</w:t>
      </w:r>
    </w:p>
    <w:p>
      <w:pPr>
        <w:tabs>
          <w:tab w:val="right" w:pos="8866" w:leader="dot"/>
        </w:tabs>
        <w:spacing w:after="20" w:before="0" w:line="260"/>
        <w:ind w:left="0" w:right="200" w:hanging="0"/>
      </w:pPr>
      <w:r>
        <w:rPr>
          <w:b/>
          <w:bCs/>
          <w:sz w:val="17"/>
          <w:szCs w:val="17"/>
        </w:rPr>
        <w:t xml:space="preserve">Table 5</w:t>
      </w:r>
      <w:r>
        <w:rPr>
          <w:sz w:val="17"/>
          <w:szCs w:val="17"/>
        </w:rPr>
        <w:t xml:space="preserve">  The named anti-metrics</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6</w:t>
      </w:r>
      <w:r>
        <w:rPr>
          <w:sz w:val="17"/>
          <w:szCs w:val="17"/>
        </w:rPr>
        <w:t xml:space="preserve">  The hiring standard</w:t>
      </w:r>
      <w:r>
        <w:rPr>
          <w:rFonts w:ascii="DejaVu Sans" w:cs="DejaVu Sans" w:eastAsia="DejaVu Sans" w:hAnsi="DejaVu Sans"/>
          <w:color w:val="0B3C91"/>
          <w:sz w:val="16"/>
          <w:szCs w:val="16"/>
        </w:rPr>
        <w:t xml:space="preserve">	9</w:t>
      </w:r>
    </w:p>
    <w:p>
      <w:pPr>
        <w:tabs>
          <w:tab w:val="right" w:pos="8866" w:leader="dot"/>
        </w:tabs>
        <w:spacing w:after="20" w:before="0" w:line="260"/>
        <w:ind w:left="0" w:right="200" w:hanging="0"/>
      </w:pPr>
      <w:r>
        <w:rPr>
          <w:b/>
          <w:bCs/>
          <w:sz w:val="17"/>
          <w:szCs w:val="17"/>
        </w:rPr>
        <w:t xml:space="preserve">Table 7</w:t>
      </w:r>
      <w:r>
        <w:rPr>
          <w:sz w:val="17"/>
          <w:szCs w:val="17"/>
        </w:rPr>
        <w:t xml:space="preserve">  The promotion framework</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8</w:t>
      </w:r>
      <w:r>
        <w:rPr>
          <w:sz w:val="17"/>
          <w:szCs w:val="17"/>
        </w:rPr>
        <w:t xml:space="preserve">  Entry programmes</w:t>
      </w:r>
      <w:r>
        <w:rPr>
          <w:rFonts w:ascii="DejaVu Sans" w:cs="DejaVu Sans" w:eastAsia="DejaVu Sans" w:hAnsi="DejaVu Sans"/>
          <w:color w:val="0B3C91"/>
          <w:sz w:val="16"/>
          <w:szCs w:val="16"/>
        </w:rPr>
        <w:t xml:space="preserve">	10</w:t>
      </w:r>
    </w:p>
    <w:p>
      <w:pPr>
        <w:tabs>
          <w:tab w:val="right" w:pos="8866" w:leader="dot"/>
        </w:tabs>
        <w:spacing w:after="20" w:before="0" w:line="260"/>
        <w:ind w:left="0" w:right="200" w:hanging="0"/>
      </w:pPr>
      <w:r>
        <w:rPr>
          <w:b/>
          <w:bCs/>
          <w:sz w:val="17"/>
          <w:szCs w:val="17"/>
        </w:rPr>
        <w:t xml:space="preserve">Table 9</w:t>
      </w:r>
      <w:r>
        <w:rPr>
          <w:sz w:val="17"/>
          <w:szCs w:val="17"/>
        </w:rPr>
        <w:t xml:space="preserve">  The SOP library</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10</w:t>
      </w:r>
      <w:r>
        <w:rPr>
          <w:sz w:val="17"/>
          <w:szCs w:val="17"/>
        </w:rPr>
        <w:t xml:space="preserve">  The evaluation doctrine</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11</w:t>
      </w:r>
      <w:r>
        <w:rPr>
          <w:sz w:val="17"/>
          <w:szCs w:val="17"/>
        </w:rPr>
        <w:t xml:space="preserve">  The watch list</w:t>
      </w:r>
      <w:r>
        <w:rPr>
          <w:rFonts w:ascii="DejaVu Sans" w:cs="DejaVu Sans" w:eastAsia="DejaVu Sans" w:hAnsi="DejaVu Sans"/>
          <w:color w:val="0B3C91"/>
          <w:sz w:val="16"/>
          <w:szCs w:val="16"/>
        </w:rPr>
        <w:t xml:space="preserve">	15</w:t>
      </w:r>
    </w:p>
    <w:p>
      <w:pPr>
        <w:tabs>
          <w:tab w:val="right" w:pos="8866" w:leader="dot"/>
        </w:tabs>
        <w:spacing w:after="20" w:before="0" w:line="260"/>
        <w:ind w:left="0" w:right="200" w:hanging="0"/>
      </w:pPr>
      <w:r>
        <w:rPr>
          <w:b/>
          <w:bCs/>
          <w:sz w:val="17"/>
          <w:szCs w:val="17"/>
        </w:rPr>
        <w:t xml:space="preserve">Table 12</w:t>
      </w:r>
      <w:r>
        <w:rPr>
          <w:sz w:val="17"/>
          <w:szCs w:val="17"/>
        </w:rPr>
        <w:t xml:space="preserve">  Environmental</w:t>
      </w:r>
      <w:r>
        <w:rPr>
          <w:rFonts w:ascii="DejaVu Sans" w:cs="DejaVu Sans" w:eastAsia="DejaVu Sans" w:hAnsi="DejaVu Sans"/>
          <w:color w:val="0B3C91"/>
          <w:sz w:val="16"/>
          <w:szCs w:val="16"/>
        </w:rPr>
        <w:t xml:space="preserve">	17</w:t>
      </w:r>
    </w:p>
    <w:p>
      <w:pPr>
        <w:tabs>
          <w:tab w:val="right" w:pos="8866" w:leader="dot"/>
        </w:tabs>
        <w:spacing w:after="20" w:before="0" w:line="260"/>
        <w:ind w:left="0" w:right="200" w:hanging="0"/>
      </w:pPr>
      <w:r>
        <w:rPr>
          <w:b/>
          <w:bCs/>
          <w:sz w:val="17"/>
          <w:szCs w:val="17"/>
        </w:rPr>
        <w:t xml:space="preserve">Table 13</w:t>
      </w:r>
      <w:r>
        <w:rPr>
          <w:sz w:val="17"/>
          <w:szCs w:val="17"/>
        </w:rPr>
        <w:t xml:space="preserve">  Community</w:t>
      </w:r>
      <w:r>
        <w:rPr>
          <w:rFonts w:ascii="DejaVu Sans" w:cs="DejaVu Sans" w:eastAsia="DejaVu Sans" w:hAnsi="DejaVu Sans"/>
          <w:color w:val="0B3C91"/>
          <w:sz w:val="16"/>
          <w:szCs w:val="16"/>
        </w:rPr>
        <w:t xml:space="preserve">	18</w:t>
      </w:r>
    </w:p>
    <w:p>
      <w:pPr>
        <w:tabs>
          <w:tab w:val="right" w:pos="8866" w:leader="dot"/>
        </w:tabs>
        <w:spacing w:after="20" w:before="0" w:line="260"/>
        <w:ind w:left="0" w:right="200" w:hanging="0"/>
      </w:pPr>
      <w:r>
        <w:rPr>
          <w:b/>
          <w:bCs/>
          <w:sz w:val="17"/>
          <w:szCs w:val="17"/>
        </w:rPr>
        <w:t xml:space="preserve">Table 14</w:t>
      </w:r>
      <w:r>
        <w:rPr>
          <w:sz w:val="17"/>
          <w:szCs w:val="17"/>
        </w:rPr>
        <w:t xml:space="preserve">  The four generational transitions</w:t>
      </w:r>
      <w:r>
        <w:rPr>
          <w:rFonts w:ascii="DejaVu Sans" w:cs="DejaVu Sans" w:eastAsia="DejaVu Sans" w:hAnsi="DejaVu Sans"/>
          <w:color w:val="0B3C91"/>
          <w:sz w:val="16"/>
          <w:szCs w:val="16"/>
        </w:rPr>
        <w:t xml:space="preserve">	20</w:t>
      </w:r>
    </w:p>
    <w:p>
      <w:pPr>
        <w:tabs>
          <w:tab w:val="right" w:pos="8866" w:leader="dot"/>
        </w:tabs>
        <w:spacing w:after="20" w:before="0" w:line="260"/>
        <w:ind w:left="0" w:right="200" w:hanging="0"/>
      </w:pPr>
      <w:r>
        <w:rPr>
          <w:b/>
          <w:bCs/>
          <w:sz w:val="17"/>
          <w:szCs w:val="17"/>
        </w:rPr>
        <w:t xml:space="preserve">Table 15</w:t>
      </w:r>
      <w:r>
        <w:rPr>
          <w:sz w:val="17"/>
          <w:szCs w:val="17"/>
        </w:rPr>
        <w:t xml:space="preserve">  The authorship standard</w:t>
      </w:r>
      <w:r>
        <w:rPr>
          <w:rFonts w:ascii="DejaVu Sans" w:cs="DejaVu Sans" w:eastAsia="DejaVu Sans" w:hAnsi="DejaVu Sans"/>
          <w:color w:val="0B3C91"/>
          <w:sz w:val="16"/>
          <w:szCs w:val="16"/>
        </w:rPr>
        <w:t xml:space="preserve">	21</w:t>
      </w:r>
    </w:p>
    <w:p>
      <w:pPr>
        <w:tabs>
          <w:tab w:val="right" w:pos="8866" w:leader="dot"/>
        </w:tabs>
        <w:spacing w:after="20" w:before="0" w:line="260"/>
        <w:ind w:left="0" w:right="200" w:hanging="0"/>
      </w:pPr>
      <w:r>
        <w:rPr>
          <w:b/>
          <w:bCs/>
          <w:sz w:val="17"/>
          <w:szCs w:val="17"/>
        </w:rPr>
        <w:t xml:space="preserve">Table 16</w:t>
      </w:r>
      <w:r>
        <w:rPr>
          <w:sz w:val="17"/>
          <w:szCs w:val="17"/>
        </w:rPr>
        <w:t xml:space="preserve">  Glossary of terms</w:t>
      </w:r>
      <w:r>
        <w:rPr>
          <w:rFonts w:ascii="DejaVu Sans" w:cs="DejaVu Sans" w:eastAsia="DejaVu Sans" w:hAnsi="DejaVu Sans"/>
          <w:color w:val="0B3C91"/>
          <w:sz w:val="16"/>
          <w:szCs w:val="16"/>
        </w:rPr>
        <w:t xml:space="preserve">	24</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IX</w:t>
            </w:r>
          </w:p>
          <w:p>
            <w:pPr>
              <w:pStyle w:val="Heading1"/>
              <w:spacing w:after="160" w:before="0" w:line="648"/>
            </w:pPr>
            <w:r>
              <w:rPr>
                <w:rFonts w:ascii="DejaVu Serif" w:cs="DejaVu Serif" w:eastAsia="DejaVu Serif" w:hAnsi="DejaVu Serif"/>
                <w:b/>
                <w:bCs/>
                <w:color w:val="FFFFFF"/>
                <w:sz w:val="60"/>
                <w:szCs w:val="60"/>
              </w:rPr>
              <w:t xml:space="preserve">The Institution</w:t>
            </w:r>
          </w:p>
          <w:p>
            <w:pPr>
              <w:spacing w:after="0"/>
            </w:pPr>
            <w:r>
              <w:rPr>
                <w:rFonts w:ascii="Liberation Serif" w:cs="Liberation Serif" w:eastAsia="Liberation Serif" w:hAnsi="Liberation Serif"/>
                <w:color w:val="8C97A4"/>
                <w:sz w:val="21"/>
                <w:szCs w:val="21"/>
              </w:rPr>
              <w:t xml:space="preserve">Innovation · Research · Talent · Operations · The 100-Year Plan</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Constitutional &amp; Strategic</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IX defines StromeX as an institution rather than as a business — the parts that must outlive any product, market or founder. It establishes the innovation laboratory with its annual production targets and its kill discipline, the research institute and the independence clause that permits it to publish findings unfavourable to the company, and the measurement constitution together with the anti-metrics the group refuses to optimise. It sets the talent system from hiring through promotion, leadership development, entry programmes and performance review; the standard operating procedure library; the future-technology watch list and its adoption test; and the sustainability commitments. It closes with the 100-Year Plan, the values that must never change, and the Living Constitution Directive that governs every future addition to this corpus.</w:t>
      </w:r>
    </w:p>
    <w:p>
      <w:pPr>
        <w:pBdr>
          <w:bottom w:val="single" w:color="C9CFD9" w:sz="4" w:space="1"/>
        </w:pBdr>
        <w:spacing w:after="200" w:before="160"/>
      </w:pPr>
      <w:r>
        <w:t xml:space="preserve"/>
      </w:r>
    </w:p>
    <w:p>
      <w:pPr>
        <w:pStyle w:val="Heading2"/>
        <w:pageBreakBefore/>
      </w:pPr>
      <w:r>
        <w:t xml:space="preserve">CHAPTER 1 — WHY THIS VOLUME EXISTS</w:t>
      </w:r>
    </w:p>
    <w:p>
      <w:pPr>
        <w:pStyle w:val="BodyText"/>
      </w:pPr>
      <w:r>
        <w:t xml:space="preserve">Volumes I–VIII describe a company: what it sells, to whom, how it builds, where it goes, what it charges. A company of that description could be excellent and still be finished in thirty years — because companies die of the things this volume addresses: they stop inventing, they stop learning, they stop measuring honestly, they hire badly, their operations decay into tribal knowledge, and they optimise the present until they have no future.</w:t>
      </w:r>
    </w:p>
    <w:p>
      <w:pPr>
        <w:pStyle w:val="BodyText"/>
      </w:pPr>
      <w:r>
        <w:rPr>
          <w:b/>
          <w:bCs/>
        </w:rPr>
        <w:t xml:space="preserve">An institution is a company that has solved for its own succession</w:t>
      </w:r>
      <w:r>
        <w:t xml:space="preserve"> — of ideas, of people, of purpose. This volume is the difference between building a business and building something that lasts.</w:t>
      </w:r>
    </w:p>
    <w:p>
      <w:pPr>
        <w:pStyle w:val="Heading2"/>
        <w:pageBreakBefore/>
      </w:pPr>
      <w:r>
        <w:t xml:space="preserve">CHAPTER 2 — STROMEX LABS: THE INNOVATION LABORATORY</w:t>
      </w:r>
      <w:fldSimple w:instr="XE &quot;StromeX Labs&quot;"/>
    </w:p>
    <w:p>
      <w:pPr>
        <w:pStyle w:val="Heading3"/>
      </w:pPr>
      <w:r>
        <w:t xml:space="preserve">2.1 The mandate</w:t>
      </w:r>
    </w:p>
    <w:p>
      <w:pPr>
        <w:pStyle w:val="BodyText"/>
      </w:pPr>
      <w:r>
        <w:t xml:space="preserve">A permanent, funded, protected department whose job is to produce things the operating divisions would never produce, because operating divisions are correctly optimised for this quarter’s delivery.</w:t>
      </w:r>
    </w:p>
    <w:p>
      <w:pPr>
        <w:pStyle w:val="BodyText"/>
      </w:pPr>
      <w:r>
        <w:t xml:space="preserve">Funded as a fixed percentage of revenue (Volume VIII §8.1: </w:t>
      </w:r>
      <w:r>
        <w:rPr>
          <w:b/>
          <w:bCs/>
        </w:rPr>
        <w:t xml:space="preserve">35% of allocated free cash flow in Phase I, 25% in Phase II, 20% in Phase III</w:t>
      </w:r>
      <w:r>
        <w:t xml:space="preserve">), never as a residual. Established formally in Phase II; run informally by the founding team throughout Phase I.</w:t>
      </w:r>
    </w:p>
    <w:p>
      <w:pPr>
        <w:pStyle w:val="Heading3"/>
      </w:pPr>
      <w:r>
        <w:t xml:space="preserve">2.2 The annual production target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Output</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Annual target</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Gate to the next stage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New product ideas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Written one-pager: problem, who has it, why us, why now</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Internal experiments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50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Ideas that survive the one-pager review</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Prototypes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20</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Experiments that showed a real signal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Production launches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10</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Prototypes with a customer willing to pay or depend on it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annual production target</w:t>
      </w:r>
    </w:p>
    <w:p>
      <w:pPr>
        <w:pStyle w:val="BodyText"/>
      </w:pPr>
      <w:r>
        <w:t xml:space="preserve">The funnel shape is the point: </w:t>
      </w:r>
      <w:r>
        <w:rPr>
          <w:b/>
          <w:bCs/>
        </w:rPr>
        <w:t xml:space="preserve">90 of every 100 ideas are supposed to die</w:t>
      </w:r>
      <w:r>
        <w:t xml:space="preserve">, and killing them fast is the department’s core competence. An innovation lab with a high hit rate is not being ambitious enough.</w:t>
      </w:r>
    </w:p>
    <w:p>
      <w:pPr>
        <w:pStyle w:val="Heading3"/>
      </w:pPr>
      <w:r>
        <w:t xml:space="preserve">2.3 The 100-idea discipline</w:t>
      </w:r>
    </w:p>
    <w:p>
      <w:pPr>
        <w:pStyle w:val="BodyText"/>
      </w:pPr>
      <w:r>
        <w:t xml:space="preserve">The 100 ideas are generated deliberately, not opportunistically, and come from named sources so the pipeline never depends on inspiration: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Source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Contribution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 ticket themes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customers repeatedly cannot do</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Lost-deal reasons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we could not offer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unused-module register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we built that nobody wanted, and why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Field observation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staff actually do that the software does not know about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Partner requests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the ecosystem keeps asking for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Institute findings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3</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Future-technology watch</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Chapter 7</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Employee innovation time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Adjacent-sector transfer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solved problem in one ecosystem, unsolved in another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Constraint inversion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if bandwidth were free?” / “What if it had to work on paper?”</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100-idea discipline</w:t>
      </w:r>
    </w:p>
    <w:p>
      <w:pPr>
        <w:pStyle w:val="Heading3"/>
      </w:pPr>
      <w:r>
        <w:t xml:space="preserve">2.4 Employee innovation time</w:t>
      </w:r>
    </w:p>
    <w:p>
      <w:pPr>
        <w:pStyle w:val="BodyText"/>
      </w:pPr>
      <w:r>
        <w:t xml:space="preserve">Every employee may direct </w:t>
      </w:r>
      <w:r>
        <w:rPr>
          <w:b/>
          <w:bCs/>
        </w:rPr>
        <w:t xml:space="preserve">10% of their time</w:t>
      </w:r>
      <w:r>
        <w:t xml:space="preserve"> to self-chosen work that plausibly benefits StromeX. Inspired by long-standing practice at several research-led technology companies, with the failure mode of those programmes explicitly designed out:</w:t>
      </w:r>
    </w:p>
    <w:p>
      <w:pPr>
        <w:pStyle w:val="ListParagraph"/>
        <w:numPr>
          <w:ilvl w:val="0"/>
          <w:numId w:val="2"/>
        </w:numPr>
        <w:spacing w:after="40" w:before="40" w:line="276"/>
      </w:pPr>
      <w:r>
        <w:rPr>
          <w:b/>
          <w:bCs/>
        </w:rPr>
        <w:t xml:space="preserve">Time is protected, not theoretical.</w:t>
      </w:r>
      <w:r>
        <w:t xml:space="preserve"> A manager who reclaims it is in breach; this is a reviewed behaviour.</w:t>
      </w:r>
    </w:p>
    <w:p>
      <w:pPr>
        <w:pStyle w:val="ListParagraph"/>
        <w:numPr>
          <w:ilvl w:val="0"/>
          <w:numId w:val="2"/>
        </w:numPr>
        <w:spacing w:after="40" w:before="40" w:line="276"/>
      </w:pPr>
      <w:r>
        <w:rPr>
          <w:b/>
          <w:bCs/>
        </w:rPr>
        <w:t xml:space="preserve">Output is presented, not filed.</w:t>
      </w:r>
      <w:r>
        <w:t xml:space="preserve"> A quarterly internal showcase. Presenting a failure is a legitimate and celebrated outcome.</w:t>
      </w:r>
    </w:p>
    <w:p>
      <w:pPr>
        <w:pStyle w:val="ListParagraph"/>
        <w:numPr>
          <w:ilvl w:val="0"/>
          <w:numId w:val="2"/>
        </w:numPr>
        <w:spacing w:after="40" w:before="40" w:line="276"/>
      </w:pPr>
      <w:r>
        <w:rPr>
          <w:b/>
          <w:bCs/>
        </w:rPr>
        <w:t xml:space="preserve">No approval needed to start.</w:t>
      </w:r>
      <w:r>
        <w:t xml:space="preserve"> Approval is needed to </w:t>
      </w:r>
      <w:r>
        <w:rPr>
          <w:i/>
          <w:iCs/>
        </w:rPr>
        <w:t xml:space="preserve">ship</w:t>
      </w:r>
      <w:r>
        <w:t xml:space="preserve">, which is a different gate.</w:t>
      </w:r>
    </w:p>
    <w:p>
      <w:pPr>
        <w:pStyle w:val="ListParagraph"/>
        <w:numPr>
          <w:ilvl w:val="0"/>
          <w:numId w:val="2"/>
        </w:numPr>
        <w:spacing w:after="40" w:before="40" w:line="276"/>
      </w:pPr>
      <w:r>
        <w:rPr>
          <w:b/>
          <w:bCs/>
        </w:rPr>
        <w:t xml:space="preserve">Credit is individual and permanent.</w:t>
      </w:r>
      <w:r>
        <w:t xml:space="preserve"> Whoever had the idea is named on it, forever, in the record.</w:t>
      </w:r>
    </w:p>
    <w:p>
      <w:pPr>
        <w:pStyle w:val="ListParagraph"/>
        <w:numPr>
          <w:ilvl w:val="0"/>
          <w:numId w:val="2"/>
        </w:numPr>
        <w:spacing w:after="40" w:before="40" w:line="276"/>
      </w:pPr>
      <w:r>
        <w:rPr>
          <w:b/>
          <w:bCs/>
        </w:rPr>
        <w:t xml:space="preserve">It is not overtime.</w:t>
      </w:r>
      <w:r>
        <w:t xml:space="preserve"> It comes out of the working week, not out of a life.</w:t>
      </w:r>
    </w:p>
    <w:p>
      <w:pPr>
        <w:pStyle w:val="Heading3"/>
      </w:pPr>
      <w:r>
        <w:t xml:space="preserve">2.5 The kill discipline</w:t>
      </w:r>
    </w:p>
    <w:p>
      <w:pPr>
        <w:pStyle w:val="BodyText"/>
      </w:pPr>
      <w:r>
        <w:t xml:space="preserve">Every experiment declares its kill criterion </w:t>
      </w:r>
      <w:r>
        <w:rPr>
          <w:b/>
          <w:bCs/>
        </w:rPr>
        <w:t xml:space="preserve">before it starts</w:t>
      </w:r>
      <w:r>
        <w:t xml:space="preserve">: what result would end it, and by when. An experiment without a kill criterion is not an experiment, it is a hobby with a budget.</w:t>
      </w:r>
    </w:p>
    <w:p>
      <w:pPr>
        <w:pStyle w:val="BodyText"/>
      </w:pPr>
      <w:r>
        <w:t xml:space="preserve">Killed projects are documented — what we tried, what happened, what we learned, what would make us revisit it. The kill record is one of the most valuable documents the group produces, because the second person to have an idea deserves to know what happened to the first.</w:t>
      </w:r>
    </w:p>
    <w:p>
      <w:pPr>
        <w:pStyle w:val="Heading3"/>
      </w:pPr>
      <w:r>
        <w:t xml:space="preserve">2.6 The innovation boundary</w:t>
      </w:r>
    </w:p>
    <w:p>
      <w:pPr>
        <w:pStyle w:val="BodyText"/>
      </w:pPr>
      <w:r>
        <w:t xml:space="preserve">Labs works within the constitution. An innovation that would require amending Volume I Chapter 5 or 7 is not an innovation, it is a proposal to become a different company, and it goes through Volume I §9.1 rather than through Labs.</w:t>
      </w:r>
    </w:p>
    <w:p>
      <w:pPr>
        <w:pStyle w:val="Heading2"/>
        <w:pageBreakBefore/>
      </w:pPr>
      <w:r>
        <w:t xml:space="preserve">CHAPTER 3 — STROMEX RESEARCH INSTITUTE</w:t>
      </w:r>
    </w:p>
    <w:p>
      <w:pPr>
        <w:pStyle w:val="Heading3"/>
      </w:pPr>
      <w:r>
        <w:t xml:space="preserve">3.1 Why a commercial company runs a research institute</w:t>
      </w:r>
    </w:p>
    <w:p>
      <w:pPr>
        <w:pStyle w:val="BodyText"/>
      </w:pPr>
      <w:r>
        <w:t xml:space="preserve">Three reasons, and only the third is really about credibility:</w:t>
      </w:r>
    </w:p>
    <w:p>
      <w:pPr>
        <w:pStyle w:val="ListParagraph"/>
        <w:numPr>
          <w:ilvl w:val="0"/>
          <w:numId w:val="3"/>
        </w:numPr>
        <w:spacing w:after="40" w:before="40" w:line="276"/>
      </w:pPr>
      <w:r>
        <w:rPr>
          <w:b/>
          <w:bCs/>
        </w:rPr>
        <w:t xml:space="preserve">Our markets are genuinely under-researched.</w:t>
      </w:r>
      <w:r>
        <w:t xml:space="preserve"> There is very little rigorous published work on what actually works in West African education technology, on credential fraud economics, on institutional digitisation in low-bandwidth environments, or on Islamic education technology. We have data nobody else has and questions nobody else is asking.</w:t>
      </w:r>
    </w:p>
    <w:p>
      <w:pPr>
        <w:pStyle w:val="ListParagraph"/>
        <w:numPr>
          <w:ilvl w:val="0"/>
          <w:numId w:val="3"/>
        </w:numPr>
        <w:spacing w:after="40" w:before="40" w:line="276"/>
      </w:pPr>
      <w:r>
        <w:rPr>
          <w:b/>
          <w:bCs/>
        </w:rPr>
        <w:t xml:space="preserve">Research improves the product.</w:t>
      </w:r>
      <w:r>
        <w:t xml:space="preserve"> A learning-science finding about spacing and retrieval changes how the memorisation engine should work. That is a product decision that should be made from evidence rather than from intuition.</w:t>
      </w:r>
    </w:p>
    <w:p>
      <w:pPr>
        <w:pStyle w:val="ListParagraph"/>
        <w:numPr>
          <w:ilvl w:val="0"/>
          <w:numId w:val="3"/>
        </w:numPr>
        <w:spacing w:after="40" w:before="40" w:line="276"/>
      </w:pPr>
      <w:r>
        <w:rPr>
          <w:b/>
          <w:bCs/>
        </w:rPr>
        <w:t xml:space="preserve">Credibility with the institutions that matter.</w:t>
      </w:r>
      <w:r>
        <w:t xml:space="preserve"> Ministries, universities, donors and regulators take published research seriously in a way they do not take marketing seriously. A company that has published a rigorous study on examination integrity is a different kind of supplier in a tender.</w:t>
      </w:r>
    </w:p>
    <w:p>
      <w:pPr>
        <w:pStyle w:val="Heading3"/>
      </w:pPr>
      <w:r>
        <w:t xml:space="preserve">3.2 Research domains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Domain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Example questions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Artificial intelligence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How should AI assist assessment without displacing judgement? What does grounding actually reduce hallucination by, measured?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 &amp; learning science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spacing schedules work for Qur’anic memorisation specifically? What predicts dropout in West African secondary schools?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Educational technology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determines whether school software is adopted or abandoned?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FinTech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How do fee-instalment structures affect collection rates and completion rates?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Psychology &amp; behaviour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How do institutional buyers in low-trust markets actually evaluate suppliers?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Human–computer interaction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Interface design for low digital confidence and shared devices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transformation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distinguishes institutions that transform from those that install software?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Islamic education technology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 almost entirely unstudied field where we have unusual access and obligation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Public administration technology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What makes government digital services actually get used?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identity &amp; credentials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economics of credential fraud; what verification actually changes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Research domains</w:t>
      </w:r>
    </w:p>
    <w:p>
      <w:pPr>
        <w:pStyle w:val="Heading3"/>
      </w:pPr>
      <w:r>
        <w:t xml:space="preserve">3.3 Research standards</w:t>
      </w:r>
    </w:p>
    <w:p>
      <w:pPr>
        <w:pStyle w:val="BodyText"/>
      </w:pPr>
      <w:r>
        <w:t xml:space="preserve">Non-negotiable, because bad research published by a commercial company is worse than no research:</w:t>
      </w:r>
    </w:p>
    <w:p>
      <w:pPr>
        <w:pStyle w:val="ListParagraph"/>
        <w:numPr>
          <w:ilvl w:val="0"/>
          <w:numId w:val="3"/>
        </w:numPr>
        <w:spacing w:after="40" w:before="40" w:line="276"/>
      </w:pPr>
      <w:r>
        <w:rPr>
          <w:b/>
          <w:bCs/>
        </w:rPr>
        <w:t xml:space="preserve">Pre-register the question and the method.</w:t>
      </w:r>
      <w:r>
        <w:t xml:space="preserve"> Analysis decided after seeing the data is not a finding.</w:t>
      </w:r>
    </w:p>
    <w:p>
      <w:pPr>
        <w:pStyle w:val="ListParagraph"/>
        <w:numPr>
          <w:ilvl w:val="0"/>
          <w:numId w:val="3"/>
        </w:numPr>
        <w:spacing w:after="40" w:before="40" w:line="276"/>
      </w:pPr>
      <w:r>
        <w:rPr>
          <w:b/>
          <w:bCs/>
        </w:rPr>
        <w:t xml:space="preserve">Publish negative results.</w:t>
      </w:r>
      <w:r>
        <w:t xml:space="preserve"> A study showing our own product did not help is exactly the study that makes the positive ones credible.</w:t>
      </w:r>
    </w:p>
    <w:p>
      <w:pPr>
        <w:pStyle w:val="ListParagraph"/>
        <w:numPr>
          <w:ilvl w:val="0"/>
          <w:numId w:val="3"/>
        </w:numPr>
        <w:spacing w:after="40" w:before="40" w:line="276"/>
      </w:pPr>
      <w:r>
        <w:rPr>
          <w:b/>
          <w:bCs/>
        </w:rPr>
        <w:t xml:space="preserve">Never publish research that cannot survive being wrong for us.</w:t>
      </w:r>
      <w:r>
        <w:t xml:space="preserve"> If the finding would embarrass the company, that is a reason to publish it carefully, not a reason to bury it.</w:t>
      </w:r>
    </w:p>
    <w:p>
      <w:pPr>
        <w:pStyle w:val="ListParagraph"/>
        <w:numPr>
          <w:ilvl w:val="0"/>
          <w:numId w:val="3"/>
        </w:numPr>
        <w:spacing w:after="40" w:before="40" w:line="276"/>
      </w:pPr>
      <w:r>
        <w:rPr>
          <w:b/>
          <w:bCs/>
        </w:rPr>
        <w:t xml:space="preserve">Consent and ethics first.</w:t>
      </w:r>
      <w:r>
        <w:t xml:space="preserve"> Institutional data used in research requires informed institutional consent; children’s data requires the strictest handling (Volume IV §4.3) and in most cases should not be used at all.</w:t>
      </w:r>
    </w:p>
    <w:p>
      <w:pPr>
        <w:pStyle w:val="ListParagraph"/>
        <w:numPr>
          <w:ilvl w:val="0"/>
          <w:numId w:val="3"/>
        </w:numPr>
        <w:spacing w:after="40" w:before="40" w:line="276"/>
      </w:pPr>
      <w:r>
        <w:rPr>
          <w:b/>
          <w:bCs/>
        </w:rPr>
        <w:t xml:space="preserve">Anonymise and aggregate.</w:t>
      </w:r>
      <w:r>
        <w:t xml:space="preserve"> No institution or individual identifiable without explicit, specific, revocable permission.</w:t>
      </w:r>
    </w:p>
    <w:p>
      <w:pPr>
        <w:pStyle w:val="ListParagraph"/>
        <w:numPr>
          <w:ilvl w:val="0"/>
          <w:numId w:val="3"/>
        </w:numPr>
        <w:spacing w:after="40" w:before="40" w:line="276"/>
      </w:pPr>
      <w:r>
        <w:rPr>
          <w:b/>
          <w:bCs/>
        </w:rPr>
        <w:t xml:space="preserve">External review.</w:t>
      </w:r>
      <w:r>
        <w:t xml:space="preserve"> Serious work is reviewed by qualified people outside the company before publication.</w:t>
      </w:r>
    </w:p>
    <w:p>
      <w:pPr>
        <w:pStyle w:val="ListParagraph"/>
        <w:numPr>
          <w:ilvl w:val="0"/>
          <w:numId w:val="3"/>
        </w:numPr>
        <w:spacing w:after="40" w:before="40" w:line="276"/>
      </w:pPr>
      <w:r>
        <w:rPr>
          <w:b/>
          <w:bCs/>
        </w:rPr>
        <w:t xml:space="preserve">Separate research from marketing.</w:t>
      </w:r>
      <w:r>
        <w:t xml:space="preserve"> A white paper written to sell something is a brochure and must be labelled as one. The Institute does not produce brochures.</w:t>
      </w:r>
    </w:p>
    <w:p>
      <w:pPr>
        <w:pStyle w:val="ListParagraph"/>
        <w:numPr>
          <w:ilvl w:val="0"/>
          <w:numId w:val="3"/>
        </w:numPr>
        <w:spacing w:after="40" w:before="40" w:line="276"/>
      </w:pPr>
      <w:r>
        <w:rPr>
          <w:b/>
          <w:bCs/>
        </w:rPr>
        <w:t xml:space="preserve">Open access.</w:t>
      </w:r>
      <w:r>
        <w:t xml:space="preserve"> Published freely. Data published where consent and privacy permit.</w:t>
      </w:r>
    </w:p>
    <w:p>
      <w:pPr>
        <w:pStyle w:val="Heading3"/>
      </w:pPr>
      <w:r>
        <w:t xml:space="preserve">3.4 Outputs</w:t>
      </w:r>
    </w:p>
    <w:p>
      <w:pPr>
        <w:pStyle w:val="BodyText"/>
      </w:pPr>
      <w:r>
        <w:t xml:space="preserve">Peer-reviewed papers where the work merits it · practical reports for practitioners, written in plain language · open datasets where ethically permissible · annual “State of Institutional Digitisation” report for our markets · methodology and instrument publications so others can replicate · research fellowships for academics in our markets (Volume V §11.2).</w:t>
      </w:r>
    </w:p>
    <w:p>
      <w:pPr>
        <w:pStyle w:val="Heading3"/>
      </w:pPr>
      <w:r>
        <w:t xml:space="preserve">3.5 The independence clause</w:t>
      </w:r>
    </w:p>
    <w:p>
      <w:pPr>
        <w:pStyle w:val="BodyText"/>
      </w:pPr>
      <w:r>
        <w:rPr>
          <w:b/>
          <w:bCs/>
        </w:rPr>
        <w:t xml:space="preserve">The Research Institute may publish findings unfavourable to StromeX products, and no commercial function may block it.</w:t>
      </w:r>
      <w:r>
        <w:t xml:space="preserve"> Suppression requires a Board decision and the fact of suppression is recorded in the corpus. This clause is what makes everything else the Institute publishes worth reading.</w:t>
      </w:r>
    </w:p>
    <w:p>
      <w:pPr>
        <w:pStyle w:val="Heading2"/>
        <w:pageBreakBefore/>
      </w:pPr>
      <w:r>
        <w:t xml:space="preserve">CHAPTER 4 — THE MEASUREMENT CONSTITUTION</w:t>
      </w:r>
    </w:p>
    <w:p>
      <w:pPr>
        <w:pStyle w:val="Heading3"/>
      </w:pPr>
      <w:r>
        <w:t xml:space="preserve">4.1 The principle</w:t>
      </w:r>
    </w:p>
    <w:p>
      <w:pPr>
        <w:pStyle w:val="BodyText"/>
      </w:pPr>
      <w:r>
        <w:rPr>
          <w:b/>
          <w:bCs/>
        </w:rPr>
        <w:t xml:space="preserve">Everything of consequence is measured; every measure has an owner; no measure is optimised at the expense of the thing it was meant to represent.</w:t>
      </w:r>
    </w:p>
    <w:p>
      <w:pPr>
        <w:pStyle w:val="BodyText"/>
      </w:pPr>
      <w:r>
        <w:t xml:space="preserve">That last clause is the whole chapter. A metric that becomes a target stops being a good metric, and the specific ways this happens in a company like ours are predictable enough to name in advance.</w:t>
      </w:r>
    </w:p>
    <w:p>
      <w:pPr>
        <w:pStyle w:val="Heading3"/>
      </w:pPr>
      <w:r>
        <w:t xml:space="preserve">4.2 The measurement domains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Domain</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Primary measures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Owner</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Customer satisfaction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Would-recommend, CSAT after support, adoption rate, value-ledger trend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Success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Feature usage</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 use by module, unused-module register, workflow completion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Revenue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By engine, by ecosystem, by geography, by tier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Profitability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margin vs. band per division, contribution per customer segment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Finance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Retention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 NRR, logo churn with real reasons, cohort curves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Success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Support quality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response, resolution, reopen rate, ticket themes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Support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Employee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Retention, internal mobility, time-to-productivity, engagement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People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Reliability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Uptime, error rate, latency percentiles, SLA credits applied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Engineering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Security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Incidents by severity, time to patch, access-review completion, pen-test findings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Security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Marketing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Organic traffic, ranked terms, referral share, verification-page sessions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Marketing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Conversion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Free→identified→qualified→customer, by channel and cohort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Growth</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Time to first value, go-lives requiring heroics, implementation margin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Delivery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Innovation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Ideas→experiments→prototypes→launches, kill-rate, time-to-kill</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Ethics &amp; integrity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Ethics reviews, refusals, integrity losses, prohibited-practice reports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measurement domains</w:t>
      </w:r>
    </w:p>
    <w:p>
      <w:pPr>
        <w:pStyle w:val="Heading3"/>
      </w:pPr>
      <w:r>
        <w:t xml:space="preserve">4.3 The named anti-metrics</w:t>
      </w:r>
    </w:p>
    <w:p>
      <w:pPr>
        <w:pStyle w:val="BodyText"/>
      </w:pPr>
      <w:r>
        <w:t xml:space="preserve">Measures we track but explicitly refuse to optimise, with the reason each would corrupt: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Anti-metric</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Why we refuse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Bookings without adoption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Manufactures a good quarter out of a bad year (Volume V §12.5)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Support ticket volume (minimised)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Punishes customers for asking and hides product defects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Time on app</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are not an attention business (Volume I §14.3)</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Headcount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cost, not an achievement (Volume I §14.5)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Lines of code / tickets closed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Measures motion, not 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Free-tier signups (as a headline)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Trivially inflatable and disconnected from value delivered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Valuation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VIII §5 — not controllable, and optimising for it corrupts everything upstream</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Any customer metric the customer would dispute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If they would not recognise the number as true, it is not true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named anti-metrics</w:t>
      </w:r>
    </w:p>
    <w:p>
      <w:pPr>
        <w:pStyle w:val="Heading3"/>
      </w:pPr>
      <w:r>
        <w:t xml:space="preserve">4.4 Reporting honesty</w:t>
      </w:r>
    </w:p>
    <w:p>
      <w:pPr>
        <w:pStyle w:val="BodyText"/>
      </w:pPr>
      <w:r>
        <w:t xml:space="preserve">Every metric reported with its </w:t>
      </w:r>
      <w:r>
        <w:rPr>
          <w:b/>
          <w:bCs/>
        </w:rPr>
        <w:t xml:space="preserve">denominator</w:t>
      </w:r>
      <w:r>
        <w:t xml:space="preserve">, its </w:t>
      </w:r>
      <w:r>
        <w:rPr>
          <w:b/>
          <w:bCs/>
        </w:rPr>
        <w:t xml:space="preserve">period</w:t>
      </w:r>
      <w:r>
        <w:t xml:space="preserve">, and its </w:t>
      </w:r>
      <w:r>
        <w:rPr>
          <w:b/>
          <w:bCs/>
        </w:rPr>
        <w:t xml:space="preserve">trend</w:t>
      </w:r>
      <w:r>
        <w:t xml:space="preserve"> — never a bare number · bad quarters reported as prominently as good ones · a metric definition may not be changed without restating history and saying that it was changed · </w:t>
      </w:r>
      <w:r>
        <w:rPr>
          <w:b/>
          <w:bCs/>
        </w:rPr>
        <w:t xml:space="preserve">when a target is missed, the plan changes, not the measurement</w:t>
      </w:r>
      <w:r>
        <w:t xml:space="preserve"> (Volume VIII §13).</w:t>
      </w:r>
    </w:p>
    <w:p>
      <w:pPr>
        <w:pStyle w:val="Heading2"/>
        <w:pageBreakBefore/>
      </w:pPr>
      <w:r>
        <w:t xml:space="preserve">CHAPTER 5 — THE TALENT SYSTEM</w:t>
      </w:r>
    </w:p>
    <w:p>
      <w:pPr>
        <w:pStyle w:val="Heading3"/>
      </w:pPr>
      <w:r>
        <w:t xml:space="preserve">5.1 The hiring philosophy</w:t>
      </w:r>
    </w:p>
    <w:p>
      <w:pPr>
        <w:pStyle w:val="BodyText"/>
      </w:pPr>
      <w:r>
        <w:rPr>
          <w:b/>
          <w:bCs/>
        </w:rPr>
        <w:t xml:space="preserve">Hire for judgement.</w:t>
      </w:r>
      <w:r>
        <w:t xml:space="preserve"> Skills are teachable at pace; judgement is not (Volume I §13.1.8). The most predictive interview question in this company is </w:t>
      </w:r>
      <w:r>
        <w:rPr>
          <w:i/>
          <w:iCs/>
        </w:rPr>
        <w:t xml:space="preserve">“tell me about a decision you got wrong, and what you changed.”</w:t>
      </w:r>
      <w:r>
        <w:t xml:space="preserve"> A candidate who cannot answer it either has not made decisions or has not examined them.</w:t>
      </w:r>
    </w:p>
    <w:p>
      <w:pPr>
        <w:pStyle w:val="Heading3"/>
      </w:pPr>
      <w:r>
        <w:t xml:space="preserve">5.2 The hiring standard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Reason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Structured interviews, same questions, scored against a rubric</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Unstructured interviews measure similarity to the interviewer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 sample over whiteboard puzzle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Predicts the job; puzzles predict puzzle skill</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Paid work samples above 2 hours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Unpaid extended work is an unfair transfer from candidate to company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At least one interviewer from outside the hiring team</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Prevents team-shaped hiring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checks actually made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a formality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hiring on urgency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wrong hire costs more than the vacancy — and this rule will be tested every time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Compensation benchmarked against remote-work rates, not local rates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 R13: our competitors for talent are overseas employers, and pretending otherwise loses people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Written offer, no exploding deadlines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Pressure tactics in hiring predict pressure tactics in management</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hiring standard</w:t>
      </w:r>
    </w:p>
    <w:p>
      <w:pPr>
        <w:pStyle w:val="Heading3"/>
      </w:pPr>
      <w:r>
        <w:t xml:space="preserve">5.3 The promotion framework</w:t>
      </w:r>
    </w:p>
    <w:p>
      <w:pPr>
        <w:pStyle w:val="BodyText"/>
      </w:pPr>
      <w:r>
        <w:t xml:space="preserve">Promotion recognises demonstrated operation at the next level, not tenure, proximity or advocacy.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Level</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Individual contributor</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Management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1 — Learning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Executes defined work with support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2 — Contributing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Owns defined work independently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3 — Owning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Owns an area; others build on their work</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Leads a small team</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4 — Leading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Sets direction for an area; multiplies others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Leads a function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5 — Shaping</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Changes how the company works; judgement trusted under uncertainty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Leads a division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6 — Institutional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 outlives their tenure; the company is different because they were here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Executive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promotion framework</w:t>
      </w:r>
    </w:p>
    <w:p>
      <w:pPr>
        <w:pStyle w:val="BodyText"/>
      </w:pPr>
      <w:r>
        <w:rPr>
          <w:b/>
          <w:bCs/>
        </w:rPr>
        <w:t xml:space="preserve">Both tracks are equal at every level, in title, in compensation and in influence.</w:t>
      </w:r>
      <w:r>
        <w:t xml:space="preserve"> A company where the only path upward is management loses its best engineers, designers and editors to management, where they are frequently worse and always scarcer.</w:t>
      </w:r>
    </w:p>
    <w:p>
      <w:pPr>
        <w:pStyle w:val="BodyText"/>
      </w:pPr>
      <w:r>
        <w:rPr>
          <w:b/>
          <w:bCs/>
        </w:rPr>
        <w:t xml:space="preserve">The Volume I §13.3 criteria govern:</w:t>
      </w:r>
      <w:r>
        <w:t xml:space="preserve"> judgement under uncertainty · work others build on · customers who ask for them by name · documents that outlive the project · mistakes surfaced early and learned from publicly · colleagues who are better for working alongside them.</w:t>
      </w:r>
    </w:p>
    <w:p>
      <w:pPr>
        <w:pStyle w:val="Heading3"/>
      </w:pPr>
      <w:r>
        <w:t xml:space="preserve">5.4 Leadership development</w:t>
      </w:r>
    </w:p>
    <w:p>
      <w:pPr>
        <w:pStyle w:val="BodyText"/>
      </w:pPr>
      <w:r>
        <w:t xml:space="preserve">Managers are trained before they manage, not after they struggle · every manager has a manager who reviews their team’s retention and growth, not only their output · management is a </w:t>
      </w:r>
      <w:r>
        <w:rPr>
          <w:b/>
          <w:bCs/>
        </w:rPr>
        <w:t xml:space="preserve">role, not a rank</w:t>
      </w:r>
      <w:r>
        <w:t xml:space="preserve"> — moving out of management is a lateral move, and is treated and paid as one · leadership candidates are identified two levels down and developed deliberately · </w:t>
      </w:r>
      <w:r>
        <w:rPr>
          <w:b/>
          <w:bCs/>
        </w:rPr>
        <w:t xml:space="preserve">succession plans exist for every executive role from Phase II</w:t>
      </w:r>
      <w:r>
        <w:t xml:space="preserve">, including the founder’s (Volume VIII Gate I, criterion 10).</w:t>
      </w:r>
    </w:p>
    <w:p>
      <w:pPr>
        <w:pStyle w:val="Heading3"/>
      </w:pPr>
      <w:r>
        <w:t xml:space="preserve">5.5 Entry programmes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Programme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Shape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Purpose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Graduate programme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18 months, three rotations, mentor, guaranteed role on completion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the next decade’s leadership from our own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Internship</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3–6 months, paid, real work, named mentor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Pipeline; never unpaid, never coffee-fetching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Apprenticeship</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24 months, no degree required, structured curriculum</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Talent that the credential system missed — of which our markets have an enormous amount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Returnship</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6 months, for people re-entering after a career break</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 under-recruited pool, disproportionately women</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Campus &amp; student ambassadors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Part-time, at institutions we serve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 §11.2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Entry programmes</w:t>
      </w:r>
    </w:p>
    <w:p>
      <w:pPr>
        <w:pStyle w:val="BodyText"/>
      </w:pPr>
      <w:r>
        <w:rPr>
          <w:b/>
          <w:bCs/>
        </w:rPr>
        <w:t xml:space="preserve">The apprenticeship deserves emphasis.</w:t>
      </w:r>
      <w:r>
        <w:t xml:space="preserve"> A company whose entire business is that credentials should be verifiable and that institutions should be measured on outcomes cannot then hire exclusively on the basis of degrees. Building a genuine non-graduate path is both consistent and commercially smart, because that talent is available and under-competed.</w:t>
      </w:r>
    </w:p>
    <w:p>
      <w:pPr>
        <w:pStyle w:val="Heading3"/>
      </w:pPr>
      <w:r>
        <w:t xml:space="preserve">5.6 Continuous learning</w:t>
      </w:r>
    </w:p>
    <w:p>
      <w:pPr>
        <w:pStyle w:val="BodyText"/>
      </w:pPr>
      <w:r>
        <w:t xml:space="preserve">An annual learning budget per employee, defended · internal teaching expected at level 3 and above, because teaching is how understanding is verified · conference attendance with an obligation to report back · StromeX Academy certifications free to employees · </w:t>
      </w:r>
      <w:r>
        <w:rPr>
          <w:b/>
          <w:bCs/>
        </w:rPr>
        <w:t xml:space="preserve">explicit time for learning, protected the same way innovation time is.</w:t>
      </w:r>
    </w:p>
    <w:p>
      <w:pPr>
        <w:pStyle w:val="Heading3"/>
      </w:pPr>
      <w:r>
        <w:t xml:space="preserve">5.7 Performance review</w:t>
      </w:r>
    </w:p>
    <w:p>
      <w:pPr>
        <w:pStyle w:val="BodyText"/>
      </w:pPr>
      <w:r>
        <w:t xml:space="preserve">Twice yearly, no forced ranking, no stack ranking · self-assessment first, then manager, then calibration across managers to check for bias · </w:t>
      </w:r>
      <w:r>
        <w:rPr>
          <w:b/>
          <w:bCs/>
        </w:rPr>
        <w:t xml:space="preserve">feedback is continuous and the review contains no surprises</w:t>
      </w:r>
      <w:r>
        <w:t xml:space="preserve"> — a review that surprises someone is a management failure, not an employee failure · compensation reviewed separately from development, because merging them makes honest development conversations impossible · underperformance is addressed early, specifically, with support and a clear standard, and if it does not resolve, quickly and with dignity.</w:t>
      </w:r>
    </w:p>
    <w:p>
      <w:pPr>
        <w:pStyle w:val="Heading3"/>
      </w:pPr>
      <w:r>
        <w:t xml:space="preserve">5.8 The mentorship system</w:t>
      </w:r>
    </w:p>
    <w:p>
      <w:pPr>
        <w:pStyle w:val="BodyText"/>
      </w:pPr>
      <w:r>
        <w:t xml:space="preserve">Every new employee has a mentor outside their reporting line from week one · mentors are trained and their contribution counts toward promotion · reverse mentoring from Phase II, where junior employees mentor executives on what the company actually feels like from below — which is information that otherwise never reaches the top of any organisation.</w:t>
      </w:r>
    </w:p>
    <w:p>
      <w:pPr>
        <w:pStyle w:val="Heading3"/>
      </w:pPr>
      <w:r>
        <w:t xml:space="preserve">5.9 The culture protections</w:t>
      </w:r>
    </w:p>
    <w:p>
      <w:pPr>
        <w:pStyle w:val="BodyText"/>
      </w:pPr>
      <w:r>
        <w:t xml:space="preserve">Sustainable pace enforced by managers, not by policy documents (Volume I §13.1.9) · bad news travels fastest and is rewarded, always (§13.1.4) · dissent recorded and preserved (§9.3) · concealment is the one issue that is not coached · </w:t>
      </w:r>
      <w:r>
        <w:rPr>
          <w:b/>
          <w:bCs/>
        </w:rPr>
        <w:t xml:space="preserve">no one is indispensable, and anyone who has become indispensable is a risk we created and must fix.</w:t>
      </w:r>
    </w:p>
    <w:p>
      <w:pPr>
        <w:pStyle w:val="Heading2"/>
        <w:pageBreakBefore/>
      </w:pPr>
      <w:r>
        <w:t xml:space="preserve">CHAPTER 6 — OPERATIONAL EXCELLENCE &amp; THE SOP LIBRARY</w:t>
      </w:r>
    </w:p>
    <w:p>
      <w:pPr>
        <w:pStyle w:val="Heading3"/>
      </w:pPr>
      <w:r>
        <w:t xml:space="preserve">6.1 The principle</w:t>
      </w:r>
    </w:p>
    <w:p>
      <w:pPr>
        <w:pStyle w:val="BodyText"/>
      </w:pPr>
      <w:r>
        <w:rPr>
          <w:b/>
          <w:bCs/>
        </w:rPr>
        <w:t xml:space="preserve">Anything done more than three times is documented; anything documented and stable is automated.</w:t>
      </w:r>
    </w:p>
    <w:p>
      <w:pPr>
        <w:pStyle w:val="BodyText"/>
      </w:pPr>
      <w:r>
        <w:t xml:space="preserve">This is not bureaucracy. It is the mechanism by which a company scales without its quality depending on who happens to be doing the work — and it is the mechanism by which we can credibly sell automation to institutions, because we are our own first customer.</w:t>
      </w:r>
    </w:p>
    <w:p>
      <w:pPr>
        <w:pStyle w:val="Heading3"/>
      </w:pPr>
      <w:r>
        <w:t xml:space="preserve">6.2 The SOP library</w:t>
      </w:r>
    </w:p>
    <w:p>
      <w:pPr>
        <w:pStyle w:val="BodyText"/>
      </w:pPr>
      <w:r>
        <w:t xml:space="preserve">Every function maintains standard operating procedures with an owner, a version, a review date, and a named escalation path.</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Function</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SOPs include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Product development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Discovery · specification · design review · build · Volume IV §18.2 definition of done · release · post-launch review</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Quality assurance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Test strategy · regression suites · the mandatory suites that may never be skipped · accessibility · performance · security testing · UAT with the customer</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Design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Brief · research · concept · review gates · handover · asset licensing (Volume VI §9)</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Customer support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Triage · severity classification · escalation · resolution · post-resolution follow-up · pattern reporting to product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Sales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Qualification · discovery (the seven questions) · proposal · pricing authority · contract · handover to delivery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Delivery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Kick-off · data readiness · migration · parallel run · training · go-live · hypercare · handover to success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Finance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Invoicing · collections · reconciliation · approvals · procurement · expense · payroll · month-end · reporting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Procurement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 quotes · supplier due diligence · approval · receipt · payment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HR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Requisition · interview · offer · onboarding · probation · review · promotion · grievance · exit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Legal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Contract review · IP · disputes · regulatory filings · data agreements · export/sanctions screening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Security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 provisioning and review · vulnerability handling · incident response (Volume IV §17) · penetration testing · third-party assessment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Creative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VI §13 quality gates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Partner</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Onboarding · certification · deal registration · dispute resolution · termination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SOP library</w:t>
      </w:r>
    </w:p>
    <w:p>
      <w:pPr>
        <w:pStyle w:val="Heading3"/>
      </w:pPr>
      <w:r>
        <w:t xml:space="preserve">6.3 The SOP discipline</w:t>
      </w:r>
    </w:p>
    <w:p>
      <w:pPr>
        <w:pStyle w:val="BodyText"/>
      </w:pPr>
      <w:r>
        <w:t xml:space="preserve">An SOP that has not been reviewed in 12 months is flagged · an SOP nobody follows is either wrong or unnecessary, and both are fixed rather than enforced · </w:t>
      </w:r>
      <w:r>
        <w:rPr>
          <w:b/>
          <w:bCs/>
        </w:rPr>
        <w:t xml:space="preserve">the person who does the work owns the SOP</w:t>
      </w:r>
      <w:r>
        <w:t xml:space="preserve">, not a process department · every SOP states what to do when the SOP does not fit, because a procedure with no exception path produces either paralysis or quiet non-compliance.</w:t>
      </w:r>
    </w:p>
    <w:p>
      <w:pPr>
        <w:pStyle w:val="Heading3"/>
      </w:pPr>
      <w:r>
        <w:t xml:space="preserve">6.4 The internal automation mandate</w:t>
      </w:r>
    </w:p>
    <w:p>
      <w:pPr>
        <w:pStyle w:val="BodyText"/>
      </w:pPr>
      <w:r>
        <w:t xml:space="preserve">The group automates its own operations first, and the reason is not efficiency — it is credibility and product truth. Every automation we sell should be one we run. An automation pack we would not use on ourselves is one we should not sell.</w:t>
      </w:r>
    </w:p>
    <w:p>
      <w:pPr>
        <w:pStyle w:val="BodyText"/>
      </w:pPr>
      <w:r>
        <w:t xml:space="preserve">Priority order for internal automation: onboarding and offboarding · invoicing and collections · procurement approvals · reporting assembly · support triage · deployment and release · access provisioning and review · SOP compliance checks.</w:t>
      </w:r>
    </w:p>
    <w:p>
      <w:pPr>
        <w:pStyle w:val="Heading2"/>
        <w:pageBreakBefore/>
      </w:pPr>
      <w:r>
        <w:t xml:space="preserve">CHAPTER 7 — FUTURE TECHNOLOGIES</w:t>
      </w:r>
    </w:p>
    <w:p>
      <w:pPr>
        <w:pStyle w:val="Heading3"/>
      </w:pPr>
      <w:r>
        <w:t xml:space="preserve">7.1 The evaluation doctrine</w:t>
      </w:r>
    </w:p>
    <w:p>
      <w:pPr>
        <w:pStyle w:val="BodyText"/>
      </w:pPr>
      <w:r>
        <w:rPr>
          <w:b/>
          <w:bCs/>
        </w:rPr>
        <w:t xml:space="preserve">We adopt a technology when it creates measurable customer value, not when it becomes fashionable.</w:t>
      </w:r>
      <w:r>
        <w:t xml:space="preserve"> The rolling watch list below is reviewed half-yearly by Labs and the CTO. Each entry carries a posture, and postures change on evidence.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Meaning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Deploy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 production, generating value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Build</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Actively building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Pilot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Testing with real customers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Watch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Monitored; not invested 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Decline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Assessed and rejected, with a stated reason and a revisit condition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evaluation doctrine</w:t>
      </w:r>
    </w:p>
    <w:p>
      <w:pPr>
        <w:pStyle w:val="Heading3"/>
      </w:pPr>
      <w:r>
        <w:t xml:space="preserve">7.2 The watch list</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Technology</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Posture</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Assessment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Applied AI / LLM agents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Core to the group. Provider-independent by architecture (Volume IV §7.1)</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Retrieval &amp; knowledge grounding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mechanism by which AI becomes trustworthy in an institutional context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On-device / small models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Directly serves the low-bandwidth, low-cost mandate. Strategically important, not merely interesting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Speech (ASR/TTS) &amp; voice agents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High value in low-literacy and multilingual contexts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identity &amp; verifiable credentials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IV §5. The group’s strategic core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Quantum-safe cryptography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Prioritised for credential signatures.</w:t>
            </w:r>
            <w:r>
              <w:rPr>
                <w:rFonts w:ascii="DejaVu Sans" w:cs="DejaVu Sans" w:eastAsia="DejaVu Sans" w:hAnsi="DejaVu Sans"/>
                <w:color w:val="0D1117"/>
                <w:sz w:val="16"/>
                <w:szCs w:val="16"/>
              </w:rPr>
              <w:t xml:space="preserve"> A certificate signed in 2027 may need to verify in 2067; it is the group’s longest-lived cryptographic commitment and therefore the first thing to migrate, ahead of transport security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IoT &amp; sensor networks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Smart campus, facilities, agriculture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Advanced analytics &amp; forecasting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Volume III Division 9</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Offline-first &amp; sync architectures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Deploy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Not a future technology in our markets — a present requirement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Robotics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value in manufacturing and logistics (Wave 3). No customer value in education worth the cost today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Spatial computing / AR/VR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Genuine potential for laboratory simulation and vocational training; blocked on device cost in our markets. Revisit when a capable headset costs under $150</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Autonomous agents (multi-step, unsupervised)</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Pilot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Constrained by Volume IV §8.1. Useful for low-stakes internal work; not for institutional decisions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Satellite connectivity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Could materially change the rural-institution proposition. Revisit on cost per Mbps in our markets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Mesh networking</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Interesting for campus and emergency scenarios; unproven at institutional scale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Blockchain / distributed ledger</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Pilot (narrow)</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One legitimate use only: optional credential anchoring</w:t>
            </w:r>
            <w:r>
              <w:rPr>
                <w:rFonts w:ascii="DejaVu Sans" w:cs="DejaVu Sans" w:eastAsia="DejaVu Sans" w:hAnsi="DejaVu Sans"/>
                <w:color w:val="0D1117"/>
                <w:sz w:val="16"/>
                <w:szCs w:val="16"/>
              </w:rPr>
              <w:t xml:space="preserve"> (Volume IV §5.5, layer 5), because it makes credentials verifiable independent of our continued existence. Every other proposed use in our sectors has a simpler, cheaper, better answer, and we say so plainly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Digital twins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Facilities and manufacturing, Wave 3</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Wearables</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Watch</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institutional value today</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Brain–computer interfaces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Decline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 credible institutional application; profound ethical exposure. Revisit condition: none currently foreseeable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Emotion recognition / affect detection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Decline, permanently</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Scientifically contested, discriminatory in practice, and its obvious application — monitoring students and employees — is precisely the surveillance we refuse (Volume I §7.4). </w:t>
            </w:r>
            <w:r>
              <w:rPr>
                <w:rFonts w:ascii="DejaVu Sans" w:cs="DejaVu Sans" w:eastAsia="DejaVu Sans" w:hAnsi="DejaVu Sans"/>
                <w:b/>
                <w:bCs/>
                <w:color w:val="0D1117"/>
                <w:sz w:val="16"/>
                <w:szCs w:val="16"/>
              </w:rPr>
              <w:t xml:space="preserve">This is a values decision, not a technical one, and it does not have a revisit condition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watch list</w:t>
      </w:r>
    </w:p>
    <w:p>
      <w:pPr>
        <w:pStyle w:val="Heading3"/>
      </w:pPr>
      <w:r>
        <w:t xml:space="preserve">7.3 The adoption test</w:t>
      </w:r>
    </w:p>
    <w:p>
      <w:pPr>
        <w:pStyle w:val="BodyText"/>
      </w:pPr>
      <w:r>
        <w:t xml:space="preserve">Before any watch-list technology moves to Pilot: what customer problem does it solve, in the customer’s words? · what does the customer currently do instead, and why is that worse? · what does it cost to deploy in our markets, on our customers’ devices and connections? · what does it cost if it fails? · what would make us abandon it? · does it comply with Volume I Chapter 7?</w:t>
      </w:r>
    </w:p>
    <w:p>
      <w:pPr>
        <w:pStyle w:val="BodyText"/>
      </w:pPr>
      <w:r>
        <w:rPr>
          <w:b/>
          <w:bCs/>
        </w:rPr>
        <w:t xml:space="preserve">A technology that passes every question except the last does not get adopted.</w:t>
      </w:r>
    </w:p>
    <w:p>
      <w:pPr>
        <w:pStyle w:val="Heading2"/>
        <w:pageBreakBefore/>
      </w:pPr>
      <w:r>
        <w:t xml:space="preserve">CHAPTER 8 — SUSTAINABILITY &amp; SOCIAL COMMITMENT</w:t>
      </w:r>
    </w:p>
    <w:p>
      <w:pPr>
        <w:pStyle w:val="EditorialNote"/>
      </w:pPr>
      <w:r>
        <w:t xml:space="preserve">Commitments, not aspirations. Each has a measure and an owner, because a sustainability chapter without measures is a marketing document.</w:t>
      </w:r>
    </w:p>
    <w:p>
      <w:pPr>
        <w:pStyle w:val="Heading3"/>
      </w:pPr>
      <w:r>
        <w:t xml:space="preserve">8.1 Environmental</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Commitment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Measure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Efficiency as a design property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Performance budgets (Volume IV §10.1) reduce compute, bandwidth and device energy simultaneously — the low-bandwidth mandate is also our largest environmental lever</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Renewable-powered infrastructure where available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 of compute on renewable-powered regions, published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Hardware lifecycle responsibility</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Take-back and recycling for hardware we supply (Volume III §11.5); refurbishment offered before replacement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Reduce shipping impact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Print locally where quality permits (Volume VI §10.2) — which is also the cheaper and better advice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Measure before claiming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 publish our footprint before we make any claim about reducing it, and we make no carbon-neutrality claim we cannot substantiate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Environmental</w:t>
      </w:r>
    </w:p>
    <w:p>
      <w:pPr>
        <w:pStyle w:val="Heading3"/>
      </w:pPr>
      <w:r>
        <w:t xml:space="preserve">8.2 Digital inclusion</w:t>
      </w:r>
    </w:p>
    <w:p>
      <w:pPr>
        <w:pStyle w:val="BodyText"/>
      </w:pPr>
      <w:r>
        <w:t xml:space="preserve">Low-bandwidth and low-spec support as an architectural requirement, not a charitable feature (Volume IV §10) · USSD and feature-phone access where the population requires it (Volume III Division 8) · offline-first everywhere · the free tier as genuine infrastructure for institutions that will never pay · </w:t>
      </w:r>
      <w:r>
        <w:rPr>
          <w:b/>
          <w:bCs/>
        </w:rPr>
        <w:t xml:space="preserve">free credential verification forever</w:t>
      </w:r>
      <w:r>
        <w:t xml:space="preserve"> (Volume I §5.3) · pricing bands that reflect purchasing power rather than extracting from it (Volume I §6.4).</w:t>
      </w:r>
    </w:p>
    <w:p>
      <w:pPr>
        <w:pStyle w:val="Heading3"/>
      </w:pPr>
      <w:r>
        <w:t xml:space="preserve">8.3 Accessibility</w:t>
      </w:r>
    </w:p>
    <w:p>
      <w:pPr>
        <w:pStyle w:val="BodyText"/>
      </w:pPr>
      <w:r>
        <w:t xml:space="preserve">WCAG 2.2 AA as the enforced floor, AAA for body text where achievable, verified in CI (Volume IV §11.1) · every product usable by keyboard and screen reader · accessibility audits free for anyone who asks (Volume III §1.5) · the design system open-sourced so accessibility benefits beyond our customers · </w:t>
      </w:r>
      <w:r>
        <w:rPr>
          <w:b/>
          <w:bCs/>
        </w:rPr>
        <w:t xml:space="preserve">accessibility never a paid tier.</w:t>
      </w:r>
    </w:p>
    <w:p>
      <w:pPr>
        <w:pStyle w:val="Heading3"/>
      </w:pPr>
      <w:r>
        <w:t xml:space="preserve">8.4 Ethical AI</w:t>
      </w:r>
    </w:p>
    <w:p>
      <w:pPr>
        <w:pStyle w:val="BodyText"/>
      </w:pPr>
      <w:r>
        <w:t xml:space="preserve">The Volume I §7.2 honesty rules · the Volume IV §8.1 stakes ladder · the Volume IV §9 data rights, including the refusal to train third-party models on customer data · the Volume I §7.1 workforce commitment, with free redeployment training where our automation changed someone’s role · </w:t>
      </w:r>
      <w:r>
        <w:rPr>
          <w:b/>
          <w:bCs/>
        </w:rPr>
        <w:t xml:space="preserve">and the standing refusal to build emotion recognition or surveillance systems</w:t>
      </w:r>
      <w:r>
        <w:t xml:space="preserve"> (Chapter 7.2).</w:t>
      </w:r>
    </w:p>
    <w:p>
      <w:pPr>
        <w:pStyle w:val="Heading3"/>
      </w:pPr>
      <w:r>
        <w:t xml:space="preserve">8.5 Community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Programme</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Commitment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Scholarships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Funded places on StromeX Academy certifications for students and teachers who cannot pay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Free tier for low-fee schools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Standing policy discount up to 40% (Volume III §0.4); free tier without limit for schools below a fee threshold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Open source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system, SDKs, exporters, typography toolkit — permanently free (Volume I §5.5)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Educational outreach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Free curriculum, policy and assessment resources for any institution, customer or not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Apprenticeships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genuine non-graduate path into technology careers (Chapter 5.5)</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Research</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Published openly, including findings unfavourable to us (Chapter 3.5)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 employment</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Build teams in the markets we serve, at rates benchmarked internationally, not locally</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Community</w:t>
      </w:r>
    </w:p>
    <w:p>
      <w:pPr>
        <w:pStyle w:val="Heading3"/>
      </w:pPr>
      <w:r>
        <w:t xml:space="preserve">8.6 The honesty clause</w:t>
      </w:r>
    </w:p>
    <w:p>
      <w:pPr>
        <w:pStyle w:val="BodyText"/>
      </w:pPr>
      <w:r>
        <w:t xml:space="preserve">We will not publish a sustainability claim we cannot evidence, will not describe a commercial decision as a social one, and will not count the free tier as philanthropy when it is also a distribution strategy — it is both, and saying so is more credible than pretending it is only the first.</w:t>
      </w:r>
    </w:p>
    <w:p>
      <w:pPr>
        <w:pStyle w:val="Heading2"/>
        <w:pageBreakBefore/>
      </w:pPr>
      <w:r>
        <w:t xml:space="preserve">CHAPTER 9 — THE 100-YEAR PLAN</w:t>
      </w:r>
    </w:p>
    <w:p>
      <w:pPr>
        <w:pStyle w:val="EditorialNote"/>
      </w:pPr>
      <w:r>
        <w:t xml:space="preserve">The final strategic chapter of the corpus. Written for people not yet born, who will work at a company whose founders they never met.</w:t>
      </w:r>
    </w:p>
    <w:p>
      <w:pPr>
        <w:pStyle w:val="Heading3"/>
      </w:pPr>
      <w:r>
        <w:t xml:space="preserve">9.1 What StromeX should stand for after 100 years</w:t>
      </w:r>
    </w:p>
    <w:p>
      <w:pPr>
        <w:pStyle w:val="PullQuote"/>
        <w:spacing w:after="220" w:before="200"/>
      </w:pPr>
      <w:r>
        <w:rPr>
          <w:b/>
          <w:bCs/>
        </w:rPr>
        <w:t xml:space="preserve">That institutions serving ordinary people deserve extraordinary tools — and that where you were born should not determine the quality of the systems that shape your life.</w:t>
      </w:r>
    </w:p>
    <w:p>
      <w:pPr>
        <w:pStyle w:val="BodyText"/>
      </w:pPr>
      <w:r>
        <w:t xml:space="preserve">If StromeX exists in 2127 and that sentence is still true of it, the company will have succeeded regardless of its size, its share price, or whether anyone remembers who started it.</w:t>
      </w:r>
    </w:p>
    <w:p>
      <w:pPr>
        <w:pStyle w:val="Heading3"/>
      </w:pPr>
      <w:r>
        <w:t xml:space="preserve">9.2 The values that must never change</w:t>
      </w:r>
    </w:p>
    <w:p>
      <w:pPr>
        <w:pStyle w:val="BodyText"/>
      </w:pPr>
      <w:r>
        <w:t xml:space="preserve">These are the entrenched provisions (Volume I §9.1). Amending any of them requires a Board supermajority, a published rationale and thirty days’ notice — and any future leadership that finds them inconvenient should understand that the inconvenience is the point.</w:t>
      </w:r>
    </w:p>
    <w:p>
      <w:pPr>
        <w:pStyle w:val="ListParagraph"/>
        <w:numPr>
          <w:ilvl w:val="0"/>
          <w:numId w:val="3"/>
        </w:numPr>
        <w:spacing w:after="40" w:before="40" w:line="276"/>
      </w:pPr>
      <w:r>
        <w:rPr>
          <w:b/>
          <w:bCs/>
        </w:rPr>
        <w:t xml:space="preserve">Verification is free for the verifier, forever.</w:t>
      </w:r>
      <w:r>
        <w:t xml:space="preserve"> A person’s credential belongs to them. Checking it must never have a price, and a graduate’s degree is never held hostage to their institution’s subscription.</w:t>
      </w:r>
    </w:p>
    <w:p>
      <w:pPr>
        <w:pStyle w:val="ListParagraph"/>
        <w:numPr>
          <w:ilvl w:val="0"/>
          <w:numId w:val="3"/>
        </w:numPr>
        <w:spacing w:after="40" w:before="40" w:line="276"/>
      </w:pPr>
      <w:r>
        <w:rPr>
          <w:b/>
          <w:bCs/>
        </w:rPr>
        <w:t xml:space="preserve">Customer data belongs to the customer.</w:t>
      </w:r>
      <w:r>
        <w:t xml:space="preserve"> Never sold, never brokered, never used to train third-party models, always exportable, free and complete.</w:t>
      </w:r>
    </w:p>
    <w:p>
      <w:pPr>
        <w:pStyle w:val="ListParagraph"/>
        <w:numPr>
          <w:ilvl w:val="0"/>
          <w:numId w:val="3"/>
        </w:numPr>
        <w:spacing w:after="40" w:before="40" w:line="276"/>
      </w:pPr>
      <w:r>
        <w:rPr>
          <w:b/>
          <w:bCs/>
        </w:rPr>
        <w:t xml:space="preserve">Children’s data receives the strictest handling in the group</w:t>
      </w:r>
      <w:r>
        <w:t xml:space="preserve"> — never monetised, never profiled, never advertised against.</w:t>
      </w:r>
    </w:p>
    <w:p>
      <w:pPr>
        <w:pStyle w:val="ListParagraph"/>
        <w:numPr>
          <w:ilvl w:val="0"/>
          <w:numId w:val="3"/>
        </w:numPr>
        <w:spacing w:after="40" w:before="40" w:line="276"/>
      </w:pPr>
      <w:r>
        <w:rPr>
          <w:b/>
          <w:bCs/>
        </w:rPr>
        <w:t xml:space="preserve">No bribery, ever, in any market, for any contract.</w:t>
      </w:r>
      <w:r>
        <w:t xml:space="preserve"> Losing business for this reason is a correct outcome.</w:t>
      </w:r>
    </w:p>
    <w:p>
      <w:pPr>
        <w:pStyle w:val="ListParagraph"/>
        <w:numPr>
          <w:ilvl w:val="0"/>
          <w:numId w:val="3"/>
        </w:numPr>
        <w:spacing w:after="40" w:before="40" w:line="276"/>
      </w:pPr>
      <w:r>
        <w:rPr>
          <w:b/>
          <w:bCs/>
        </w:rPr>
        <w:t xml:space="preserve">We do not build surveillance, weapons, or systems designed to persecute.</w:t>
      </w:r>
    </w:p>
    <w:p>
      <w:pPr>
        <w:pStyle w:val="ListParagraph"/>
        <w:numPr>
          <w:ilvl w:val="0"/>
          <w:numId w:val="3"/>
        </w:numPr>
        <w:spacing w:after="40" w:before="40" w:line="276"/>
      </w:pPr>
      <w:r>
        <w:rPr>
          <w:b/>
          <w:bCs/>
        </w:rPr>
        <w:t xml:space="preserve">High-stakes decisions about a person are made by a person</w:t>
      </w:r>
      <w:r>
        <w:t xml:space="preserve">, and that person is named and accountable.</w:t>
      </w:r>
    </w:p>
    <w:p>
      <w:pPr>
        <w:pStyle w:val="ListParagraph"/>
        <w:numPr>
          <w:ilvl w:val="0"/>
          <w:numId w:val="3"/>
        </w:numPr>
        <w:spacing w:after="40" w:before="40" w:line="276"/>
      </w:pPr>
      <w:r>
        <w:rPr>
          <w:b/>
          <w:bCs/>
        </w:rPr>
        <w:t xml:space="preserve">We disclose our failures before we are asked</w:t>
      </w:r>
      <w:r>
        <w:t xml:space="preserve">, with a timeline and a fix.</w:t>
      </w:r>
    </w:p>
    <w:p>
      <w:pPr>
        <w:pStyle w:val="ListParagraph"/>
        <w:numPr>
          <w:ilvl w:val="0"/>
          <w:numId w:val="3"/>
        </w:numPr>
        <w:spacing w:after="40" w:before="40" w:line="276"/>
      </w:pPr>
      <w:r>
        <w:rPr>
          <w:b/>
          <w:bCs/>
        </w:rPr>
        <w:t xml:space="preserve">The free tier is real</w:t>
      </w:r>
      <w:r>
        <w:t xml:space="preserve">, and the boundary of what is free is stated plainly rather than discovered at the moment of frustration.</w:t>
      </w:r>
    </w:p>
    <w:p>
      <w:pPr>
        <w:pStyle w:val="ListParagraph"/>
        <w:numPr>
          <w:ilvl w:val="0"/>
          <w:numId w:val="3"/>
        </w:numPr>
        <w:spacing w:after="40" w:before="40" w:line="276"/>
      </w:pPr>
      <w:r>
        <w:rPr>
          <w:b/>
          <w:bCs/>
        </w:rPr>
        <w:t xml:space="preserve">We do not sell what we cannot deliver.</w:t>
      </w:r>
    </w:p>
    <w:p>
      <w:pPr>
        <w:pStyle w:val="ListParagraph"/>
        <w:numPr>
          <w:ilvl w:val="0"/>
          <w:numId w:val="3"/>
        </w:numPr>
        <w:spacing w:after="40" w:before="40" w:line="276"/>
      </w:pPr>
      <w:r>
        <w:rPr>
          <w:b/>
          <w:bCs/>
        </w:rPr>
        <w:t xml:space="preserve">A price is honoured for its term</w:t>
      </w:r>
      <w:r>
        <w:t xml:space="preserve">, and increases are announced, capped and explained.</w:t>
      </w:r>
    </w:p>
    <w:p>
      <w:pPr>
        <w:pStyle w:val="Heading3"/>
      </w:pPr>
      <w:r>
        <w:t xml:space="preserve">9.3 The things that may and should change</w:t>
      </w:r>
    </w:p>
    <w:p>
      <w:pPr>
        <w:pStyle w:val="BodyText"/>
      </w:pPr>
      <w:r>
        <w:t xml:space="preserve">Products. Markets. Technologies. Business models. Organisational structure. Pricing. The sectors we serve. The countries we operate in. The people who lead. </w:t>
      </w:r>
      <w:r>
        <w:rPr>
          <w:b/>
          <w:bCs/>
        </w:rPr>
        <w:t xml:space="preserve">All of it should change, repeatedly, and a future leadership that preserves any of it out of reverence has misunderstood this document.</w:t>
      </w:r>
      <w:r>
        <w:t xml:space="preserve"> The corpus is a constitution, not a museum.</w:t>
      </w:r>
    </w:p>
    <w:p>
      <w:pPr>
        <w:pStyle w:val="Heading3"/>
      </w:pPr>
      <w:r>
        <w:t xml:space="preserve">9.4 The four generational transitions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Era</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The transition</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The risk it carries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1–20</w:t>
            </w:r>
            <w:r>
              <w:rPr>
                <w:rFonts w:ascii="DejaVu Sans" w:cs="DejaVu Sans" w:eastAsia="DejaVu Sans" w:hAnsi="DejaVu Sans"/>
                <w:color w:val="0D1117"/>
                <w:sz w:val="16"/>
                <w:szCs w:val="16"/>
              </w:rPr>
              <w:t xml:space="preserve"> (2027–2046)</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Founder-led → institution-led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founder never becomes dispensable, and the company ends when they do</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20–40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professional leadership; the founding generation departs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constitution is treated as the founder’s preferences rather than as law, and is quietly abandoned</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40–70</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Second and third leaderships; the founding markets mature</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Success produces the complacency that makes the company a Class 2 incumbent — the very thing Volume II §5.1 describes us beating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Years 70–100</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company outlives its original technologies entirely</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Nobody remembers why the entrenched provisions exist, and the reasoning was never written down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four generational transitions</w:t>
      </w:r>
    </w:p>
    <w:p>
      <w:pPr>
        <w:pStyle w:val="BodyText"/>
      </w:pPr>
      <w:r>
        <w:rPr>
          <w:b/>
          <w:bCs/>
        </w:rPr>
        <w:t xml:space="preserve">The mitigation for all four is the same, and it is this corpus.</w:t>
      </w:r>
      <w:r>
        <w:t xml:space="preserve"> Not because a document has authority on its own, but because the reasoning is written down — and a future employee who disagrees can at least argue with the argument rather than guess at it. That is why Volume I §9.2 requires every amendment to state what becomes false if it is wrong, and why §9.3 preserves dissent permanently.</w:t>
      </w:r>
    </w:p>
    <w:p>
      <w:pPr>
        <w:pStyle w:val="Heading3"/>
      </w:pPr>
      <w:r>
        <w:t xml:space="preserve">9.5 The legacy, stated concretely</w:t>
      </w:r>
    </w:p>
    <w:p>
      <w:pPr>
        <w:pStyle w:val="BodyText"/>
      </w:pPr>
      <w:r>
        <w:t xml:space="preserve">In education: that a child in Ikorodu, Kano, Kumasi or Karachi learns in an institution whose systems are as good as any in London — and whose certificate is believed anywhere in the world without a phone call.</w:t>
      </w:r>
    </w:p>
    <w:p>
      <w:pPr>
        <w:pStyle w:val="BodyText"/>
      </w:pPr>
      <w:r>
        <w:t xml:space="preserve">In technology: that the industry has a working example of a company built in an emerging market, to a global standard, without pretending to be from somewhere else, and without extracting from the people it served.</w:t>
      </w:r>
    </w:p>
    <w:p>
      <w:pPr>
        <w:pStyle w:val="BodyText"/>
      </w:pPr>
      <w:r>
        <w:t xml:space="preserve">In society: that the millions of hours of administrative labour StromeX automated were returned to teaching, to care, to scholarship and to family — and that the people whose jobs changed were trained, redeployed and better off, because the company that automated their tasks took responsibility for it.</w:t>
      </w:r>
    </w:p>
    <w:p>
      <w:pPr>
        <w:pStyle w:val="Heading3"/>
      </w:pPr>
      <w:r>
        <w:t xml:space="preserve">9.6 The final instruction</w:t>
      </w:r>
    </w:p>
    <w:p>
      <w:pPr>
        <w:pStyle w:val="PullQuote"/>
        <w:spacing w:after="60" w:before="200"/>
      </w:pPr>
      <w:r>
        <w:rPr>
          <w:b/>
          <w:bCs/>
        </w:rPr>
        <w:t xml:space="preserve">If StromeX ever has to choose between being large and being trusted, it chooses trusted.</w:t>
      </w:r>
    </w:p>
    <w:p>
      <w:pPr>
        <w:pStyle w:val="PullQuote"/>
        <w:spacing w:after="220" w:before="60"/>
      </w:pPr>
      <w:r>
        <w:t xml:space="preserve">That choice will present itself. It will be expensive. It will be argued for persuasively by intelligent people with good intentions and a real business case. The answer is in this line, and it was written down in 2026 precisely so that whoever faces it does not have to decide alone.</w:t>
      </w:r>
    </w:p>
    <w:p>
      <w:pPr>
        <w:pStyle w:val="Heading2"/>
        <w:pageBreakBefore/>
      </w:pPr>
      <w:r>
        <w:t xml:space="preserve">CHAPTER 10 — THE LIVING CONSTITUTION DIRECTIVE</w:t>
      </w:r>
    </w:p>
    <w:p>
      <w:pPr>
        <w:pStyle w:val="EditorialNote"/>
      </w:pPr>
      <w:r>
        <w:t xml:space="preserve">Permanent standing instruction, applying to every author of this corpus — human or AI — in perpetuity.</w:t>
      </w:r>
    </w:p>
    <w:p>
      <w:pPr>
        <w:pStyle w:val="Heading3"/>
      </w:pPr>
      <w:r>
        <w:t xml:space="preserve">10.1 The directive</w:t>
      </w:r>
    </w:p>
    <w:p>
      <w:pPr>
        <w:pStyle w:val="PullQuote"/>
        <w:spacing w:after="60" w:before="200"/>
      </w:pPr>
      <w:r>
        <w:rPr>
          <w:b/>
          <w:bCs/>
        </w:rPr>
        <w:t xml:space="preserve">Do not treat this Editorial Bible as a finished document. Treat it as a living constitution.</w:t>
      </w:r>
    </w:p>
    <w:p>
      <w:pPr>
        <w:pStyle w:val="PullQuote"/>
        <w:spacing w:after="60" w:before="60"/>
      </w:pPr>
      <w:r>
        <w:t xml:space="preserve">Whenever you identify a missing capability, governance principle, product category, revenue model, technology, operational process, or strategic opportunity that aligns with StromeX’s mission and long-term sustainability, propose and incorporate it with clear justification.</w:t>
      </w:r>
    </w:p>
    <w:p>
      <w:pPr>
        <w:pStyle w:val="PullQuote"/>
        <w:spacing w:after="220" w:before="60"/>
      </w:pPr>
      <w:r>
        <w:t xml:space="preserve">Distinguish evidence-based recommendations from aspirational ideas. Preserve internal consistency. Ensure every addition strengthens the company over decades rather than optimising for short-term gains.</w:t>
      </w:r>
    </w:p>
    <w:p>
      <w:pPr>
        <w:pStyle w:val="Heading3"/>
      </w:pPr>
      <w:r>
        <w:t xml:space="preserve">10.2 The authorship standard</w:t>
      </w:r>
    </w:p>
    <w:p>
      <w:pPr>
        <w:pStyle w:val="BodyText"/>
      </w:pPr>
      <w:r>
        <w:t xml:space="preserve">Every addition to this corpus, by anyone, must meet the same bar the corpus holds itself to:</w:t>
      </w:r>
    </w:p>
    <w:p>
      <w:pPr>
        <w:pStyle w:val="BodyText"/>
      </w:pPr>
      <w:r>
        <w:rPr>
          <w:b/>
          <w:bCs/>
        </w:rPr>
        <w:t xml:space="preserve">Answer the five questions</w:t>
      </w:r>
      <w:r>
        <w:t xml:space="preserve"> (Volume VIII §8.3): why is this included · what measurable value does it create · what risks does it introduce · what assumptions underpin it · how will success be measured.</w:t>
      </w:r>
    </w:p>
    <w:p>
      <w:pPr>
        <w:pStyle w:val="BodyText"/>
      </w:pPr>
      <w:r>
        <w:rPr>
          <w:b/>
          <w:bCs/>
        </w:rPr>
        <w:t xml:space="preserve">Separate evidence from inference, explicitly.</w:t>
      </w:r>
      <w:r>
        <w:t xml:space="preserve"> The corpus uses three registers and marks which is which:</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Register</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Meaning</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How it appears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Verified</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Sourced, dated, and linked</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Cited inline with a source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Synthesis</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Well-established industry practice, reasoned from</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Stated as practice, not as a finding</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Judgement</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Our reasoning from first principles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Stated as our position, with the reasoning exposed so it can be attacked</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Projection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Estimates about the future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Labelled, with assumptions inline and scenarios where material</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authorship standard</w:t>
      </w:r>
    </w:p>
    <w:p>
      <w:pPr>
        <w:pStyle w:val="BodyText"/>
      </w:pPr>
      <w:r>
        <w:rPr>
          <w:b/>
          <w:bCs/>
        </w:rPr>
        <w:t xml:space="preserve">Never fabricate.</w:t>
      </w:r>
      <w:r>
        <w:t xml:space="preserve"> No invented statistics, no fictional interviews, no imaginary case studies, no synthetic quotes, no citations that do not resolve. Where the corpus needs a number it does not have, it says so and states the method by which the number should be obtained (Volume II §2.2 is the model).</w:t>
      </w:r>
    </w:p>
    <w:p>
      <w:pPr>
        <w:pStyle w:val="BodyText"/>
      </w:pPr>
      <w:r>
        <w:rPr>
          <w:b/>
          <w:bCs/>
        </w:rPr>
        <w:t xml:space="preserve">Compare before recommending.</w:t>
      </w:r>
      <w:r>
        <w:t xml:space="preserve"> State the alternatives considered and the trade-off accepted. A recommendation with no stated alternative is an assertion.</w:t>
      </w:r>
    </w:p>
    <w:p>
      <w:pPr>
        <w:pStyle w:val="BodyText"/>
      </w:pPr>
      <w:r>
        <w:rPr>
          <w:b/>
          <w:bCs/>
        </w:rPr>
        <w:t xml:space="preserve">Do not inflate.</w:t>
      </w:r>
      <w:r>
        <w:t xml:space="preserve"> Where forecasts are given, give conservative, expected and optimistic scenarios with their assumptions, and state which one the company should plan against (Volume VIII §5).</w:t>
      </w:r>
    </w:p>
    <w:p>
      <w:pPr>
        <w:pStyle w:val="BodyText"/>
      </w:pPr>
      <w:r>
        <w:rPr>
          <w:b/>
          <w:bCs/>
        </w:rPr>
        <w:t xml:space="preserve">Preserve consistency.</w:t>
      </w:r>
      <w:r>
        <w:t xml:space="preserve"> An addition that contradicts an existing chapter must either reconcile with it or amend it explicitly under Volume I §9. Silent contradiction is the mechanism by which constitutions become decoration.</w:t>
      </w:r>
    </w:p>
    <w:p>
      <w:pPr>
        <w:pStyle w:val="BodyText"/>
      </w:pPr>
      <w:r>
        <w:rPr>
          <w:b/>
          <w:bCs/>
        </w:rPr>
        <w:t xml:space="preserve">Write for the reader who was not there.</w:t>
      </w:r>
      <w:r>
        <w:t xml:space="preserve"> The person consulting this corpus in 2043 does not know what was obvious in 2027. Write the reasoning down, not just the conclusion.</w:t>
      </w:r>
    </w:p>
    <w:p>
      <w:pPr>
        <w:pStyle w:val="Heading3"/>
      </w:pPr>
      <w:r>
        <w:t xml:space="preserve">10.3 The review obligation</w:t>
      </w:r>
    </w:p>
    <w:p>
      <w:pPr>
        <w:pStyle w:val="BodyText"/>
      </w:pPr>
      <w:r>
        <w:t xml:space="preserve">Every volume carries a review date. An unreviewed chapter may not be cited as authority in a dispute (Volume I §9.2.5). A chapter unamended for twelve months is flagged for review — not because it is necessarily wrong, but because a constitution nobody has questioned in a year is a constitution nobody is reading.</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r0a-hftzt26vpkou5v7iy">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6hwc29kjbdkl00sptgzlo">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sb3pu5fysw3cxribazjrk">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k8uhxxzzta3fbzj48tkr1">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pf1sfjvsqudnigvfmyclx">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ofnas4_rurlwzunb3uftz">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bozqd5itofowjgkpzokju">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gsudtvzfviscuwiwrcooo">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0faoxevh8mxiupfh26eqh">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jpqiarjtqnmiobsirkeae">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joqdjpdq3laxc1symkhvr">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23, 25, 27</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23, 27</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23, 27</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5, 10, 14, 15, 23, 26, 27</w:t>
      </w:r>
    </w:p>
    <w:p>
      <w:pPr>
        <w:pBdr>
          <w:bottom w:val="single" w:color="C9CFD9" w:sz="3" w:space="4"/>
        </w:pBdr>
        <w:spacing w:after="100" w:before="240"/>
      </w:pPr>
      <w:r>
        <w:rPr>
          <w:rFonts w:ascii="DejaVu Serif" w:cs="DejaVu Serif" w:eastAsia="DejaVu Serif" w:hAnsi="DejaVu Serif"/>
          <w:b/>
          <w:bCs/>
          <w:color w:val="1B6EF3"/>
          <w:sz w:val="22"/>
          <w:szCs w:val="22"/>
        </w:rPr>
        <w:t xml:space="preserve">E</w:t>
      </w:r>
    </w:p>
    <w:p>
      <w:pPr>
        <w:spacing w:after="30" w:before="0" w:line="250"/>
        <w:ind w:left="240" w:hanging="240"/>
      </w:pPr>
      <w:r>
        <w:rPr>
          <w:sz w:val="17"/>
          <w:szCs w:val="17"/>
        </w:rPr>
        <w:t xml:space="preserve">Ecosystem</w:t>
      </w:r>
      <w:r>
        <w:rPr>
          <w:rFonts w:ascii="DejaVu Sans" w:cs="DejaVu Sans" w:eastAsia="DejaVu Sans" w:hAnsi="DejaVu Sans"/>
          <w:color w:val="6B7480"/>
          <w:sz w:val="16"/>
          <w:szCs w:val="16"/>
        </w:rPr>
        <w:t xml:space="preserve">  3, 27</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25, 27</w:t>
      </w:r>
    </w:p>
    <w:p>
      <w:pPr>
        <w:spacing w:after="30" w:before="0" w:line="250"/>
        <w:ind w:left="240" w:hanging="240"/>
      </w:pPr>
      <w:r>
        <w:rPr>
          <w:sz w:val="17"/>
          <w:szCs w:val="17"/>
        </w:rPr>
        <w:t xml:space="preserve">Free tier</w:t>
      </w:r>
      <w:r>
        <w:rPr>
          <w:rFonts w:ascii="DejaVu Sans" w:cs="DejaVu Sans" w:eastAsia="DejaVu Sans" w:hAnsi="DejaVu Sans"/>
          <w:color w:val="6B7480"/>
          <w:sz w:val="16"/>
          <w:szCs w:val="16"/>
        </w:rPr>
        <w:t xml:space="preserve">  18, 27</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6, 12, 23, 27</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25, 27</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24, 25, 27</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24, 27</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24, 25, 27</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18, 25</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24</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26</w:t>
      </w:r>
    </w:p>
    <w:p>
      <w:pPr>
        <w:pBdr>
          <w:bottom w:val="single" w:color="C9CFD9" w:sz="3" w:space="4"/>
        </w:pBdr>
        <w:spacing w:after="100" w:before="240"/>
      </w:pPr>
      <w:r>
        <w:rPr>
          <w:rFonts w:ascii="DejaVu Serif" w:cs="DejaVu Serif" w:eastAsia="DejaVu Serif" w:hAnsi="DejaVu Serif"/>
          <w:b/>
          <w:bCs/>
          <w:color w:val="1B6EF3"/>
          <w:sz w:val="22"/>
          <w:szCs w:val="22"/>
        </w:rPr>
        <w:t xml:space="preserve">S</w:t>
      </w:r>
    </w:p>
    <w:p>
      <w:pPr>
        <w:spacing w:after="30" w:before="0" w:line="250"/>
        <w:ind w:left="240" w:hanging="240"/>
      </w:pPr>
      <w:r>
        <w:rPr>
          <w:sz w:val="17"/>
          <w:szCs w:val="17"/>
        </w:rPr>
        <w:t xml:space="preserve">StromeX Labs</w:t>
      </w:r>
      <w:r>
        <w:rPr>
          <w:rFonts w:ascii="DejaVu Sans" w:cs="DejaVu Sans" w:eastAsia="DejaVu Sans" w:hAnsi="DejaVu Sans"/>
          <w:color w:val="6B7480"/>
          <w:sz w:val="16"/>
          <w:szCs w:val="16"/>
        </w:rPr>
        <w:t xml:space="preserve">  3</w:t>
      </w:r>
    </w:p>
    <w:p>
      <w:pPr>
        <w:spacing w:after="30" w:before="0" w:line="250"/>
        <w:ind w:left="240" w:hanging="240"/>
      </w:pPr>
      <w:r>
        <w:rPr>
          <w:sz w:val="17"/>
          <w:szCs w:val="17"/>
        </w:rPr>
        <w:t xml:space="preserve">Sustainability</w:t>
      </w:r>
      <w:r>
        <w:rPr>
          <w:rFonts w:ascii="DejaVu Sans" w:cs="DejaVu Sans" w:eastAsia="DejaVu Sans" w:hAnsi="DejaVu Sans"/>
          <w:color w:val="6B7480"/>
          <w:sz w:val="16"/>
          <w:szCs w:val="16"/>
        </w:rPr>
        <w:t xml:space="preserve">  17, 21</w:t>
      </w:r>
    </w:p>
    <w:p>
      <w:pPr>
        <w:pBdr>
          <w:bottom w:val="single" w:color="C9CFD9" w:sz="3" w:space="4"/>
        </w:pBdr>
        <w:spacing w:after="100" w:before="240"/>
      </w:pPr>
      <w:r>
        <w:rPr>
          <w:rFonts w:ascii="DejaVu Serif" w:cs="DejaVu Serif" w:eastAsia="DejaVu Serif" w:hAnsi="DejaVu Serif"/>
          <w:b/>
          <w:bCs/>
          <w:color w:val="1B6EF3"/>
          <w:sz w:val="22"/>
          <w:szCs w:val="22"/>
        </w:rPr>
        <w:t xml:space="preserve">T</w:t>
      </w:r>
    </w:p>
    <w:p>
      <w:pPr>
        <w:spacing w:after="30" w:before="0" w:line="250"/>
        <w:ind w:left="240" w:hanging="240"/>
      </w:pPr>
      <w:r>
        <w:rPr>
          <w:sz w:val="17"/>
          <w:szCs w:val="17"/>
        </w:rPr>
        <w:t xml:space="preserve">Talent</w:t>
      </w:r>
      <w:r>
        <w:rPr>
          <w:rFonts w:ascii="DejaVu Sans" w:cs="DejaVu Sans" w:eastAsia="DejaVu Sans" w:hAnsi="DejaVu Sans"/>
          <w:color w:val="6B7480"/>
          <w:sz w:val="16"/>
          <w:szCs w:val="16"/>
        </w:rPr>
        <w:t xml:space="preserve">  1, 9, 10, 28</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24, 26, 28</w:t>
      </w:r>
    </w:p>
    <w:p>
      <w:pPr>
        <w:pBdr>
          <w:bottom w:val="single" w:color="C9CFD9" w:sz="3" w:space="4"/>
        </w:pBdr>
        <w:spacing w:after="100" w:before="240"/>
      </w:pPr>
      <w:r>
        <w:rPr>
          <w:rFonts w:ascii="DejaVu Serif" w:cs="DejaVu Serif" w:eastAsia="DejaVu Serif" w:hAnsi="DejaVu Serif"/>
          <w:b/>
          <w:bCs/>
          <w:color w:val="1B6EF3"/>
          <w:sz w:val="22"/>
          <w:szCs w:val="22"/>
        </w:rPr>
        <w:t xml:space="preserve">W</w:t>
      </w:r>
    </w:p>
    <w:p>
      <w:pPr>
        <w:spacing w:after="30" w:before="0" w:line="250"/>
        <w:ind w:left="240" w:hanging="240"/>
      </w:pPr>
      <w:r>
        <w:rPr>
          <w:sz w:val="17"/>
          <w:szCs w:val="17"/>
        </w:rPr>
        <w:t xml:space="preserve">Wave</w:t>
      </w:r>
      <w:r>
        <w:rPr>
          <w:rFonts w:ascii="DejaVu Sans" w:cs="DejaVu Sans" w:eastAsia="DejaVu Sans" w:hAnsi="DejaVu Sans"/>
          <w:color w:val="6B7480"/>
          <w:sz w:val="16"/>
          <w:szCs w:val="16"/>
        </w:rPr>
        <w:t xml:space="preserve">  15, 28</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r0a-hftzt26vpkou5v7iy" Type="http://schemas.openxmlformats.org/officeDocument/2006/relationships/hyperlink" Target="https://emis.education.gov.ng/portal/" TargetMode="External"/><Relationship Id="rId6hwc29kjbdkl00sptgzlo" Type="http://schemas.openxmlformats.org/officeDocument/2006/relationships/hyperlink" Target="https://www.growthspreeofficial.com/blogs/b2b-saas-nrr-grr-net-gross-revenue-retention-benchmarks-2026-by-acv-stage-vertical" TargetMode="External"/><Relationship Id="rIdsb3pu5fysw3cxribazjrk" Type="http://schemas.openxmlformats.org/officeDocument/2006/relationships/hyperlink" Target="https://www.digitalapplied.com/blog/net-revenue-retention-benchmarks-2026-saas-expansion-data" TargetMode="External"/><Relationship Id="rIdk8uhxxzzta3fbzj48tkr1" Type="http://schemas.openxmlformats.org/officeDocument/2006/relationships/hyperlink" Target="https://valueaddvc.com/saas-valuations" TargetMode="External"/><Relationship Id="rIdpf1sfjvsqudnigvfmyclx" Type="http://schemas.openxmlformats.org/officeDocument/2006/relationships/hyperlink" Target="https://aventis-advisors.com/saas-valuation-multiples/" TargetMode="External"/><Relationship Id="rIdofnas4_rurlwzunb3uftz" Type="http://schemas.openxmlformats.org/officeDocument/2006/relationships/hyperlink" Target="https://www.l40.com/insights/saas-multiples" TargetMode="External"/><Relationship Id="rIdbozqd5itofowjgkpzokju" Type="http://schemas.openxmlformats.org/officeDocument/2006/relationships/hyperlink" Target="https://eqvista.com/saas-index-revenue-multiples-valuations-market-trends/" TargetMode="External"/><Relationship Id="rIdgsudtvzfviscuwiwrcooo" Type="http://schemas.openxmlformats.org/officeDocument/2006/relationships/hyperlink" Target="https://prioridata.com/data/messaging-app-stats/" TargetMode="External"/><Relationship Id="rId0faoxevh8mxiupfh26eqh" Type="http://schemas.openxmlformats.org/officeDocument/2006/relationships/hyperlink" Target="https://www.theregister.com/on-prem/2026/02/09/matrix-messaging-gaining-ground-in-government-it/4663932" TargetMode="External"/><Relationship Id="rIdjpqiarjtqnmiobsirkeae" Type="http://schemas.openxmlformats.org/officeDocument/2006/relationships/hyperlink" Target="https://element.io/blog/sweden-goes-live-with-matrix-based-federation/" TargetMode="External"/><Relationship Id="rIdjoqdjpdq3laxc1symkhvr"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IX — The Institution · The StromeX Editorial Bible</dc:title>
  <dc:subject>StromeX Executive Knowledge System</dc:subject>
  <dc:creator>StromeX Group Holdings</dc:creator>
  <dc:description>Innovation · Research · Talent · Operations · The 100-Year Plan</dc:description>
  <cp:lastModifiedBy>StromeX Group Holdings</cp:lastModifiedBy>
  <cp:revision>1</cp:revision>
  <dcterms:created xsi:type="dcterms:W3CDTF">2026-08-13T08:41:19.261Z</dcterms:created>
  <dcterms:modified xsi:type="dcterms:W3CDTF">2026-08-13T08:41:19.261Z</dcterms:modified>
</cp:coreProperties>
</file>

<file path=docProps/custom.xml><?xml version="1.0" encoding="utf-8"?>
<Properties xmlns="http://schemas.openxmlformats.org/officeDocument/2006/custom-properties" xmlns:vt="http://schemas.openxmlformats.org/officeDocument/2006/docPropsVTypes"/>
</file>