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Celebrating Achievement, Inspiring Futures</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2:00 p.m. · School Grounds</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40 awards · 34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Grounds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10:00–10:05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Arrival and Seating of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40</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34</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6</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Zaynab Zakariya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Omoshalewa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Naheemah Ismail</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Ashrof Akorede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Abdulateef Adedokun</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Abdullah Oladimeji Anofi</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Naheemah Ismai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Al-ameen Abidemi Jokomba</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Daud Aliu</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Baqi Anofi</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Sa’ad Sanusi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Faridah Aliu</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Ameerah Abdulhafeez</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Mazeed Hassan-Murtala</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40 awards conferred upon 34 graduands.</dc:description>
  <cp:lastModifiedBy>Un-named</cp:lastModifiedBy>
  <cp:revision>1</cp:revision>
  <dcterms:created xsi:type="dcterms:W3CDTF">2026-08-07T19:34:45.952Z</dcterms:created>
  <dcterms:modified xsi:type="dcterms:W3CDTF">2026-08-07T19:34:45.953Z</dcterms:modified>
</cp:coreProperties>
</file>

<file path=docProps/custom.xml><?xml version="1.0" encoding="utf-8"?>
<Properties xmlns="http://schemas.openxmlformats.org/officeDocument/2006/custom-properties" xmlns:vt="http://schemas.openxmlformats.org/officeDocument/2006/docPropsVTypes"/>
</file>