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STU-001 through STU-023 (Student Policies Handbook, 23 of 107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40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103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111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0"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Before typesetting, this Handbook underwent the same structured editorial review applied to the University’s Constitution, Institutional Governance Compendium, and Academic Handbook: every policy’s cross-references were checked against the Compendium’s corrected Doc Code registry, and every citation to the Constitution was checked against the Constitution’s actual Article and Section headings.</w:t>
      </w:r>
    </w:p>
    <w:p>
      <w:pPr>
        <w:pStyle w:val="BodyText"/>
        <w:jc w:val="both"/>
      </w:pPr>
      <w:r>
        <w:rPr>
          <w:bCs/>
          <w:b/>
        </w:rPr>
        <w:t xml:space="preserve">Issues found and corrected:</w:t>
      </w:r>
    </w:p>
    <w:p>
      <w:pPr>
        <w:numPr>
          <w:ilvl w:val="0"/>
          <w:numId w:val="1001"/>
        </w:numPr>
        <w:pStyle w:val="Compact"/>
        <w:jc w:val="both"/>
      </w:pPr>
      <w:r>
        <w:rPr>
          <w:bCs/>
          <w:b/>
        </w:rPr>
        <w:t xml:space="preserve">Six mismatched Constitution citations.</w:t>
      </w:r>
      <w:r>
        <w:t xml:space="preserve"> </w:t>
      </w:r>
      <w:r>
        <w:t xml:space="preserve">STU-001 (Student Code of Conduct), STU-006 (Attendance Policy), STU-014 (Digital Citizenship &amp; Online Conduct Policy), STU-015 (Islamic Dress Code Policy for Online Learning), STU-016 (Online Classroom Etiquette &amp; Noise Policy), and STU-023 (Comprehensive Disciplinary &amp; Negative Reinforcement Policy) all cited</w:t>
      </w:r>
      <w:r>
        <w:t xml:space="preserve"> </w:t>
      </w:r>
      <w:r>
        <w:t xml:space="preserve">“</w:t>
      </w:r>
      <w:r>
        <w:t xml:space="preserve">Constitution Article 12, Section 12.2</w:t>
      </w:r>
      <w:r>
        <w:t xml:space="preserve">”</w:t>
      </w:r>
      <w:r>
        <w:t xml:space="preserve"> </w:t>
      </w:r>
      <w:r>
        <w:t xml:space="preserve">— the Rights clause — as their governing authority. All six are substantively about student conduct and compliance obligations, not rights, so all six are corrected to Article 12, Section 12.3 (Responsibilities), the clause that actually establishes students’ duty to uphold University values, maintain integrity, and comply with policy. The other sixteen STU policies that legitimately invoke Rights (grievance and grade-appeal rights, access to services, non-discrimination) were checked individually and needed no change.</w:t>
      </w:r>
    </w:p>
    <w:p>
      <w:pPr>
        <w:numPr>
          <w:ilvl w:val="0"/>
          <w:numId w:val="1001"/>
        </w:numPr>
        <w:pStyle w:val="Compact"/>
        <w:jc w:val="both"/>
      </w:pPr>
      <w:r>
        <w:rPr>
          <w:bCs/>
          <w:b/>
        </w:rPr>
        <w:t xml:space="preserve">One mismatched Article entirely.</w:t>
      </w:r>
      <w:r>
        <w:t xml:space="preserve"> </w:t>
      </w:r>
      <w:r>
        <w:t xml:space="preserve">STU-003 (Student Recruitment Plan) cited</w:t>
      </w:r>
      <w:r>
        <w:t xml:space="preserve"> </w:t>
      </w:r>
      <w:r>
        <w:t xml:space="preserve">“</w:t>
      </w:r>
      <w:r>
        <w:t xml:space="preserve">Constitution Article 11, Section 11.2</w:t>
      </w:r>
      <w:r>
        <w:t xml:space="preserve">”</w:t>
      </w:r>
      <w:r>
        <w:t xml:space="preserve"> </w:t>
      </w:r>
      <w:r>
        <w:t xml:space="preserve">— the Waqf Reserve clause, which has no relationship to admissions or recruitment. Corrected to Article 12, Section 12.1 (Admission), the clause that actually governs who the University admits and on what terms.</w:t>
      </w:r>
    </w:p>
    <w:p>
      <w:pPr>
        <w:numPr>
          <w:ilvl w:val="0"/>
          <w:numId w:val="1001"/>
        </w:numPr>
        <w:pStyle w:val="Compact"/>
        <w:jc w:val="both"/>
      </w:pPr>
      <w:r>
        <w:rPr>
          <w:bCs/>
          <w:b/>
        </w:rPr>
        <w:t xml:space="preserve">One mismatched Doc Code.</w:t>
      </w:r>
      <w:r>
        <w:t xml:space="preserve"> </w:t>
      </w:r>
      <w:r>
        <w:t xml:space="preserve">STU-011 (Disability Services Policy) cited its related Non-Discrimination Policy as</w:t>
      </w:r>
      <w:r>
        <w:t xml:space="preserve"> </w:t>
      </w:r>
      <w:r>
        <w:t xml:space="preserve">“</w:t>
      </w:r>
      <w:r>
        <w:t xml:space="preserve">LEG-004</w:t>
      </w:r>
      <w:r>
        <w:t xml:space="preserve">”</w:t>
      </w:r>
      <w:r>
        <w:t xml:space="preserve"> </w:t>
      </w:r>
      <w:r>
        <w:t xml:space="preserve">— the code already assigned elsewhere in the Compendium’s registry to the Intellectual Property Policy. Per the registry, the Non-Discrimination &amp; Title IX Policy is item 85 (LEG item 5 of 11), so its correct category-relative code is LEG-005; corrected accordingly.</w:t>
      </w:r>
    </w:p>
    <w:p>
      <w:pPr>
        <w:pStyle w:val="FirstParagraph"/>
        <w:jc w:val="both"/>
      </w:pPr>
      <w:r>
        <w:rPr>
          <w:bCs/>
          <w:b/>
        </w:rPr>
        <w:t xml:space="preserve">Reviewed and deliberately left unchanged, because it is not something this Handbook can correct on its own:</w:t>
      </w:r>
      <w:r>
        <w:t xml:space="preserve"> </w:t>
      </w:r>
      <w:r>
        <w:t xml:space="preserve">the Institutional Governance Compendium’s master registry lists</w:t>
      </w:r>
      <w:r>
        <w:t xml:space="preserve"> </w:t>
      </w:r>
      <w:r>
        <w:t xml:space="preserve">“</w:t>
      </w:r>
      <w:r>
        <w:t xml:space="preserve">International Student Support Policy</w:t>
      </w:r>
      <w:r>
        <w:t xml:space="preserve">”</w:t>
      </w:r>
      <w:r>
        <w:t xml:space="preserve"> </w:t>
      </w:r>
      <w:r>
        <w:t xml:space="preserve">twice — once under this Handbook’s own category as STU-013 (Dean of Students, general student-services support: cultural adjustment, academic and financial assistance) and again under the Legal &amp; Compliance category as LEG-011 (also Dean of Students, immigration-compliance angle: visa status, SEVIS reporting, and related regulatory filings). The two documents are plausibly distinct in subject even though they share a title, but the overlap was not caught during the Compendium’s own editorial review and is flagged here for that review to resolve, rather than silently split or merged in this Handbook.</w:t>
      </w:r>
    </w:p>
    <w:p>
      <w:pPr>
        <w:pStyle w:val="BodyText"/>
        <w:jc w:val="both"/>
      </w:pPr>
      <w:r>
        <w:rPr>
          <w:bCs/>
          <w:b/>
        </w:rPr>
        <w:t xml:space="preserve">Reviewed and confirmed intentional, because it is not a duplication error:</w:t>
      </w:r>
      <w:r>
        <w:t xml:space="preserve"> </w:t>
      </w:r>
      <w:r>
        <w:t xml:space="preserve">STU-001 (Student Code of Conduct) and STU-023 (Comprehensive Disciplinary &amp; Negative Reinforcement Policy) share substantially the same Sanctions Matrix and much of the same disciplinary-process language. STU-001 establishes the behavioral standard and its baseline enforcement mechanism; STU-023 is the deeper, dedicated disciplinary and negative-reinforcement framework the Compendium’s registry lists as its own separate document (item 53). The overlap is retained in full in both policies, as authored, rather than cut from either — consistent with this Handbook’s obligation to reproduce every supplied policy in full rather than de-duplicate across documents.</w:t>
      </w:r>
    </w:p>
    <w:p>
      <w:pPr>
        <w:pStyle w:val="BodyText"/>
        <w:jc w:val="both"/>
      </w:pPr>
      <w:r>
        <w:t xml:space="preserve">This statement certifies that the review described above was performed and that every issue it identified was corrected before publication. It does not certify — and no review of twenty-three full policy documents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Student Policies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2026-07-26T16:42:39Z</dcterms:created>
  <dcterms:modified xsi:type="dcterms:W3CDTF">2026-07-26T16:42:39Z</dcterms:modified>
</cp:coreProperties>
</file>

<file path=docProps/custom.xml><?xml version="1.0" encoding="utf-8"?>
<Properties xmlns="http://schemas.openxmlformats.org/officeDocument/2006/custom-properties" xmlns:vt="http://schemas.openxmlformats.org/officeDocument/2006/docPropsVTypes"/>
</file>