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SUPREME STRATEGIC PLANNING COUNCIL · FLAGSHIP GOVERNANCE EDITION</w:t>
            </w:r>
          </w:p>
          <w:p>
            <w:pPr>
              <w:jc w:val="center"/>
              <w:spacing w:before="0" w:after="80"/>
              <w:suppressAutoHyphens/>
            </w:pPr>
            <w:r>
              <w:rPr>
                <w:rFonts w:ascii="Archivo" w:hAnsi="Archivo"/>
                <w:b/>
                <w:color w:val="B08625"/>
                <w:sz w:val="24"/>
                <w:spacing w:val="20"/>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Archivo SemiBold" w:hAnsi="Archivo SemiBold"/>
                <w:color w:val="8C97AB"/>
                <w:sz w:val="20"/>
                <w:spacing w:val="18"/>
              </w:rPr>
              <w:t>2028</w:t>
            </w:r>
          </w:p>
          <w:p>
            <w:pPr>
              <w:jc w:val="center"/>
              <w:spacing w:before="0" w:after="60"/>
              <w:suppressAutoHyphens/>
            </w:pPr>
            <w:r>
              <w:rPr>
                <w:rFonts w:ascii="Archivo" w:hAnsi="Archivo"/>
                <w:color w:val="8C97AB"/>
                <w:sz w:val="16"/>
              </w:rPr>
              <w:t xml:space="preserve">DOCUMENT REFERENCE  </w:t>
            </w:r>
            <w:r>
              <w:rPr>
                <w:rFonts w:ascii="Archivo SemiBold" w:hAnsi="Archivo SemiBold"/>
                <w:color w:val="B08625"/>
                <w:b/>
                <w:sz w:val="16"/>
              </w:rPr>
              <w:t>AMIU-CON-001</w:t>
            </w:r>
          </w:p>
          <w:p>
            <w:pPr>
              <w:jc w:val="center"/>
              <w:spacing w:before="0" w:after="0"/>
              <w:suppressAutoHyphens/>
            </w:pPr>
            <w:r>
              <w:rPr>
                <w:rFonts w:ascii="Archivo" w:hAnsi="Archivo"/>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 No.</w:t>
            </w:r>
          </w:p>
        </w:tc>
        <w:tc>
          <w:tcPr/>
          <w:p>
            <w:pPr>
              <w:pStyle w:val="Compact"/>
              <w:jc w:val="left"/>
              <w:suppressAutoHyphens/>
            </w:pPr>
            <w:r>
              <w:t xml:space="preserve">AMIU-CON-001</w:t>
            </w:r>
          </w:p>
        </w:tc>
      </w:tr>
      <w:tr>
        <w:trPr>
          <w:cantSplit/>
        </w:trPr>
        <w:tc>
          <w:tcPr/>
          <w:p>
            <w:pPr>
              <w:pStyle w:val="Compact"/>
              <w:jc w:val="left"/>
              <w:suppressAutoHyphens/>
            </w:pPr>
            <w:r>
              <w:rPr>
                <w:bCs/>
                <w:b/>
              </w:rPr>
              <w:t xml:space="preserve">Version</w:t>
            </w:r>
          </w:p>
        </w:tc>
        <w:tc>
          <w:tcPr/>
          <w:p>
            <w:pPr>
              <w:pStyle w:val="Compact"/>
              <w:jc w:val="left"/>
              <w:suppressAutoHyphens/>
            </w:pPr>
            <w:r>
              <w:t xml:space="preserve">6.0 (Complete Comprehensive Edition)</w:t>
            </w:r>
          </w:p>
        </w:tc>
      </w:tr>
      <w:tr>
        <w:trPr>
          <w:cantSplit/>
        </w:trPr>
        <w:tc>
          <w:tcPr/>
          <w:p>
            <w:pPr>
              <w:pStyle w:val="Compact"/>
              <w:jc w:val="left"/>
              <w:suppressAutoHyphens/>
            </w:pPr>
            <w:r>
              <w:rPr>
                <w:bCs/>
                <w:b/>
              </w:rPr>
              <w:t xml:space="preserve">Effective Date</w:t>
            </w:r>
          </w:p>
        </w:tc>
        <w:tc>
          <w:tcPr/>
          <w:p>
            <w:pPr>
              <w:pStyle w:val="Compact"/>
              <w:jc w:val="left"/>
              <w:suppressAutoHyphens/>
            </w:pPr>
            <w:r>
              <w:t xml:space="preserve">1 January 2028</w:t>
            </w:r>
          </w:p>
        </w:tc>
      </w:tr>
      <w:tr>
        <w:trPr>
          <w:cantSplit/>
        </w:trPr>
        <w:tc>
          <w:tcPr/>
          <w:p>
            <w:pPr>
              <w:pStyle w:val="Compact"/>
              <w:jc w:val="left"/>
              <w:suppressAutoHyphens/>
            </w:pPr>
            <w:r>
              <w:rPr>
                <w:bCs/>
                <w:b/>
              </w:rPr>
              <w:t xml:space="preserve">Classification</w:t>
            </w:r>
          </w:p>
        </w:tc>
        <w:tc>
          <w:tcPr/>
          <w:p>
            <w:pPr>
              <w:pStyle w:val="Compact"/>
              <w:jc w:val="left"/>
              <w:suppressAutoHyphens/>
            </w:pPr>
            <w:r>
              <w:t xml:space="preserve">Public — All Stakeholders</w:t>
            </w:r>
          </w:p>
        </w:tc>
      </w:tr>
      <w:tr>
        <w:trPr>
          <w:cantSplit/>
        </w:trPr>
        <w:tc>
          <w:tcPr/>
          <w:p>
            <w:pPr>
              <w:pStyle w:val="Compact"/>
              <w:jc w:val="left"/>
              <w:suppressAutoHyphens/>
            </w:pPr>
            <w:r>
              <w:rPr>
                <w:bCs/>
                <w:b/>
              </w:rPr>
              <w:t xml:space="preserve">Supersedes</w:t>
            </w:r>
          </w:p>
        </w:tc>
        <w:tc>
          <w:tcPr/>
          <w:p>
            <w:pPr>
              <w:pStyle w:val="Compact"/>
              <w:jc w:val="left"/>
              <w:suppressAutoHyphens/>
            </w:pPr>
            <w:r>
              <w:t xml:space="preserve">All prior governing documents of Al-Mulk International University</w:t>
            </w:r>
          </w:p>
        </w:tc>
      </w:tr>
      <w:tr>
        <w:trPr>
          <w:cantSplit/>
        </w:trPr>
        <w:tc>
          <w:tcPr/>
          <w:p>
            <w:pPr>
              <w:pStyle w:val="Compact"/>
              <w:jc w:val="left"/>
              <w:suppressAutoHyphens/>
            </w:pPr>
            <w:r>
              <w:rPr>
                <w:bCs/>
                <w:b/>
              </w:rPr>
              <w:t xml:space="preserve">Companion Volume</w:t>
            </w:r>
          </w:p>
        </w:tc>
        <w:tc>
          <w:tcPr/>
          <w:p>
            <w:pPr>
              <w:pStyle w:val="Compact"/>
              <w:jc w:val="left"/>
              <w:suppressAutoHyphens/>
            </w:pPr>
            <w:r>
              <w:t xml:space="preserve">Strategic Implementation Blueprint 2028–2050 (AMIU-SB-002)</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p>
            <w:pPr>
              <w:pStyle w:val="Compact"/>
              <w:jc w:val="left"/>
              <w:suppressAutoHyphens/>
            </w:pPr>
            <w:r>
              <w:rPr>
                <w:bCs/>
                <w:b/>
              </w:rPr>
              <w:t xml:space="preserve">Document Control</w:t>
            </w:r>
          </w:p>
        </w:tc>
        <w:tc>
          <w:tcPr/>
          <w:p>
            <w:pPr>
              <w:pStyle w:val="Compact"/>
              <w:jc w:val="right"/>
              <w:suppressAutoHyphens/>
            </w:pPr>
            <w:r>
              <w:rPr>
                <w:bCs/>
                <w:b/>
              </w:rPr>
              <w:t xml:space="preserve">3</w:t>
            </w:r>
          </w:p>
        </w:tc>
      </w:tr>
      <w:tr>
        <w:trPr>
          <w:cantSplit/>
        </w:trPr>
        <w:tc>
          <w:tcPr/>
          <w:p>
            <w:pPr>
              <w:pStyle w:val="Compact"/>
              <w:jc w:val="left"/>
              <w:suppressAutoHyphens/>
            </w:pPr>
            <w:r>
              <w:rPr>
                <w:bCs/>
                <w:b/>
              </w:rPr>
              <w:t xml:space="preserve">Constitutional Declaration</w:t>
            </w:r>
          </w:p>
        </w:tc>
        <w:tc>
          <w:tcPr/>
          <w:p>
            <w:pPr>
              <w:pStyle w:val="Compact"/>
              <w:jc w:val="right"/>
              <w:suppressAutoHyphens/>
            </w:pPr>
            <w:r>
              <w:rPr>
                <w:bCs/>
                <w:b/>
              </w:rPr>
              <w:t xml:space="preserve">4</w:t>
            </w:r>
          </w:p>
        </w:tc>
      </w:tr>
      <w:tr>
        <w:trPr>
          <w:cantSplit/>
        </w:trPr>
        <w:tc>
          <w:tcPr/>
          <w:p>
            <w:pPr>
              <w:pStyle w:val="Compact"/>
              <w:jc w:val="left"/>
              <w:suppressAutoHyphens/>
            </w:pPr>
            <w:r>
              <w:rPr>
                <w:bCs/>
                <w:b/>
              </w:rPr>
              <w:t xml:space="preserve">Preamble</w:t>
            </w:r>
          </w:p>
        </w:tc>
        <w:tc>
          <w:tcPr/>
          <w:p>
            <w:pPr>
              <w:pStyle w:val="Compact"/>
              <w:jc w:val="right"/>
              <w:suppressAutoHyphens/>
            </w:pPr>
            <w:r>
              <w:rPr>
                <w:bCs/>
                <w:b/>
              </w:rPr>
              <w:t xml:space="preserve">5</w:t>
            </w:r>
          </w:p>
        </w:tc>
      </w:tr>
      <w:tr>
        <w:trPr>
          <w:cantSplit/>
        </w:trPr>
        <w:tc>
          <w:tcPr/>
          <w:p>
            <w:pPr>
              <w:pStyle w:val="Compact"/>
              <w:jc w:val="left"/>
              <w:suppressAutoHyphens/>
            </w:pPr>
            <w:r>
              <w:rPr>
                <w:bCs/>
                <w:b/>
              </w:rPr>
              <w:t xml:space="preserve">Governance Architecture</w:t>
            </w:r>
          </w:p>
        </w:tc>
        <w:tc>
          <w:tcPr/>
          <w:p>
            <w:pPr>
              <w:pStyle w:val="Compact"/>
              <w:jc w:val="right"/>
              <w:suppressAutoHyphens/>
            </w:pPr>
            <w:r>
              <w:rPr>
                <w:bCs/>
                <w:b/>
              </w:rPr>
              <w:t xml:space="preserve">6</w:t>
            </w:r>
          </w:p>
        </w:tc>
      </w:tr>
      <w:tr>
        <w:trPr>
          <w:cantSplit/>
        </w:trPr>
        <w:tc>
          <w:tcPr/>
          <w:p>
            <w:pPr>
              <w:pStyle w:val="Compact"/>
              <w:jc w:val="left"/>
              <w:suppressAutoHyphens/>
            </w:pPr>
            <w:r>
              <w:rPr>
                <w:bCs/>
                <w:b/>
              </w:rPr>
              <w:t xml:space="preserve">Academic Framework</w:t>
            </w:r>
          </w:p>
        </w:tc>
        <w:tc>
          <w:tcPr/>
          <w:p>
            <w:pPr>
              <w:pStyle w:val="Compact"/>
              <w:jc w:val="right"/>
              <w:suppressAutoHyphens/>
            </w:pPr>
            <w:r>
              <w:rPr>
                <w:bCs/>
                <w:b/>
              </w:rPr>
              <w:t xml:space="preserve">7</w:t>
            </w:r>
          </w:p>
        </w:tc>
      </w:tr>
      <w:tr>
        <w:trPr>
          <w:cantSplit/>
        </w:trPr>
        <w:tc>
          <w:tcPr/>
          <w:p>
            <w:pPr>
              <w:pStyle w:val="Compact"/>
              <w:jc w:val="left"/>
              <w:suppressAutoHyphens/>
            </w:pPr>
            <w:r>
              <w:rPr>
                <w:bCs/>
                <w:b/>
              </w:rPr>
              <w:t xml:space="preserve">The ISLAMIC Framework</w:t>
            </w:r>
          </w:p>
        </w:tc>
        <w:tc>
          <w:tcPr/>
          <w:p>
            <w:pPr>
              <w:pStyle w:val="Compact"/>
              <w:jc w:val="right"/>
              <w:suppressAutoHyphens/>
            </w:pPr>
            <w:r>
              <w:rPr>
                <w:bCs/>
                <w:b/>
              </w:rPr>
              <w:t xml:space="preserve">8</w:t>
            </w:r>
          </w:p>
        </w:tc>
      </w:tr>
      <w:tr>
        <w:trPr>
          <w:cantSplit/>
        </w:trPr>
        <w:tc>
          <w:tcPr/>
          <w:p>
            <w:pPr>
              <w:pStyle w:val="Compact"/>
              <w:jc w:val="left"/>
              <w:suppressAutoHyphens/>
            </w:pPr>
            <w:r>
              <w:rPr>
                <w:bCs/>
                <w:b/>
              </w:rPr>
              <w:t xml:space="preserve">Article I — Definitions</w:t>
            </w:r>
          </w:p>
        </w:tc>
        <w:tc>
          <w:tcPr/>
          <w:p>
            <w:pPr>
              <w:pStyle w:val="Compact"/>
              <w:jc w:val="right"/>
              <w:suppressAutoHyphens/>
            </w:pPr>
            <w:r>
              <w:rPr>
                <w:bCs/>
                <w:b/>
              </w:rPr>
              <w:t xml:space="preserve">12</w:t>
            </w:r>
          </w:p>
        </w:tc>
      </w:tr>
      <w:tr>
        <w:trPr>
          <w:cantSplit/>
        </w:trPr>
        <w:tc>
          <w:tcPr/>
          <w:p>
            <w:pPr>
              <w:pStyle w:val="Compact"/>
              <w:jc w:val="left"/>
              <w:suppressAutoHyphens/>
            </w:pPr>
            <w:r>
              <w:rPr>
                <w:bCs/>
                <w:b/>
              </w:rPr>
              <w:t xml:space="preserve">Article II — Legal Identity</w:t>
            </w:r>
          </w:p>
        </w:tc>
        <w:tc>
          <w:tcPr/>
          <w:p>
            <w:pPr>
              <w:pStyle w:val="Compact"/>
              <w:jc w:val="right"/>
              <w:suppressAutoHyphens/>
            </w:pPr>
            <w:r>
              <w:rPr>
                <w:bCs/>
                <w:b/>
              </w:rPr>
              <w:t xml:space="preserve">17</w:t>
            </w:r>
          </w:p>
        </w:tc>
      </w:tr>
      <w:tr>
        <w:trPr>
          <w:cantSplit/>
        </w:trPr>
        <w:tc>
          <w:tcPr/>
          <w:p>
            <w:pPr>
              <w:pStyle w:val="Compact"/>
              <w:jc w:val="left"/>
              <w:suppressAutoHyphens/>
            </w:pPr>
            <w:r>
              <w:rPr>
                <w:bCs/>
                <w:b/>
              </w:rPr>
              <w:t xml:space="preserve">Article III — Mission, Vision and Values</w:t>
            </w:r>
          </w:p>
        </w:tc>
        <w:tc>
          <w:tcPr/>
          <w:p>
            <w:pPr>
              <w:pStyle w:val="Compact"/>
              <w:jc w:val="right"/>
              <w:suppressAutoHyphens/>
            </w:pPr>
            <w:r>
              <w:rPr>
                <w:bCs/>
                <w:b/>
              </w:rPr>
              <w:t xml:space="preserve">22</w:t>
            </w:r>
          </w:p>
        </w:tc>
      </w:tr>
      <w:tr>
        <w:trPr>
          <w:cantSplit/>
        </w:trPr>
        <w:tc>
          <w:tcPr/>
          <w:p>
            <w:pPr>
              <w:pStyle w:val="Compact"/>
              <w:jc w:val="left"/>
              <w:suppressAutoHyphens/>
            </w:pPr>
            <w:r>
              <w:rPr>
                <w:bCs/>
                <w:b/>
              </w:rPr>
              <w:t xml:space="preserve">Article IV — Interpretation</w:t>
            </w:r>
          </w:p>
        </w:tc>
        <w:tc>
          <w:tcPr/>
          <w:p>
            <w:pPr>
              <w:pStyle w:val="Compact"/>
              <w:jc w:val="right"/>
              <w:suppressAutoHyphens/>
            </w:pPr>
            <w:r>
              <w:rPr>
                <w:bCs/>
                <w:b/>
              </w:rPr>
              <w:t xml:space="preserve">26</w:t>
            </w:r>
          </w:p>
        </w:tc>
      </w:tr>
      <w:tr>
        <w:trPr>
          <w:cantSplit/>
        </w:trPr>
        <w:tc>
          <w:tcPr/>
          <w:p>
            <w:pPr>
              <w:pStyle w:val="Compact"/>
              <w:jc w:val="left"/>
              <w:suppressAutoHyphens/>
            </w:pPr>
            <w:r>
              <w:rPr>
                <w:bCs/>
                <w:b/>
              </w:rPr>
              <w:t xml:space="preserve">Article V — Governance Structure</w:t>
            </w:r>
          </w:p>
        </w:tc>
        <w:tc>
          <w:tcPr/>
          <w:p>
            <w:pPr>
              <w:pStyle w:val="Compact"/>
              <w:jc w:val="right"/>
              <w:suppressAutoHyphens/>
            </w:pPr>
            <w:r>
              <w:rPr>
                <w:bCs/>
                <w:b/>
              </w:rPr>
              <w:t xml:space="preserve">29</w:t>
            </w:r>
          </w:p>
        </w:tc>
      </w:tr>
      <w:tr>
        <w:trPr>
          <w:cantSplit/>
        </w:trPr>
        <w:tc>
          <w:tcPr/>
          <w:p>
            <w:pPr>
              <w:pStyle w:val="Compact"/>
              <w:jc w:val="left"/>
              <w:suppressAutoHyphens/>
            </w:pPr>
            <w:r>
              <w:rPr>
                <w:bCs/>
                <w:b/>
              </w:rPr>
              <w:t xml:space="preserve">Article VI — Board of Trustees</w:t>
            </w:r>
          </w:p>
        </w:tc>
        <w:tc>
          <w:tcPr/>
          <w:p>
            <w:pPr>
              <w:pStyle w:val="Compact"/>
              <w:jc w:val="right"/>
              <w:suppressAutoHyphens/>
            </w:pPr>
            <w:r>
              <w:rPr>
                <w:bCs/>
                <w:b/>
              </w:rPr>
              <w:t xml:space="preserve">33</w:t>
            </w:r>
          </w:p>
        </w:tc>
      </w:tr>
      <w:tr>
        <w:trPr>
          <w:cantSplit/>
        </w:trPr>
        <w:tc>
          <w:tcPr/>
          <w:p>
            <w:pPr>
              <w:pStyle w:val="Compact"/>
              <w:jc w:val="left"/>
              <w:suppressAutoHyphens/>
            </w:pPr>
            <w:r>
              <w:rPr>
                <w:bCs/>
                <w:b/>
              </w:rPr>
              <w:t xml:space="preserve">Article VII — President &amp; Vice-Chancellor</w:t>
            </w:r>
          </w:p>
        </w:tc>
        <w:tc>
          <w:tcPr/>
          <w:p>
            <w:pPr>
              <w:pStyle w:val="Compact"/>
              <w:jc w:val="right"/>
              <w:suppressAutoHyphens/>
            </w:pPr>
            <w:r>
              <w:rPr>
                <w:bCs/>
                <w:b/>
              </w:rPr>
              <w:t xml:space="preserve">41</w:t>
            </w:r>
          </w:p>
        </w:tc>
      </w:tr>
      <w:tr>
        <w:trPr>
          <w:cantSplit/>
        </w:trPr>
        <w:tc>
          <w:tcPr/>
          <w:p>
            <w:pPr>
              <w:pStyle w:val="Compact"/>
              <w:jc w:val="left"/>
              <w:suppressAutoHyphens/>
            </w:pPr>
            <w:r>
              <w:rPr>
                <w:bCs/>
                <w:b/>
              </w:rPr>
              <w:t xml:space="preserve">Article VIII — University Senate</w:t>
            </w:r>
          </w:p>
        </w:tc>
        <w:tc>
          <w:tcPr/>
          <w:p>
            <w:pPr>
              <w:pStyle w:val="Compact"/>
              <w:jc w:val="right"/>
              <w:suppressAutoHyphens/>
            </w:pPr>
            <w:r>
              <w:rPr>
                <w:bCs/>
                <w:b/>
              </w:rPr>
              <w:t xml:space="preserve">45</w:t>
            </w:r>
          </w:p>
        </w:tc>
      </w:tr>
      <w:tr>
        <w:trPr>
          <w:cantSplit/>
        </w:trPr>
        <w:tc>
          <w:tcPr/>
          <w:p>
            <w:pPr>
              <w:pStyle w:val="Compact"/>
              <w:jc w:val="left"/>
              <w:suppressAutoHyphens/>
            </w:pPr>
            <w:r>
              <w:rPr>
                <w:bCs/>
                <w:b/>
              </w:rPr>
              <w:t xml:space="preserve">Article IX — Administration</w:t>
            </w:r>
          </w:p>
        </w:tc>
        <w:tc>
          <w:tcPr/>
          <w:p>
            <w:pPr>
              <w:pStyle w:val="Compact"/>
              <w:jc w:val="right"/>
              <w:suppressAutoHyphens/>
            </w:pPr>
            <w:r>
              <w:rPr>
                <w:bCs/>
                <w:b/>
              </w:rPr>
              <w:t xml:space="preserve">51</w:t>
            </w:r>
          </w:p>
        </w:tc>
      </w:tr>
      <w:tr>
        <w:trPr>
          <w:cantSplit/>
        </w:trPr>
        <w:tc>
          <w:tcPr/>
          <w:p>
            <w:pPr>
              <w:pStyle w:val="Compact"/>
              <w:jc w:val="left"/>
              <w:suppressAutoHyphens/>
            </w:pPr>
            <w:r>
              <w:rPr>
                <w:bCs/>
                <w:b/>
              </w:rPr>
              <w:t xml:space="preserve">Article X — Academic Program</w:t>
            </w:r>
          </w:p>
        </w:tc>
        <w:tc>
          <w:tcPr/>
          <w:p>
            <w:pPr>
              <w:pStyle w:val="Compact"/>
              <w:jc w:val="right"/>
              <w:suppressAutoHyphens/>
            </w:pPr>
            <w:r>
              <w:rPr>
                <w:bCs/>
                <w:b/>
              </w:rPr>
              <w:t xml:space="preserve">54</w:t>
            </w:r>
          </w:p>
        </w:tc>
      </w:tr>
      <w:tr>
        <w:trPr>
          <w:cantSplit/>
        </w:trPr>
        <w:tc>
          <w:tcPr/>
          <w:p>
            <w:pPr>
              <w:pStyle w:val="Compact"/>
              <w:jc w:val="left"/>
              <w:suppressAutoHyphens/>
            </w:pPr>
            <w:r>
              <w:rPr>
                <w:bCs/>
                <w:b/>
              </w:rPr>
              <w:t xml:space="preserve">Article XI — Waqf and Endowment</w:t>
            </w:r>
          </w:p>
        </w:tc>
        <w:tc>
          <w:tcPr/>
          <w:p>
            <w:pPr>
              <w:pStyle w:val="Compact"/>
              <w:jc w:val="right"/>
              <w:suppressAutoHyphens/>
            </w:pPr>
            <w:r>
              <w:rPr>
                <w:bCs/>
                <w:b/>
              </w:rPr>
              <w:t xml:space="preserve">57</w:t>
            </w:r>
          </w:p>
        </w:tc>
      </w:tr>
      <w:tr>
        <w:trPr>
          <w:cantSplit/>
        </w:trPr>
        <w:tc>
          <w:tcPr/>
          <w:p>
            <w:pPr>
              <w:pStyle w:val="Compact"/>
              <w:jc w:val="left"/>
              <w:suppressAutoHyphens/>
            </w:pPr>
            <w:r>
              <w:rPr>
                <w:bCs/>
                <w:b/>
              </w:rPr>
              <w:t xml:space="preserve">Article XII — Students’ Rights and Responsibilities</w:t>
            </w:r>
          </w:p>
        </w:tc>
        <w:tc>
          <w:tcPr/>
          <w:p>
            <w:pPr>
              <w:pStyle w:val="Compact"/>
              <w:jc w:val="right"/>
              <w:suppressAutoHyphens/>
            </w:pPr>
            <w:r>
              <w:rPr>
                <w:bCs/>
                <w:b/>
              </w:rPr>
              <w:t xml:space="preserve">59</w:t>
            </w:r>
          </w:p>
        </w:tc>
      </w:tr>
      <w:tr>
        <w:trPr>
          <w:cantSplit/>
        </w:trPr>
        <w:tc>
          <w:tcPr/>
          <w:p>
            <w:pPr>
              <w:pStyle w:val="Compact"/>
              <w:jc w:val="left"/>
              <w:suppressAutoHyphens/>
            </w:pPr>
            <w:r>
              <w:rPr>
                <w:bCs/>
                <w:b/>
              </w:rPr>
              <w:t xml:space="preserve">Article XIII — Faculty Rights and Responsibilities</w:t>
            </w:r>
          </w:p>
        </w:tc>
        <w:tc>
          <w:tcPr/>
          <w:p>
            <w:pPr>
              <w:pStyle w:val="Compact"/>
              <w:jc w:val="right"/>
              <w:suppressAutoHyphens/>
            </w:pPr>
            <w:r>
              <w:rPr>
                <w:bCs/>
                <w:b/>
              </w:rPr>
              <w:t xml:space="preserve">62</w:t>
            </w:r>
          </w:p>
        </w:tc>
      </w:tr>
      <w:tr>
        <w:trPr>
          <w:cantSplit/>
        </w:trPr>
        <w:tc>
          <w:tcPr/>
          <w:p>
            <w:pPr>
              <w:pStyle w:val="Compact"/>
              <w:jc w:val="left"/>
              <w:suppressAutoHyphens/>
            </w:pPr>
            <w:r>
              <w:rPr>
                <w:bCs/>
                <w:b/>
              </w:rPr>
              <w:t xml:space="preserve">Article XIV — Financial Sustainability</w:t>
            </w:r>
          </w:p>
        </w:tc>
        <w:tc>
          <w:tcPr/>
          <w:p>
            <w:pPr>
              <w:pStyle w:val="Compact"/>
              <w:jc w:val="right"/>
              <w:suppressAutoHyphens/>
            </w:pPr>
            <w:r>
              <w:rPr>
                <w:bCs/>
                <w:b/>
              </w:rPr>
              <w:t xml:space="preserve">64</w:t>
            </w:r>
          </w:p>
        </w:tc>
      </w:tr>
      <w:tr>
        <w:trPr>
          <w:cantSplit/>
        </w:trPr>
        <w:tc>
          <w:tcPr/>
          <w:p>
            <w:pPr>
              <w:pStyle w:val="Compact"/>
              <w:jc w:val="left"/>
              <w:suppressAutoHyphens/>
            </w:pPr>
            <w:r>
              <w:rPr>
                <w:bCs/>
                <w:b/>
              </w:rPr>
              <w:t xml:space="preserve">Article XV — Transparency and Accountability</w:t>
            </w:r>
          </w:p>
        </w:tc>
        <w:tc>
          <w:tcPr/>
          <w:p>
            <w:pPr>
              <w:pStyle w:val="Compact"/>
              <w:jc w:val="right"/>
              <w:suppressAutoHyphens/>
            </w:pPr>
            <w:r>
              <w:rPr>
                <w:bCs/>
                <w:b/>
              </w:rPr>
              <w:t xml:space="preserve">66</w:t>
            </w:r>
          </w:p>
        </w:tc>
      </w:tr>
      <w:tr>
        <w:trPr>
          <w:cantSplit/>
        </w:trPr>
        <w:tc>
          <w:tcPr/>
          <w:p>
            <w:pPr>
              <w:pStyle w:val="Compact"/>
              <w:jc w:val="left"/>
              <w:suppressAutoHyphens/>
            </w:pPr>
            <w:r>
              <w:rPr>
                <w:bCs/>
                <w:b/>
              </w:rPr>
              <w:t xml:space="preserve">Article XVI — Independent Officers</w:t>
            </w:r>
          </w:p>
        </w:tc>
        <w:tc>
          <w:tcPr/>
          <w:p>
            <w:pPr>
              <w:pStyle w:val="Compact"/>
              <w:jc w:val="right"/>
              <w:suppressAutoHyphens/>
            </w:pPr>
            <w:r>
              <w:rPr>
                <w:bCs/>
                <w:b/>
              </w:rPr>
              <w:t xml:space="preserve">69</w:t>
            </w:r>
          </w:p>
        </w:tc>
      </w:tr>
      <w:tr>
        <w:trPr>
          <w:cantSplit/>
        </w:trPr>
        <w:tc>
          <w:tcPr/>
          <w:p>
            <w:pPr>
              <w:pStyle w:val="Compact"/>
              <w:jc w:val="left"/>
              <w:suppressAutoHyphens/>
            </w:pPr>
            <w:r>
              <w:rPr>
                <w:bCs/>
                <w:b/>
              </w:rPr>
              <w:t xml:space="preserve">Article XVII — Records and Archives</w:t>
            </w:r>
          </w:p>
        </w:tc>
        <w:tc>
          <w:tcPr/>
          <w:p>
            <w:pPr>
              <w:pStyle w:val="Compact"/>
              <w:jc w:val="right"/>
              <w:suppressAutoHyphens/>
            </w:pPr>
            <w:r>
              <w:rPr>
                <w:bCs/>
                <w:b/>
              </w:rPr>
              <w:t xml:space="preserve">71</w:t>
            </w:r>
          </w:p>
        </w:tc>
      </w:tr>
      <w:tr>
        <w:trPr>
          <w:cantSplit/>
        </w:trPr>
        <w:tc>
          <w:tcPr/>
          <w:p>
            <w:pPr>
              <w:pStyle w:val="Compact"/>
              <w:jc w:val="left"/>
              <w:suppressAutoHyphens/>
            </w:pPr>
            <w:r>
              <w:rPr>
                <w:bCs/>
                <w:b/>
              </w:rPr>
              <w:t xml:space="preserve">Article XVIII — Amendment</w:t>
            </w:r>
          </w:p>
        </w:tc>
        <w:tc>
          <w:tcPr/>
          <w:p>
            <w:pPr>
              <w:pStyle w:val="Compact"/>
              <w:jc w:val="right"/>
              <w:suppressAutoHyphens/>
            </w:pPr>
            <w:r>
              <w:rPr>
                <w:bCs/>
                <w:b/>
              </w:rPr>
              <w:t xml:space="preserve">73</w:t>
            </w:r>
          </w:p>
        </w:tc>
      </w:tr>
      <w:tr>
        <w:trPr>
          <w:cantSplit/>
        </w:trPr>
        <w:tc>
          <w:tcPr/>
          <w:p>
            <w:pPr>
              <w:pStyle w:val="Compact"/>
              <w:jc w:val="left"/>
              <w:suppressAutoHyphens/>
            </w:pPr>
            <w:r>
              <w:rPr>
                <w:bCs/>
                <w:b/>
              </w:rPr>
              <w:t xml:space="preserve">Article XIX — Transitional Provisions</w:t>
            </w:r>
          </w:p>
        </w:tc>
        <w:tc>
          <w:tcPr/>
          <w:p>
            <w:pPr>
              <w:pStyle w:val="Compact"/>
              <w:jc w:val="right"/>
              <w:suppressAutoHyphens/>
            </w:pPr>
            <w:r>
              <w:rPr>
                <w:bCs/>
                <w:b/>
              </w:rPr>
              <w:t xml:space="preserve">75</w:t>
            </w:r>
          </w:p>
        </w:tc>
      </w:tr>
      <w:tr>
        <w:trPr>
          <w:cantSplit/>
        </w:trPr>
        <w:tc>
          <w:tcPr/>
          <w:p>
            <w:pPr>
              <w:pStyle w:val="Compact"/>
              <w:jc w:val="left"/>
              <w:suppressAutoHyphens/>
            </w:pPr>
            <w:r>
              <w:rPr>
                <w:bCs/>
                <w:b/>
              </w:rPr>
              <w:t xml:space="preserve">Article XX — Dissolution</w:t>
            </w:r>
          </w:p>
        </w:tc>
        <w:tc>
          <w:tcPr/>
          <w:p>
            <w:pPr>
              <w:pStyle w:val="Compact"/>
              <w:jc w:val="right"/>
              <w:suppressAutoHyphens/>
            </w:pPr>
            <w:r>
              <w:rPr>
                <w:bCs/>
                <w:b/>
              </w:rPr>
              <w:t xml:space="preserve">77</w:t>
            </w:r>
          </w:p>
        </w:tc>
      </w:tr>
      <w:tr>
        <w:trPr>
          <w:cantSplit/>
        </w:trPr>
        <w:tc>
          <w:tcPr/>
          <w:p>
            <w:pPr>
              <w:pStyle w:val="Compact"/>
              <w:jc w:val="left"/>
              <w:suppressAutoHyphens/>
            </w:pPr>
            <w:r>
              <w:rPr>
                <w:bCs/>
                <w:b/>
              </w:rPr>
              <w:t xml:space="preserve">Article XXI — Non-Political and Non-Profit Provisions</w:t>
            </w:r>
          </w:p>
        </w:tc>
        <w:tc>
          <w:tcPr/>
          <w:p>
            <w:pPr>
              <w:pStyle w:val="Compact"/>
              <w:jc w:val="right"/>
              <w:suppressAutoHyphens/>
            </w:pPr>
            <w:r>
              <w:rPr>
                <w:bCs/>
                <w:b/>
              </w:rPr>
              <w:t xml:space="preserve">79</w:t>
            </w:r>
          </w:p>
        </w:tc>
      </w:tr>
      <w:tr>
        <w:trPr>
          <w:cantSplit/>
        </w:trPr>
        <w:tc>
          <w:tcPr/>
          <w:p>
            <w:pPr>
              <w:pStyle w:val="Compact"/>
              <w:jc w:val="left"/>
              <w:suppressAutoHyphens/>
            </w:pPr>
            <w:r>
              <w:rPr>
                <w:bCs/>
                <w:b/>
              </w:rPr>
              <w:t xml:space="preserve">Article XXII — Indemnification</w:t>
            </w:r>
          </w:p>
        </w:tc>
        <w:tc>
          <w:tcPr/>
          <w:p>
            <w:pPr>
              <w:pStyle w:val="Compact"/>
              <w:jc w:val="right"/>
              <w:suppressAutoHyphens/>
            </w:pPr>
            <w:r>
              <w:rPr>
                <w:bCs/>
                <w:b/>
              </w:rPr>
              <w:t xml:space="preserve">81</w:t>
            </w:r>
          </w:p>
        </w:tc>
      </w:tr>
      <w:tr>
        <w:trPr>
          <w:cantSplit/>
        </w:trPr>
        <w:tc>
          <w:tcPr/>
          <w:p>
            <w:pPr>
              <w:pStyle w:val="Compact"/>
              <w:jc w:val="left"/>
              <w:suppressAutoHyphens/>
            </w:pPr>
            <w:r>
              <w:rPr>
                <w:bCs/>
                <w:b/>
              </w:rPr>
              <w:t xml:space="preserve">Article XXIII — Final Provisions</w:t>
            </w:r>
          </w:p>
        </w:tc>
        <w:tc>
          <w:tcPr/>
          <w:p>
            <w:pPr>
              <w:pStyle w:val="Compact"/>
              <w:jc w:val="right"/>
              <w:suppressAutoHyphens/>
            </w:pPr>
            <w:r>
              <w:rPr>
                <w:bCs/>
                <w:b/>
              </w:rPr>
              <w:t xml:space="preserve">83</w:t>
            </w:r>
          </w:p>
        </w:tc>
      </w:tr>
      <w:tr>
        <w:trPr>
          <w:cantSplit/>
        </w:trPr>
        <w:tc>
          <w:tcPr/>
          <w:p>
            <w:pPr>
              <w:pStyle w:val="Compact"/>
              <w:jc w:val="left"/>
              <w:suppressAutoHyphens/>
            </w:pPr>
            <w:r>
              <w:rPr>
                <w:bCs/>
                <w:b/>
              </w:rPr>
              <w:t xml:space="preserve">Adoption</w:t>
            </w:r>
          </w:p>
        </w:tc>
        <w:tc>
          <w:tcPr/>
          <w:p>
            <w:pPr>
              <w:pStyle w:val="Compact"/>
              <w:jc w:val="right"/>
              <w:suppressAutoHyphens/>
            </w:pPr>
            <w:r>
              <w:rPr>
                <w:bCs/>
                <w:b/>
              </w:rPr>
              <w:t xml:space="preserve">84</w:t>
            </w:r>
          </w:p>
        </w:tc>
      </w:tr>
      <w:tr>
        <w:trPr>
          <w:cantSplit/>
        </w:trPr>
        <w:tc>
          <w:tcPr/>
          <w:p>
            <w:pPr>
              <w:pStyle w:val="Compact"/>
              <w:jc w:val="left"/>
              <w:suppressAutoHyphens/>
            </w:pPr>
            <w:r>
              <w:rPr>
                <w:bCs/>
                <w:b/>
              </w:rPr>
              <w:t xml:space="preserve">Publication Certification Statement</w:t>
            </w:r>
          </w:p>
        </w:tc>
        <w:tc>
          <w:tcPr/>
          <w:p>
            <w:pPr>
              <w:pStyle w:val="Compact"/>
              <w:jc w:val="right"/>
              <w:suppressAutoHyphens/>
            </w:pPr>
            <w:r>
              <w:rPr>
                <w:bCs/>
                <w:b/>
              </w:rPr>
              <w:t xml:space="preserve">85</w:t>
            </w:r>
          </w:p>
        </w:tc>
      </w:tr>
    </w:tbl>
    <w:p>
      <w:pPr>
        <w:jc w:val="both"/>
      </w:pPr>
      <w:r>
        <w:br w:type="page"/>
      </w:r>
    </w:p>
    <w:bookmarkEnd w:id="35"/>
    <w:bookmarkStart w:id="122"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Archivo" w:hAnsi="Archivo"/>
                <w:color w:val="8C97AB"/>
                <w:sz w:val="17"/>
                <w:spacing w:val="14"/>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Archivo" w:hAnsi="Archivo"/>
                <w:color w:val="8C97AB"/>
                <w:sz w:val="17"/>
                <w:spacing w:val="14"/>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Archivo" w:hAnsi="Archivo"/>
                <w:color w:val="8C97AB"/>
                <w:sz w:val="17"/>
                <w:spacing w:val="14"/>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Letter</w:t>
            </w:r>
          </w:p>
        </w:tc>
        <w:tc>
          <w:tcPr/>
          <w:p>
            <w:pPr>
              <w:pStyle w:val="Compact"/>
              <w:jc w:val="left"/>
              <w:suppressAutoHyphens/>
            </w:pPr>
            <w:r>
              <w:t xml:space="preserve">Word</w:t>
            </w:r>
          </w:p>
        </w:tc>
        <w:tc>
          <w:tcPr/>
          <w:p>
            <w:pPr>
              <w:pStyle w:val="Compact"/>
              <w:jc w:val="left"/>
              <w:suppressAutoHyphens/>
            </w:pPr>
            <w:r>
              <w:t xml:space="preserve">Meaning</w:t>
            </w:r>
          </w:p>
        </w:tc>
      </w:tr>
      <w:tr>
        <w:trPr>
          <w:cantSplit/>
        </w:trPr>
        <w:tc>
          <w:tcPr/>
          <w:p>
            <w:pPr>
              <w:pStyle w:val="Compact"/>
              <w:jc w:val="left"/>
              <w:suppressAutoHyphens/>
            </w:pPr>
            <w:r>
              <w:t xml:space="preserve">I</w:t>
            </w:r>
          </w:p>
        </w:tc>
        <w:tc>
          <w:tcPr/>
          <w:p>
            <w:pPr>
              <w:pStyle w:val="Compact"/>
              <w:jc w:val="left"/>
              <w:suppressAutoHyphens/>
            </w:pPr>
            <w:r>
              <w:t xml:space="preserve">Illumination</w:t>
            </w:r>
          </w:p>
        </w:tc>
        <w:tc>
          <w:tcPr/>
          <w:p>
            <w:pPr>
              <w:pStyle w:val="Compact"/>
              <w:jc w:val="left"/>
              <w:suppressAutoHyphens/>
            </w:pPr>
            <w:r>
              <w:t xml:space="preserve">The pursuit of knowledge is an act of worship that illuminates the heart and draws the seeker closer to Allah.</w:t>
            </w:r>
          </w:p>
        </w:tc>
      </w:tr>
      <w:tr>
        <w:trPr>
          <w:cantSplit/>
        </w:trPr>
        <w:tc>
          <w:tcPr/>
          <w:p>
            <w:pPr>
              <w:pStyle w:val="Compact"/>
              <w:jc w:val="left"/>
              <w:suppressAutoHyphens/>
            </w:pPr>
            <w:r>
              <w:t xml:space="preserve">S</w:t>
            </w:r>
          </w:p>
        </w:tc>
        <w:tc>
          <w:tcPr/>
          <w:p>
            <w:pPr>
              <w:pStyle w:val="Compact"/>
              <w:jc w:val="left"/>
              <w:suppressAutoHyphens/>
            </w:pPr>
            <w:r>
              <w:t xml:space="preserve">Sanad</w:t>
            </w:r>
          </w:p>
        </w:tc>
        <w:tc>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p>
            <w:pPr>
              <w:pStyle w:val="Compact"/>
              <w:jc w:val="left"/>
              <w:suppressAutoHyphens/>
            </w:pPr>
            <w:r>
              <w:t xml:space="preserve">L</w:t>
            </w:r>
          </w:p>
        </w:tc>
        <w:tc>
          <w:tcPr/>
          <w:p>
            <w:pPr>
              <w:pStyle w:val="Compact"/>
              <w:jc w:val="left"/>
              <w:suppressAutoHyphens/>
            </w:pPr>
            <w:r>
              <w:t xml:space="preserve">Love</w:t>
            </w:r>
          </w:p>
        </w:tc>
        <w:tc>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p>
            <w:pPr>
              <w:pStyle w:val="Compact"/>
              <w:jc w:val="left"/>
              <w:suppressAutoHyphens/>
            </w:pPr>
            <w:r>
              <w:t xml:space="preserve">A</w:t>
            </w:r>
          </w:p>
        </w:tc>
        <w:tc>
          <w:tcPr/>
          <w:p>
            <w:pPr>
              <w:pStyle w:val="Compact"/>
              <w:jc w:val="left"/>
              <w:suppressAutoHyphens/>
            </w:pPr>
            <w:r>
              <w:t xml:space="preserve">Access</w:t>
            </w:r>
          </w:p>
        </w:tc>
        <w:tc>
          <w:tcPr/>
          <w:p>
            <w:pPr>
              <w:pStyle w:val="Compact"/>
              <w:jc w:val="left"/>
              <w:suppressAutoHyphens/>
            </w:pPr>
            <w:r>
              <w:t xml:space="preserve">Guided by compassion and justice, the University ensures that financial capacity shall never be a barrier to knowledge.</w:t>
            </w:r>
          </w:p>
        </w:tc>
      </w:tr>
      <w:tr>
        <w:trPr>
          <w:cantSplit/>
        </w:trPr>
        <w:tc>
          <w:tcPr/>
          <w:p>
            <w:pPr>
              <w:pStyle w:val="Compact"/>
              <w:jc w:val="left"/>
              <w:suppressAutoHyphens/>
            </w:pPr>
            <w:r>
              <w:t xml:space="preserve">M</w:t>
            </w:r>
          </w:p>
        </w:tc>
        <w:tc>
          <w:tcPr/>
          <w:p>
            <w:pPr>
              <w:pStyle w:val="Compact"/>
              <w:jc w:val="left"/>
              <w:suppressAutoHyphens/>
            </w:pPr>
            <w:r>
              <w:t xml:space="preserve">Morality</w:t>
            </w:r>
          </w:p>
        </w:tc>
        <w:tc>
          <w:tcPr/>
          <w:p>
            <w:pPr>
              <w:pStyle w:val="Compact"/>
              <w:jc w:val="left"/>
              <w:suppressAutoHyphens/>
            </w:pPr>
            <w:r>
              <w:t xml:space="preserve">The University cultivates noble character — honesty, humility, patience, generosity, and compassion — following the Prophetic example.</w:t>
            </w:r>
          </w:p>
        </w:tc>
      </w:tr>
      <w:tr>
        <w:trPr>
          <w:cantSplit/>
        </w:trPr>
        <w:tc>
          <w:tcPr/>
          <w:p>
            <w:pPr>
              <w:pStyle w:val="Compact"/>
              <w:jc w:val="left"/>
              <w:suppressAutoHyphens/>
            </w:pPr>
            <w:r>
              <w:t xml:space="preserve">I</w:t>
            </w:r>
          </w:p>
        </w:tc>
        <w:tc>
          <w:tcPr/>
          <w:p>
            <w:pPr>
              <w:pStyle w:val="Compact"/>
              <w:jc w:val="left"/>
              <w:suppressAutoHyphens/>
            </w:pPr>
            <w:r>
              <w:t xml:space="preserve">Inquiry</w:t>
            </w:r>
          </w:p>
        </w:tc>
        <w:tc>
          <w:tcPr/>
          <w:p>
            <w:pPr>
              <w:pStyle w:val="Compact"/>
              <w:jc w:val="left"/>
              <w:suppressAutoHyphens/>
            </w:pPr>
            <w:r>
              <w:t xml:space="preserve">The University encourages intellectual rigor, critical inquiry, and the pursuit of truth through ijtihād and taḥqīq.</w:t>
            </w:r>
          </w:p>
        </w:tc>
      </w:tr>
      <w:tr>
        <w:trPr>
          <w:cantSplit/>
        </w:trPr>
        <w:tc>
          <w:tcPr/>
          <w:p>
            <w:pPr>
              <w:pStyle w:val="Compact"/>
              <w:jc w:val="left"/>
              <w:suppressAutoHyphens/>
            </w:pPr>
            <w:r>
              <w:t xml:space="preserve">C</w:t>
            </w:r>
          </w:p>
        </w:tc>
        <w:tc>
          <w:tcPr/>
          <w:p>
            <w:pPr>
              <w:pStyle w:val="Compact"/>
              <w:jc w:val="left"/>
              <w:suppressAutoHyphens/>
            </w:pPr>
            <w:r>
              <w:t xml:space="preserve">Calling</w:t>
            </w:r>
          </w:p>
        </w:tc>
        <w:tc>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Archivo" w:hAnsi="Archivo"/>
                <w:color w:val="8C97AB"/>
                <w:sz w:val="17"/>
                <w:spacing w:val="14"/>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Archivo" w:hAnsi="Archivo"/>
                <w:color w:val="8C97AB"/>
                <w:sz w:val="17"/>
                <w:spacing w:val="14"/>
              </w:rPr>
              <w:t>SECTIONS 5.1–5.5</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Body</w:t>
            </w:r>
          </w:p>
        </w:tc>
        <w:tc>
          <w:tcPr/>
          <w:p>
            <w:pPr>
              <w:pStyle w:val="Compact"/>
              <w:jc w:val="left"/>
              <w:suppressAutoHyphens/>
            </w:pPr>
            <w:r>
              <w:t xml:space="preserve">Authority</w:t>
            </w:r>
          </w:p>
        </w:tc>
        <w:tc>
          <w:tcPr/>
          <w:p>
            <w:pPr>
              <w:pStyle w:val="Compact"/>
              <w:jc w:val="left"/>
              <w:suppressAutoHyphens/>
            </w:pPr>
            <w:r>
              <w:t xml:space="preserve">Reports</w:t>
            </w:r>
          </w:p>
        </w:tc>
      </w:tr>
      <w:tr>
        <w:trPr>
          <w:cantSplit/>
        </w:trPr>
        <w:tc>
          <w:tcPr/>
          <w:p>
            <w:pPr>
              <w:pStyle w:val="Compact"/>
              <w:jc w:val="left"/>
              <w:suppressAutoHyphens/>
            </w:pPr>
            <w:r>
              <w:t xml:space="preserve">Board of Trustees</w:t>
            </w:r>
          </w:p>
        </w:tc>
        <w:tc>
          <w:tcPr/>
          <w:p>
            <w:pPr>
              <w:pStyle w:val="Compact"/>
              <w:jc w:val="left"/>
              <w:suppressAutoHyphens/>
            </w:pPr>
            <w:r>
              <w:t xml:space="preserve">Supreme Governing Authority</w:t>
            </w:r>
          </w:p>
        </w:tc>
        <w:tc>
          <w:tcPr/>
          <w:p>
            <w:pPr>
              <w:pStyle w:val="Compact"/>
              <w:jc w:val="left"/>
              <w:suppressAutoHyphens/>
            </w:pPr>
            <w:r>
              <w:t xml:space="preserve">To no body; final appellate authority</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Academic Authority</w:t>
            </w:r>
          </w:p>
        </w:tc>
        <w:tc>
          <w:tcPr/>
          <w:p>
            <w:pPr>
              <w:pStyle w:val="Compact"/>
              <w:jc w:val="left"/>
              <w:suppressAutoHyphens/>
            </w:pPr>
            <w:r>
              <w:t xml:space="preserve">To the Board, through the President (Section 8.1.3) — a reporting line, not a subordination of academic authority (see Section 5.2)</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Chief Executive Officer</w:t>
            </w:r>
          </w:p>
        </w:tc>
        <w:tc>
          <w:tcPr/>
          <w:p>
            <w:pPr>
              <w:pStyle w:val="Compact"/>
              <w:jc w:val="left"/>
              <w:suppressAutoHyphens/>
            </w:pPr>
            <w:r>
              <w:t xml:space="preserve">To the Board of Trustees</w:t>
            </w:r>
          </w:p>
        </w:tc>
      </w:tr>
      <w:tr>
        <w:trPr>
          <w:cantSplit/>
        </w:trPr>
        <w:tc>
          <w:tcPr/>
          <w:p>
            <w:pPr>
              <w:pStyle w:val="Compact"/>
              <w:jc w:val="left"/>
              <w:suppressAutoHyphens/>
            </w:pPr>
            <w:r>
              <w:t xml:space="preserve">Administration</w:t>
            </w:r>
          </w:p>
        </w:tc>
        <w:tc>
          <w:tcPr/>
          <w:p>
            <w:pPr>
              <w:pStyle w:val="Compact"/>
              <w:jc w:val="left"/>
              <w:suppressAutoHyphens/>
            </w:pPr>
            <w:r>
              <w:t xml:space="preserve">Executive Management</w:t>
            </w:r>
          </w:p>
        </w:tc>
        <w:tc>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Archivo" w:hAnsi="Archivo"/>
                <w:color w:val="8C97AB"/>
                <w:sz w:val="17"/>
                <w:spacing w:val="14"/>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6"/>
    <w:bookmarkStart w:id="57"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7"/>
    <w:bookmarkStart w:id="58"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08"/>
        </w:numPr>
        <w:pStyle w:val="Compact"/>
        <w:jc w:val="both"/>
      </w:pPr>
      <w:r>
        <w:t xml:space="preserve">Finance and investment;</w:t>
      </w:r>
    </w:p>
    <w:p>
      <w:pPr>
        <w:numPr>
          <w:ilvl w:val="0"/>
          <w:numId w:val="1008"/>
        </w:numPr>
        <w:pStyle w:val="Compact"/>
        <w:jc w:val="both"/>
      </w:pPr>
      <w:r>
        <w:t xml:space="preserve">Law and legal compliance;</w:t>
      </w:r>
    </w:p>
    <w:p>
      <w:pPr>
        <w:numPr>
          <w:ilvl w:val="0"/>
          <w:numId w:val="1008"/>
        </w:numPr>
        <w:pStyle w:val="Compact"/>
        <w:jc w:val="both"/>
      </w:pPr>
      <w:r>
        <w:t xml:space="preserve">Higher education administration;</w:t>
      </w:r>
    </w:p>
    <w:p>
      <w:pPr>
        <w:numPr>
          <w:ilvl w:val="0"/>
          <w:numId w:val="1008"/>
        </w:numPr>
        <w:pStyle w:val="Compact"/>
        <w:jc w:val="both"/>
      </w:pPr>
      <w:r>
        <w:t xml:space="preserve">Business and management;</w:t>
      </w:r>
    </w:p>
    <w:p>
      <w:pPr>
        <w:numPr>
          <w:ilvl w:val="0"/>
          <w:numId w:val="1008"/>
        </w:numPr>
        <w:pStyle w:val="Compact"/>
        <w:jc w:val="both"/>
      </w:pPr>
      <w:r>
        <w:t xml:space="preserve">Nonprofit governance;</w:t>
      </w:r>
    </w:p>
    <w:p>
      <w:pPr>
        <w:numPr>
          <w:ilvl w:val="0"/>
          <w:numId w:val="1008"/>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58"/>
    <w:bookmarkStart w:id="63" w:name="trustee-qualifications-and-appointment"/>
    <w:p>
      <w:pPr>
        <w:pStyle w:val="Heading2"/>
      </w:pPr>
      <w:r>
        <w:t xml:space="preserve">6.3 Trustee Qualifications and Appointment</w:t>
      </w:r>
    </w:p>
    <w:bookmarkStart w:id="59"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09"/>
        </w:numPr>
        <w:pStyle w:val="Compact"/>
        <w:jc w:val="both"/>
      </w:pPr>
      <w:r>
        <w:t xml:space="preserve">Finance, investment, and financial management;</w:t>
      </w:r>
    </w:p>
    <w:p>
      <w:pPr>
        <w:numPr>
          <w:ilvl w:val="0"/>
          <w:numId w:val="1009"/>
        </w:numPr>
        <w:pStyle w:val="Compact"/>
        <w:jc w:val="both"/>
      </w:pPr>
      <w:r>
        <w:t xml:space="preserve">Law, legal compliance, and regulatory affairs;</w:t>
      </w:r>
    </w:p>
    <w:p>
      <w:pPr>
        <w:numPr>
          <w:ilvl w:val="0"/>
          <w:numId w:val="1009"/>
        </w:numPr>
        <w:pStyle w:val="Compact"/>
        <w:jc w:val="both"/>
      </w:pPr>
      <w:r>
        <w:t xml:space="preserve">Higher education administration and academic governance;</w:t>
      </w:r>
    </w:p>
    <w:p>
      <w:pPr>
        <w:numPr>
          <w:ilvl w:val="0"/>
          <w:numId w:val="1009"/>
        </w:numPr>
        <w:pStyle w:val="Compact"/>
        <w:jc w:val="both"/>
      </w:pPr>
      <w:r>
        <w:t xml:space="preserve">Business management and organizational leadership;</w:t>
      </w:r>
    </w:p>
    <w:p>
      <w:pPr>
        <w:numPr>
          <w:ilvl w:val="0"/>
          <w:numId w:val="1009"/>
        </w:numPr>
        <w:pStyle w:val="Compact"/>
        <w:jc w:val="both"/>
      </w:pPr>
      <w:r>
        <w:t xml:space="preserve">Nonprofit governance and board administration;</w:t>
      </w:r>
    </w:p>
    <w:p>
      <w:pPr>
        <w:numPr>
          <w:ilvl w:val="0"/>
          <w:numId w:val="1009"/>
        </w:numPr>
        <w:pStyle w:val="Compact"/>
        <w:jc w:val="both"/>
      </w:pPr>
      <w:r>
        <w:t xml:space="preserve">Community leadership and Islamic affairs;</w:t>
      </w:r>
    </w:p>
    <w:p>
      <w:pPr>
        <w:numPr>
          <w:ilvl w:val="0"/>
          <w:numId w:val="1009"/>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59"/>
    <w:bookmarkStart w:id="60"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0"/>
        </w:numPr>
        <w:pStyle w:val="Compact"/>
        <w:jc w:val="both"/>
      </w:pPr>
      <w:r>
        <w:t xml:space="preserve">Identify potential candidates with appropriate qualifications;</w:t>
      </w:r>
    </w:p>
    <w:p>
      <w:pPr>
        <w:numPr>
          <w:ilvl w:val="0"/>
          <w:numId w:val="1010"/>
        </w:numPr>
        <w:pStyle w:val="Compact"/>
        <w:jc w:val="both"/>
      </w:pPr>
      <w:r>
        <w:t xml:space="preserve">Conduct background checks and due diligence;</w:t>
      </w:r>
    </w:p>
    <w:p>
      <w:pPr>
        <w:numPr>
          <w:ilvl w:val="0"/>
          <w:numId w:val="1010"/>
        </w:numPr>
        <w:pStyle w:val="Compact"/>
        <w:jc w:val="both"/>
      </w:pPr>
      <w:r>
        <w:t xml:space="preserve">Verify qualifications and adherence to the University’s Islamic mission;</w:t>
      </w:r>
    </w:p>
    <w:p>
      <w:pPr>
        <w:numPr>
          <w:ilvl w:val="0"/>
          <w:numId w:val="1010"/>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0"/>
    <w:bookmarkStart w:id="61"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1"/>
    <w:bookmarkStart w:id="62"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1"/>
        </w:numPr>
        <w:pStyle w:val="Compact"/>
        <w:jc w:val="both"/>
      </w:pPr>
      <w:r>
        <w:t xml:space="preserve">Conviction of a felony;</w:t>
      </w:r>
    </w:p>
    <w:p>
      <w:pPr>
        <w:numPr>
          <w:ilvl w:val="0"/>
          <w:numId w:val="1011"/>
        </w:numPr>
        <w:pStyle w:val="Compact"/>
        <w:jc w:val="both"/>
      </w:pPr>
      <w:r>
        <w:t xml:space="preserve">Bankruptcy, insolvency, or fraud;</w:t>
      </w:r>
    </w:p>
    <w:p>
      <w:pPr>
        <w:numPr>
          <w:ilvl w:val="0"/>
          <w:numId w:val="1011"/>
        </w:numPr>
        <w:pStyle w:val="Compact"/>
        <w:jc w:val="both"/>
      </w:pPr>
      <w:r>
        <w:t xml:space="preserve">Being found mentally incompetent by a court of competent jurisdiction;</w:t>
      </w:r>
    </w:p>
    <w:p>
      <w:pPr>
        <w:numPr>
          <w:ilvl w:val="0"/>
          <w:numId w:val="1011"/>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2"/>
        </w:numPr>
        <w:pStyle w:val="Compact"/>
        <w:jc w:val="both"/>
      </w:pPr>
      <w:r>
        <w:t xml:space="preserve">Conflict of interest as defined in this Constitution;</w:t>
      </w:r>
    </w:p>
    <w:p>
      <w:pPr>
        <w:numPr>
          <w:ilvl w:val="0"/>
          <w:numId w:val="1012"/>
        </w:numPr>
        <w:pStyle w:val="Compact"/>
        <w:jc w:val="both"/>
      </w:pPr>
      <w:r>
        <w:t xml:space="preserve">Breach of fiduciary duty;</w:t>
      </w:r>
    </w:p>
    <w:p>
      <w:pPr>
        <w:numPr>
          <w:ilvl w:val="0"/>
          <w:numId w:val="1012"/>
        </w:numPr>
        <w:pStyle w:val="Compact"/>
        <w:jc w:val="both"/>
      </w:pPr>
      <w:r>
        <w:t xml:space="preserve">Misconduct or moral turpitude;</w:t>
      </w:r>
    </w:p>
    <w:p>
      <w:pPr>
        <w:numPr>
          <w:ilvl w:val="0"/>
          <w:numId w:val="1012"/>
        </w:numPr>
        <w:pStyle w:val="Compact"/>
        <w:jc w:val="both"/>
      </w:pPr>
      <w:r>
        <w:t xml:space="preserve">Failure to adhere to the University’s Islamic mission and values.</w:t>
      </w:r>
    </w:p>
    <w:p>
      <w:pPr>
        <w:pStyle w:val="SectionKicker"/>
      </w:pPr>
      <w:r>
        <w:t xml:space="preserve">ARTICLE VI · SECTION 6.4</w:t>
      </w:r>
    </w:p>
    <w:bookmarkEnd w:id="62"/>
    <w:bookmarkEnd w:id="63"/>
    <w:bookmarkStart w:id="64"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3"/>
        </w:numPr>
        <w:pStyle w:val="Compact"/>
        <w:jc w:val="both"/>
      </w:pPr>
      <w:r>
        <w:t xml:space="preserve">Breach of fiduciary duty;</w:t>
      </w:r>
    </w:p>
    <w:p>
      <w:pPr>
        <w:numPr>
          <w:ilvl w:val="0"/>
          <w:numId w:val="1013"/>
        </w:numPr>
        <w:pStyle w:val="Compact"/>
        <w:jc w:val="both"/>
      </w:pPr>
      <w:r>
        <w:t xml:space="preserve">Conflict of interest;</w:t>
      </w:r>
    </w:p>
    <w:p>
      <w:pPr>
        <w:numPr>
          <w:ilvl w:val="0"/>
          <w:numId w:val="1013"/>
        </w:numPr>
        <w:pStyle w:val="Compact"/>
        <w:jc w:val="both"/>
      </w:pPr>
      <w:r>
        <w:t xml:space="preserve">Misconduct;</w:t>
      </w:r>
    </w:p>
    <w:p>
      <w:pPr>
        <w:numPr>
          <w:ilvl w:val="0"/>
          <w:numId w:val="1013"/>
        </w:numPr>
        <w:pStyle w:val="Compact"/>
        <w:jc w:val="both"/>
      </w:pPr>
      <w:r>
        <w:t xml:space="preserve">Failure to attend meetings;</w:t>
      </w:r>
    </w:p>
    <w:p>
      <w:pPr>
        <w:numPr>
          <w:ilvl w:val="0"/>
          <w:numId w:val="1013"/>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4"/>
        </w:numPr>
        <w:pStyle w:val="Compact"/>
        <w:jc w:val="both"/>
      </w:pPr>
      <w:r>
        <w:t xml:space="preserve">Written notice of the charges at least fourteen days before the meeting;</w:t>
      </w:r>
    </w:p>
    <w:p>
      <w:pPr>
        <w:numPr>
          <w:ilvl w:val="0"/>
          <w:numId w:val="1014"/>
        </w:numPr>
        <w:pStyle w:val="Compact"/>
        <w:jc w:val="both"/>
      </w:pPr>
      <w:r>
        <w:t xml:space="preserve">An opportunity to present a defense;</w:t>
      </w:r>
    </w:p>
    <w:p>
      <w:pPr>
        <w:numPr>
          <w:ilvl w:val="0"/>
          <w:numId w:val="1014"/>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4"/>
    <w:bookmarkStart w:id="65"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5"/>
        </w:numPr>
        <w:pStyle w:val="Compact"/>
        <w:jc w:val="both"/>
      </w:pPr>
      <w:r>
        <w:t xml:space="preserve">Preside over all Board meetings;</w:t>
      </w:r>
    </w:p>
    <w:p>
      <w:pPr>
        <w:numPr>
          <w:ilvl w:val="0"/>
          <w:numId w:val="1015"/>
        </w:numPr>
        <w:pStyle w:val="Compact"/>
        <w:jc w:val="both"/>
      </w:pPr>
      <w:r>
        <w:t xml:space="preserve">Set the Board agenda in consultation with the President;</w:t>
      </w:r>
    </w:p>
    <w:p>
      <w:pPr>
        <w:numPr>
          <w:ilvl w:val="0"/>
          <w:numId w:val="1015"/>
        </w:numPr>
        <w:pStyle w:val="Compact"/>
        <w:jc w:val="both"/>
      </w:pPr>
      <w:r>
        <w:t xml:space="preserve">Represent the Board externally as required;</w:t>
      </w:r>
    </w:p>
    <w:p>
      <w:pPr>
        <w:numPr>
          <w:ilvl w:val="0"/>
          <w:numId w:val="1015"/>
        </w:numPr>
        <w:pStyle w:val="Compact"/>
        <w:jc w:val="both"/>
      </w:pPr>
      <w:r>
        <w:t xml:space="preserve">Ensure Board effectiveness and efficiency;</w:t>
      </w:r>
    </w:p>
    <w:p>
      <w:pPr>
        <w:numPr>
          <w:ilvl w:val="0"/>
          <w:numId w:val="1015"/>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5"/>
    <w:bookmarkStart w:id="66"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6"/>
    <w:bookmarkStart w:id="67"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6"/>
        </w:numPr>
        <w:pStyle w:val="Compact"/>
        <w:jc w:val="both"/>
      </w:pPr>
      <w:r>
        <w:t xml:space="preserve">Appoint and evaluate the President &amp; Vice-Chancellor annually;</w:t>
      </w:r>
    </w:p>
    <w:p>
      <w:pPr>
        <w:numPr>
          <w:ilvl w:val="0"/>
          <w:numId w:val="1016"/>
        </w:numPr>
        <w:pStyle w:val="Compact"/>
        <w:jc w:val="both"/>
      </w:pPr>
      <w:r>
        <w:t xml:space="preserve">Approve the annual budget and monitor financial performance;</w:t>
      </w:r>
    </w:p>
    <w:p>
      <w:pPr>
        <w:numPr>
          <w:ilvl w:val="0"/>
          <w:numId w:val="1016"/>
        </w:numPr>
        <w:pStyle w:val="Compact"/>
        <w:jc w:val="both"/>
      </w:pPr>
      <w:r>
        <w:t xml:space="preserve">Set institutional strategy and long-term vision;</w:t>
      </w:r>
    </w:p>
    <w:p>
      <w:pPr>
        <w:numPr>
          <w:ilvl w:val="0"/>
          <w:numId w:val="1016"/>
        </w:numPr>
        <w:pStyle w:val="Compact"/>
        <w:jc w:val="both"/>
      </w:pPr>
      <w:r>
        <w:t xml:space="preserve">Ensure financial sustainability and legal compliance;</w:t>
      </w:r>
    </w:p>
    <w:p>
      <w:pPr>
        <w:numPr>
          <w:ilvl w:val="0"/>
          <w:numId w:val="1016"/>
        </w:numPr>
        <w:pStyle w:val="Compact"/>
        <w:jc w:val="both"/>
      </w:pPr>
      <w:r>
        <w:t xml:space="preserve">Approve major policies and governance documents;</w:t>
      </w:r>
    </w:p>
    <w:p>
      <w:pPr>
        <w:numPr>
          <w:ilvl w:val="0"/>
          <w:numId w:val="1016"/>
        </w:numPr>
        <w:pStyle w:val="Compact"/>
        <w:jc w:val="both"/>
      </w:pPr>
      <w:r>
        <w:t xml:space="preserve">Oversee the University Senate through the President;</w:t>
      </w:r>
    </w:p>
    <w:p>
      <w:pPr>
        <w:numPr>
          <w:ilvl w:val="0"/>
          <w:numId w:val="1016"/>
        </w:numPr>
        <w:pStyle w:val="Compact"/>
        <w:jc w:val="both"/>
      </w:pPr>
      <w:r>
        <w:t xml:space="preserve">Appoint the external auditor and oversee the audit process;</w:t>
      </w:r>
    </w:p>
    <w:p>
      <w:pPr>
        <w:numPr>
          <w:ilvl w:val="0"/>
          <w:numId w:val="1016"/>
        </w:numPr>
        <w:pStyle w:val="Compact"/>
        <w:jc w:val="both"/>
      </w:pPr>
      <w:r>
        <w:t xml:space="preserve">Approve amendments to the Constitution and Bylaws;</w:t>
      </w:r>
    </w:p>
    <w:p>
      <w:pPr>
        <w:numPr>
          <w:ilvl w:val="0"/>
          <w:numId w:val="1016"/>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7"/>
    <w:bookmarkStart w:id="68"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68"/>
    <w:bookmarkStart w:id="69"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Archivo" w:hAnsi="Archivo"/>
                <w:color w:val="8C97AB"/>
                <w:sz w:val="17"/>
                <w:spacing w:val="14"/>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69"/>
    <w:bookmarkStart w:id="70"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0"/>
    <w:bookmarkStart w:id="71"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1"/>
    <w:bookmarkStart w:id="72"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2"/>
    <w:bookmarkStart w:id="73"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17"/>
        </w:numPr>
        <w:pStyle w:val="Compact"/>
        <w:jc w:val="both"/>
      </w:pPr>
      <w:r>
        <w:t xml:space="preserve">Implement Board decisions and policies;</w:t>
      </w:r>
    </w:p>
    <w:p>
      <w:pPr>
        <w:numPr>
          <w:ilvl w:val="0"/>
          <w:numId w:val="1017"/>
        </w:numPr>
        <w:pStyle w:val="Compact"/>
        <w:jc w:val="both"/>
      </w:pPr>
      <w:r>
        <w:t xml:space="preserve">Lead the University’s administration;</w:t>
      </w:r>
    </w:p>
    <w:p>
      <w:pPr>
        <w:numPr>
          <w:ilvl w:val="0"/>
          <w:numId w:val="1017"/>
        </w:numPr>
        <w:pStyle w:val="Compact"/>
        <w:jc w:val="both"/>
      </w:pPr>
      <w:r>
        <w:t xml:space="preserve">Chair the University Senate;</w:t>
      </w:r>
    </w:p>
    <w:p>
      <w:pPr>
        <w:numPr>
          <w:ilvl w:val="0"/>
          <w:numId w:val="1017"/>
        </w:numPr>
        <w:pStyle w:val="Compact"/>
        <w:jc w:val="both"/>
      </w:pPr>
      <w:r>
        <w:t xml:space="preserve">Represent the University externally;</w:t>
      </w:r>
    </w:p>
    <w:p>
      <w:pPr>
        <w:numPr>
          <w:ilvl w:val="0"/>
          <w:numId w:val="1017"/>
        </w:numPr>
        <w:pStyle w:val="Compact"/>
        <w:jc w:val="both"/>
      </w:pPr>
      <w:r>
        <w:t xml:space="preserve">Ensure institutional effectiveness and efficiency;</w:t>
      </w:r>
    </w:p>
    <w:p>
      <w:pPr>
        <w:numPr>
          <w:ilvl w:val="0"/>
          <w:numId w:val="1017"/>
        </w:numPr>
        <w:pStyle w:val="Compact"/>
        <w:jc w:val="both"/>
      </w:pPr>
      <w:r>
        <w:t xml:space="preserve">Appoint senior administrators;</w:t>
      </w:r>
    </w:p>
    <w:p>
      <w:pPr>
        <w:numPr>
          <w:ilvl w:val="0"/>
          <w:numId w:val="1017"/>
        </w:numPr>
        <w:pStyle w:val="Compact"/>
        <w:jc w:val="both"/>
      </w:pPr>
      <w:r>
        <w:t xml:space="preserve">Prepare the annual budget for Board approval;</w:t>
      </w:r>
    </w:p>
    <w:p>
      <w:pPr>
        <w:numPr>
          <w:ilvl w:val="0"/>
          <w:numId w:val="1017"/>
        </w:numPr>
        <w:pStyle w:val="Compact"/>
        <w:jc w:val="both"/>
      </w:pPr>
      <w:r>
        <w:t xml:space="preserve">Report regularly to the Board.</w:t>
      </w:r>
    </w:p>
    <w:p>
      <w:pPr>
        <w:pStyle w:val="SectionKicker"/>
      </w:pPr>
      <w:r>
        <w:t xml:space="preserve">ARTICLE VII · SECTION 7.5</w:t>
      </w:r>
    </w:p>
    <w:bookmarkEnd w:id="73"/>
    <w:bookmarkStart w:id="74"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18"/>
        </w:numPr>
        <w:pStyle w:val="Compact"/>
        <w:jc w:val="both"/>
      </w:pPr>
      <w:r>
        <w:t xml:space="preserve">Feedback from the Senate;</w:t>
      </w:r>
    </w:p>
    <w:p>
      <w:pPr>
        <w:numPr>
          <w:ilvl w:val="0"/>
          <w:numId w:val="1018"/>
        </w:numPr>
        <w:pStyle w:val="Compact"/>
        <w:jc w:val="both"/>
      </w:pPr>
      <w:r>
        <w:t xml:space="preserve">Feedback from faculty and staff;</w:t>
      </w:r>
    </w:p>
    <w:p>
      <w:pPr>
        <w:numPr>
          <w:ilvl w:val="0"/>
          <w:numId w:val="1018"/>
        </w:numPr>
        <w:pStyle w:val="Compact"/>
        <w:jc w:val="both"/>
      </w:pPr>
      <w:r>
        <w:t xml:space="preserve">Review of strategic objectives achieved;</w:t>
      </w:r>
    </w:p>
    <w:p>
      <w:pPr>
        <w:numPr>
          <w:ilvl w:val="0"/>
          <w:numId w:val="1018"/>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4"/>
    <w:bookmarkStart w:id="75"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19"/>
        </w:numPr>
        <w:pStyle w:val="Compact"/>
        <w:jc w:val="both"/>
      </w:pPr>
      <w:r>
        <w:t xml:space="preserve">Breach of fiduciary duty;</w:t>
      </w:r>
    </w:p>
    <w:p>
      <w:pPr>
        <w:numPr>
          <w:ilvl w:val="0"/>
          <w:numId w:val="1019"/>
        </w:numPr>
        <w:pStyle w:val="Compact"/>
        <w:jc w:val="both"/>
      </w:pPr>
      <w:r>
        <w:t xml:space="preserve">Misconduct;</w:t>
      </w:r>
    </w:p>
    <w:p>
      <w:pPr>
        <w:numPr>
          <w:ilvl w:val="0"/>
          <w:numId w:val="1019"/>
        </w:numPr>
        <w:pStyle w:val="Compact"/>
        <w:jc w:val="both"/>
      </w:pPr>
      <w:r>
        <w:t xml:space="preserve">Failure to perform duties;</w:t>
      </w:r>
    </w:p>
    <w:p>
      <w:pPr>
        <w:numPr>
          <w:ilvl w:val="0"/>
          <w:numId w:val="1019"/>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Archivo" w:hAnsi="Archivo"/>
                <w:color w:val="8C97AB"/>
                <w:sz w:val="17"/>
                <w:spacing w:val="14"/>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5"/>
    <w:bookmarkStart w:id="76"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6"/>
    <w:bookmarkStart w:id="77"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w:t>
            </w:r>
          </w:p>
        </w:tc>
        <w:tc>
          <w:tcPr/>
          <w:p>
            <w:pPr>
              <w:pStyle w:val="Compact"/>
              <w:jc w:val="left"/>
              <w:suppressAutoHyphens/>
            </w:pPr>
            <w:r>
              <w:t xml:space="preserve">President &amp; Vice-Chancellor (Chairperson)</w:t>
            </w:r>
          </w:p>
        </w:tc>
        <w:tc>
          <w:tcPr/>
          <w:p>
            <w:pPr>
              <w:pStyle w:val="Compact"/>
              <w:jc w:val="left"/>
              <w:suppressAutoHyphens/>
            </w:pPr>
            <w:r>
              <w:t xml:space="preserve">Ex-Officio</w:t>
            </w:r>
          </w:p>
        </w:tc>
      </w:tr>
      <w:tr>
        <w:trPr>
          <w:cantSplit/>
        </w:trPr>
        <w:tc>
          <w:tcPr/>
          <w:p>
            <w:pPr>
              <w:pStyle w:val="Compact"/>
              <w:jc w:val="left"/>
              <w:suppressAutoHyphens/>
            </w:pPr>
            <w:r>
              <w:t xml:space="preserve">2</w:t>
            </w:r>
          </w:p>
        </w:tc>
        <w:tc>
          <w:tcPr/>
          <w:p>
            <w:pPr>
              <w:pStyle w:val="Compact"/>
              <w:jc w:val="left"/>
              <w:suppressAutoHyphens/>
            </w:pPr>
            <w:r>
              <w:t xml:space="preserve">Deputy Vice-Chancellor, Academic Affairs (Vice-Chairperson)</w:t>
            </w:r>
          </w:p>
        </w:tc>
        <w:tc>
          <w:tcPr/>
          <w:p>
            <w:pPr>
              <w:pStyle w:val="Compact"/>
              <w:jc w:val="left"/>
              <w:suppressAutoHyphens/>
            </w:pPr>
            <w:r>
              <w:t xml:space="preserve">Appointed by President</w:t>
            </w:r>
          </w:p>
        </w:tc>
      </w:tr>
      <w:tr>
        <w:trPr>
          <w:cantSplit/>
        </w:trPr>
        <w:tc>
          <w:tcPr/>
          <w:p>
            <w:pPr>
              <w:pStyle w:val="Compact"/>
              <w:jc w:val="left"/>
              <w:suppressAutoHyphens/>
            </w:pPr>
            <w:r>
              <w:t xml:space="preserve">3</w:t>
            </w:r>
          </w:p>
        </w:tc>
        <w:tc>
          <w:tcPr/>
          <w:p>
            <w:pPr>
              <w:pStyle w:val="Compact"/>
              <w:jc w:val="left"/>
              <w:suppressAutoHyphens/>
            </w:pPr>
            <w:r>
              <w:t xml:space="preserve">Deputy Vice-Chancellor, Admin &amp; Finance (Secretary)</w:t>
            </w:r>
          </w:p>
        </w:tc>
        <w:tc>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4</w:t>
            </w:r>
          </w:p>
        </w:tc>
        <w:tc>
          <w:tcPr/>
          <w:p>
            <w:pPr>
              <w:pStyle w:val="Compact"/>
              <w:jc w:val="left"/>
              <w:suppressAutoHyphens/>
            </w:pPr>
            <w:r>
              <w:t xml:space="preserve">Dean, Qur’anic &amp; Hadith Sciences / Shari’ah &amp; Islamic Law</w:t>
            </w:r>
          </w:p>
        </w:tc>
        <w:tc>
          <w:tcPr/>
          <w:p>
            <w:pPr>
              <w:pStyle w:val="Compact"/>
              <w:jc w:val="left"/>
              <w:suppressAutoHyphens/>
            </w:pPr>
            <w:r>
              <w:t xml:space="preserve">Appointed by President</w:t>
            </w:r>
          </w:p>
        </w:tc>
      </w:tr>
      <w:tr>
        <w:trPr>
          <w:cantSplit/>
        </w:trPr>
        <w:tc>
          <w:tcPr/>
          <w:p>
            <w:pPr>
              <w:pStyle w:val="Compact"/>
              <w:jc w:val="left"/>
              <w:suppressAutoHyphens/>
            </w:pPr>
            <w:r>
              <w:t xml:space="preserve">5</w:t>
            </w:r>
          </w:p>
        </w:tc>
        <w:tc>
          <w:tcPr/>
          <w:p>
            <w:pPr>
              <w:pStyle w:val="Compact"/>
              <w:jc w:val="left"/>
              <w:suppressAutoHyphens/>
            </w:pPr>
            <w:r>
              <w:t xml:space="preserve">Dean, Islamic Theology &amp; Philosophy / Da’wah, Communication &amp; Chaplaincy</w:t>
            </w:r>
          </w:p>
        </w:tc>
        <w:tc>
          <w:tcPr/>
          <w:p>
            <w:pPr>
              <w:pStyle w:val="Compact"/>
              <w:jc w:val="left"/>
              <w:suppressAutoHyphens/>
            </w:pPr>
            <w:r>
              <w:t xml:space="preserve">Appointed by President</w:t>
            </w:r>
          </w:p>
        </w:tc>
      </w:tr>
      <w:tr>
        <w:trPr>
          <w:cantSplit/>
        </w:trPr>
        <w:tc>
          <w:tcPr/>
          <w:p>
            <w:pPr>
              <w:pStyle w:val="Compact"/>
              <w:jc w:val="left"/>
              <w:suppressAutoHyphens/>
            </w:pPr>
            <w:r>
              <w:t xml:space="preserve">6</w:t>
            </w:r>
          </w:p>
        </w:tc>
        <w:tc>
          <w:tcPr/>
          <w:p>
            <w:pPr>
              <w:pStyle w:val="Compact"/>
              <w:jc w:val="left"/>
              <w:suppressAutoHyphens/>
            </w:pPr>
            <w:r>
              <w:t xml:space="preserve">Dean, Arabic Language &amp; Linguistics</w:t>
            </w:r>
          </w:p>
        </w:tc>
        <w:tc>
          <w:tcPr/>
          <w:p>
            <w:pPr>
              <w:pStyle w:val="Compact"/>
              <w:jc w:val="left"/>
              <w:suppressAutoHyphens/>
            </w:pPr>
            <w:r>
              <w:t xml:space="preserve">Appointed by President</w:t>
            </w:r>
          </w:p>
        </w:tc>
      </w:tr>
      <w:tr>
        <w:trPr>
          <w:cantSplit/>
        </w:trPr>
        <w:tc>
          <w:tcPr/>
          <w:p>
            <w:pPr>
              <w:pStyle w:val="Compact"/>
              <w:jc w:val="left"/>
              <w:suppressAutoHyphens/>
            </w:pPr>
            <w:r>
              <w:t xml:space="preserve">7</w:t>
            </w:r>
          </w:p>
        </w:tc>
        <w:tc>
          <w:tcPr/>
          <w:p>
            <w:pPr>
              <w:pStyle w:val="Compact"/>
              <w:jc w:val="left"/>
              <w:suppressAutoHyphens/>
            </w:pPr>
            <w:r>
              <w:t xml:space="preserve">Dean, Islamic Finance, Economics &amp; Waqf Administration</w:t>
            </w:r>
          </w:p>
        </w:tc>
        <w:tc>
          <w:tcPr/>
          <w:p>
            <w:pPr>
              <w:pStyle w:val="Compact"/>
              <w:jc w:val="left"/>
              <w:suppressAutoHyphens/>
            </w:pPr>
            <w:r>
              <w:t xml:space="preserve">Appointed by President</w:t>
            </w:r>
          </w:p>
        </w:tc>
      </w:tr>
      <w:tr>
        <w:trPr>
          <w:cantSplit/>
        </w:trPr>
        <w:tc>
          <w:tcPr/>
          <w:p>
            <w:pPr>
              <w:pStyle w:val="Compact"/>
              <w:jc w:val="left"/>
              <w:suppressAutoHyphens/>
            </w:pPr>
            <w:r>
              <w:t xml:space="preserve">8</w:t>
            </w:r>
          </w:p>
        </w:tc>
        <w:tc>
          <w:tcPr/>
          <w:p>
            <w:pPr>
              <w:pStyle w:val="Compact"/>
              <w:jc w:val="left"/>
              <w:suppressAutoHyphens/>
            </w:pPr>
            <w:r>
              <w:t xml:space="preserve">University Librarian</w:t>
            </w:r>
          </w:p>
        </w:tc>
        <w:tc>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9</w:t>
            </w:r>
          </w:p>
        </w:tc>
        <w:tc>
          <w:tcPr/>
          <w:p>
            <w:pPr>
              <w:pStyle w:val="Compact"/>
              <w:jc w:val="left"/>
              <w:suppressAutoHyphens/>
            </w:pPr>
            <w:r>
              <w:t xml:space="preserve">Head of Department, Qur’anic Studies &amp; Tafsir</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10</w:t>
            </w:r>
          </w:p>
        </w:tc>
        <w:tc>
          <w:tcPr/>
          <w:p>
            <w:pPr>
              <w:pStyle w:val="Compact"/>
              <w:jc w:val="left"/>
              <w:suppressAutoHyphens/>
            </w:pPr>
            <w:r>
              <w:t xml:space="preserve">Head of Department, Hadith Sciences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11</w:t>
            </w:r>
          </w:p>
        </w:tc>
        <w:tc>
          <w:tcPr/>
          <w:p>
            <w:pPr>
              <w:pStyle w:val="Compact"/>
              <w:jc w:val="left"/>
              <w:suppressAutoHyphens/>
            </w:pPr>
            <w:r>
              <w:t xml:space="preserve">Head of Department, Shari’ah &amp; Fiqh</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12</w:t>
            </w:r>
          </w:p>
        </w:tc>
        <w:tc>
          <w:tcPr/>
          <w:p>
            <w:pPr>
              <w:pStyle w:val="Compact"/>
              <w:jc w:val="left"/>
              <w:suppressAutoHyphens/>
            </w:pPr>
            <w:r>
              <w:t xml:space="preserve">Head of Department, Aqeedah &amp; Islamic Philosophy</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13</w:t>
            </w:r>
          </w:p>
        </w:tc>
        <w:tc>
          <w:tcPr/>
          <w:p>
            <w:pPr>
              <w:pStyle w:val="Compact"/>
              <w:jc w:val="left"/>
              <w:suppressAutoHyphens/>
            </w:pPr>
            <w:r>
              <w:t xml:space="preserve">Head of Department, Arabic Language &amp; Linguistics</w:t>
            </w:r>
          </w:p>
        </w:tc>
        <w:tc>
          <w:tcPr/>
          <w:p>
            <w:pPr>
              <w:pStyle w:val="Compact"/>
              <w:jc w:val="left"/>
              <w:suppressAutoHyphens/>
            </w:pPr>
            <w:r>
              <w:t xml:space="preserve">Appointed by DVC Academic</w:t>
            </w:r>
          </w:p>
        </w:tc>
      </w:tr>
      <w:tr>
        <w:trPr>
          <w:cantSplit/>
        </w:trPr>
        <w:tc>
          <w:tcPr/>
          <w:p>
            <w:pPr>
              <w:pStyle w:val="Compact"/>
              <w:jc w:val="left"/>
              <w:suppressAutoHyphens/>
            </w:pPr>
            <w:r>
              <w:t xml:space="preserve">14</w:t>
            </w:r>
          </w:p>
        </w:tc>
        <w:tc>
          <w:tcPr/>
          <w:p>
            <w:pPr>
              <w:pStyle w:val="Compact"/>
              <w:jc w:val="left"/>
              <w:suppressAutoHyphens/>
            </w:pPr>
            <w:r>
              <w:t xml:space="preserve">Head of Department, Da’wah &amp; Islamic Communication</w:t>
            </w:r>
          </w:p>
        </w:tc>
        <w:tc>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Seat</w:t>
            </w:r>
          </w:p>
        </w:tc>
        <w:tc>
          <w:tcPr/>
          <w:p>
            <w:pPr>
              <w:pStyle w:val="Compact"/>
              <w:jc w:val="left"/>
              <w:suppressAutoHyphens/>
            </w:pPr>
            <w:r>
              <w:t xml:space="preserve">Role</w:t>
            </w:r>
          </w:p>
        </w:tc>
        <w:tc>
          <w:tcPr/>
          <w:p>
            <w:pPr>
              <w:pStyle w:val="Compact"/>
              <w:jc w:val="left"/>
              <w:suppressAutoHyphens/>
            </w:pPr>
            <w:r>
              <w:t xml:space="preserve">Appointment</w:t>
            </w:r>
          </w:p>
        </w:tc>
      </w:tr>
      <w:tr>
        <w:trPr>
          <w:cantSplit/>
        </w:trPr>
        <w:tc>
          <w:tcPr/>
          <w:p>
            <w:pPr>
              <w:pStyle w:val="Compact"/>
              <w:jc w:val="left"/>
              <w:suppressAutoHyphens/>
            </w:pPr>
            <w:r>
              <w:t xml:space="preserve">15</w:t>
            </w:r>
          </w:p>
        </w:tc>
        <w:tc>
          <w:tcPr/>
          <w:p>
            <w:pPr>
              <w:pStyle w:val="Compact"/>
              <w:jc w:val="left"/>
              <w:suppressAutoHyphens/>
            </w:pPr>
            <w:r>
              <w:t xml:space="preserve">Director of Academic Planning &amp; LMS Infrastructure</w:t>
            </w:r>
          </w:p>
        </w:tc>
        <w:tc>
          <w:tcPr/>
          <w:p>
            <w:pPr>
              <w:pStyle w:val="Compact"/>
              <w:jc w:val="left"/>
              <w:suppressAutoHyphens/>
            </w:pPr>
            <w:r>
              <w:t xml:space="preserve">Appointed by President</w:t>
            </w:r>
          </w:p>
        </w:tc>
      </w:tr>
      <w:tr>
        <w:trPr>
          <w:cantSplit/>
        </w:trPr>
        <w:tc>
          <w:tcPr/>
          <w:p>
            <w:pPr>
              <w:pStyle w:val="Compact"/>
              <w:jc w:val="left"/>
              <w:suppressAutoHyphens/>
            </w:pPr>
            <w:r>
              <w:t xml:space="preserve">16</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17</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r>
        <w:trPr>
          <w:cantSplit/>
        </w:trPr>
        <w:tc>
          <w:tcPr/>
          <w:p>
            <w:pPr>
              <w:pStyle w:val="Compact"/>
              <w:jc w:val="left"/>
              <w:suppressAutoHyphens/>
            </w:pPr>
            <w:r>
              <w:t xml:space="preserve">18</w:t>
            </w:r>
          </w:p>
        </w:tc>
        <w:tc>
          <w:tcPr/>
          <w:p>
            <w:pPr>
              <w:pStyle w:val="Compact"/>
              <w:jc w:val="left"/>
              <w:suppressAutoHyphens/>
            </w:pPr>
            <w:r>
              <w:t xml:space="preserve">Elected Faculty Representative</w:t>
            </w:r>
          </w:p>
        </w:tc>
        <w:tc>
          <w:tcPr/>
          <w:p>
            <w:pPr>
              <w:pStyle w:val="Compact"/>
              <w:jc w:val="left"/>
              <w:suppressAutoHyphens/>
            </w:pPr>
            <w:r>
              <w:t xml:space="preserve">Elected by Faculty</w:t>
            </w:r>
          </w:p>
        </w:tc>
      </w:tr>
    </w:tbl>
    <w:p>
      <w:pPr>
        <w:pStyle w:val="SectionKicker"/>
      </w:pPr>
      <w:r>
        <w:t xml:space="preserve">ARTICLE VIII · SECTION 8.3</w:t>
      </w:r>
    </w:p>
    <w:bookmarkEnd w:id="77"/>
    <w:bookmarkStart w:id="78"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0"/>
        </w:numPr>
        <w:pStyle w:val="Compact"/>
        <w:jc w:val="both"/>
      </w:pPr>
      <w:r>
        <w:t xml:space="preserve">Undergraduate Student Representative;</w:t>
      </w:r>
    </w:p>
    <w:p>
      <w:pPr>
        <w:numPr>
          <w:ilvl w:val="0"/>
          <w:numId w:val="1020"/>
        </w:numPr>
        <w:pStyle w:val="Compact"/>
        <w:jc w:val="both"/>
      </w:pPr>
      <w:r>
        <w:t xml:space="preserve">Postgraduate Student Representative;</w:t>
      </w:r>
    </w:p>
    <w:p>
      <w:pPr>
        <w:numPr>
          <w:ilvl w:val="0"/>
          <w:numId w:val="1020"/>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78"/>
    <w:bookmarkStart w:id="79"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79"/>
    <w:bookmarkStart w:id="80"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0"/>
    <w:bookmarkStart w:id="81"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1"/>
        </w:numPr>
        <w:pStyle w:val="Compact"/>
        <w:jc w:val="both"/>
      </w:pPr>
      <w:r>
        <w:t xml:space="preserve">Voice vote;</w:t>
      </w:r>
    </w:p>
    <w:p>
      <w:pPr>
        <w:numPr>
          <w:ilvl w:val="0"/>
          <w:numId w:val="1021"/>
        </w:numPr>
        <w:pStyle w:val="Compact"/>
        <w:jc w:val="both"/>
      </w:pPr>
      <w:r>
        <w:t xml:space="preserve">Show of hands;</w:t>
      </w:r>
    </w:p>
    <w:p>
      <w:pPr>
        <w:numPr>
          <w:ilvl w:val="0"/>
          <w:numId w:val="1021"/>
        </w:numPr>
        <w:pStyle w:val="Compact"/>
        <w:jc w:val="both"/>
      </w:pPr>
      <w:r>
        <w:t xml:space="preserve">Roll call vote;</w:t>
      </w:r>
    </w:p>
    <w:p>
      <w:pPr>
        <w:numPr>
          <w:ilvl w:val="0"/>
          <w:numId w:val="1021"/>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1"/>
    <w:bookmarkStart w:id="82"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2"/>
        </w:numPr>
        <w:pStyle w:val="Compact"/>
        <w:jc w:val="both"/>
      </w:pPr>
      <w:r>
        <w:t xml:space="preserve">Approve all academic programs and courses;</w:t>
      </w:r>
    </w:p>
    <w:p>
      <w:pPr>
        <w:numPr>
          <w:ilvl w:val="0"/>
          <w:numId w:val="1022"/>
        </w:numPr>
        <w:pStyle w:val="Compact"/>
        <w:jc w:val="both"/>
      </w:pPr>
      <w:r>
        <w:t xml:space="preserve">Set academic standards and policies;</w:t>
      </w:r>
    </w:p>
    <w:p>
      <w:pPr>
        <w:numPr>
          <w:ilvl w:val="0"/>
          <w:numId w:val="1022"/>
        </w:numPr>
        <w:pStyle w:val="Compact"/>
        <w:jc w:val="both"/>
      </w:pPr>
      <w:r>
        <w:t xml:space="preserve">Ratify all degrees and certificates;</w:t>
      </w:r>
    </w:p>
    <w:p>
      <w:pPr>
        <w:numPr>
          <w:ilvl w:val="0"/>
          <w:numId w:val="1022"/>
        </w:numPr>
        <w:pStyle w:val="Compact"/>
        <w:jc w:val="both"/>
      </w:pPr>
      <w:r>
        <w:t xml:space="preserve">Oversee faculty quality and development;</w:t>
      </w:r>
    </w:p>
    <w:p>
      <w:pPr>
        <w:numPr>
          <w:ilvl w:val="0"/>
          <w:numId w:val="1022"/>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2"/>
    <w:bookmarkStart w:id="83"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Archivo" w:hAnsi="Archivo"/>
                <w:color w:val="8C97AB"/>
                <w:sz w:val="17"/>
                <w:spacing w:val="14"/>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3"/>
    <w:bookmarkStart w:id="84"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4"/>
    <w:bookmarkStart w:id="85"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3"/>
        </w:numPr>
        <w:pStyle w:val="Compact"/>
        <w:jc w:val="both"/>
      </w:pPr>
      <w:r>
        <w:t xml:space="preserve">Deputy Vice-Chancellor, Academic Affairs;</w:t>
      </w:r>
    </w:p>
    <w:p>
      <w:pPr>
        <w:numPr>
          <w:ilvl w:val="0"/>
          <w:numId w:val="1023"/>
        </w:numPr>
        <w:pStyle w:val="Compact"/>
        <w:jc w:val="both"/>
      </w:pPr>
      <w:r>
        <w:t xml:space="preserve">Deputy Vice-Chancellor, Admin &amp; Finance;</w:t>
      </w:r>
    </w:p>
    <w:p>
      <w:pPr>
        <w:numPr>
          <w:ilvl w:val="0"/>
          <w:numId w:val="1023"/>
        </w:numPr>
        <w:pStyle w:val="Compact"/>
        <w:jc w:val="both"/>
      </w:pPr>
      <w:r>
        <w:t xml:space="preserve">College Deans;</w:t>
      </w:r>
    </w:p>
    <w:p>
      <w:pPr>
        <w:numPr>
          <w:ilvl w:val="0"/>
          <w:numId w:val="1023"/>
        </w:numPr>
        <w:pStyle w:val="Compact"/>
        <w:jc w:val="both"/>
      </w:pPr>
      <w:r>
        <w:t xml:space="preserve">University Registrar;</w:t>
      </w:r>
    </w:p>
    <w:p>
      <w:pPr>
        <w:numPr>
          <w:ilvl w:val="0"/>
          <w:numId w:val="1023"/>
        </w:numPr>
        <w:pStyle w:val="Compact"/>
        <w:jc w:val="both"/>
      </w:pPr>
      <w:r>
        <w:t xml:space="preserve">Dean of Students;</w:t>
      </w:r>
    </w:p>
    <w:p>
      <w:pPr>
        <w:numPr>
          <w:ilvl w:val="0"/>
          <w:numId w:val="1023"/>
        </w:numPr>
        <w:pStyle w:val="Compact"/>
        <w:jc w:val="both"/>
      </w:pPr>
      <w:r>
        <w:t xml:space="preserve">Directors of functional areas.</w:t>
      </w:r>
    </w:p>
    <w:p>
      <w:pPr>
        <w:pStyle w:val="SectionKicker"/>
      </w:pPr>
      <w:r>
        <w:t xml:space="preserve">ARTICLE IX · SECTION 9.3</w:t>
      </w:r>
    </w:p>
    <w:bookmarkEnd w:id="85"/>
    <w:bookmarkStart w:id="86"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6"/>
    <w:bookmarkStart w:id="87"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4"/>
        </w:numPr>
        <w:pStyle w:val="Compact"/>
        <w:jc w:val="both"/>
      </w:pPr>
      <w:r>
        <w:t xml:space="preserve">Implement Board decisions and policies;</w:t>
      </w:r>
    </w:p>
    <w:p>
      <w:pPr>
        <w:numPr>
          <w:ilvl w:val="0"/>
          <w:numId w:val="1024"/>
        </w:numPr>
        <w:pStyle w:val="Compact"/>
        <w:jc w:val="both"/>
      </w:pPr>
      <w:r>
        <w:t xml:space="preserve">Manage daily operations;</w:t>
      </w:r>
    </w:p>
    <w:p>
      <w:pPr>
        <w:numPr>
          <w:ilvl w:val="0"/>
          <w:numId w:val="1024"/>
        </w:numPr>
        <w:pStyle w:val="Compact"/>
        <w:jc w:val="both"/>
      </w:pPr>
      <w:r>
        <w:t xml:space="preserve">Execute the Senate’s academic vision;</w:t>
      </w:r>
    </w:p>
    <w:p>
      <w:pPr>
        <w:numPr>
          <w:ilvl w:val="0"/>
          <w:numId w:val="1024"/>
        </w:numPr>
        <w:pStyle w:val="Compact"/>
        <w:jc w:val="both"/>
      </w:pPr>
      <w:r>
        <w:t xml:space="preserve">Ensure institutional effectiveness and efficiency;</w:t>
      </w:r>
    </w:p>
    <w:p>
      <w:pPr>
        <w:numPr>
          <w:ilvl w:val="0"/>
          <w:numId w:val="1024"/>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Archivo" w:hAnsi="Archivo"/>
                <w:color w:val="8C97AB"/>
                <w:sz w:val="17"/>
                <w:spacing w:val="14"/>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7"/>
    <w:bookmarkStart w:id="88"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Level</w:t>
            </w:r>
          </w:p>
        </w:tc>
        <w:tc>
          <w:tcPr/>
          <w:p>
            <w:pPr>
              <w:pStyle w:val="Compact"/>
              <w:jc w:val="left"/>
              <w:suppressAutoHyphens/>
            </w:pPr>
            <w:r>
              <w:t xml:space="preserve">Credential</w:t>
            </w:r>
          </w:p>
        </w:tc>
        <w:tc>
          <w:tcPr/>
          <w:p>
            <w:pPr>
              <w:pStyle w:val="Compact"/>
              <w:jc w:val="left"/>
              <w:suppressAutoHyphens/>
            </w:pPr>
            <w:r>
              <w:t xml:space="preserve">Credit Hours</w:t>
            </w:r>
          </w:p>
        </w:tc>
      </w:tr>
      <w:tr>
        <w:trPr>
          <w:cantSplit/>
        </w:trPr>
        <w:tc>
          <w:tcPr/>
          <w:p>
            <w:pPr>
              <w:pStyle w:val="Compact"/>
              <w:jc w:val="left"/>
              <w:suppressAutoHyphens/>
            </w:pPr>
            <w:r>
              <w:t xml:space="preserve">I</w:t>
            </w:r>
          </w:p>
        </w:tc>
        <w:tc>
          <w:tcPr/>
          <w:p>
            <w:pPr>
              <w:pStyle w:val="Compact"/>
              <w:jc w:val="left"/>
              <w:suppressAutoHyphens/>
            </w:pPr>
            <w:r>
              <w:t xml:space="preserve">Undergraduate Diploma</w:t>
            </w:r>
          </w:p>
        </w:tc>
        <w:tc>
          <w:tcPr/>
          <w:p>
            <w:pPr>
              <w:pStyle w:val="Compact"/>
              <w:jc w:val="left"/>
              <w:suppressAutoHyphens/>
            </w:pPr>
            <w:r>
              <w:t xml:space="preserve">45 CH</w:t>
            </w:r>
          </w:p>
        </w:tc>
      </w:tr>
      <w:tr>
        <w:trPr>
          <w:cantSplit/>
        </w:trPr>
        <w:tc>
          <w:tcPr/>
          <w:p>
            <w:pPr>
              <w:pStyle w:val="Compact"/>
              <w:jc w:val="left"/>
              <w:suppressAutoHyphens/>
            </w:pPr>
            <w:r>
              <w:t xml:space="preserve">II</w:t>
            </w:r>
          </w:p>
        </w:tc>
        <w:tc>
          <w:tcPr/>
          <w:p>
            <w:pPr>
              <w:pStyle w:val="Compact"/>
              <w:jc w:val="left"/>
              <w:suppressAutoHyphens/>
            </w:pPr>
            <w:r>
              <w:t xml:space="preserve">Associate Degree</w:t>
            </w:r>
          </w:p>
        </w:tc>
        <w:tc>
          <w:tcPr/>
          <w:p>
            <w:pPr>
              <w:pStyle w:val="Compact"/>
              <w:jc w:val="left"/>
              <w:suppressAutoHyphens/>
            </w:pPr>
            <w:r>
              <w:t xml:space="preserve">60 CH</w:t>
            </w:r>
          </w:p>
        </w:tc>
      </w:tr>
      <w:tr>
        <w:trPr>
          <w:cantSplit/>
        </w:trPr>
        <w:tc>
          <w:tcPr/>
          <w:p>
            <w:pPr>
              <w:pStyle w:val="Compact"/>
              <w:jc w:val="left"/>
              <w:suppressAutoHyphens/>
            </w:pPr>
            <w:r>
              <w:t xml:space="preserve">III</w:t>
            </w:r>
          </w:p>
        </w:tc>
        <w:tc>
          <w:tcPr/>
          <w:p>
            <w:pPr>
              <w:pStyle w:val="Compact"/>
              <w:jc w:val="left"/>
              <w:suppressAutoHyphens/>
            </w:pPr>
            <w:r>
              <w:t xml:space="preserve">Bachelor of Arts</w:t>
            </w:r>
          </w:p>
        </w:tc>
        <w:tc>
          <w:tcPr/>
          <w:p>
            <w:pPr>
              <w:pStyle w:val="Compact"/>
              <w:jc w:val="left"/>
              <w:suppressAutoHyphens/>
            </w:pPr>
            <w:r>
              <w:t xml:space="preserve">120 CH</w:t>
            </w:r>
          </w:p>
        </w:tc>
      </w:tr>
      <w:tr>
        <w:trPr>
          <w:cantSplit/>
        </w:trPr>
        <w:tc>
          <w:tcPr/>
          <w:p>
            <w:pPr>
              <w:pStyle w:val="Compact"/>
              <w:jc w:val="left"/>
              <w:suppressAutoHyphens/>
            </w:pPr>
            <w:r>
              <w:t xml:space="preserve">IV</w:t>
            </w:r>
          </w:p>
        </w:tc>
        <w:tc>
          <w:tcPr/>
          <w:p>
            <w:pPr>
              <w:pStyle w:val="Compact"/>
              <w:jc w:val="left"/>
              <w:suppressAutoHyphens/>
            </w:pPr>
            <w:r>
              <w:t xml:space="preserve">Postgraduate Diploma</w:t>
            </w:r>
          </w:p>
        </w:tc>
        <w:tc>
          <w:tcPr/>
          <w:p>
            <w:pPr>
              <w:pStyle w:val="Compact"/>
              <w:jc w:val="left"/>
              <w:suppressAutoHyphens/>
            </w:pPr>
            <w:r>
              <w:t xml:space="preserve">30 CH</w:t>
            </w:r>
          </w:p>
        </w:tc>
      </w:tr>
      <w:tr>
        <w:trPr>
          <w:cantSplit/>
        </w:trPr>
        <w:tc>
          <w:tcPr/>
          <w:p>
            <w:pPr>
              <w:pStyle w:val="Compact"/>
              <w:jc w:val="left"/>
              <w:suppressAutoHyphens/>
            </w:pPr>
            <w:r>
              <w:t xml:space="preserve">V</w:t>
            </w:r>
          </w:p>
        </w:tc>
        <w:tc>
          <w:tcPr/>
          <w:p>
            <w:pPr>
              <w:pStyle w:val="Compact"/>
              <w:jc w:val="left"/>
              <w:suppressAutoHyphens/>
            </w:pPr>
            <w:r>
              <w:t xml:space="preserve">Master of Arts</w:t>
            </w:r>
          </w:p>
        </w:tc>
        <w:tc>
          <w:tcPr/>
          <w:p>
            <w:pPr>
              <w:pStyle w:val="Compact"/>
              <w:jc w:val="left"/>
              <w:suppressAutoHyphens/>
            </w:pPr>
            <w:r>
              <w:t xml:space="preserve">45 CH</w:t>
            </w:r>
          </w:p>
        </w:tc>
      </w:tr>
      <w:tr>
        <w:trPr>
          <w:cantSplit/>
        </w:trPr>
        <w:tc>
          <w:tcPr/>
          <w:p>
            <w:pPr>
              <w:pStyle w:val="Compact"/>
              <w:jc w:val="left"/>
              <w:suppressAutoHyphens/>
            </w:pPr>
            <w:r>
              <w:t xml:space="preserve">VI</w:t>
            </w:r>
          </w:p>
        </w:tc>
        <w:tc>
          <w:tcPr/>
          <w:p>
            <w:pPr>
              <w:pStyle w:val="Compact"/>
              <w:jc w:val="left"/>
              <w:suppressAutoHyphens/>
            </w:pPr>
            <w:r>
              <w:t xml:space="preserve">Doctor of Philosophy</w:t>
            </w:r>
          </w:p>
        </w:tc>
        <w:tc>
          <w:tcPr/>
          <w:p>
            <w:pPr>
              <w:pStyle w:val="Compact"/>
              <w:jc w:val="left"/>
              <w:suppressAutoHyphens/>
            </w:pPr>
            <w:r>
              <w:t xml:space="preserve">60 CH</w:t>
            </w:r>
          </w:p>
        </w:tc>
      </w:tr>
      <w:tr>
        <w:trPr>
          <w:cantSplit/>
        </w:trPr>
        <w:tc>
          <w:tcPr/>
          <w:p>
            <w:pPr>
              <w:pStyle w:val="Compact"/>
              <w:jc w:val="left"/>
              <w:suppressAutoHyphens/>
            </w:pPr>
            <w:r>
              <w:t xml:space="preserve">VII</w:t>
            </w:r>
          </w:p>
        </w:tc>
        <w:tc>
          <w:tcPr/>
          <w:p>
            <w:pPr>
              <w:pStyle w:val="Compact"/>
              <w:jc w:val="left"/>
              <w:suppressAutoHyphens/>
            </w:pPr>
            <w:r>
              <w:t xml:space="preserve">Post-Doctoral Fellowship</w:t>
            </w:r>
          </w:p>
        </w:tc>
        <w:tc>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88"/>
    <w:bookmarkStart w:id="89"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5"/>
        </w:numPr>
        <w:pStyle w:val="Compact"/>
        <w:jc w:val="both"/>
      </w:pPr>
      <w:r>
        <w:t xml:space="preserve">College of Qur’anic &amp; Hadith Sciences;</w:t>
      </w:r>
    </w:p>
    <w:p>
      <w:pPr>
        <w:numPr>
          <w:ilvl w:val="0"/>
          <w:numId w:val="1025"/>
        </w:numPr>
        <w:pStyle w:val="Compact"/>
        <w:jc w:val="both"/>
      </w:pPr>
      <w:r>
        <w:t xml:space="preserve">College of Shari’ah &amp; Islamic Law;</w:t>
      </w:r>
    </w:p>
    <w:p>
      <w:pPr>
        <w:numPr>
          <w:ilvl w:val="0"/>
          <w:numId w:val="1025"/>
        </w:numPr>
        <w:pStyle w:val="Compact"/>
        <w:jc w:val="both"/>
      </w:pPr>
      <w:r>
        <w:t xml:space="preserve">College of Islamic Theology &amp; Philosophy;</w:t>
      </w:r>
    </w:p>
    <w:p>
      <w:pPr>
        <w:numPr>
          <w:ilvl w:val="0"/>
          <w:numId w:val="1025"/>
        </w:numPr>
        <w:pStyle w:val="Compact"/>
        <w:jc w:val="both"/>
      </w:pPr>
      <w:r>
        <w:t xml:space="preserve">College of Arabic Language &amp; Linguistics;</w:t>
      </w:r>
    </w:p>
    <w:p>
      <w:pPr>
        <w:numPr>
          <w:ilvl w:val="0"/>
          <w:numId w:val="1025"/>
        </w:numPr>
        <w:pStyle w:val="Compact"/>
        <w:jc w:val="both"/>
      </w:pPr>
      <w:r>
        <w:t xml:space="preserve">College of Da’wah, Islamic Communication &amp; Chaplaincy;</w:t>
      </w:r>
    </w:p>
    <w:p>
      <w:pPr>
        <w:numPr>
          <w:ilvl w:val="0"/>
          <w:numId w:val="1025"/>
        </w:numPr>
        <w:pStyle w:val="Compact"/>
        <w:jc w:val="both"/>
      </w:pPr>
      <w:r>
        <w:t xml:space="preserve">College of Islamic Finance, Economics &amp; Waqf Administration.</w:t>
      </w:r>
    </w:p>
    <w:p>
      <w:pPr>
        <w:pStyle w:val="SectionKicker"/>
      </w:pPr>
      <w:r>
        <w:t xml:space="preserve">ARTICLE X · SECTION 10.3</w:t>
      </w:r>
    </w:p>
    <w:bookmarkEnd w:id="89"/>
    <w:bookmarkStart w:id="90"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Archivo" w:hAnsi="Archivo"/>
                <w:color w:val="8C97AB"/>
                <w:sz w:val="17"/>
                <w:spacing w:val="14"/>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0"/>
    <w:bookmarkStart w:id="91"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1"/>
    <w:bookmarkStart w:id="92"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6"/>
        </w:numPr>
        <w:pStyle w:val="Compact"/>
        <w:jc w:val="both"/>
      </w:pPr>
      <w:r>
        <w:t xml:space="preserve">Scholarships;</w:t>
      </w:r>
    </w:p>
    <w:p>
      <w:pPr>
        <w:numPr>
          <w:ilvl w:val="0"/>
          <w:numId w:val="1026"/>
        </w:numPr>
        <w:pStyle w:val="Compact"/>
        <w:jc w:val="both"/>
      </w:pPr>
      <w:r>
        <w:t xml:space="preserve">Support for schools and mosques;</w:t>
      </w:r>
    </w:p>
    <w:p>
      <w:pPr>
        <w:numPr>
          <w:ilvl w:val="0"/>
          <w:numId w:val="1026"/>
        </w:numPr>
        <w:pStyle w:val="Compact"/>
        <w:jc w:val="both"/>
      </w:pPr>
      <w:r>
        <w:t xml:space="preserve">Support for widows and orphans;</w:t>
      </w:r>
    </w:p>
    <w:p>
      <w:pPr>
        <w:numPr>
          <w:ilvl w:val="0"/>
          <w:numId w:val="1026"/>
        </w:numPr>
        <w:pStyle w:val="Compact"/>
        <w:jc w:val="both"/>
      </w:pPr>
      <w:r>
        <w:t xml:space="preserve">Nigeria Mega-University Initiative;</w:t>
      </w:r>
    </w:p>
    <w:p>
      <w:pPr>
        <w:numPr>
          <w:ilvl w:val="0"/>
          <w:numId w:val="1026"/>
        </w:numPr>
        <w:pStyle w:val="Compact"/>
        <w:jc w:val="both"/>
      </w:pPr>
      <w:r>
        <w:t xml:space="preserve">Other charitable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Archivo" w:hAnsi="Archivo"/>
                <w:color w:val="8C97AB"/>
                <w:sz w:val="17"/>
                <w:spacing w:val="14"/>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2"/>
    <w:bookmarkStart w:id="93"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3"/>
    <w:bookmarkStart w:id="94"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27"/>
        </w:numPr>
        <w:pStyle w:val="Compact"/>
        <w:jc w:val="both"/>
      </w:pPr>
      <w:r>
        <w:t xml:space="preserve">Receive quality education;</w:t>
      </w:r>
    </w:p>
    <w:p>
      <w:pPr>
        <w:numPr>
          <w:ilvl w:val="0"/>
          <w:numId w:val="1027"/>
        </w:numPr>
        <w:pStyle w:val="Compact"/>
        <w:jc w:val="both"/>
      </w:pPr>
      <w:r>
        <w:t xml:space="preserve">Be treated with dignity and respect;</w:t>
      </w:r>
    </w:p>
    <w:p>
      <w:pPr>
        <w:numPr>
          <w:ilvl w:val="0"/>
          <w:numId w:val="1027"/>
        </w:numPr>
        <w:pStyle w:val="Compact"/>
        <w:jc w:val="both"/>
      </w:pPr>
      <w:r>
        <w:t xml:space="preserve">Access University facilities and resources;</w:t>
      </w:r>
    </w:p>
    <w:p>
      <w:pPr>
        <w:numPr>
          <w:ilvl w:val="0"/>
          <w:numId w:val="1027"/>
        </w:numPr>
        <w:pStyle w:val="Compact"/>
        <w:jc w:val="both"/>
      </w:pPr>
      <w:r>
        <w:t xml:space="preserve">Participate in student governance;</w:t>
      </w:r>
    </w:p>
    <w:p>
      <w:pPr>
        <w:numPr>
          <w:ilvl w:val="0"/>
          <w:numId w:val="1027"/>
        </w:numPr>
        <w:pStyle w:val="Compact"/>
        <w:jc w:val="both"/>
      </w:pPr>
      <w:r>
        <w:t xml:space="preserve">Appeal academic decisions;</w:t>
      </w:r>
    </w:p>
    <w:p>
      <w:pPr>
        <w:numPr>
          <w:ilvl w:val="0"/>
          <w:numId w:val="1027"/>
        </w:numPr>
        <w:pStyle w:val="Compact"/>
        <w:jc w:val="both"/>
      </w:pPr>
      <w:r>
        <w:t xml:space="preserve">Express their views, subject to Islamic values.</w:t>
      </w:r>
    </w:p>
    <w:p>
      <w:pPr>
        <w:pStyle w:val="SectionKicker"/>
      </w:pPr>
      <w:r>
        <w:t xml:space="preserve">ARTICLE XII · SECTION 12.3</w:t>
      </w:r>
    </w:p>
    <w:bookmarkEnd w:id="94"/>
    <w:bookmarkStart w:id="95"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28"/>
        </w:numPr>
        <w:pStyle w:val="Compact"/>
        <w:jc w:val="both"/>
      </w:pPr>
      <w:r>
        <w:t xml:space="preserve">Upholding the University’s values;</w:t>
      </w:r>
    </w:p>
    <w:p>
      <w:pPr>
        <w:numPr>
          <w:ilvl w:val="0"/>
          <w:numId w:val="1028"/>
        </w:numPr>
        <w:pStyle w:val="Compact"/>
        <w:jc w:val="both"/>
      </w:pPr>
      <w:r>
        <w:t xml:space="preserve">Maintaining academic integrity;</w:t>
      </w:r>
    </w:p>
    <w:p>
      <w:pPr>
        <w:numPr>
          <w:ilvl w:val="0"/>
          <w:numId w:val="1028"/>
        </w:numPr>
        <w:pStyle w:val="Compact"/>
        <w:jc w:val="both"/>
      </w:pPr>
      <w:r>
        <w:t xml:space="preserve">Respecting fellow students and faculty;</w:t>
      </w:r>
    </w:p>
    <w:p>
      <w:pPr>
        <w:numPr>
          <w:ilvl w:val="0"/>
          <w:numId w:val="1028"/>
        </w:numPr>
        <w:pStyle w:val="Compact"/>
        <w:jc w:val="both"/>
      </w:pPr>
      <w:r>
        <w:t xml:space="preserve">Complying with University policies;</w:t>
      </w:r>
    </w:p>
    <w:p>
      <w:pPr>
        <w:numPr>
          <w:ilvl w:val="0"/>
          <w:numId w:val="1028"/>
        </w:numPr>
        <w:pStyle w:val="Compact"/>
        <w:jc w:val="both"/>
      </w:pPr>
      <w:r>
        <w:t xml:space="preserve">Fulfilling financial obligations.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Archivo" w:hAnsi="Archivo"/>
                <w:color w:val="8C97AB"/>
                <w:sz w:val="17"/>
                <w:spacing w:val="14"/>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5"/>
    <w:bookmarkStart w:id="96"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6"/>
    <w:bookmarkStart w:id="97"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29"/>
        </w:numPr>
        <w:pStyle w:val="Compact"/>
        <w:jc w:val="both"/>
      </w:pPr>
      <w:r>
        <w:t xml:space="preserve">Upholding academic standards;</w:t>
      </w:r>
    </w:p>
    <w:p>
      <w:pPr>
        <w:numPr>
          <w:ilvl w:val="0"/>
          <w:numId w:val="1029"/>
        </w:numPr>
        <w:pStyle w:val="Compact"/>
        <w:jc w:val="both"/>
      </w:pPr>
      <w:r>
        <w:t xml:space="preserve">Providing quality instruction;</w:t>
      </w:r>
    </w:p>
    <w:p>
      <w:pPr>
        <w:numPr>
          <w:ilvl w:val="0"/>
          <w:numId w:val="1029"/>
        </w:numPr>
        <w:pStyle w:val="Compact"/>
        <w:jc w:val="both"/>
      </w:pPr>
      <w:r>
        <w:t xml:space="preserve">Advising students;</w:t>
      </w:r>
    </w:p>
    <w:p>
      <w:pPr>
        <w:numPr>
          <w:ilvl w:val="0"/>
          <w:numId w:val="1029"/>
        </w:numPr>
        <w:pStyle w:val="Compact"/>
        <w:jc w:val="both"/>
      </w:pPr>
      <w:r>
        <w:t xml:space="preserve">Engaging in research and scholarship;</w:t>
      </w:r>
    </w:p>
    <w:p>
      <w:pPr>
        <w:numPr>
          <w:ilvl w:val="0"/>
          <w:numId w:val="1029"/>
        </w:numPr>
        <w:pStyle w:val="Compact"/>
        <w:jc w:val="both"/>
      </w:pPr>
      <w:r>
        <w:t xml:space="preserve">Participating in University governance.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Archivo" w:hAnsi="Archivo"/>
                <w:color w:val="8C97AB"/>
                <w:sz w:val="17"/>
                <w:spacing w:val="14"/>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7"/>
    <w:bookmarkStart w:id="98"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98"/>
    <w:bookmarkStart w:id="99"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99"/>
    <w:bookmarkStart w:id="100"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Archivo" w:hAnsi="Archivo"/>
                <w:color w:val="8C97AB"/>
                <w:sz w:val="17"/>
                <w:spacing w:val="14"/>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0"/>
    <w:bookmarkStart w:id="101"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0"/>
        </w:numPr>
        <w:pStyle w:val="Compact"/>
        <w:jc w:val="both"/>
      </w:pPr>
      <w:r>
        <w:t xml:space="preserve">Financial statements;</w:t>
      </w:r>
    </w:p>
    <w:p>
      <w:pPr>
        <w:numPr>
          <w:ilvl w:val="0"/>
          <w:numId w:val="1030"/>
        </w:numPr>
        <w:pStyle w:val="Compact"/>
        <w:jc w:val="both"/>
      </w:pPr>
      <w:r>
        <w:t xml:space="preserve">Enrollment data;</w:t>
      </w:r>
    </w:p>
    <w:p>
      <w:pPr>
        <w:numPr>
          <w:ilvl w:val="0"/>
          <w:numId w:val="1030"/>
        </w:numPr>
        <w:pStyle w:val="Compact"/>
        <w:jc w:val="both"/>
      </w:pPr>
      <w:r>
        <w:t xml:space="preserve">Program highlights;</w:t>
      </w:r>
    </w:p>
    <w:p>
      <w:pPr>
        <w:numPr>
          <w:ilvl w:val="0"/>
          <w:numId w:val="1030"/>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1"/>
    <w:bookmarkStart w:id="102"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2"/>
    <w:bookmarkStart w:id="103"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3"/>
    <w:bookmarkStart w:id="104"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Archivo" w:hAnsi="Archivo"/>
                <w:color w:val="8C97AB"/>
                <w:sz w:val="17"/>
                <w:spacing w:val="14"/>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4"/>
    <w:bookmarkStart w:id="105"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5"/>
    <w:bookmarkStart w:id="106"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6"/>
    <w:bookmarkStart w:id="107"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Archivo" w:hAnsi="Archivo"/>
                <w:color w:val="8C97AB"/>
                <w:sz w:val="17"/>
                <w:spacing w:val="14"/>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7"/>
    <w:bookmarkStart w:id="108"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08"/>
    <w:bookmarkStart w:id="109"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Archivo" w:hAnsi="Archivo"/>
                <w:color w:val="8C97AB"/>
                <w:sz w:val="17"/>
                <w:spacing w:val="14"/>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09"/>
    <w:bookmarkStart w:id="110"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0"/>
    <w:bookmarkStart w:id="111"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Archivo" w:hAnsi="Archivo"/>
                <w:color w:val="8C97AB"/>
                <w:sz w:val="17"/>
                <w:spacing w:val="14"/>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1"/>
    <w:bookmarkStart w:id="112"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Archivo" w:hAnsi="Archivo"/>
                <w:color w:val="8C97AB"/>
                <w:sz w:val="17"/>
                <w:spacing w:val="14"/>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2"/>
    <w:bookmarkStart w:id="113"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Archivo" w:hAnsi="Archivo"/>
                <w:color w:val="8C97AB"/>
                <w:sz w:val="17"/>
                <w:spacing w:val="14"/>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3"/>
    <w:bookmarkStart w:id="114"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4"/>
    <w:bookmarkStart w:id="115"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5"/>
    <w:bookmarkStart w:id="116"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Archivo" w:hAnsi="Archivo"/>
                <w:color w:val="8C97AB"/>
                <w:sz w:val="17"/>
                <w:spacing w:val="14"/>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6"/>
    <w:bookmarkStart w:id="117"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SemiBold" w:hAnsi="Archivo SemiBold"/>
                <w:color w:val="8C97AB"/>
                <w:sz w:val="17"/>
                <w:spacing w:val="24"/>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Archivo" w:hAnsi="Archivo"/>
                <w:color w:val="8C97AB"/>
                <w:sz w:val="17"/>
                <w:spacing w:val="14"/>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Archivo" w:hAnsi="Archivo"/>
                <w:color w:val="B08625"/>
                <w:b/>
                <w:sz w:val="16"/>
                <w:spacing w:val="20"/>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7"/>
    <w:bookmarkStart w:id="118"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18"/>
    <w:bookmarkStart w:id="119"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19"/>
    <w:bookmarkStart w:id="120"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Capacity</w:t>
            </w:r>
          </w:p>
        </w:tc>
        <w:tc>
          <w:tcPr/>
          <w:p>
            <w:pPr>
              <w:pStyle w:val="Compact"/>
              <w:jc w:val="left"/>
              <w:suppressAutoHyphens/>
            </w:pPr>
            <w:r>
              <w:t xml:space="preserve">Name</w:t>
            </w:r>
          </w:p>
        </w:tc>
        <w:tc>
          <w:tcPr/>
          <w:p>
            <w:pPr>
              <w:pStyle w:val="Compact"/>
              <w:jc w:val="left"/>
              <w:suppressAutoHyphens/>
            </w:pPr>
            <w:r>
              <w:t xml:space="preserve">Signature</w:t>
            </w:r>
          </w:p>
        </w:tc>
        <w:tc>
          <w:tcPr/>
          <w:p>
            <w:pPr>
              <w:pStyle w:val="Compact"/>
              <w:jc w:val="left"/>
              <w:suppressAutoHyphens/>
            </w:pPr>
            <w:r>
              <w:t xml:space="preserve">Date</w:t>
            </w:r>
          </w:p>
        </w:tc>
      </w:tr>
      <w:tr>
        <w:trPr>
          <w:cantSplit/>
        </w:trPr>
        <w:tc>
          <w:tcPr/>
          <w:p>
            <w:pPr>
              <w:pStyle w:val="Compact"/>
              <w:jc w:val="left"/>
              <w:suppressAutoHyphens/>
            </w:pPr>
            <w:r>
              <w:t xml:space="preserve">Chairperson, Board of Trustees</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r>
        <w:trPr>
          <w:cantSplit/>
        </w:trPr>
        <w:tc>
          <w:tcPr/>
          <w:p>
            <w:pPr>
              <w:pStyle w:val="Compact"/>
              <w:jc w:val="left"/>
              <w:suppressAutoHyphens/>
            </w:pPr>
            <w:r>
              <w:t xml:space="preserve">Secretary to the Board</w:t>
            </w:r>
          </w:p>
        </w:tc>
        <w:tc>
          <w:tcPr/>
          <w:p>
            <w:pPr>
              <w:pStyle w:val="Compact"/>
              <w:jc w:val="left"/>
              <w:suppressAutoHyphens/>
            </w:pPr>
            <w:r>
              <w:t xml:space="preserve">_________________________</w:t>
            </w:r>
          </w:p>
        </w:tc>
        <w:tc>
          <w:tcPr/>
          <w:p>
            <w:pPr>
              <w:pStyle w:val="Compact"/>
              <w:jc w:val="left"/>
              <w:suppressAutoHyphens/>
            </w:pPr>
            <w:r>
              <w:t xml:space="preserve">_________________________</w:t>
            </w:r>
          </w:p>
        </w:tc>
        <w:tc>
          <w:tcPr/>
          <w:p>
            <w:pPr>
              <w:pStyle w:val="Compact"/>
              <w:jc w:val="left"/>
              <w:suppressAutoHyphens/>
            </w:pPr>
            <w:r>
              <w:t xml:space="preserve">_________</w:t>
            </w:r>
          </w:p>
        </w:tc>
      </w:tr>
    </w:tbl>
    <w:p>
      <w:pPr>
        <w:jc w:val="both"/>
      </w:pPr>
      <w:r>
        <w:br w:type="page"/>
      </w:r>
    </w:p>
    <w:bookmarkEnd w:id="120"/>
    <w:bookmarkStart w:id="121" w:name="publication-certification-statement"/>
    <w:p>
      <w:pPr>
        <w:pStyle w:val="Heading2"/>
      </w:pPr>
      <w:r>
        <w:t xml:space="preserve">Publication Certification Statement</w:t>
      </w:r>
    </w:p>
    <w:p>
      <w:pPr>
        <w:pStyle w:val="FirstParagraph"/>
        <w:jc w:val="both"/>
      </w:pPr>
      <w:r>
        <w:t xml:space="preserve">Before typesetting, this Constitution underwent a structured editorial review by the AMIU Office of Institutional Planning, examining every Article for numbering consistency, duplicated provisions, missing or inconsistent cross-references, table formatting, and governance ambiguity — the same standard of scrutiny applied to the University’s Strategic Implementation Blueprint (AMIU-SB-002).</w:t>
      </w:r>
    </w:p>
    <w:p>
      <w:pPr>
        <w:pStyle w:val="BodyText"/>
        <w:jc w:val="both"/>
      </w:pPr>
      <w:r>
        <w:rPr>
          <w:bCs/>
          <w:b/>
        </w:rPr>
        <w:t xml:space="preserve">Issues found and corrected:</w:t>
      </w:r>
    </w:p>
    <w:p>
      <w:pPr>
        <w:numPr>
          <w:ilvl w:val="0"/>
          <w:numId w:val="1031"/>
        </w:numPr>
        <w:pStyle w:val="Compact"/>
        <w:jc w:val="both"/>
      </w:pPr>
      <w:r>
        <w:rPr>
          <w:bCs/>
          <w:b/>
        </w:rPr>
        <w:t xml:space="preserve">Cross-document terminology.</w:t>
      </w:r>
      <w:r>
        <w:t xml:space="preserve"> </w:t>
      </w:r>
      <w:r>
        <w:t xml:space="preserve">“</w:t>
      </w:r>
      <w:r>
        <w:t xml:space="preserve">DVC Administration &amp; Finance</w:t>
      </w:r>
      <w:r>
        <w:t xml:space="preserve">”</w:t>
      </w:r>
      <w:r>
        <w:t xml:space="preserve"> </w:t>
      </w:r>
      <w:r>
        <w:t xml:space="preserve">was standardized to</w:t>
      </w:r>
      <w:r>
        <w:t xml:space="preserve"> </w:t>
      </w:r>
      <w:r>
        <w:t xml:space="preserve">“</w:t>
      </w:r>
      <w:r>
        <w:t xml:space="preserve">DVC Admin &amp; Finance</w:t>
      </w:r>
      <w:r>
        <w:t xml:space="preserve">”</w:t>
      </w:r>
      <w:r>
        <w:t xml:space="preserve"> </w:t>
      </w:r>
      <w:r>
        <w:t xml:space="preserve">throughout, matching the term already adopted in the Blueprint — the one genuine inconsistency found between the University’s two flagship publications.</w:t>
      </w:r>
    </w:p>
    <w:p>
      <w:pPr>
        <w:numPr>
          <w:ilvl w:val="0"/>
          <w:numId w:val="1031"/>
        </w:numPr>
        <w:pStyle w:val="Compact"/>
        <w:jc w:val="both"/>
      </w:pPr>
      <w:r>
        <w:rPr>
          <w:bCs/>
          <w:b/>
        </w:rPr>
        <w:t xml:space="preserve">Citation style.</w:t>
      </w:r>
      <w:r>
        <w:t xml:space="preserve"> </w:t>
      </w:r>
      <w:r>
        <w:t xml:space="preserve">Section 6.3.1.3 cited</w:t>
      </w:r>
      <w:r>
        <w:t xml:space="preserve"> </w:t>
      </w:r>
      <w:r>
        <w:t xml:space="preserve">“</w:t>
      </w:r>
      <w:r>
        <w:t xml:space="preserve">Article 3, Section 3.3,</w:t>
      </w:r>
      <w:r>
        <w:t xml:space="preserve">”</w:t>
      </w:r>
      <w:r>
        <w:t xml:space="preserve"> </w:t>
      </w:r>
      <w:r>
        <w:t xml:space="preserve">the only provision in the document using that verbose form; normalized to</w:t>
      </w:r>
      <w:r>
        <w:t xml:space="preserve"> </w:t>
      </w:r>
      <w:r>
        <w:t xml:space="preserve">“</w:t>
      </w:r>
      <w:r>
        <w:t xml:space="preserve">Section 3.3</w:t>
      </w:r>
      <w:r>
        <w:t xml:space="preserve">”</w:t>
      </w:r>
      <w:r>
        <w:t xml:space="preserve"> </w:t>
      </w:r>
      <w:r>
        <w:t xml:space="preserve">to match the citation convention used everywhere else.</w:t>
      </w:r>
    </w:p>
    <w:p>
      <w:pPr>
        <w:numPr>
          <w:ilvl w:val="0"/>
          <w:numId w:val="1031"/>
        </w:numPr>
        <w:pStyle w:val="Compact"/>
        <w:jc w:val="both"/>
      </w:pPr>
      <w:r>
        <w:rPr>
          <w:bCs/>
          <w:b/>
        </w:rPr>
        <w:t xml:space="preserve">A genuine due-process gap.</w:t>
      </w:r>
      <w:r>
        <w:t xml:space="preserve"> </w:t>
      </w:r>
      <w:r>
        <w:t xml:space="preserve">Section 6.3.4.2 permitted the Board to</w:t>
      </w:r>
      <w:r>
        <w:t xml:space="preserve"> </w:t>
      </w:r>
      <w:r>
        <w:t xml:space="preserve">“</w:t>
      </w:r>
      <w:r>
        <w:t xml:space="preserve">disqualify</w:t>
      </w:r>
      <w:r>
        <w:t xml:space="preserve">”</w:t>
      </w:r>
      <w:r>
        <w:t xml:space="preserve"> </w:t>
      </w:r>
      <w:r>
        <w:t xml:space="preserve">a Trustee for cause (breach of fiduciary duty, misconduct, and similar grounds) with no defined procedure, while Section 6.4 required a two-thirds vote and a formal notice-and-hearing process for</w:t>
      </w:r>
      <w:r>
        <w:t xml:space="preserve"> </w:t>
      </w:r>
      <w:r>
        <w:t xml:space="preserve">“</w:t>
      </w:r>
      <w:r>
        <w:t xml:space="preserve">removal</w:t>
      </w:r>
      <w:r>
        <w:t xml:space="preserve">”</w:t>
      </w:r>
      <w:r>
        <w:t xml:space="preserve"> </w:t>
      </w:r>
      <w:r>
        <w:t xml:space="preserve">on the</w:t>
      </w:r>
      <w:r>
        <w:t xml:space="preserve"> </w:t>
      </w:r>
      <w:r>
        <w:rPr>
          <w:iCs/>
          <w:i/>
        </w:rPr>
        <w:t xml:space="preserve">same</w:t>
      </w:r>
      <w:r>
        <w:t xml:space="preserve"> </w:t>
      </w:r>
      <w:r>
        <w:t xml:space="preserve">grounds. As originally drafted, a Board could have bypassed the hearing protection simply by labeling the action</w:t>
      </w:r>
      <w:r>
        <w:t xml:space="preserve"> </w:t>
      </w:r>
      <w:r>
        <w:t xml:space="preserve">“</w:t>
      </w:r>
      <w:r>
        <w:t xml:space="preserve">disqualification</w:t>
      </w:r>
      <w:r>
        <w:t xml:space="preserve">”</w:t>
      </w:r>
      <w:r>
        <w:t xml:space="preserve"> </w:t>
      </w:r>
      <w:r>
        <w:t xml:space="preserve">rather than</w:t>
      </w:r>
      <w:r>
        <w:t xml:space="preserve"> </w:t>
      </w:r>
      <w:r>
        <w:t xml:space="preserve">“</w:t>
      </w:r>
      <w:r>
        <w:t xml:space="preserve">removal.</w:t>
      </w:r>
      <w:r>
        <w:t xml:space="preserve">”</w:t>
      </w:r>
      <w:r>
        <w:t xml:space="preserve"> </w:t>
      </w:r>
      <w:r>
        <w:t xml:space="preserve">Section 6.3.4.2 now expressly cross-references the Section 6.4 process, so the due-process protection actually governs.</w:t>
      </w:r>
    </w:p>
    <w:p>
      <w:pPr>
        <w:numPr>
          <w:ilvl w:val="0"/>
          <w:numId w:val="1031"/>
        </w:numPr>
        <w:pStyle w:val="Compact"/>
        <w:jc w:val="both"/>
      </w:pPr>
      <w:r>
        <w:rPr>
          <w:bCs/>
          <w:b/>
        </w:rPr>
        <w:t xml:space="preserve">Presentation order.</w:t>
      </w:r>
      <w:r>
        <w:t xml:space="preserve"> </w:t>
      </w:r>
      <w:r>
        <w:t xml:space="preserve">The Academic Ladder table (Section 10.1.1) was reordered from highest-credential-first to ascending, foundation-to-summit order, consistent with its own</w:t>
      </w:r>
      <w:r>
        <w:t xml:space="preserve"> </w:t>
      </w:r>
      <w:r>
        <w:t xml:space="preserve">“</w:t>
      </w:r>
      <w:r>
        <w:t xml:space="preserve">stackable ladder</w:t>
      </w:r>
      <w:r>
        <w:t xml:space="preserve">”</w:t>
      </w:r>
      <w:r>
        <w:t xml:space="preserve"> </w:t>
      </w:r>
      <w:r>
        <w:t xml:space="preserve">language (Sections 10.1.2–10.1.3) and with the matching figure in the Blueprint.</w:t>
      </w:r>
    </w:p>
    <w:p>
      <w:pPr>
        <w:pStyle w:val="FirstParagraph"/>
        <w:jc w:val="both"/>
      </w:pPr>
      <w:r>
        <w:rPr>
          <w:bCs/>
          <w:b/>
        </w:rPr>
        <w:t xml:space="preserve">Reviewed and deliberately left unchanged</w:t>
      </w:r>
      <w:r>
        <w:t xml:space="preserve">, because they are not errors: the repeated Section 501(c)(3)/170(c)(2) boilerplate across Sections 2.2, 20.1, and 21.3, which is standard, IRS-expected redundancy in real nonprofit governing documents, not accidental duplication; and Section 5.1’s numbered governance table, which could read as placing the Senate beneath the President in a strict chain of command until Section 8.1.3 is reached, which expressly reconciles it as a reporting line rather than an authority ranking. The Governance Architecture figure (Figure C1) was designed to present the Board and Senate as co-equal chambers for exactly this reason, rather than as a top-down hierarchy.</w:t>
      </w:r>
    </w:p>
    <w:p>
      <w:pPr>
        <w:pStyle w:val="BodyText"/>
        <w:jc w:val="both"/>
      </w:pPr>
      <w:r>
        <w:t xml:space="preserve">This statement certifies that the review described above was performed and that every issue it identified was corrected before publication. It does not certify — and no review of a legal document this dense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Archivo" w:hAnsi="Archivo"/>
                <w:color w:val="B08625"/>
                <w:sz w:val="18"/>
              </w:rPr>
              <w:t>Constitution · Flagship Governance Edition · AMIU-CON-001</w:t>
            </w:r>
          </w:p>
          <w:p>
            <w:pPr>
              <w:jc w:val="center"/>
              <w:spacing w:before="0" w:after="0"/>
              <w:suppressAutoHyphens/>
            </w:pPr>
            <w:r>
              <w:rPr>
                <w:rFonts w:ascii="Archivo" w:hAnsi="Archivo"/>
                <w:color w:val="8C97AB"/>
                <w:sz w:val="16"/>
              </w:rPr>
              <w:t>edu.amiu.com  ·  Texas-Domiciled, Religiously Exempt  ·  Incorporated 6 December 2027</w:t>
            </w:r>
          </w:p>
          <w:p>
            <w:pPr>
              <w:jc w:val="center"/>
              <w:spacing w:before="240" w:after="0"/>
              <w:suppressAutoHyphens/>
            </w:pPr>
            <w:r>
              <w:rPr>
                <w:rFonts w:ascii="Archivo" w:hAnsi="Archivo"/>
                <w:i/>
                <w:color w:val="8C97AB"/>
                <w:sz w:val="15"/>
              </w:rPr>
              <w:t>This document is the property of Al-Mulk International University and is intended for internal use by</w:t>
            </w:r>
          </w:p>
          <w:p>
            <w:pPr>
              <w:jc w:val="center"/>
              <w:spacing w:before="0" w:after="0"/>
              <w:suppressAutoHyphens/>
            </w:pPr>
            <w:r>
              <w:rPr>
                <w:rFonts w:ascii="Archivo" w:hAnsi="Archivo"/>
                <w:i/>
                <w:color w:val="8C97AB"/>
                <w:sz w:val="15"/>
              </w:rPr>
              <w:t>the Board of Trustees and University Senate. Unauthorized distribution is prohibited.</w:t>
            </w:r>
          </w:p>
        </w:tc>
      </w:tr>
    </w:tbl>
    <w:bookmarkEnd w:id="121"/>
    <w:bookmarkEnd w:id="122"/>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Archivo SemiBold" w:hAnsi="Archivo SemiBold"/>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Archivo SemiBold" w:hAnsi="Archivo SemiBold"/>
        <w:b w:val="0"/>
        <w:caps/>
        <w:smallCaps/>
        <w:color w:val="122A4E"/>
        <w:sz w:val="17"/>
        <w:spacing w:val="14"/>
      </w:rPr>
      <w:t>Al-Mulk International University</w:t>
    </w:r>
    <w:r>
      <w:tab/>
    </w:r>
    <w:r>
      <w:rPr>
        <w:rFonts w:ascii="Fraunces" w:hAnsi="Fraunces"/>
        <w:i/>
        <w:color w:val="5B6372"/>
        <w:sz w:val="19"/>
      </w:rPr>
      <w:t>Constitution · Flagship Governance Edition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2026-07-25T13:29:07Z</dcterms:created>
  <dcterms:modified xsi:type="dcterms:W3CDTF">2026-07-25T13:29:07Z</dcterms:modified>
</cp:coreProperties>
</file>

<file path=docProps/custom.xml><?xml version="1.0" encoding="utf-8"?>
<Properties xmlns="http://schemas.openxmlformats.org/officeDocument/2006/custom-properties" xmlns:vt="http://schemas.openxmlformats.org/officeDocument/2006/docPropsVTypes"/>
</file>