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90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91</w:t>
            </w:r>
          </w:p>
        </w:tc>
      </w:tr>
    </w:tbl>
    <w:p>
      <w:pPr>
        <w:jc w:val="both"/>
      </w:pPr>
      <w:r>
        <w:br w:type="page"/>
      </w:r>
    </w:p>
    <w:bookmarkEnd w:id="35"/>
    <w:bookmarkStart w:id="124"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w:t>
            </w:r>
          </w:p>
        </w:tc>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w:t>
            </w:r>
          </w:p>
        </w:tc>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5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5.1–5.7</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p>
            <w:pPr>
              <w:spacing w:before="0" w:after="110"/>
              <w:suppressAutoHyphens/>
            </w:pPr>
            <w:r>
              <w:rPr>
                <w:rFonts w:ascii="Archivo SemiBold" w:hAnsi="Archivo SemiBold"/>
                <w:color w:val="B08625"/>
                <w:b/>
                <w:sz w:val="19"/>
              </w:rPr>
              <w:t>5.6 </w:t>
            </w:r>
            <w:r>
              <w:rPr>
                <w:rFonts w:ascii="Archivo" w:hAnsi="Archivo"/>
                <w:color w:val="FFFFFF"/>
                <w:sz w:val="18"/>
              </w:rPr>
              <w:t>Continuity of Governance</w:t>
            </w:r>
          </w:p>
          <w:p>
            <w:pPr>
              <w:spacing w:before="0" w:after="110"/>
              <w:suppressAutoHyphens/>
            </w:pPr>
            <w:r>
              <w:rPr>
                <w:rFonts w:ascii="Archivo SemiBold" w:hAnsi="Archivo SemiBold"/>
                <w:color w:val="B08625"/>
                <w:b/>
                <w:sz w:val="19"/>
              </w:rPr>
              <w:t>5.7 </w:t>
            </w:r>
            <w:r>
              <w:rPr>
                <w:rFonts w:ascii="Archivo" w:hAnsi="Archivo"/>
                <w:color w:val="FFFFFF"/>
                <w:sz w:val="18"/>
              </w:rPr>
              <w:t>Merger, Acquisition &amp; Institutional Restructuring</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E9EDF6"/>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pStyle w:val="SectionKicker"/>
      </w:pPr>
      <w:r>
        <w:t xml:space="preserve">Article V · Section 5.6</w:t>
      </w:r>
    </w:p>
    <w:bookmarkEnd w:id="56"/>
    <w:bookmarkStart w:id="57" w:name="continuity-of-governance"/>
    <w:p>
      <w:pPr>
        <w:pStyle w:val="Heading2"/>
      </w:pPr>
      <w:r>
        <w:t xml:space="preserve">5.6 Continuity of Governance</w:t>
      </w:r>
    </w:p>
    <w:p>
      <w:pPr>
        <w:pStyle w:val="FirstParagraph"/>
        <w:jc w:val="both"/>
        <w:ind w:left="360" w:hanging="360"/>
      </w:pPr>
      <w:r>
        <w:rPr>
          <w:bCs/>
          <w:b/>
          <w:color w:val="B08625"/>
        </w:rPr>
        <w:t xml:space="preserve">5.6.1</w:t>
      </w:r>
      <w:r>
        <w:t xml:space="preserve"> </w:t>
      </w:r>
      <w:r>
        <w:t xml:space="preserve">This Section governs a Compound Vacancy: the simultaneous vacancy, incapacity, or removal of the Chairperson of the Board of Trustees and the President &amp; Vice-Chancellor, however arising, including death, resignation, incapacity, or removal for cause under Sections 6.4 or 7.6.</w:t>
      </w:r>
    </w:p>
    <w:p>
      <w:pPr>
        <w:pStyle w:val="BodyText"/>
        <w:jc w:val="both"/>
        <w:ind w:left="360" w:hanging="360"/>
      </w:pPr>
      <w:r>
        <w:rPr>
          <w:bCs/>
          <w:b/>
          <w:color w:val="B08625"/>
        </w:rPr>
        <w:t xml:space="preserve">5.6.2</w:t>
      </w:r>
      <w:r>
        <w:t xml:space="preserve"> </w:t>
      </w:r>
      <w:r>
        <w:t xml:space="preserve">Upon a Compound Vacancy, authority shall pass automatically, without further vote, in the following order of precedence, each acting only until the office in question is filled on a permanent or interim basis under the ordinary procedure of this Constitution:</w:t>
      </w:r>
    </w:p>
    <w:p>
      <w:pPr>
        <w:numPr>
          <w:ilvl w:val="0"/>
          <w:numId w:val="1008"/>
        </w:numPr>
        <w:pStyle w:val="Compact"/>
        <w:jc w:val="both"/>
      </w:pPr>
      <w:r>
        <w:t xml:space="preserve">The Vice-Chairperson of the Board of Trustees shall serve as Acting Chairperson;</w:t>
      </w:r>
    </w:p>
    <w:p>
      <w:pPr>
        <w:numPr>
          <w:ilvl w:val="0"/>
          <w:numId w:val="1008"/>
        </w:numPr>
        <w:pStyle w:val="Compact"/>
        <w:jc w:val="both"/>
      </w:pPr>
      <w:r>
        <w:t xml:space="preserve">The senior-most Deputy Vice-Chancellor by date of appointment shall serve as Acting President &amp; Vice-Chancellor;</w:t>
      </w:r>
    </w:p>
    <w:p>
      <w:pPr>
        <w:numPr>
          <w:ilvl w:val="0"/>
          <w:numId w:val="1008"/>
        </w:numPr>
        <w:pStyle w:val="Compact"/>
        <w:jc w:val="both"/>
      </w:pPr>
      <w:r>
        <w:t xml:space="preserve">If the Vice-Chairperson is unable or unwilling to serve, the longest-serving Trustee not subject to a pending removal proceeding shall serve as Acting Chairperson;</w:t>
      </w:r>
    </w:p>
    <w:p>
      <w:pPr>
        <w:numPr>
          <w:ilvl w:val="0"/>
          <w:numId w:val="1008"/>
        </w:numPr>
        <w:pStyle w:val="Compact"/>
        <w:jc w:val="both"/>
      </w:pPr>
      <w:r>
        <w:t xml:space="preserve">If no Deputy Vice-Chancellor is able or willing to serve, the Board of Trustees shall appoint an Acting President &amp; Vice-Chancellor from among the University’s senior officers within seventy-two hours.</w:t>
      </w:r>
    </w:p>
    <w:p>
      <w:pPr>
        <w:pStyle w:val="FirstParagraph"/>
        <w:jc w:val="both"/>
        <w:ind w:left="360" w:hanging="360"/>
      </w:pPr>
      <w:r>
        <w:rPr>
          <w:bCs/>
          <w:b/>
          <w:color w:val="B08625"/>
        </w:rPr>
        <w:t xml:space="preserve">5.6.3</w:t>
      </w:r>
      <w:r>
        <w:t xml:space="preserve"> </w:t>
      </w:r>
      <w:r>
        <w:t xml:space="preserve">The Board of Trustees shall convene an emergency session within seven days of a Compound Vacancy to confirm the acting officers designated under Section 5.6.2 and to set a timeline for filling each office on a permanent basis, which timeline shall not exceed one hundred eighty days.</w:t>
      </w:r>
    </w:p>
    <w:p>
      <w:pPr>
        <w:pStyle w:val="BodyText"/>
        <w:jc w:val="both"/>
        <w:ind w:left="360" w:hanging="360"/>
      </w:pPr>
      <w:r>
        <w:rPr>
          <w:bCs/>
          <w:b/>
          <w:color w:val="B08625"/>
        </w:rPr>
        <w:t xml:space="preserve">5.6.4</w:t>
      </w:r>
      <w:r>
        <w:t xml:space="preserve"> </w:t>
      </w:r>
      <w:r>
        <w:t xml:space="preserve">During a Compound Vacancy, the Acting Chairperson and Acting President &amp; Vice-Chancellor shall be limited to ordinary administration of the University’s affairs and shall not, without the express approval of two-thirds of the full Board of Trustees:</w:t>
      </w:r>
    </w:p>
    <w:p>
      <w:pPr>
        <w:numPr>
          <w:ilvl w:val="0"/>
          <w:numId w:val="1009"/>
        </w:numPr>
        <w:pStyle w:val="Compact"/>
        <w:jc w:val="both"/>
      </w:pPr>
      <w:r>
        <w:t xml:space="preserve">Enter into any transaction described in Section 5.7 (Merger, Acquisition &amp; Institutional Restructuring);</w:t>
      </w:r>
    </w:p>
    <w:p>
      <w:pPr>
        <w:numPr>
          <w:ilvl w:val="0"/>
          <w:numId w:val="1009"/>
        </w:numPr>
        <w:pStyle w:val="Compact"/>
        <w:jc w:val="both"/>
      </w:pPr>
      <w:r>
        <w:t xml:space="preserve">Amend this Constitution or any governance document requiring Board or Senate approval;</w:t>
      </w:r>
    </w:p>
    <w:p>
      <w:pPr>
        <w:numPr>
          <w:ilvl w:val="0"/>
          <w:numId w:val="1009"/>
        </w:numPr>
        <w:pStyle w:val="Compact"/>
        <w:jc w:val="both"/>
      </w:pPr>
      <w:r>
        <w:t xml:space="preserve">Remove or appoint a Trustee, Senator, or Deputy Vice-Chancellor;</w:t>
      </w:r>
    </w:p>
    <w:p>
      <w:pPr>
        <w:numPr>
          <w:ilvl w:val="0"/>
          <w:numId w:val="1009"/>
        </w:numPr>
        <w:pStyle w:val="Compact"/>
        <w:jc w:val="both"/>
      </w:pPr>
      <w:r>
        <w:t xml:space="preserve">Commit the University to any expenditure or obligation outside the ordinary course of business exceeding the threshold set in the University’s Procurement Policy (OPS-004).</w:t>
      </w:r>
    </w:p>
    <w:p>
      <w:pPr>
        <w:pStyle w:val="FirstParagraph"/>
        <w:jc w:val="both"/>
        <w:ind w:left="360" w:hanging="360"/>
      </w:pPr>
      <w:r>
        <w:rPr>
          <w:bCs/>
          <w:b/>
          <w:color w:val="B08625"/>
        </w:rPr>
        <w:t xml:space="preserve">5.6.5</w:t>
      </w:r>
      <w:r>
        <w:t xml:space="preserve"> </w:t>
      </w:r>
      <w:r>
        <w:t xml:space="preserve">Nothing in this Section limits the Board’s authority to appoint permanent successors at any time before the timelines in this Section expire.</w:t>
      </w:r>
    </w:p>
    <w:p>
      <w:pPr>
        <w:pStyle w:val="SectionKicker"/>
      </w:pPr>
      <w:r>
        <w:t xml:space="preserve">Article V · Section 5.7</w:t>
      </w:r>
    </w:p>
    <w:bookmarkEnd w:id="57"/>
    <w:bookmarkStart w:id="58" w:name="Xdaa5fa375a1a76fbe63b8291d75cdf8c49a6091"/>
    <w:p>
      <w:pPr>
        <w:pStyle w:val="Heading2"/>
      </w:pPr>
      <w:r>
        <w:t xml:space="preserve">5.7 Merger, Acquisition &amp; Institutional Restructuring</w:t>
      </w:r>
    </w:p>
    <w:p>
      <w:pPr>
        <w:pStyle w:val="FirstParagraph"/>
        <w:jc w:val="both"/>
        <w:ind w:left="360" w:hanging="360"/>
      </w:pPr>
      <w:r>
        <w:rPr>
          <w:bCs/>
          <w:b/>
          <w:color w:val="B08625"/>
        </w:rPr>
        <w:t xml:space="preserve">5.7.1</w:t>
      </w:r>
      <w:r>
        <w:t xml:space="preserve"> </w:t>
      </w:r>
      <w:r>
        <w:t xml:space="preserve">A Restructuring Transaction means any merger, consolidation, or acquisition involving the University; any transfer of substantially all of the University’s assets; or the establishment of a new branch campus, country of operation, or degree-granting entity beyond those already adopted in the Strategic Implementation Blueprint (AMIU-SB-002) then in effect.</w:t>
      </w:r>
    </w:p>
    <w:p>
      <w:pPr>
        <w:pStyle w:val="BodyText"/>
        <w:jc w:val="both"/>
        <w:ind w:left="360" w:hanging="360"/>
      </w:pPr>
      <w:r>
        <w:rPr>
          <w:bCs/>
          <w:b/>
          <w:color w:val="B08625"/>
        </w:rPr>
        <w:t xml:space="preserve">5.7.2</w:t>
      </w:r>
      <w:r>
        <w:t xml:space="preserve"> </w:t>
      </w:r>
      <w:r>
        <w:t xml:space="preserve">No Restructuring Transaction shall take effect unless approved by:</w:t>
      </w:r>
    </w:p>
    <w:p>
      <w:pPr>
        <w:numPr>
          <w:ilvl w:val="0"/>
          <w:numId w:val="1010"/>
        </w:numPr>
        <w:pStyle w:val="Compact"/>
        <w:jc w:val="both"/>
      </w:pPr>
      <w:r>
        <w:t xml:space="preserve">A two-thirds affirmative vote of the full Board of Trustees; and</w:t>
      </w:r>
    </w:p>
    <w:p>
      <w:pPr>
        <w:numPr>
          <w:ilvl w:val="0"/>
          <w:numId w:val="1010"/>
        </w:numPr>
        <w:pStyle w:val="Compact"/>
        <w:jc w:val="both"/>
      </w:pPr>
      <w:r>
        <w:t xml:space="preserve">A two-thirds affirmative vote of the full University Senate, where the Restructuring Transaction would affect academic programs, degree-granting authority, or academic governance.</w:t>
      </w:r>
    </w:p>
    <w:p>
      <w:pPr>
        <w:pStyle w:val="FirstParagraph"/>
        <w:jc w:val="both"/>
        <w:ind w:left="360" w:hanging="360"/>
      </w:pPr>
      <w:r>
        <w:rPr>
          <w:bCs/>
          <w:b/>
          <w:color w:val="B08625"/>
        </w:rPr>
        <w:t xml:space="preserve">5.7.3</w:t>
      </w:r>
      <w:r>
        <w:t xml:space="preserve"> </w:t>
      </w:r>
      <w:r>
        <w:t xml:space="preserve">No Restructuring Transaction shall be approved unless the Board of Trustees first receives a written assessment addressing the transaction’s effect on the University’s mission and values under Article III; the University’s Islamic identity and religious exemption; the fixed Revenue Allocation Framework and the separation between the University and the Commercial Engine established elsewhere in University policy; existing students’ and faculty members’ rights under Articles XII and XIII; and the University’s accreditation status.</w:t>
      </w:r>
    </w:p>
    <w:p>
      <w:pPr>
        <w:pStyle w:val="BodyText"/>
        <w:jc w:val="both"/>
        <w:ind w:left="360" w:hanging="360"/>
      </w:pPr>
      <w:r>
        <w:rPr>
          <w:bCs/>
          <w:b/>
          <w:color w:val="B08625"/>
        </w:rPr>
        <w:t xml:space="preserve">5.7.4</w:t>
      </w:r>
      <w:r>
        <w:t xml:space="preserve"> </w:t>
      </w:r>
      <w:r>
        <w:t xml:space="preserve">No Restructuring Transaction shall diminish the University’s obligations under this Constitution to any currently enrolled student or currently employed faculty member.</w:t>
      </w:r>
    </w:p>
    <w:p>
      <w:pPr>
        <w:pStyle w:val="BodyText"/>
        <w:jc w:val="both"/>
        <w:ind w:left="360" w:hanging="360"/>
      </w:pPr>
      <w:r>
        <w:rPr>
          <w:bCs/>
          <w:b/>
          <w:color w:val="B08625"/>
        </w:rPr>
        <w:t xml:space="preserve">5.7.5</w:t>
      </w:r>
      <w:r>
        <w:t xml:space="preserve"> </w:t>
      </w:r>
      <w:r>
        <w:t xml:space="preserve">Any Restructuring Transaction approved under this Section shall be documented in the University’s official records and reported to the Senate and the Board at the next joint meeting under Section 5.2.8.</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8"/>
    <w:bookmarkStart w:id="59"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9"/>
    <w:bookmarkStart w:id="60"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11"/>
        </w:numPr>
        <w:pStyle w:val="Compact"/>
        <w:jc w:val="both"/>
      </w:pPr>
      <w:r>
        <w:t xml:space="preserve">Finance and investment;</w:t>
      </w:r>
    </w:p>
    <w:p>
      <w:pPr>
        <w:numPr>
          <w:ilvl w:val="0"/>
          <w:numId w:val="1011"/>
        </w:numPr>
        <w:pStyle w:val="Compact"/>
        <w:jc w:val="both"/>
      </w:pPr>
      <w:r>
        <w:t xml:space="preserve">Law and legal compliance;</w:t>
      </w:r>
    </w:p>
    <w:p>
      <w:pPr>
        <w:numPr>
          <w:ilvl w:val="0"/>
          <w:numId w:val="1011"/>
        </w:numPr>
        <w:pStyle w:val="Compact"/>
        <w:jc w:val="both"/>
      </w:pPr>
      <w:r>
        <w:t xml:space="preserve">Higher education administration;</w:t>
      </w:r>
    </w:p>
    <w:p>
      <w:pPr>
        <w:numPr>
          <w:ilvl w:val="0"/>
          <w:numId w:val="1011"/>
        </w:numPr>
        <w:pStyle w:val="Compact"/>
        <w:jc w:val="both"/>
      </w:pPr>
      <w:r>
        <w:t xml:space="preserve">Business and management;</w:t>
      </w:r>
    </w:p>
    <w:p>
      <w:pPr>
        <w:numPr>
          <w:ilvl w:val="0"/>
          <w:numId w:val="1011"/>
        </w:numPr>
        <w:pStyle w:val="Compact"/>
        <w:jc w:val="both"/>
      </w:pPr>
      <w:r>
        <w:t xml:space="preserve">Nonprofit governance;</w:t>
      </w:r>
    </w:p>
    <w:p>
      <w:pPr>
        <w:numPr>
          <w:ilvl w:val="0"/>
          <w:numId w:val="1011"/>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60"/>
    <w:bookmarkStart w:id="65" w:name="trustee-qualifications-and-appointment"/>
    <w:p>
      <w:pPr>
        <w:pStyle w:val="Heading2"/>
      </w:pPr>
      <w:r>
        <w:t xml:space="preserve">6.3 Trustee Qualifications and Appointment</w:t>
      </w:r>
    </w:p>
    <w:bookmarkStart w:id="61"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12"/>
        </w:numPr>
        <w:pStyle w:val="Compact"/>
        <w:jc w:val="both"/>
      </w:pPr>
      <w:r>
        <w:t xml:space="preserve">Finance, investment, and financial management;</w:t>
      </w:r>
    </w:p>
    <w:p>
      <w:pPr>
        <w:numPr>
          <w:ilvl w:val="0"/>
          <w:numId w:val="1012"/>
        </w:numPr>
        <w:pStyle w:val="Compact"/>
        <w:jc w:val="both"/>
      </w:pPr>
      <w:r>
        <w:t xml:space="preserve">Law, legal compliance, and regulatory affairs;</w:t>
      </w:r>
    </w:p>
    <w:p>
      <w:pPr>
        <w:numPr>
          <w:ilvl w:val="0"/>
          <w:numId w:val="1012"/>
        </w:numPr>
        <w:pStyle w:val="Compact"/>
        <w:jc w:val="both"/>
      </w:pPr>
      <w:r>
        <w:t xml:space="preserve">Higher education administration and academic governance;</w:t>
      </w:r>
    </w:p>
    <w:p>
      <w:pPr>
        <w:numPr>
          <w:ilvl w:val="0"/>
          <w:numId w:val="1012"/>
        </w:numPr>
        <w:pStyle w:val="Compact"/>
        <w:jc w:val="both"/>
      </w:pPr>
      <w:r>
        <w:t xml:space="preserve">Business management and organizational leadership;</w:t>
      </w:r>
    </w:p>
    <w:p>
      <w:pPr>
        <w:numPr>
          <w:ilvl w:val="0"/>
          <w:numId w:val="1012"/>
        </w:numPr>
        <w:pStyle w:val="Compact"/>
        <w:jc w:val="both"/>
      </w:pPr>
      <w:r>
        <w:t xml:space="preserve">Nonprofit governance and board administration;</w:t>
      </w:r>
    </w:p>
    <w:p>
      <w:pPr>
        <w:numPr>
          <w:ilvl w:val="0"/>
          <w:numId w:val="1012"/>
        </w:numPr>
        <w:pStyle w:val="Compact"/>
        <w:jc w:val="both"/>
      </w:pPr>
      <w:r>
        <w:t xml:space="preserve">Community leadership and Islamic affairs;</w:t>
      </w:r>
    </w:p>
    <w:p>
      <w:pPr>
        <w:numPr>
          <w:ilvl w:val="0"/>
          <w:numId w:val="1012"/>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61"/>
    <w:bookmarkStart w:id="62"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3"/>
        </w:numPr>
        <w:pStyle w:val="Compact"/>
        <w:jc w:val="both"/>
      </w:pPr>
      <w:r>
        <w:t xml:space="preserve">Identify potential candidates with appropriate qualifications;</w:t>
      </w:r>
    </w:p>
    <w:p>
      <w:pPr>
        <w:numPr>
          <w:ilvl w:val="0"/>
          <w:numId w:val="1013"/>
        </w:numPr>
        <w:pStyle w:val="Compact"/>
        <w:jc w:val="both"/>
      </w:pPr>
      <w:r>
        <w:t xml:space="preserve">Conduct background checks and due diligence;</w:t>
      </w:r>
    </w:p>
    <w:p>
      <w:pPr>
        <w:numPr>
          <w:ilvl w:val="0"/>
          <w:numId w:val="1013"/>
        </w:numPr>
        <w:pStyle w:val="Compact"/>
        <w:jc w:val="both"/>
      </w:pPr>
      <w:r>
        <w:t xml:space="preserve">Verify qualifications and adherence to the University’s Islamic mission;</w:t>
      </w:r>
    </w:p>
    <w:p>
      <w:pPr>
        <w:numPr>
          <w:ilvl w:val="0"/>
          <w:numId w:val="1013"/>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2"/>
    <w:bookmarkStart w:id="63"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3"/>
    <w:bookmarkStart w:id="64"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4"/>
        </w:numPr>
        <w:pStyle w:val="Compact"/>
        <w:jc w:val="both"/>
      </w:pPr>
      <w:r>
        <w:t xml:space="preserve">Conviction of a felony;</w:t>
      </w:r>
    </w:p>
    <w:p>
      <w:pPr>
        <w:numPr>
          <w:ilvl w:val="0"/>
          <w:numId w:val="1014"/>
        </w:numPr>
        <w:pStyle w:val="Compact"/>
        <w:jc w:val="both"/>
      </w:pPr>
      <w:r>
        <w:t xml:space="preserve">Bankruptcy, insolvency, or fraud;</w:t>
      </w:r>
    </w:p>
    <w:p>
      <w:pPr>
        <w:numPr>
          <w:ilvl w:val="0"/>
          <w:numId w:val="1014"/>
        </w:numPr>
        <w:pStyle w:val="Compact"/>
        <w:jc w:val="both"/>
      </w:pPr>
      <w:r>
        <w:t xml:space="preserve">Being found mentally incompetent by a court of competent jurisdiction;</w:t>
      </w:r>
    </w:p>
    <w:p>
      <w:pPr>
        <w:numPr>
          <w:ilvl w:val="0"/>
          <w:numId w:val="1014"/>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5"/>
        </w:numPr>
        <w:pStyle w:val="Compact"/>
        <w:jc w:val="both"/>
      </w:pPr>
      <w:r>
        <w:t xml:space="preserve">Conflict of interest as defined in this Constitution;</w:t>
      </w:r>
    </w:p>
    <w:p>
      <w:pPr>
        <w:numPr>
          <w:ilvl w:val="0"/>
          <w:numId w:val="1015"/>
        </w:numPr>
        <w:pStyle w:val="Compact"/>
        <w:jc w:val="both"/>
      </w:pPr>
      <w:r>
        <w:t xml:space="preserve">Breach of fiduciary duty;</w:t>
      </w:r>
    </w:p>
    <w:p>
      <w:pPr>
        <w:numPr>
          <w:ilvl w:val="0"/>
          <w:numId w:val="1015"/>
        </w:numPr>
        <w:pStyle w:val="Compact"/>
        <w:jc w:val="both"/>
      </w:pPr>
      <w:r>
        <w:t xml:space="preserve">Misconduct or moral turpitude;</w:t>
      </w:r>
    </w:p>
    <w:p>
      <w:pPr>
        <w:numPr>
          <w:ilvl w:val="0"/>
          <w:numId w:val="1015"/>
        </w:numPr>
        <w:pStyle w:val="Compact"/>
        <w:jc w:val="both"/>
      </w:pPr>
      <w:r>
        <w:t xml:space="preserve">Failure to adhere to the University’s Islamic mission and values.</w:t>
      </w:r>
    </w:p>
    <w:p>
      <w:pPr>
        <w:pStyle w:val="SectionKicker"/>
      </w:pPr>
      <w:r>
        <w:t xml:space="preserve">Article VI · Section 6.4</w:t>
      </w:r>
    </w:p>
    <w:bookmarkEnd w:id="64"/>
    <w:bookmarkEnd w:id="65"/>
    <w:bookmarkStart w:id="66"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6"/>
        </w:numPr>
        <w:pStyle w:val="Compact"/>
        <w:jc w:val="both"/>
      </w:pPr>
      <w:r>
        <w:t xml:space="preserve">Breach of fiduciary duty;</w:t>
      </w:r>
    </w:p>
    <w:p>
      <w:pPr>
        <w:numPr>
          <w:ilvl w:val="0"/>
          <w:numId w:val="1016"/>
        </w:numPr>
        <w:pStyle w:val="Compact"/>
        <w:jc w:val="both"/>
      </w:pPr>
      <w:r>
        <w:t xml:space="preserve">Conflict of interest;</w:t>
      </w:r>
    </w:p>
    <w:p>
      <w:pPr>
        <w:numPr>
          <w:ilvl w:val="0"/>
          <w:numId w:val="1016"/>
        </w:numPr>
        <w:pStyle w:val="Compact"/>
        <w:jc w:val="both"/>
      </w:pPr>
      <w:r>
        <w:t xml:space="preserve">Misconduct;</w:t>
      </w:r>
    </w:p>
    <w:p>
      <w:pPr>
        <w:numPr>
          <w:ilvl w:val="0"/>
          <w:numId w:val="1016"/>
        </w:numPr>
        <w:pStyle w:val="Compact"/>
        <w:jc w:val="both"/>
      </w:pPr>
      <w:r>
        <w:t xml:space="preserve">Failure to attend meetings;</w:t>
      </w:r>
    </w:p>
    <w:p>
      <w:pPr>
        <w:numPr>
          <w:ilvl w:val="0"/>
          <w:numId w:val="1016"/>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7"/>
        </w:numPr>
        <w:pStyle w:val="Compact"/>
        <w:jc w:val="both"/>
      </w:pPr>
      <w:r>
        <w:t xml:space="preserve">Written notice of the charges at least fourteen days before the meeting;</w:t>
      </w:r>
    </w:p>
    <w:p>
      <w:pPr>
        <w:numPr>
          <w:ilvl w:val="0"/>
          <w:numId w:val="1017"/>
        </w:numPr>
        <w:pStyle w:val="Compact"/>
        <w:jc w:val="both"/>
      </w:pPr>
      <w:r>
        <w:t xml:space="preserve">An opportunity to present a defense;</w:t>
      </w:r>
    </w:p>
    <w:p>
      <w:pPr>
        <w:numPr>
          <w:ilvl w:val="0"/>
          <w:numId w:val="1017"/>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6"/>
    <w:bookmarkStart w:id="67"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8"/>
        </w:numPr>
        <w:pStyle w:val="Compact"/>
        <w:jc w:val="both"/>
      </w:pPr>
      <w:r>
        <w:t xml:space="preserve">Preside over all Board meetings;</w:t>
      </w:r>
    </w:p>
    <w:p>
      <w:pPr>
        <w:numPr>
          <w:ilvl w:val="0"/>
          <w:numId w:val="1018"/>
        </w:numPr>
        <w:pStyle w:val="Compact"/>
        <w:jc w:val="both"/>
      </w:pPr>
      <w:r>
        <w:t xml:space="preserve">Set the Board agenda in consultation with the President;</w:t>
      </w:r>
    </w:p>
    <w:p>
      <w:pPr>
        <w:numPr>
          <w:ilvl w:val="0"/>
          <w:numId w:val="1018"/>
        </w:numPr>
        <w:pStyle w:val="Compact"/>
        <w:jc w:val="both"/>
      </w:pPr>
      <w:r>
        <w:t xml:space="preserve">Represent the Board externally as required;</w:t>
      </w:r>
    </w:p>
    <w:p>
      <w:pPr>
        <w:numPr>
          <w:ilvl w:val="0"/>
          <w:numId w:val="1018"/>
        </w:numPr>
        <w:pStyle w:val="Compact"/>
        <w:jc w:val="both"/>
      </w:pPr>
      <w:r>
        <w:t xml:space="preserve">Ensure Board effectiveness and efficiency;</w:t>
      </w:r>
    </w:p>
    <w:p>
      <w:pPr>
        <w:numPr>
          <w:ilvl w:val="0"/>
          <w:numId w:val="1018"/>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7"/>
    <w:bookmarkStart w:id="68"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8"/>
    <w:bookmarkStart w:id="69"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9"/>
        </w:numPr>
        <w:pStyle w:val="Compact"/>
        <w:jc w:val="both"/>
      </w:pPr>
      <w:r>
        <w:t xml:space="preserve">Appoint and evaluate the President &amp; Vice-Chancellor annually;</w:t>
      </w:r>
    </w:p>
    <w:p>
      <w:pPr>
        <w:numPr>
          <w:ilvl w:val="0"/>
          <w:numId w:val="1019"/>
        </w:numPr>
        <w:pStyle w:val="Compact"/>
        <w:jc w:val="both"/>
      </w:pPr>
      <w:r>
        <w:t xml:space="preserve">Approve the annual budget and monitor financial performance;</w:t>
      </w:r>
    </w:p>
    <w:p>
      <w:pPr>
        <w:numPr>
          <w:ilvl w:val="0"/>
          <w:numId w:val="1019"/>
        </w:numPr>
        <w:pStyle w:val="Compact"/>
        <w:jc w:val="both"/>
      </w:pPr>
      <w:r>
        <w:t xml:space="preserve">Set institutional strategy and long-term vision;</w:t>
      </w:r>
    </w:p>
    <w:p>
      <w:pPr>
        <w:numPr>
          <w:ilvl w:val="0"/>
          <w:numId w:val="1019"/>
        </w:numPr>
        <w:pStyle w:val="Compact"/>
        <w:jc w:val="both"/>
      </w:pPr>
      <w:r>
        <w:t xml:space="preserve">Ensure financial sustainability and legal compliance;</w:t>
      </w:r>
    </w:p>
    <w:p>
      <w:pPr>
        <w:numPr>
          <w:ilvl w:val="0"/>
          <w:numId w:val="1019"/>
        </w:numPr>
        <w:pStyle w:val="Compact"/>
        <w:jc w:val="both"/>
      </w:pPr>
      <w:r>
        <w:t xml:space="preserve">Approve major policies and governance documents;</w:t>
      </w:r>
    </w:p>
    <w:p>
      <w:pPr>
        <w:numPr>
          <w:ilvl w:val="0"/>
          <w:numId w:val="1019"/>
        </w:numPr>
        <w:pStyle w:val="Compact"/>
        <w:jc w:val="both"/>
      </w:pPr>
      <w:r>
        <w:t xml:space="preserve">Oversee the University Senate through the President;</w:t>
      </w:r>
    </w:p>
    <w:p>
      <w:pPr>
        <w:numPr>
          <w:ilvl w:val="0"/>
          <w:numId w:val="1019"/>
        </w:numPr>
        <w:pStyle w:val="Compact"/>
        <w:jc w:val="both"/>
      </w:pPr>
      <w:r>
        <w:t xml:space="preserve">Appoint the external auditor and oversee the audit process;</w:t>
      </w:r>
    </w:p>
    <w:p>
      <w:pPr>
        <w:numPr>
          <w:ilvl w:val="0"/>
          <w:numId w:val="1019"/>
        </w:numPr>
        <w:pStyle w:val="Compact"/>
        <w:jc w:val="both"/>
      </w:pPr>
      <w:r>
        <w:t xml:space="preserve">Approve amendments to the Constitution and Bylaws;</w:t>
      </w:r>
    </w:p>
    <w:p>
      <w:pPr>
        <w:numPr>
          <w:ilvl w:val="0"/>
          <w:numId w:val="1019"/>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9"/>
    <w:bookmarkStart w:id="70"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70"/>
    <w:bookmarkStart w:id="71"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71"/>
    <w:bookmarkStart w:id="72"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2"/>
    <w:bookmarkStart w:id="73"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3"/>
    <w:bookmarkStart w:id="74"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4"/>
    <w:bookmarkStart w:id="75"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20"/>
        </w:numPr>
        <w:pStyle w:val="Compact"/>
        <w:jc w:val="both"/>
      </w:pPr>
      <w:r>
        <w:t xml:space="preserve">Implement Board decisions and policies;</w:t>
      </w:r>
    </w:p>
    <w:p>
      <w:pPr>
        <w:numPr>
          <w:ilvl w:val="0"/>
          <w:numId w:val="1020"/>
        </w:numPr>
        <w:pStyle w:val="Compact"/>
        <w:jc w:val="both"/>
      </w:pPr>
      <w:r>
        <w:t xml:space="preserve">Lead the University’s administration;</w:t>
      </w:r>
    </w:p>
    <w:p>
      <w:pPr>
        <w:numPr>
          <w:ilvl w:val="0"/>
          <w:numId w:val="1020"/>
        </w:numPr>
        <w:pStyle w:val="Compact"/>
        <w:jc w:val="both"/>
      </w:pPr>
      <w:r>
        <w:t xml:space="preserve">Chair the University Senate;</w:t>
      </w:r>
    </w:p>
    <w:p>
      <w:pPr>
        <w:numPr>
          <w:ilvl w:val="0"/>
          <w:numId w:val="1020"/>
        </w:numPr>
        <w:pStyle w:val="Compact"/>
        <w:jc w:val="both"/>
      </w:pPr>
      <w:r>
        <w:t xml:space="preserve">Represent the University externally;</w:t>
      </w:r>
    </w:p>
    <w:p>
      <w:pPr>
        <w:numPr>
          <w:ilvl w:val="0"/>
          <w:numId w:val="1020"/>
        </w:numPr>
        <w:pStyle w:val="Compact"/>
        <w:jc w:val="both"/>
      </w:pPr>
      <w:r>
        <w:t xml:space="preserve">Ensure institutional effectiveness and efficiency;</w:t>
      </w:r>
    </w:p>
    <w:p>
      <w:pPr>
        <w:numPr>
          <w:ilvl w:val="0"/>
          <w:numId w:val="1020"/>
        </w:numPr>
        <w:pStyle w:val="Compact"/>
        <w:jc w:val="both"/>
      </w:pPr>
      <w:r>
        <w:t xml:space="preserve">Appoint senior administrators;</w:t>
      </w:r>
    </w:p>
    <w:p>
      <w:pPr>
        <w:numPr>
          <w:ilvl w:val="0"/>
          <w:numId w:val="1020"/>
        </w:numPr>
        <w:pStyle w:val="Compact"/>
        <w:jc w:val="both"/>
      </w:pPr>
      <w:r>
        <w:t xml:space="preserve">Prepare the annual budget for Board approval;</w:t>
      </w:r>
    </w:p>
    <w:p>
      <w:pPr>
        <w:numPr>
          <w:ilvl w:val="0"/>
          <w:numId w:val="1020"/>
        </w:numPr>
        <w:pStyle w:val="Compact"/>
        <w:jc w:val="both"/>
      </w:pPr>
      <w:r>
        <w:t xml:space="preserve">Report regularly to the Board.</w:t>
      </w:r>
    </w:p>
    <w:p>
      <w:pPr>
        <w:pStyle w:val="SectionKicker"/>
      </w:pPr>
      <w:r>
        <w:t xml:space="preserve">Article VII · Section 7.5</w:t>
      </w:r>
    </w:p>
    <w:bookmarkEnd w:id="75"/>
    <w:bookmarkStart w:id="76"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21"/>
        </w:numPr>
        <w:pStyle w:val="Compact"/>
        <w:jc w:val="both"/>
      </w:pPr>
      <w:r>
        <w:t xml:space="preserve">Feedback from the Senate;</w:t>
      </w:r>
    </w:p>
    <w:p>
      <w:pPr>
        <w:numPr>
          <w:ilvl w:val="0"/>
          <w:numId w:val="1021"/>
        </w:numPr>
        <w:pStyle w:val="Compact"/>
        <w:jc w:val="both"/>
      </w:pPr>
      <w:r>
        <w:t xml:space="preserve">Feedback from faculty and staff;</w:t>
      </w:r>
    </w:p>
    <w:p>
      <w:pPr>
        <w:numPr>
          <w:ilvl w:val="0"/>
          <w:numId w:val="1021"/>
        </w:numPr>
        <w:pStyle w:val="Compact"/>
        <w:jc w:val="both"/>
      </w:pPr>
      <w:r>
        <w:t xml:space="preserve">Review of strategic objectives achieved;</w:t>
      </w:r>
    </w:p>
    <w:p>
      <w:pPr>
        <w:numPr>
          <w:ilvl w:val="0"/>
          <w:numId w:val="1021"/>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6"/>
    <w:bookmarkStart w:id="77"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22"/>
        </w:numPr>
        <w:pStyle w:val="Compact"/>
        <w:jc w:val="both"/>
      </w:pPr>
      <w:r>
        <w:t xml:space="preserve">Breach of fiduciary duty;</w:t>
      </w:r>
    </w:p>
    <w:p>
      <w:pPr>
        <w:numPr>
          <w:ilvl w:val="0"/>
          <w:numId w:val="1022"/>
        </w:numPr>
        <w:pStyle w:val="Compact"/>
        <w:jc w:val="both"/>
      </w:pPr>
      <w:r>
        <w:t xml:space="preserve">Misconduct;</w:t>
      </w:r>
    </w:p>
    <w:p>
      <w:pPr>
        <w:numPr>
          <w:ilvl w:val="0"/>
          <w:numId w:val="1022"/>
        </w:numPr>
        <w:pStyle w:val="Compact"/>
        <w:jc w:val="both"/>
      </w:pPr>
      <w:r>
        <w:t xml:space="preserve">Failure to perform duties;</w:t>
      </w:r>
    </w:p>
    <w:p>
      <w:pPr>
        <w:numPr>
          <w:ilvl w:val="0"/>
          <w:numId w:val="1022"/>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7"/>
    <w:bookmarkStart w:id="78"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8"/>
    <w:bookmarkStart w:id="79"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9"/>
    <w:bookmarkStart w:id="80"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3"/>
        </w:numPr>
        <w:pStyle w:val="Compact"/>
        <w:jc w:val="both"/>
      </w:pPr>
      <w:r>
        <w:t xml:space="preserve">Undergraduate Student Representative;</w:t>
      </w:r>
    </w:p>
    <w:p>
      <w:pPr>
        <w:numPr>
          <w:ilvl w:val="0"/>
          <w:numId w:val="1023"/>
        </w:numPr>
        <w:pStyle w:val="Compact"/>
        <w:jc w:val="both"/>
      </w:pPr>
      <w:r>
        <w:t xml:space="preserve">Postgraduate Student Representative;</w:t>
      </w:r>
    </w:p>
    <w:p>
      <w:pPr>
        <w:numPr>
          <w:ilvl w:val="0"/>
          <w:numId w:val="1023"/>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80"/>
    <w:bookmarkStart w:id="81"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81"/>
    <w:bookmarkStart w:id="82"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2"/>
    <w:bookmarkStart w:id="83"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4"/>
        </w:numPr>
        <w:pStyle w:val="Compact"/>
        <w:jc w:val="both"/>
      </w:pPr>
      <w:r>
        <w:t xml:space="preserve">Voice vote;</w:t>
      </w:r>
    </w:p>
    <w:p>
      <w:pPr>
        <w:numPr>
          <w:ilvl w:val="0"/>
          <w:numId w:val="1024"/>
        </w:numPr>
        <w:pStyle w:val="Compact"/>
        <w:jc w:val="both"/>
      </w:pPr>
      <w:r>
        <w:t xml:space="preserve">Show of hands;</w:t>
      </w:r>
    </w:p>
    <w:p>
      <w:pPr>
        <w:numPr>
          <w:ilvl w:val="0"/>
          <w:numId w:val="1024"/>
        </w:numPr>
        <w:pStyle w:val="Compact"/>
        <w:jc w:val="both"/>
      </w:pPr>
      <w:r>
        <w:t xml:space="preserve">Roll call vote;</w:t>
      </w:r>
    </w:p>
    <w:p>
      <w:pPr>
        <w:numPr>
          <w:ilvl w:val="0"/>
          <w:numId w:val="1024"/>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3"/>
    <w:bookmarkStart w:id="84"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5"/>
        </w:numPr>
        <w:pStyle w:val="Compact"/>
        <w:jc w:val="both"/>
      </w:pPr>
      <w:r>
        <w:t xml:space="preserve">Approve all academic programs and courses;</w:t>
      </w:r>
    </w:p>
    <w:p>
      <w:pPr>
        <w:numPr>
          <w:ilvl w:val="0"/>
          <w:numId w:val="1025"/>
        </w:numPr>
        <w:pStyle w:val="Compact"/>
        <w:jc w:val="both"/>
      </w:pPr>
      <w:r>
        <w:t xml:space="preserve">Set academic standards and policies;</w:t>
      </w:r>
    </w:p>
    <w:p>
      <w:pPr>
        <w:numPr>
          <w:ilvl w:val="0"/>
          <w:numId w:val="1025"/>
        </w:numPr>
        <w:pStyle w:val="Compact"/>
        <w:jc w:val="both"/>
      </w:pPr>
      <w:r>
        <w:t xml:space="preserve">Ratify all degrees and certificates;</w:t>
      </w:r>
    </w:p>
    <w:p>
      <w:pPr>
        <w:numPr>
          <w:ilvl w:val="0"/>
          <w:numId w:val="1025"/>
        </w:numPr>
        <w:pStyle w:val="Compact"/>
        <w:jc w:val="both"/>
      </w:pPr>
      <w:r>
        <w:t xml:space="preserve">Oversee faculty quality and development;</w:t>
      </w:r>
    </w:p>
    <w:p>
      <w:pPr>
        <w:numPr>
          <w:ilvl w:val="0"/>
          <w:numId w:val="1025"/>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4"/>
    <w:bookmarkStart w:id="85"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5"/>
    <w:bookmarkStart w:id="86"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6"/>
    <w:bookmarkStart w:id="87"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6"/>
        </w:numPr>
        <w:pStyle w:val="Compact"/>
        <w:jc w:val="both"/>
      </w:pPr>
      <w:r>
        <w:t xml:space="preserve">Deputy Vice-Chancellor, Academic Affairs;</w:t>
      </w:r>
    </w:p>
    <w:p>
      <w:pPr>
        <w:numPr>
          <w:ilvl w:val="0"/>
          <w:numId w:val="1026"/>
        </w:numPr>
        <w:pStyle w:val="Compact"/>
        <w:jc w:val="both"/>
      </w:pPr>
      <w:r>
        <w:t xml:space="preserve">Deputy Vice-Chancellor, Admin &amp; Finance;</w:t>
      </w:r>
    </w:p>
    <w:p>
      <w:pPr>
        <w:numPr>
          <w:ilvl w:val="0"/>
          <w:numId w:val="1026"/>
        </w:numPr>
        <w:pStyle w:val="Compact"/>
        <w:jc w:val="both"/>
      </w:pPr>
      <w:r>
        <w:t xml:space="preserve">College Deans;</w:t>
      </w:r>
    </w:p>
    <w:p>
      <w:pPr>
        <w:numPr>
          <w:ilvl w:val="0"/>
          <w:numId w:val="1026"/>
        </w:numPr>
        <w:pStyle w:val="Compact"/>
        <w:jc w:val="both"/>
      </w:pPr>
      <w:r>
        <w:t xml:space="preserve">University Registrar;</w:t>
      </w:r>
    </w:p>
    <w:p>
      <w:pPr>
        <w:numPr>
          <w:ilvl w:val="0"/>
          <w:numId w:val="1026"/>
        </w:numPr>
        <w:pStyle w:val="Compact"/>
        <w:jc w:val="both"/>
      </w:pPr>
      <w:r>
        <w:t xml:space="preserve">Dean of Students;</w:t>
      </w:r>
    </w:p>
    <w:p>
      <w:pPr>
        <w:numPr>
          <w:ilvl w:val="0"/>
          <w:numId w:val="1026"/>
        </w:numPr>
        <w:pStyle w:val="Compact"/>
        <w:jc w:val="both"/>
      </w:pPr>
      <w:r>
        <w:t xml:space="preserve">Directors of functional areas.</w:t>
      </w:r>
    </w:p>
    <w:p>
      <w:pPr>
        <w:pStyle w:val="SectionKicker"/>
      </w:pPr>
      <w:r>
        <w:t xml:space="preserve">Article IX · Section 9.3</w:t>
      </w:r>
    </w:p>
    <w:bookmarkEnd w:id="87"/>
    <w:bookmarkStart w:id="88"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8"/>
    <w:bookmarkStart w:id="89"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7"/>
        </w:numPr>
        <w:pStyle w:val="Compact"/>
        <w:jc w:val="both"/>
      </w:pPr>
      <w:r>
        <w:t xml:space="preserve">Implement Board decisions and policies;</w:t>
      </w:r>
    </w:p>
    <w:p>
      <w:pPr>
        <w:numPr>
          <w:ilvl w:val="0"/>
          <w:numId w:val="1027"/>
        </w:numPr>
        <w:pStyle w:val="Compact"/>
        <w:jc w:val="both"/>
      </w:pPr>
      <w:r>
        <w:t xml:space="preserve">Manage daily operations;</w:t>
      </w:r>
    </w:p>
    <w:p>
      <w:pPr>
        <w:numPr>
          <w:ilvl w:val="0"/>
          <w:numId w:val="1027"/>
        </w:numPr>
        <w:pStyle w:val="Compact"/>
        <w:jc w:val="both"/>
      </w:pPr>
      <w:r>
        <w:t xml:space="preserve">Execute the Senate’s academic vision;</w:t>
      </w:r>
    </w:p>
    <w:p>
      <w:pPr>
        <w:numPr>
          <w:ilvl w:val="0"/>
          <w:numId w:val="1027"/>
        </w:numPr>
        <w:pStyle w:val="Compact"/>
        <w:jc w:val="both"/>
      </w:pPr>
      <w:r>
        <w:t xml:space="preserve">Ensure institutional effectiveness and efficiency;</w:t>
      </w:r>
    </w:p>
    <w:p>
      <w:pPr>
        <w:numPr>
          <w:ilvl w:val="0"/>
          <w:numId w:val="1027"/>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9"/>
    <w:bookmarkStart w:id="90"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90"/>
    <w:bookmarkStart w:id="91"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8"/>
        </w:numPr>
        <w:pStyle w:val="Compact"/>
        <w:jc w:val="both"/>
      </w:pPr>
      <w:r>
        <w:t xml:space="preserve">College of Qur’anic &amp; Hadith Sciences;</w:t>
      </w:r>
    </w:p>
    <w:p>
      <w:pPr>
        <w:numPr>
          <w:ilvl w:val="0"/>
          <w:numId w:val="1028"/>
        </w:numPr>
        <w:pStyle w:val="Compact"/>
        <w:jc w:val="both"/>
      </w:pPr>
      <w:r>
        <w:t xml:space="preserve">College of Shari’ah &amp; Islamic Law;</w:t>
      </w:r>
    </w:p>
    <w:p>
      <w:pPr>
        <w:numPr>
          <w:ilvl w:val="0"/>
          <w:numId w:val="1028"/>
        </w:numPr>
        <w:pStyle w:val="Compact"/>
        <w:jc w:val="both"/>
      </w:pPr>
      <w:r>
        <w:t xml:space="preserve">College of Islamic Theology &amp; Philosophy;</w:t>
      </w:r>
    </w:p>
    <w:p>
      <w:pPr>
        <w:numPr>
          <w:ilvl w:val="0"/>
          <w:numId w:val="1028"/>
        </w:numPr>
        <w:pStyle w:val="Compact"/>
        <w:jc w:val="both"/>
      </w:pPr>
      <w:r>
        <w:t xml:space="preserve">College of Arabic Language &amp; Linguistics;</w:t>
      </w:r>
    </w:p>
    <w:p>
      <w:pPr>
        <w:numPr>
          <w:ilvl w:val="0"/>
          <w:numId w:val="1028"/>
        </w:numPr>
        <w:pStyle w:val="Compact"/>
        <w:jc w:val="both"/>
      </w:pPr>
      <w:r>
        <w:t xml:space="preserve">College of Da’wah, Islamic Communication &amp; Chaplaincy;</w:t>
      </w:r>
    </w:p>
    <w:p>
      <w:pPr>
        <w:numPr>
          <w:ilvl w:val="0"/>
          <w:numId w:val="1028"/>
        </w:numPr>
        <w:pStyle w:val="Compact"/>
        <w:jc w:val="both"/>
      </w:pPr>
      <w:r>
        <w:t xml:space="preserve">College of Islamic Finance, Economics &amp; Waqf Administration.</w:t>
      </w:r>
    </w:p>
    <w:p>
      <w:pPr>
        <w:pStyle w:val="SectionKicker"/>
      </w:pPr>
      <w:r>
        <w:t xml:space="preserve">Article X · Section 10.3</w:t>
      </w:r>
    </w:p>
    <w:bookmarkEnd w:id="91"/>
    <w:bookmarkStart w:id="92"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2"/>
    <w:bookmarkStart w:id="93"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3"/>
    <w:bookmarkStart w:id="94"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9"/>
        </w:numPr>
        <w:pStyle w:val="Compact"/>
        <w:jc w:val="both"/>
      </w:pPr>
      <w:r>
        <w:t xml:space="preserve">Scholarships;</w:t>
      </w:r>
    </w:p>
    <w:p>
      <w:pPr>
        <w:numPr>
          <w:ilvl w:val="0"/>
          <w:numId w:val="1029"/>
        </w:numPr>
        <w:pStyle w:val="Compact"/>
        <w:jc w:val="both"/>
      </w:pPr>
      <w:r>
        <w:t xml:space="preserve">Support for schools and mosques;</w:t>
      </w:r>
    </w:p>
    <w:p>
      <w:pPr>
        <w:numPr>
          <w:ilvl w:val="0"/>
          <w:numId w:val="1029"/>
        </w:numPr>
        <w:pStyle w:val="Compact"/>
        <w:jc w:val="both"/>
      </w:pPr>
      <w:r>
        <w:t xml:space="preserve">Support for widows and orphans;</w:t>
      </w:r>
    </w:p>
    <w:p>
      <w:pPr>
        <w:numPr>
          <w:ilvl w:val="0"/>
          <w:numId w:val="1029"/>
        </w:numPr>
        <w:pStyle w:val="Compact"/>
        <w:jc w:val="both"/>
      </w:pPr>
      <w:r>
        <w:t xml:space="preserve">Nigeria Mega-University Initiative;</w:t>
      </w:r>
    </w:p>
    <w:p>
      <w:pPr>
        <w:numPr>
          <w:ilvl w:val="0"/>
          <w:numId w:val="1029"/>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4"/>
    <w:bookmarkStart w:id="95"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5"/>
    <w:bookmarkStart w:id="96"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30"/>
        </w:numPr>
        <w:pStyle w:val="Compact"/>
        <w:jc w:val="both"/>
      </w:pPr>
      <w:r>
        <w:t xml:space="preserve">Receive quality education;</w:t>
      </w:r>
    </w:p>
    <w:p>
      <w:pPr>
        <w:numPr>
          <w:ilvl w:val="0"/>
          <w:numId w:val="1030"/>
        </w:numPr>
        <w:pStyle w:val="Compact"/>
        <w:jc w:val="both"/>
      </w:pPr>
      <w:r>
        <w:t xml:space="preserve">Be treated with dignity and respect;</w:t>
      </w:r>
    </w:p>
    <w:p>
      <w:pPr>
        <w:numPr>
          <w:ilvl w:val="0"/>
          <w:numId w:val="1030"/>
        </w:numPr>
        <w:pStyle w:val="Compact"/>
        <w:jc w:val="both"/>
      </w:pPr>
      <w:r>
        <w:t xml:space="preserve">Access University facilities and resources;</w:t>
      </w:r>
    </w:p>
    <w:p>
      <w:pPr>
        <w:numPr>
          <w:ilvl w:val="0"/>
          <w:numId w:val="1030"/>
        </w:numPr>
        <w:pStyle w:val="Compact"/>
        <w:jc w:val="both"/>
      </w:pPr>
      <w:r>
        <w:t xml:space="preserve">Participate in student governance;</w:t>
      </w:r>
    </w:p>
    <w:p>
      <w:pPr>
        <w:numPr>
          <w:ilvl w:val="0"/>
          <w:numId w:val="1030"/>
        </w:numPr>
        <w:pStyle w:val="Compact"/>
        <w:jc w:val="both"/>
      </w:pPr>
      <w:r>
        <w:t xml:space="preserve">Appeal academic decisions;</w:t>
      </w:r>
    </w:p>
    <w:p>
      <w:pPr>
        <w:numPr>
          <w:ilvl w:val="0"/>
          <w:numId w:val="1030"/>
        </w:numPr>
        <w:pStyle w:val="Compact"/>
        <w:jc w:val="both"/>
      </w:pPr>
      <w:r>
        <w:t xml:space="preserve">Express their views, subject to Islamic values.</w:t>
      </w:r>
    </w:p>
    <w:p>
      <w:pPr>
        <w:pStyle w:val="SectionKicker"/>
      </w:pPr>
      <w:r>
        <w:t xml:space="preserve">Article XII · Section 12.3</w:t>
      </w:r>
    </w:p>
    <w:bookmarkEnd w:id="96"/>
    <w:bookmarkStart w:id="97"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31"/>
        </w:numPr>
        <w:pStyle w:val="Compact"/>
        <w:jc w:val="both"/>
      </w:pPr>
      <w:r>
        <w:t xml:space="preserve">Upholding the University’s values;</w:t>
      </w:r>
    </w:p>
    <w:p>
      <w:pPr>
        <w:numPr>
          <w:ilvl w:val="0"/>
          <w:numId w:val="1031"/>
        </w:numPr>
        <w:pStyle w:val="Compact"/>
        <w:jc w:val="both"/>
      </w:pPr>
      <w:r>
        <w:t xml:space="preserve">Maintaining academic integrity;</w:t>
      </w:r>
    </w:p>
    <w:p>
      <w:pPr>
        <w:numPr>
          <w:ilvl w:val="0"/>
          <w:numId w:val="1031"/>
        </w:numPr>
        <w:pStyle w:val="Compact"/>
        <w:jc w:val="both"/>
      </w:pPr>
      <w:r>
        <w:t xml:space="preserve">Respecting fellow students and faculty;</w:t>
      </w:r>
    </w:p>
    <w:p>
      <w:pPr>
        <w:numPr>
          <w:ilvl w:val="0"/>
          <w:numId w:val="1031"/>
        </w:numPr>
        <w:pStyle w:val="Compact"/>
        <w:jc w:val="both"/>
      </w:pPr>
      <w:r>
        <w:t xml:space="preserve">Complying with University policies;</w:t>
      </w:r>
    </w:p>
    <w:p>
      <w:pPr>
        <w:numPr>
          <w:ilvl w:val="0"/>
          <w:numId w:val="1031"/>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7"/>
    <w:bookmarkStart w:id="98"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8"/>
    <w:bookmarkStart w:id="99"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32"/>
        </w:numPr>
        <w:pStyle w:val="Compact"/>
        <w:jc w:val="both"/>
      </w:pPr>
      <w:r>
        <w:t xml:space="preserve">Upholding academic standards;</w:t>
      </w:r>
    </w:p>
    <w:p>
      <w:pPr>
        <w:numPr>
          <w:ilvl w:val="0"/>
          <w:numId w:val="1032"/>
        </w:numPr>
        <w:pStyle w:val="Compact"/>
        <w:jc w:val="both"/>
      </w:pPr>
      <w:r>
        <w:t xml:space="preserve">Providing quality instruction;</w:t>
      </w:r>
    </w:p>
    <w:p>
      <w:pPr>
        <w:numPr>
          <w:ilvl w:val="0"/>
          <w:numId w:val="1032"/>
        </w:numPr>
        <w:pStyle w:val="Compact"/>
        <w:jc w:val="both"/>
      </w:pPr>
      <w:r>
        <w:t xml:space="preserve">Advising students;</w:t>
      </w:r>
    </w:p>
    <w:p>
      <w:pPr>
        <w:numPr>
          <w:ilvl w:val="0"/>
          <w:numId w:val="1032"/>
        </w:numPr>
        <w:pStyle w:val="Compact"/>
        <w:jc w:val="both"/>
      </w:pPr>
      <w:r>
        <w:t xml:space="preserve">Engaging in research and scholarship;</w:t>
      </w:r>
    </w:p>
    <w:p>
      <w:pPr>
        <w:numPr>
          <w:ilvl w:val="0"/>
          <w:numId w:val="1032"/>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9"/>
    <w:bookmarkStart w:id="100"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100"/>
    <w:bookmarkStart w:id="101"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101"/>
    <w:bookmarkStart w:id="102"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2"/>
    <w:bookmarkStart w:id="103"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3"/>
        </w:numPr>
        <w:pStyle w:val="Compact"/>
        <w:jc w:val="both"/>
      </w:pPr>
      <w:r>
        <w:t xml:space="preserve">Financial statements;</w:t>
      </w:r>
    </w:p>
    <w:p>
      <w:pPr>
        <w:numPr>
          <w:ilvl w:val="0"/>
          <w:numId w:val="1033"/>
        </w:numPr>
        <w:pStyle w:val="Compact"/>
        <w:jc w:val="both"/>
      </w:pPr>
      <w:r>
        <w:t xml:space="preserve">Enrollment data;</w:t>
      </w:r>
    </w:p>
    <w:p>
      <w:pPr>
        <w:numPr>
          <w:ilvl w:val="0"/>
          <w:numId w:val="1033"/>
        </w:numPr>
        <w:pStyle w:val="Compact"/>
        <w:jc w:val="both"/>
      </w:pPr>
      <w:r>
        <w:t xml:space="preserve">Program highlights;</w:t>
      </w:r>
    </w:p>
    <w:p>
      <w:pPr>
        <w:numPr>
          <w:ilvl w:val="0"/>
          <w:numId w:val="1033"/>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3"/>
    <w:bookmarkStart w:id="104"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4"/>
    <w:bookmarkStart w:id="105"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5"/>
    <w:bookmarkStart w:id="106"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6"/>
    <w:bookmarkStart w:id="107"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7"/>
    <w:bookmarkStart w:id="108"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8"/>
    <w:bookmarkStart w:id="109"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9"/>
    <w:bookmarkStart w:id="110"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10"/>
    <w:bookmarkStart w:id="111"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11"/>
    <w:bookmarkStart w:id="112"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2"/>
    <w:bookmarkStart w:id="113"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3"/>
    <w:bookmarkStart w:id="114"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4"/>
    <w:bookmarkStart w:id="115"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5"/>
    <w:bookmarkStart w:id="116"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6"/>
    <w:bookmarkStart w:id="117"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7"/>
    <w:bookmarkStart w:id="118"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8"/>
    <w:bookmarkStart w:id="119"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9"/>
    <w:bookmarkStart w:id="120"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20"/>
    <w:bookmarkStart w:id="121"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21"/>
    <w:bookmarkStart w:id="122"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22"/>
    <w:bookmarkStart w:id="123" w:name="publication-certification-statement"/>
    <w:p>
      <w:pPr>
        <w:pStyle w:val="Heading2"/>
      </w:pPr>
      <w:r>
        <w:t xml:space="preserve">Publication Certification Statement</w:t>
      </w:r>
    </w:p>
    <w:p>
      <w:pPr>
        <w:pStyle w:val="FirstParagraph"/>
        <w:jc w:val="both"/>
      </w:pPr>
      <w:r>
        <w:t xml:space="preserve">This Constitution is certified by the AMIU Office of Institutional Planning as the authoritative and current statement of the University’s supreme legal and governance architecture, effective as of the date shown on the Document Control page. It supersedes all prior drafts and non-final versions and governs over any conflicting provision in any other University publication.</w:t>
      </w:r>
    </w:p>
    <w:p>
      <w:pPr>
        <w:pStyle w:val="BodyText"/>
        <w:jc w:val="both"/>
      </w:pPr>
      <w:r>
        <w:t xml:space="preserve">Terminology, citation conventions, and cross-references are applied consistently across every Article and reconciled against the University’s Strategic Implementation Blueprint and Institutional Governance Compendium, so all three publications speak with one voice on every matter they share.</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3"/>
    <w:bookmarkEnd w:id="124"/>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Constitution · Flagship Governance Edition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2026-07-28T02:18:32Z</dcterms:created>
  <dcterms:modified xsi:type="dcterms:W3CDTF">2026-07-28T02:18:32Z</dcterms:modified>
</cp:coreProperties>
</file>

<file path=docProps/custom.xml><?xml version="1.0" encoding="utf-8"?>
<Properties xmlns="http://schemas.openxmlformats.org/officeDocument/2006/custom-properties" xmlns:vt="http://schemas.openxmlformats.org/officeDocument/2006/docPropsVTypes"/>
</file>