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2"/>
                <w:color w:val="B08625"/>
                <w:spacing w:val="18"/>
                <w:caps/>
              </w:rPr>
              <w:t>STRATEGIC IMPLEMENTATION BLUEPRINT · 2028–2050</w:t>
            </w:r>
          </w:p>
          <w:p>
            <w:pPr>
              <w:jc w:val="center"/>
              <w:spacing w:before="500" w:after="0"/>
            </w:pPr>
            <w:r>
              <w:rPr>
                <w:rFonts w:ascii="Cinzel" w:hAnsi="Cinzel"/>
                <w:b/>
                <w:color w:val="B08625"/>
                <w:sz w:val="22"/>
                <w:caps/>
                <w:spacing w:val="18"/>
              </w:rPr>
              <w:t>AL-MULK</w:t>
            </w:r>
          </w:p>
          <w:p>
            <w:pPr>
              <w:jc w:val="center"/>
              <w:spacing w:before="0" w:after="500"/>
            </w:pPr>
            <w:r>
              <w:rPr>
                <w:rFonts w:ascii="Cinzel" w:hAnsi="Cinzel"/>
                <w:b/>
                <w:color w:val="B08625"/>
                <w:sz w:val="22"/>
                <w:caps/>
                <w:spacing w:val="18"/>
              </w:rPr>
              <w:t>INTERNATIONAL UNIVERSITY</w:t>
            </w:r>
          </w:p>
          <w:p>
            <w:pPr>
              <w:jc w:val="center"/>
              <w:spacing w:before="300" w:after="100"/>
            </w:pPr>
            <w:r>
              <w:rPr>
                <w:rFonts w:ascii="Cormorant Garamond" w:hAnsi="Cormorant Garamond"/>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2"/>
                <w:caps/>
                <w:spacing w:val="18"/>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single Garamond-family type system throughout (Cinzel monumental numerals, Cormorant Garamond editorial headings, EB Garamond body serif),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6"/>
    <w:bookmarkStart w:id="27"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7"/>
    <w:bookmarkStart w:id="28"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8"/>
    <w:bookmarkStart w:id="29"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29"/>
    <w:bookmarkStart w:id="30"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0"/>
    <w:bookmarkStart w:id="31"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$3.3M</w:t>
            </w:r>
          </w:p>
          <w:p>
            <w:pPr>
              <w:spacing w:before="0" w:after="0"/>
            </w:pPr>
            <w:r>
              <w:rPr>
                <w:rFonts w:ascii="Liberation Sans" w:hAnsi="Liberation Sans"/>
                <w:color w:val="5B6372"/>
                <w:sz w:val="15"/>
                <w:spacing w:val="8"/>
              </w:rPr>
              <w:t>TEN-YEAR WAQF &amp; STAKEHOLDER RESERVE</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Financial capacity shall never be a barrier to knowledge.</w:t>
            </w:r>
          </w:p>
          <w:p>
            <w:pPr>
              <w:jc w:val="center"/>
              <w:spacing w:before="0" w:after="0"/>
            </w:pPr>
            <w:r>
              <w:rPr>
                <w:rFonts w:ascii="Liberation Sans" w:hAnsi="Liberation Sans"/>
                <w:b/>
                <w:sz w:val="22"/>
                <w:color w:val="B08625"/>
                <w:spacing w:val="18"/>
                <w:caps/>
              </w:rPr>
              <w:t>AMIU MISSION PRINCIPLE · AMIU-MP-001 § 3</w:t>
            </w:r>
          </w:p>
        </w:tc>
      </w:tr>
    </w:tbl>
    <w:p>
      <w:pPr>
        <w:jc w:val="both"/>
      </w:pPr>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2"/>
                <w:caps/>
                <w:spacing w:val="18"/>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2"/>
                <w:caps/>
                <w:spacing w:val="18"/>
              </w:rPr>
              <w:t xml:space="preserve">Founder’s Message</w:t>
            </w:r>
          </w:p>
        </w:tc>
        <w:tc>
          <w:tcPr/>
          <w:p>
            <w:pPr>
              <w:pStyle w:val="Compact"/>
              <w:jc w:val="right"/>
            </w:pPr>
            <w:r>
              <w:rPr>
                <w:bCs/>
                <w:b/>
              </w:rPr>
              <w:t xml:space="preserve">9</w:t>
            </w:r>
          </w:p>
        </w:tc>
      </w:tr>
      <w:tr>
        <w:trPr>
          <w:cantSplit/>
        </w:trPr>
        <w:tc>
          <w:tcPr/>
          <w:p>
            <w:pPr>
              <w:pStyle w:val="Compact"/>
              <w:jc w:val="left"/>
            </w:pPr>
            <w:r>
              <w:rPr>
                <w:bCs/>
                <w:b/>
                <w:color w:val="B08625"/>
                <w:sz w:val="22"/>
                <w:caps/>
                <w:spacing w:val="18"/>
              </w:rPr>
              <w:t xml:space="preserve">Chairman’s Message</w:t>
            </w:r>
          </w:p>
        </w:tc>
        <w:tc>
          <w:tcPr/>
          <w:p>
            <w:pPr>
              <w:pStyle w:val="Compact"/>
              <w:jc w:val="right"/>
            </w:pPr>
            <w:r>
              <w:rPr>
                <w:bCs/>
                <w:b/>
                <w:color w:val="B08625"/>
                <w:sz w:val="22"/>
                <w:caps/>
                <w:spacing w:val="18"/>
              </w:rPr>
              <w:t xml:space="preserve">10</w:t>
            </w:r>
          </w:p>
        </w:tc>
      </w:tr>
      <w:tr>
        <w:trPr>
          <w:cantSplit/>
        </w:trPr>
        <w:tc>
          <w:tcPr/>
          <w:p>
            <w:pPr>
              <w:pStyle w:val="Compact"/>
              <w:jc w:val="left"/>
            </w:pPr>
            <w:r>
              <w:rPr>
                <w:bCs/>
                <w:b/>
                <w:color w:val="B08625"/>
                <w:sz w:val="22"/>
                <w:caps/>
                <w:spacing w:val="18"/>
              </w:rPr>
              <w:t xml:space="preserve">President’s Message</w:t>
            </w:r>
          </w:p>
        </w:tc>
        <w:tc>
          <w:tcPr/>
          <w:p>
            <w:pPr>
              <w:pStyle w:val="Compact"/>
              <w:jc w:val="right"/>
            </w:pPr>
            <w:r>
              <w:rPr>
                <w:bCs/>
                <w:b/>
                <w:color w:val="B08625"/>
                <w:sz w:val="22"/>
                <w:caps/>
                <w:spacing w:val="18"/>
              </w:rPr>
              <w:t xml:space="preserve">11</w:t>
            </w:r>
          </w:p>
        </w:tc>
      </w:tr>
      <w:tr>
        <w:trPr>
          <w:cantSplit/>
        </w:trPr>
        <w:tc>
          <w:tcPr/>
          <w:p>
            <w:pPr>
              <w:pStyle w:val="Compact"/>
              <w:jc w:val="left"/>
            </w:pPr>
            <w:r>
              <w:rPr>
                <w:bCs/>
                <w:b/>
                <w:color w:val="B08625"/>
                <w:sz w:val="22"/>
                <w:caps/>
                <w:spacing w:val="18"/>
              </w:rPr>
              <w:t xml:space="preserve">Executive Summary</w:t>
            </w:r>
          </w:p>
        </w:tc>
        <w:tc>
          <w:tcPr/>
          <w:p>
            <w:pPr>
              <w:pStyle w:val="Compact"/>
              <w:jc w:val="right"/>
            </w:pPr>
            <w:r>
              <w:rPr>
                <w:bCs/>
                <w:b/>
                <w:color w:val="B08625"/>
                <w:sz w:val="22"/>
                <w:caps/>
                <w:spacing w:val="18"/>
              </w:rPr>
              <w:t xml:space="preserve">12</w:t>
            </w:r>
          </w:p>
        </w:tc>
      </w:tr>
      <w:tr>
        <w:trPr>
          <w:cantSplit/>
        </w:trPr>
        <w:tc>
          <w:tcPr/>
          <w:p>
            <w:pPr>
              <w:pStyle w:val="Compact"/>
              <w:jc w:val="left"/>
            </w:pPr>
            <w:r>
              <w:rPr>
                <w:bCs/>
                <w:b/>
                <w:color w:val="B08625"/>
                <w:sz w:val="22"/>
                <w:caps/>
                <w:spacing w:val="18"/>
              </w:rPr>
              <w:t xml:space="preserve">AMIU at a Glance</w:t>
            </w:r>
          </w:p>
        </w:tc>
        <w:tc>
          <w:tcPr/>
          <w:p>
            <w:pPr>
              <w:pStyle w:val="Compact"/>
              <w:jc w:val="right"/>
            </w:pPr>
            <w:r>
              <w:rPr>
                <w:bCs/>
                <w:b/>
                <w:color w:val="B08625"/>
                <w:sz w:val="22"/>
                <w:caps/>
                <w:spacing w:val="18"/>
              </w:rPr>
              <w:t xml:space="preserve">14</w:t>
            </w:r>
          </w:p>
        </w:tc>
      </w:tr>
      <w:tr>
        <w:trPr>
          <w:cantSplit/>
        </w:trPr>
        <w:tc>
          <w:tcPr/>
          <w:p>
            <w:pPr>
              <w:pStyle w:val="Compact"/>
              <w:jc w:val="left"/>
            </w:pPr>
            <w:r>
              <w:rPr>
                <w:bCs/>
                <w:b/>
                <w:color w:val="B08625"/>
                <w:sz w:val="22"/>
                <w:caps/>
                <w:spacing w:val="18"/>
              </w:rPr>
              <w:t xml:space="preserve">List of Figures</w:t>
            </w:r>
          </w:p>
        </w:tc>
        <w:tc>
          <w:tcPr/>
          <w:p>
            <w:pPr>
              <w:pStyle w:val="Compact"/>
              <w:jc w:val="right"/>
            </w:pPr>
            <w:r>
              <w:rPr>
                <w:bCs/>
                <w:b/>
                <w:color w:val="B08625"/>
                <w:sz w:val="22"/>
                <w:caps/>
                <w:spacing w:val="18"/>
              </w:rPr>
              <w:t xml:space="preserve">21</w:t>
            </w:r>
          </w:p>
        </w:tc>
      </w:tr>
      <w:tr>
        <w:trPr>
          <w:cantSplit/>
        </w:trPr>
        <w:tc>
          <w:tcPr/>
          <w:p>
            <w:pPr>
              <w:pStyle w:val="Compact"/>
              <w:jc w:val="left"/>
            </w:pPr>
            <w:r>
              <w:rPr>
                <w:bCs/>
                <w:b/>
                <w:color w:val="B08625"/>
                <w:sz w:val="22"/>
                <w:caps/>
                <w:spacing w:val="18"/>
              </w:rPr>
              <w:t xml:space="preserve">List of Charts</w:t>
            </w:r>
          </w:p>
        </w:tc>
        <w:tc>
          <w:tcPr/>
          <w:p>
            <w:pPr>
              <w:pStyle w:val="Compact"/>
              <w:jc w:val="right"/>
            </w:pPr>
            <w:r>
              <w:rPr>
                <w:bCs/>
                <w:b/>
                <w:color w:val="B08625"/>
                <w:sz w:val="22"/>
                <w:caps/>
                <w:spacing w:val="18"/>
              </w:rPr>
              <w:t xml:space="preserve">22</w:t>
            </w:r>
          </w:p>
        </w:tc>
      </w:tr>
      <w:tr>
        <w:trPr>
          <w:cantSplit/>
        </w:trPr>
        <w:tc>
          <w:tcPr/>
          <w:p>
            <w:pPr>
              <w:pStyle w:val="Compact"/>
              <w:jc w:val="left"/>
            </w:pPr>
            <w:r>
              <w:rPr>
                <w:bCs/>
                <w:b/>
                <w:color w:val="B08625"/>
                <w:sz w:val="22"/>
                <w:caps/>
                <w:spacing w:val="18"/>
              </w:rPr>
              <w:t xml:space="preserve">List of Diagrams</w:t>
            </w:r>
          </w:p>
        </w:tc>
        <w:tc>
          <w:tcPr/>
          <w:p>
            <w:pPr>
              <w:pStyle w:val="Compact"/>
              <w:jc w:val="right"/>
            </w:pPr>
            <w:r>
              <w:rPr>
                <w:bCs/>
                <w:b/>
                <w:color w:val="B08625"/>
                <w:sz w:val="22"/>
                <w:caps/>
                <w:spacing w:val="18"/>
              </w:rPr>
              <w:t xml:space="preserve">22</w:t>
            </w:r>
          </w:p>
        </w:tc>
      </w:tr>
      <w:tr>
        <w:trPr>
          <w:cantSplit/>
        </w:trPr>
        <w:tc>
          <w:tcPr/>
          <w:p>
            <w:pPr>
              <w:pStyle w:val="Compact"/>
              <w:jc w:val="left"/>
            </w:pPr>
            <w:r>
              <w:rPr>
                <w:bCs/>
                <w:b/>
                <w:color w:val="B08625"/>
                <w:sz w:val="22"/>
                <w:caps/>
                <w:spacing w:val="18"/>
              </w:rPr>
              <w:t xml:space="preserve">List of Flowcharts</w:t>
            </w:r>
          </w:p>
        </w:tc>
        <w:tc>
          <w:tcPr/>
          <w:p>
            <w:pPr>
              <w:pStyle w:val="Compact"/>
              <w:jc w:val="right"/>
            </w:pPr>
            <w:r>
              <w:rPr>
                <w:bCs/>
                <w:b/>
                <w:color w:val="B08625"/>
                <w:sz w:val="22"/>
                <w:caps/>
                <w:spacing w:val="18"/>
              </w:rPr>
              <w:t xml:space="preserve">23</w:t>
            </w:r>
          </w:p>
        </w:tc>
      </w:tr>
      <w:tr>
        <w:trPr>
          <w:cantSplit/>
        </w:trPr>
        <w:tc>
          <w:tcPr/>
          <w:p>
            <w:pPr>
              <w:pStyle w:val="Compact"/>
              <w:jc w:val="left"/>
            </w:pPr>
            <w:r>
              <w:rPr>
                <w:bCs/>
                <w:b/>
                <w:color w:val="B08625"/>
                <w:sz w:val="22"/>
                <w:caps/>
                <w:spacing w:val="18"/>
              </w:rPr>
              <w:t xml:space="preserve">List of Tables</w:t>
            </w:r>
          </w:p>
        </w:tc>
        <w:tc>
          <w:tcPr/>
          <w:p>
            <w:pPr>
              <w:pStyle w:val="Compact"/>
              <w:jc w:val="right"/>
            </w:pPr>
            <w:r>
              <w:rPr>
                <w:bCs/>
                <w:b/>
                <w:color w:val="B08625"/>
                <w:sz w:val="22"/>
                <w:caps/>
                <w:spacing w:val="18"/>
              </w:rPr>
              <w:t xml:space="preserve">23</w:t>
            </w:r>
          </w:p>
        </w:tc>
      </w:tr>
      <w:tr>
        <w:trPr>
          <w:cantSplit/>
        </w:trPr>
        <w:tc>
          <w:tcPr/>
          <w:p>
            <w:pPr>
              <w:pStyle w:val="Compact"/>
              <w:jc w:val="left"/>
            </w:pPr>
            <w:r>
              <w:rPr>
                <w:bCs/>
                <w:b/>
                <w:color w:val="B08625"/>
                <w:sz w:val="22"/>
                <w:caps/>
                <w:spacing w:val="18"/>
              </w:rPr>
              <w:t xml:space="preserve">List of Abbreviations</w:t>
            </w:r>
          </w:p>
        </w:tc>
        <w:tc>
          <w:tcPr/>
          <w:p>
            <w:pPr>
              <w:pStyle w:val="Compact"/>
              <w:jc w:val="right"/>
            </w:pPr>
            <w:r>
              <w:rPr>
                <w:bCs/>
                <w:b/>
                <w:color w:val="B08625"/>
                <w:sz w:val="22"/>
                <w:caps/>
                <w:spacing w:val="18"/>
              </w:rPr>
              <w:t xml:space="preserve">27</w:t>
            </w:r>
          </w:p>
        </w:tc>
      </w:tr>
      <w:tr>
        <w:trPr>
          <w:cantSplit/>
        </w:trPr>
        <w:tc>
          <w:tcPr/>
          <w:p>
            <w:pPr>
              <w:pStyle w:val="Compact"/>
              <w:jc w:val="left"/>
            </w:pPr>
            <w:r>
              <w:rPr>
                <w:bCs/>
                <w:b/>
                <w:color w:val="B08625"/>
                <w:sz w:val="22"/>
                <w:caps/>
                <w:spacing w:val="18"/>
              </w:rPr>
              <w:t xml:space="preserve">Glossary</w:t>
            </w:r>
          </w:p>
        </w:tc>
        <w:tc>
          <w:tcPr/>
          <w:p>
            <w:pPr>
              <w:pStyle w:val="Compact"/>
              <w:jc w:val="right"/>
            </w:pPr>
            <w:r>
              <w:rPr>
                <w:bCs/>
                <w:b/>
                <w:color w:val="B08625"/>
                <w:sz w:val="22"/>
                <w:caps/>
                <w:spacing w:val="18"/>
              </w:rPr>
              <w:t xml:space="preserve">31</w:t>
            </w:r>
          </w:p>
        </w:tc>
      </w:tr>
      <w:tr>
        <w:trPr>
          <w:cantSplit/>
        </w:trPr>
        <w:tc>
          <w:tcPr/>
          <w:p>
            <w:pPr>
              <w:pStyle w:val="Compact"/>
              <w:jc w:val="left"/>
            </w:pPr>
            <w:r>
              <w:rPr>
                <w:bCs/>
                <w:b/>
                <w:color w:val="B08625"/>
                <w:sz w:val="22"/>
                <w:caps/>
                <w:spacing w:val="18"/>
              </w:rPr>
              <w:t xml:space="preserve">Part I — Governance &amp; Institutional Foundations</w:t>
            </w:r>
          </w:p>
        </w:tc>
        <w:tc>
          <w:tcPr/>
          <w:p>
            <w:pPr>
              <w:pStyle w:val="Compact"/>
              <w:jc w:val="right"/>
            </w:pPr>
            <w:r>
              <w:rPr>
                <w:bCs/>
                <w:b/>
                <w:color w:val="B08625"/>
                <w:sz w:val="22"/>
                <w:caps/>
                <w:spacing w:val="18"/>
              </w:rPr>
              <w:t xml:space="preserve">36</w:t>
            </w:r>
          </w:p>
        </w:tc>
      </w:tr>
      <w:tr>
        <w:trPr>
          <w:cantSplit/>
        </w:trPr>
        <w:tc>
          <w:tcPr/>
          <w:p>
            <w:pPr>
              <w:pStyle w:val="Compact"/>
              <w:jc w:val="left"/>
            </w:pPr>
            <w:r>
              <w:t xml:space="preserve">    Section 1: Institutional Vision 2028–2050</w:t>
            </w:r>
          </w:p>
        </w:tc>
        <w:tc>
          <w:tcPr/>
          <w:p>
            <w:pPr>
              <w:pStyle w:val="Compact"/>
              <w:jc w:val="right"/>
            </w:pPr>
            <w:r>
              <w:t xml:space="preserve">37</w:t>
            </w:r>
          </w:p>
        </w:tc>
      </w:tr>
      <w:tr>
        <w:trPr>
          <w:cantSplit/>
        </w:trPr>
        <w:tc>
          <w:tcPr/>
          <w:p>
            <w:pPr>
              <w:pStyle w:val="Compact"/>
              <w:jc w:val="left"/>
            </w:pPr>
            <w:r>
              <w:t xml:space="preserve">    Section 2: Mission, Values, and Identity</w:t>
            </w:r>
          </w:p>
        </w:tc>
        <w:tc>
          <w:tcPr/>
          <w:p>
            <w:pPr>
              <w:pStyle w:val="Compact"/>
              <w:jc w:val="right"/>
            </w:pPr>
            <w:r>
              <w:t xml:space="preserve">41</w:t>
            </w:r>
          </w:p>
        </w:tc>
      </w:tr>
      <w:tr>
        <w:trPr>
          <w:cantSplit/>
        </w:trPr>
        <w:tc>
          <w:tcPr/>
          <w:p>
            <w:pPr>
              <w:pStyle w:val="Compact"/>
              <w:jc w:val="left"/>
            </w:pPr>
            <w:r>
              <w:t xml:space="preserve">    Section 3: Governance Framework</w:t>
            </w:r>
          </w:p>
        </w:tc>
        <w:tc>
          <w:tcPr/>
          <w:p>
            <w:pPr>
              <w:pStyle w:val="Compact"/>
              <w:jc w:val="right"/>
            </w:pPr>
            <w:r>
              <w:t xml:space="preserve">44</w:t>
            </w:r>
          </w:p>
        </w:tc>
      </w:tr>
      <w:tr>
        <w:trPr>
          <w:cantSplit/>
        </w:trPr>
        <w:tc>
          <w:tcPr/>
          <w:p>
            <w:pPr>
              <w:pStyle w:val="Compact"/>
              <w:jc w:val="left"/>
            </w:pPr>
            <w:r>
              <w:t xml:space="preserve">    Section 4: Senate Structure</w:t>
            </w:r>
          </w:p>
        </w:tc>
        <w:tc>
          <w:tcPr/>
          <w:p>
            <w:pPr>
              <w:pStyle w:val="Compact"/>
              <w:jc w:val="right"/>
            </w:pPr>
            <w:r>
              <w:t xml:space="preserve">47</w:t>
            </w:r>
          </w:p>
        </w:tc>
      </w:tr>
      <w:tr>
        <w:trPr>
          <w:cantSplit/>
        </w:trPr>
        <w:tc>
          <w:tcPr/>
          <w:p>
            <w:pPr>
              <w:pStyle w:val="Compact"/>
              <w:jc w:val="left"/>
            </w:pPr>
            <w:r>
              <w:t xml:space="preserve">    Section 5: Board Structure</w:t>
            </w:r>
          </w:p>
        </w:tc>
        <w:tc>
          <w:tcPr/>
          <w:p>
            <w:pPr>
              <w:pStyle w:val="Compact"/>
              <w:jc w:val="right"/>
            </w:pPr>
            <w:r>
              <w:t xml:space="preserve">51</w:t>
            </w:r>
          </w:p>
        </w:tc>
      </w:tr>
      <w:tr>
        <w:trPr>
          <w:cantSplit/>
        </w:trPr>
        <w:tc>
          <w:tcPr/>
          <w:p>
            <w:pPr>
              <w:pStyle w:val="Compact"/>
              <w:jc w:val="left"/>
            </w:pPr>
            <w:r>
              <w:rPr>
                <w:bCs/>
                <w:b/>
                <w:color w:val="B08625"/>
                <w:sz w:val="22"/>
                <w:caps/>
                <w:spacing w:val="18"/>
              </w:rPr>
              <w:t xml:space="preserve">Part II — Organizational &amp; Academic Structure</w:t>
            </w:r>
          </w:p>
        </w:tc>
        <w:tc>
          <w:tcPr/>
          <w:p>
            <w:pPr>
              <w:pStyle w:val="Compact"/>
              <w:jc w:val="right"/>
            </w:pPr>
            <w:r>
              <w:rPr>
                <w:bCs/>
                <w:b/>
                <w:color w:val="B08625"/>
                <w:sz w:val="22"/>
                <w:caps/>
                <w:spacing w:val="18"/>
              </w:rPr>
              <w:t xml:space="preserve">55</w:t>
            </w:r>
          </w:p>
        </w:tc>
      </w:tr>
      <w:tr>
        <w:trPr>
          <w:cantSplit/>
        </w:trPr>
        <w:tc>
          <w:tcPr/>
          <w:p>
            <w:pPr>
              <w:pStyle w:val="Compact"/>
              <w:jc w:val="left"/>
            </w:pPr>
            <w:r>
              <w:t xml:space="preserve">    Section 6: Organizational Chart</w:t>
            </w:r>
          </w:p>
        </w:tc>
        <w:tc>
          <w:tcPr/>
          <w:p>
            <w:pPr>
              <w:pStyle w:val="Compact"/>
              <w:jc w:val="right"/>
            </w:pPr>
            <w:r>
              <w:t xml:space="preserve">56</w:t>
            </w:r>
          </w:p>
        </w:tc>
      </w:tr>
      <w:tr>
        <w:trPr>
          <w:cantSplit/>
        </w:trPr>
        <w:tc>
          <w:tcPr/>
          <w:p>
            <w:pPr>
              <w:pStyle w:val="Compact"/>
              <w:jc w:val="left"/>
            </w:pPr>
            <w:r>
              <w:t xml:space="preserve">    Section 7: Academic Master Plan</w:t>
            </w:r>
          </w:p>
        </w:tc>
        <w:tc>
          <w:tcPr/>
          <w:p>
            <w:pPr>
              <w:pStyle w:val="Compact"/>
              <w:jc w:val="right"/>
            </w:pPr>
            <w:r>
              <w:t xml:space="preserve">60</w:t>
            </w:r>
          </w:p>
        </w:tc>
      </w:tr>
      <w:tr>
        <w:trPr>
          <w:cantSplit/>
        </w:trPr>
        <w:tc>
          <w:tcPr/>
          <w:p>
            <w:pPr>
              <w:pStyle w:val="Compact"/>
              <w:jc w:val="left"/>
            </w:pPr>
            <w:r>
              <w:t xml:space="preserve">    Section 8: College Structure</w:t>
            </w:r>
          </w:p>
        </w:tc>
        <w:tc>
          <w:tcPr/>
          <w:p>
            <w:pPr>
              <w:pStyle w:val="Compact"/>
              <w:jc w:val="right"/>
            </w:pPr>
            <w:r>
              <w:t xml:space="preserve">63</w:t>
            </w:r>
          </w:p>
        </w:tc>
      </w:tr>
      <w:tr>
        <w:trPr>
          <w:cantSplit/>
        </w:trPr>
        <w:tc>
          <w:tcPr/>
          <w:p>
            <w:pPr>
              <w:pStyle w:val="Compact"/>
              <w:jc w:val="left"/>
            </w:pPr>
            <w:r>
              <w:t xml:space="preserve">    Section 9: Faculty Structure</w:t>
            </w:r>
          </w:p>
        </w:tc>
        <w:tc>
          <w:tcPr/>
          <w:p>
            <w:pPr>
              <w:pStyle w:val="Compact"/>
              <w:jc w:val="right"/>
            </w:pPr>
            <w:r>
              <w:t xml:space="preserve">67</w:t>
            </w:r>
          </w:p>
        </w:tc>
      </w:tr>
      <w:tr>
        <w:trPr>
          <w:cantSplit/>
        </w:trPr>
        <w:tc>
          <w:tcPr/>
          <w:p>
            <w:pPr>
              <w:pStyle w:val="Compact"/>
              <w:jc w:val="left"/>
            </w:pPr>
            <w:r>
              <w:t xml:space="preserve">    Section 10: Department Structure</w:t>
            </w:r>
          </w:p>
        </w:tc>
        <w:tc>
          <w:tcPr/>
          <w:p>
            <w:pPr>
              <w:pStyle w:val="Compact"/>
              <w:jc w:val="right"/>
            </w:pPr>
            <w:r>
              <w:t xml:space="preserve">70</w:t>
            </w:r>
          </w:p>
        </w:tc>
      </w:tr>
      <w:tr>
        <w:trPr>
          <w:cantSplit/>
        </w:trPr>
        <w:tc>
          <w:tcPr/>
          <w:p>
            <w:pPr>
              <w:pStyle w:val="Compact"/>
              <w:jc w:val="left"/>
            </w:pPr>
            <w:r>
              <w:rPr>
                <w:bCs/>
                <w:b/>
                <w:color w:val="B08625"/>
                <w:sz w:val="22"/>
                <w:caps/>
                <w:spacing w:val="18"/>
              </w:rPr>
              <w:t xml:space="preserve">Part III — Curriculum &amp; Student Journey</w:t>
            </w:r>
          </w:p>
        </w:tc>
        <w:tc>
          <w:tcPr/>
          <w:p>
            <w:pPr>
              <w:pStyle w:val="Compact"/>
              <w:jc w:val="right"/>
            </w:pPr>
            <w:r>
              <w:rPr>
                <w:bCs/>
                <w:b/>
                <w:color w:val="B08625"/>
                <w:sz w:val="22"/>
                <w:caps/>
                <w:spacing w:val="18"/>
              </w:rPr>
              <w:t xml:space="preserve">73</w:t>
            </w:r>
          </w:p>
        </w:tc>
      </w:tr>
      <w:tr>
        <w:trPr>
          <w:cantSplit/>
        </w:trPr>
        <w:tc>
          <w:tcPr/>
          <w:p>
            <w:pPr>
              <w:pStyle w:val="Compact"/>
              <w:jc w:val="left"/>
            </w:pPr>
            <w:r>
              <w:t xml:space="preserve">    Section 11: Programme Portfolio</w:t>
            </w:r>
          </w:p>
        </w:tc>
        <w:tc>
          <w:tcPr/>
          <w:p>
            <w:pPr>
              <w:pStyle w:val="Compact"/>
              <w:jc w:val="right"/>
            </w:pPr>
            <w:r>
              <w:t xml:space="preserve">74</w:t>
            </w:r>
          </w:p>
        </w:tc>
      </w:tr>
      <w:tr>
        <w:trPr>
          <w:cantSplit/>
        </w:trPr>
        <w:tc>
          <w:tcPr/>
          <w:p>
            <w:pPr>
              <w:pStyle w:val="Compact"/>
              <w:jc w:val="left"/>
            </w:pPr>
            <w:r>
              <w:t xml:space="preserve">    Section 12: Curriculum Architecture</w:t>
            </w:r>
          </w:p>
        </w:tc>
        <w:tc>
          <w:tcPr/>
          <w:p>
            <w:pPr>
              <w:pStyle w:val="Compact"/>
              <w:jc w:val="right"/>
            </w:pPr>
            <w:r>
              <w:t xml:space="preserve">77</w:t>
            </w:r>
          </w:p>
        </w:tc>
      </w:tr>
      <w:tr>
        <w:trPr>
          <w:cantSplit/>
        </w:trPr>
        <w:tc>
          <w:tcPr/>
          <w:p>
            <w:pPr>
              <w:pStyle w:val="Compact"/>
              <w:jc w:val="left"/>
            </w:pPr>
            <w:r>
              <w:t xml:space="preserve">    Section 13: Student Journey Map</w:t>
            </w:r>
          </w:p>
        </w:tc>
        <w:tc>
          <w:tcPr/>
          <w:p>
            <w:pPr>
              <w:pStyle w:val="Compact"/>
              <w:jc w:val="right"/>
            </w:pPr>
            <w:r>
              <w:t xml:space="preserve">81</w:t>
            </w:r>
          </w:p>
        </w:tc>
      </w:tr>
      <w:tr>
        <w:trPr>
          <w:cantSplit/>
        </w:trPr>
        <w:tc>
          <w:tcPr/>
          <w:p>
            <w:pPr>
              <w:pStyle w:val="Compact"/>
              <w:jc w:val="left"/>
            </w:pPr>
            <w:r>
              <w:t xml:space="preserve">    Section 14: Admission Policies</w:t>
            </w:r>
          </w:p>
        </w:tc>
        <w:tc>
          <w:tcPr/>
          <w:p>
            <w:pPr>
              <w:pStyle w:val="Compact"/>
              <w:jc w:val="right"/>
            </w:pPr>
            <w:r>
              <w:t xml:space="preserve">85</w:t>
            </w:r>
          </w:p>
        </w:tc>
      </w:tr>
      <w:tr>
        <w:trPr>
          <w:cantSplit/>
        </w:trPr>
        <w:tc>
          <w:tcPr/>
          <w:p>
            <w:pPr>
              <w:pStyle w:val="Compact"/>
              <w:jc w:val="left"/>
            </w:pPr>
            <w:r>
              <w:t xml:space="preserve">    Section 15: Faculty Recruitment Strategy</w:t>
            </w:r>
          </w:p>
        </w:tc>
        <w:tc>
          <w:tcPr/>
          <w:p>
            <w:pPr>
              <w:pStyle w:val="Compact"/>
              <w:jc w:val="right"/>
            </w:pPr>
            <w:r>
              <w:t xml:space="preserve">88</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2"/>
                <w:caps/>
                <w:spacing w:val="18"/>
              </w:rPr>
              <w:t xml:space="preserve">93</w:t>
            </w:r>
          </w:p>
        </w:tc>
      </w:tr>
      <w:tr>
        <w:trPr>
          <w:cantSplit/>
        </w:trPr>
        <w:tc>
          <w:tcPr/>
          <w:p>
            <w:pPr>
              <w:pStyle w:val="Compact"/>
              <w:jc w:val="left"/>
            </w:pPr>
            <w:r>
              <w:t xml:space="preserve">    Section 16: Research Strategy</w:t>
            </w:r>
          </w:p>
        </w:tc>
        <w:tc>
          <w:tcPr/>
          <w:p>
            <w:pPr>
              <w:pStyle w:val="Compact"/>
              <w:jc w:val="right"/>
            </w:pPr>
            <w:r>
              <w:t xml:space="preserve">94</w:t>
            </w:r>
          </w:p>
        </w:tc>
      </w:tr>
      <w:tr>
        <w:trPr>
          <w:cantSplit/>
        </w:trPr>
        <w:tc>
          <w:tcPr/>
          <w:p>
            <w:pPr>
              <w:pStyle w:val="Compact"/>
              <w:jc w:val="left"/>
            </w:pPr>
            <w:r>
              <w:t xml:space="preserve">    Section 17: Publishing Strategy</w:t>
            </w:r>
          </w:p>
        </w:tc>
        <w:tc>
          <w:tcPr/>
          <w:p>
            <w:pPr>
              <w:pStyle w:val="Compact"/>
              <w:jc w:val="right"/>
            </w:pPr>
            <w:r>
              <w:t xml:space="preserve">97</w:t>
            </w:r>
          </w:p>
        </w:tc>
      </w:tr>
      <w:tr>
        <w:trPr>
          <w:cantSplit/>
        </w:trPr>
        <w:tc>
          <w:tcPr/>
          <w:p>
            <w:pPr>
              <w:pStyle w:val="Compact"/>
              <w:jc w:val="left"/>
            </w:pPr>
            <w:r>
              <w:t xml:space="preserve">    Section 18: Global Partnerships Strategy</w:t>
            </w:r>
          </w:p>
        </w:tc>
        <w:tc>
          <w:tcPr/>
          <w:p>
            <w:pPr>
              <w:pStyle w:val="Compact"/>
              <w:jc w:val="right"/>
            </w:pPr>
            <w:r>
              <w:t xml:space="preserve">100</w:t>
            </w:r>
          </w:p>
        </w:tc>
      </w:tr>
      <w:tr>
        <w:trPr>
          <w:cantSplit/>
        </w:trPr>
        <w:tc>
          <w:tcPr/>
          <w:p>
            <w:pPr>
              <w:pStyle w:val="Compact"/>
              <w:jc w:val="left"/>
            </w:pPr>
            <w:r>
              <w:t xml:space="preserve">    Section 19: Accreditation Roadmap</w:t>
            </w:r>
          </w:p>
        </w:tc>
        <w:tc>
          <w:tcPr/>
          <w:p>
            <w:pPr>
              <w:pStyle w:val="Compact"/>
              <w:jc w:val="right"/>
            </w:pPr>
            <w:r>
              <w:t xml:space="preserve">103</w:t>
            </w:r>
          </w:p>
        </w:tc>
      </w:tr>
      <w:tr>
        <w:trPr>
          <w:cantSplit/>
        </w:trPr>
        <w:tc>
          <w:tcPr/>
          <w:p>
            <w:pPr>
              <w:pStyle w:val="Compact"/>
              <w:jc w:val="left"/>
            </w:pPr>
            <w:r>
              <w:t xml:space="preserve">    Section 20: ISO 21001 Roadmap</w:t>
            </w:r>
          </w:p>
        </w:tc>
        <w:tc>
          <w:tcPr/>
          <w:p>
            <w:pPr>
              <w:pStyle w:val="Compact"/>
              <w:jc w:val="right"/>
            </w:pPr>
            <w:r>
              <w:t xml:space="preserve">106</w:t>
            </w:r>
          </w:p>
        </w:tc>
      </w:tr>
      <w:tr>
        <w:trPr>
          <w:cantSplit/>
        </w:trPr>
        <w:tc>
          <w:tcPr/>
          <w:p>
            <w:pPr>
              <w:pStyle w:val="Compact"/>
              <w:jc w:val="left"/>
            </w:pPr>
            <w:r>
              <w:rPr>
                <w:bCs/>
                <w:b/>
                <w:color w:val="B08625"/>
                <w:sz w:val="22"/>
                <w:caps/>
                <w:spacing w:val="18"/>
              </w:rPr>
              <w:t xml:space="preserve">Part V — Digital Infrastructure, AI &amp; Waqf Development</w:t>
            </w:r>
          </w:p>
        </w:tc>
        <w:tc>
          <w:tcPr/>
          <w:p>
            <w:pPr>
              <w:pStyle w:val="Compact"/>
              <w:jc w:val="right"/>
            </w:pPr>
            <w:r>
              <w:rPr>
                <w:bCs/>
                <w:b/>
                <w:color w:val="B08625"/>
                <w:sz w:val="22"/>
                <w:caps/>
                <w:spacing w:val="18"/>
              </w:rPr>
              <w:t xml:space="preserve">112</w:t>
            </w:r>
          </w:p>
        </w:tc>
      </w:tr>
      <w:tr>
        <w:trPr>
          <w:cantSplit/>
        </w:trPr>
        <w:tc>
          <w:tcPr/>
          <w:p>
            <w:pPr>
              <w:pStyle w:val="Compact"/>
              <w:jc w:val="left"/>
            </w:pPr>
            <w:r>
              <w:t xml:space="preserve">    Section 21: LMS Ecosystem</w:t>
            </w:r>
          </w:p>
        </w:tc>
        <w:tc>
          <w:tcPr/>
          <w:p>
            <w:pPr>
              <w:pStyle w:val="Compact"/>
              <w:jc w:val="right"/>
            </w:pPr>
            <w:r>
              <w:t xml:space="preserve">113</w:t>
            </w:r>
          </w:p>
        </w:tc>
      </w:tr>
      <w:tr>
        <w:trPr>
          <w:cantSplit/>
        </w:trPr>
        <w:tc>
          <w:tcPr/>
          <w:p>
            <w:pPr>
              <w:pStyle w:val="Compact"/>
              <w:jc w:val="left"/>
            </w:pPr>
            <w:r>
              <w:t xml:space="preserve">    Section 22: AI Strategy</w:t>
            </w:r>
          </w:p>
        </w:tc>
        <w:tc>
          <w:tcPr/>
          <w:p>
            <w:pPr>
              <w:pStyle w:val="Compact"/>
              <w:jc w:val="right"/>
            </w:pPr>
            <w:r>
              <w:t xml:space="preserve">116</w:t>
            </w:r>
          </w:p>
        </w:tc>
      </w:tr>
      <w:tr>
        <w:trPr>
          <w:cantSplit/>
        </w:trPr>
        <w:tc>
          <w:tcPr/>
          <w:p>
            <w:pPr>
              <w:pStyle w:val="Compact"/>
              <w:jc w:val="left"/>
            </w:pPr>
            <w:r>
              <w:t xml:space="preserve">    Section 23: Digital Transformation Strategy</w:t>
            </w:r>
          </w:p>
        </w:tc>
        <w:tc>
          <w:tcPr/>
          <w:p>
            <w:pPr>
              <w:pStyle w:val="Compact"/>
              <w:jc w:val="right"/>
            </w:pPr>
            <w:r>
              <w:t xml:space="preserve">119</w:t>
            </w:r>
          </w:p>
        </w:tc>
      </w:tr>
      <w:tr>
        <w:trPr>
          <w:cantSplit/>
        </w:trPr>
        <w:tc>
          <w:tcPr/>
          <w:p>
            <w:pPr>
              <w:pStyle w:val="Compact"/>
              <w:jc w:val="left"/>
            </w:pPr>
            <w:r>
              <w:t xml:space="preserve">    Section 24: Library Strategy</w:t>
            </w:r>
          </w:p>
        </w:tc>
        <w:tc>
          <w:tcPr/>
          <w:p>
            <w:pPr>
              <w:pStyle w:val="Compact"/>
              <w:jc w:val="right"/>
            </w:pPr>
            <w:r>
              <w:t xml:space="preserve">121</w:t>
            </w:r>
          </w:p>
        </w:tc>
      </w:tr>
      <w:tr>
        <w:trPr>
          <w:cantSplit/>
        </w:trPr>
        <w:tc>
          <w:tcPr/>
          <w:p>
            <w:pPr>
              <w:pStyle w:val="Compact"/>
              <w:jc w:val="left"/>
            </w:pPr>
            <w:r>
              <w:t xml:space="preserve">    Section 25: Waqf Development Strategy</w:t>
            </w:r>
          </w:p>
        </w:tc>
        <w:tc>
          <w:tcPr/>
          <w:p>
            <w:pPr>
              <w:pStyle w:val="Compact"/>
              <w:jc w:val="right"/>
            </w:pPr>
            <w:r>
              <w:t xml:space="preserve">125</w:t>
            </w:r>
          </w:p>
        </w:tc>
      </w:tr>
      <w:tr>
        <w:trPr>
          <w:cantSplit/>
        </w:trPr>
        <w:tc>
          <w:tcPr/>
          <w:p>
            <w:pPr>
              <w:pStyle w:val="Compact"/>
              <w:jc w:val="left"/>
            </w:pPr>
            <w:r>
              <w:rPr>
                <w:bCs/>
                <w:b/>
                <w:color w:val="B08625"/>
                <w:sz w:val="22"/>
                <w:caps/>
                <w:spacing w:val="18"/>
              </w:rPr>
              <w:t xml:space="preserve">Part VI — Financial Growth, Marketing &amp; Branding</w:t>
            </w:r>
          </w:p>
        </w:tc>
        <w:tc>
          <w:tcPr/>
          <w:p>
            <w:pPr>
              <w:pStyle w:val="Compact"/>
              <w:jc w:val="right"/>
            </w:pPr>
            <w:r>
              <w:rPr>
                <w:bCs/>
                <w:b/>
                <w:color w:val="B08625"/>
                <w:sz w:val="22"/>
                <w:caps/>
                <w:spacing w:val="18"/>
              </w:rPr>
              <w:t xml:space="preserve">131</w:t>
            </w:r>
          </w:p>
        </w:tc>
      </w:tr>
      <w:tr>
        <w:trPr>
          <w:cantSplit/>
        </w:trPr>
        <w:tc>
          <w:tcPr/>
          <w:p>
            <w:pPr>
              <w:pStyle w:val="Compact"/>
              <w:jc w:val="left"/>
            </w:pPr>
            <w:r>
              <w:t xml:space="preserve">    Section 26: Scholarship Strategy</w:t>
            </w:r>
          </w:p>
        </w:tc>
        <w:tc>
          <w:tcPr/>
          <w:p>
            <w:pPr>
              <w:pStyle w:val="Compact"/>
              <w:jc w:val="right"/>
            </w:pPr>
            <w:r>
              <w:t xml:space="preserve">132</w:t>
            </w:r>
          </w:p>
        </w:tc>
      </w:tr>
      <w:tr>
        <w:trPr>
          <w:cantSplit/>
        </w:trPr>
        <w:tc>
          <w:tcPr/>
          <w:p>
            <w:pPr>
              <w:pStyle w:val="Compact"/>
              <w:jc w:val="left"/>
            </w:pPr>
            <w:r>
              <w:t xml:space="preserve">    Section 27: Revenue Diversification Strategy</w:t>
            </w:r>
          </w:p>
        </w:tc>
        <w:tc>
          <w:tcPr/>
          <w:p>
            <w:pPr>
              <w:pStyle w:val="Compact"/>
              <w:jc w:val="right"/>
            </w:pPr>
            <w:r>
              <w:t xml:space="preserve">135</w:t>
            </w:r>
          </w:p>
        </w:tc>
      </w:tr>
      <w:tr>
        <w:trPr>
          <w:cantSplit/>
        </w:trPr>
        <w:tc>
          <w:tcPr/>
          <w:p>
            <w:pPr>
              <w:pStyle w:val="Compact"/>
              <w:jc w:val="left"/>
            </w:pPr>
            <w:r>
              <w:t xml:space="preserve">    Section 28: Marketing Strategy</w:t>
            </w:r>
          </w:p>
        </w:tc>
        <w:tc>
          <w:tcPr/>
          <w:p>
            <w:pPr>
              <w:pStyle w:val="Compact"/>
              <w:jc w:val="right"/>
            </w:pPr>
            <w:r>
              <w:t xml:space="preserve">138</w:t>
            </w:r>
          </w:p>
        </w:tc>
      </w:tr>
      <w:tr>
        <w:trPr>
          <w:cantSplit/>
        </w:trPr>
        <w:tc>
          <w:tcPr/>
          <w:p>
            <w:pPr>
              <w:pStyle w:val="Compact"/>
              <w:jc w:val="left"/>
            </w:pPr>
            <w:r>
              <w:t xml:space="preserve">    Section 29: Branding Strategy</w:t>
            </w:r>
          </w:p>
        </w:tc>
        <w:tc>
          <w:tcPr/>
          <w:p>
            <w:pPr>
              <w:pStyle w:val="Compact"/>
              <w:jc w:val="right"/>
            </w:pPr>
            <w:r>
              <w:t xml:space="preserve">140</w:t>
            </w:r>
          </w:p>
        </w:tc>
      </w:tr>
      <w:tr>
        <w:trPr>
          <w:cantSplit/>
        </w:trPr>
        <w:tc>
          <w:tcPr/>
          <w:p>
            <w:pPr>
              <w:pStyle w:val="Compact"/>
              <w:jc w:val="left"/>
            </w:pPr>
            <w:r>
              <w:t xml:space="preserve">    Section 30: International Expansion Strategy</w:t>
            </w:r>
          </w:p>
        </w:tc>
        <w:tc>
          <w:tcPr/>
          <w:p>
            <w:pPr>
              <w:pStyle w:val="Compact"/>
              <w:jc w:val="right"/>
            </w:pPr>
            <w:r>
              <w:t xml:space="preserve">143</w:t>
            </w:r>
          </w:p>
        </w:tc>
      </w:tr>
      <w:tr>
        <w:trPr>
          <w:cantSplit/>
        </w:trPr>
        <w:tc>
          <w:tcPr/>
          <w:p>
            <w:pPr>
              <w:pStyle w:val="Compact"/>
              <w:jc w:val="left"/>
            </w:pPr>
            <w:r>
              <w:rPr>
                <w:bCs/>
                <w:b/>
                <w:color w:val="B08625"/>
                <w:sz w:val="22"/>
                <w:caps/>
                <w:spacing w:val="18"/>
              </w:rPr>
              <w:t xml:space="preserve">Part VII — Regional Campuses &amp; Student Lifecycle</w:t>
            </w:r>
          </w:p>
        </w:tc>
        <w:tc>
          <w:tcPr/>
          <w:p>
            <w:pPr>
              <w:pStyle w:val="Compact"/>
              <w:jc w:val="right"/>
            </w:pPr>
            <w:r>
              <w:rPr>
                <w:bCs/>
                <w:b/>
                <w:color w:val="B08625"/>
                <w:sz w:val="22"/>
                <w:caps/>
                <w:spacing w:val="18"/>
              </w:rPr>
              <w:t xml:space="preserve">147</w:t>
            </w:r>
          </w:p>
        </w:tc>
      </w:tr>
      <w:tr>
        <w:trPr>
          <w:cantSplit/>
        </w:trPr>
        <w:tc>
          <w:tcPr/>
          <w:p>
            <w:pPr>
              <w:pStyle w:val="Compact"/>
              <w:jc w:val="left"/>
            </w:pPr>
            <w:r>
              <w:t xml:space="preserve">    Section 31: Nigeria Campus Strategy</w:t>
            </w:r>
          </w:p>
        </w:tc>
        <w:tc>
          <w:tcPr/>
          <w:p>
            <w:pPr>
              <w:pStyle w:val="Compact"/>
              <w:jc w:val="right"/>
            </w:pPr>
            <w:r>
              <w:t xml:space="preserve">148</w:t>
            </w:r>
          </w:p>
        </w:tc>
      </w:tr>
      <w:tr>
        <w:trPr>
          <w:cantSplit/>
        </w:trPr>
        <w:tc>
          <w:tcPr/>
          <w:p>
            <w:pPr>
              <w:pStyle w:val="Compact"/>
              <w:jc w:val="left"/>
            </w:pPr>
            <w:r>
              <w:t xml:space="preserve">    Section 32: Gulf Cooperation Strategy</w:t>
            </w:r>
          </w:p>
        </w:tc>
        <w:tc>
          <w:tcPr/>
          <w:p>
            <w:pPr>
              <w:pStyle w:val="Compact"/>
              <w:jc w:val="right"/>
            </w:pPr>
            <w:r>
              <w:t xml:space="preserve">151</w:t>
            </w:r>
          </w:p>
        </w:tc>
      </w:tr>
      <w:tr>
        <w:trPr>
          <w:cantSplit/>
        </w:trPr>
        <w:tc>
          <w:tcPr/>
          <w:p>
            <w:pPr>
              <w:pStyle w:val="Compact"/>
              <w:jc w:val="left"/>
            </w:pPr>
            <w:r>
              <w:t xml:space="preserve">    Section 33: Student Support Framework</w:t>
            </w:r>
          </w:p>
        </w:tc>
        <w:tc>
          <w:tcPr/>
          <w:p>
            <w:pPr>
              <w:pStyle w:val="Compact"/>
              <w:jc w:val="right"/>
            </w:pPr>
            <w:r>
              <w:t xml:space="preserve">154</w:t>
            </w:r>
          </w:p>
        </w:tc>
      </w:tr>
      <w:tr>
        <w:trPr>
          <w:cantSplit/>
        </w:trPr>
        <w:tc>
          <w:tcPr/>
          <w:p>
            <w:pPr>
              <w:pStyle w:val="Compact"/>
              <w:jc w:val="left"/>
            </w:pPr>
            <w:r>
              <w:t xml:space="preserve">    Section 34: Alumni Framework</w:t>
            </w:r>
          </w:p>
        </w:tc>
        <w:tc>
          <w:tcPr/>
          <w:p>
            <w:pPr>
              <w:pStyle w:val="Compact"/>
              <w:jc w:val="right"/>
            </w:pPr>
            <w:r>
              <w:t xml:space="preserve">157</w:t>
            </w:r>
          </w:p>
        </w:tc>
      </w:tr>
      <w:tr>
        <w:trPr>
          <w:cantSplit/>
        </w:trPr>
        <w:tc>
          <w:tcPr/>
          <w:p>
            <w:pPr>
              <w:pStyle w:val="Compact"/>
              <w:jc w:val="left"/>
            </w:pPr>
            <w:r>
              <w:t xml:space="preserve">    Section 35: Career Development Framework</w:t>
            </w:r>
          </w:p>
        </w:tc>
        <w:tc>
          <w:tcPr/>
          <w:p>
            <w:pPr>
              <w:pStyle w:val="Compact"/>
              <w:jc w:val="right"/>
            </w:pPr>
            <w:r>
              <w:t xml:space="preserve">159</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2"/>
                <w:caps/>
                <w:spacing w:val="18"/>
              </w:rPr>
              <w:t xml:space="preserve">163</w:t>
            </w:r>
          </w:p>
        </w:tc>
      </w:tr>
      <w:tr>
        <w:trPr>
          <w:cantSplit/>
        </w:trPr>
        <w:tc>
          <w:tcPr/>
          <w:p>
            <w:pPr>
              <w:pStyle w:val="Compact"/>
              <w:jc w:val="left"/>
            </w:pPr>
            <w:r>
              <w:t xml:space="preserve">    Section 36: Risk Management Framework</w:t>
            </w:r>
          </w:p>
        </w:tc>
        <w:tc>
          <w:tcPr/>
          <w:p>
            <w:pPr>
              <w:pStyle w:val="Compact"/>
              <w:jc w:val="right"/>
            </w:pPr>
            <w:r>
              <w:t xml:space="preserve">164</w:t>
            </w:r>
          </w:p>
        </w:tc>
      </w:tr>
      <w:tr>
        <w:trPr>
          <w:cantSplit/>
        </w:trPr>
        <w:tc>
          <w:tcPr/>
          <w:p>
            <w:pPr>
              <w:pStyle w:val="Compact"/>
              <w:jc w:val="left"/>
            </w:pPr>
            <w:r>
              <w:t xml:space="preserve">    Section 37: Compliance Framework</w:t>
            </w:r>
          </w:p>
        </w:tc>
        <w:tc>
          <w:tcPr/>
          <w:p>
            <w:pPr>
              <w:pStyle w:val="Compact"/>
              <w:jc w:val="right"/>
            </w:pPr>
            <w:r>
              <w:t xml:space="preserve">169</w:t>
            </w:r>
          </w:p>
        </w:tc>
      </w:tr>
      <w:tr>
        <w:trPr>
          <w:cantSplit/>
        </w:trPr>
        <w:tc>
          <w:tcPr/>
          <w:p>
            <w:pPr>
              <w:pStyle w:val="Compact"/>
              <w:jc w:val="left"/>
            </w:pPr>
            <w:r>
              <w:t xml:space="preserve">    Section 38: Financial Sustainability Framework</w:t>
            </w:r>
          </w:p>
        </w:tc>
        <w:tc>
          <w:tcPr/>
          <w:p>
            <w:pPr>
              <w:pStyle w:val="Compact"/>
              <w:jc w:val="right"/>
            </w:pPr>
            <w:r>
              <w:t xml:space="preserve">175</w:t>
            </w:r>
          </w:p>
        </w:tc>
      </w:tr>
      <w:tr>
        <w:trPr>
          <w:cantSplit/>
        </w:trPr>
        <w:tc>
          <w:tcPr/>
          <w:p>
            <w:pPr>
              <w:pStyle w:val="Compact"/>
              <w:jc w:val="left"/>
            </w:pPr>
            <w:r>
              <w:t xml:space="preserve">    Section 39: Capital Development Framework</w:t>
            </w:r>
          </w:p>
        </w:tc>
        <w:tc>
          <w:tcPr/>
          <w:p>
            <w:pPr>
              <w:pStyle w:val="Compact"/>
              <w:jc w:val="right"/>
            </w:pPr>
            <w:r>
              <w:t xml:space="preserve">180</w:t>
            </w:r>
          </w:p>
        </w:tc>
      </w:tr>
      <w:tr>
        <w:trPr>
          <w:cantSplit/>
        </w:trPr>
        <w:tc>
          <w:tcPr/>
          <w:p>
            <w:pPr>
              <w:pStyle w:val="Compact"/>
              <w:jc w:val="left"/>
            </w:pPr>
            <w:r>
              <w:t xml:space="preserve">    Section 40: Twenty-Year Strategic Roadmap</w:t>
            </w:r>
          </w:p>
        </w:tc>
        <w:tc>
          <w:tcPr/>
          <w:p>
            <w:pPr>
              <w:pStyle w:val="Compact"/>
              <w:jc w:val="right"/>
            </w:pPr>
            <w:r>
              <w:t xml:space="preserve">185</w:t>
            </w:r>
          </w:p>
        </w:tc>
      </w:tr>
      <w:tr>
        <w:trPr>
          <w:cantSplit/>
        </w:trPr>
        <w:tc>
          <w:tcPr/>
          <w:p>
            <w:pPr>
              <w:pStyle w:val="Compact"/>
              <w:jc w:val="left"/>
            </w:pPr>
            <w:r>
              <w:t xml:space="preserve">    Section 41: Founding Access &amp; Waqf-First Strategy</w:t>
            </w:r>
          </w:p>
        </w:tc>
        <w:tc>
          <w:tcPr/>
          <w:p>
            <w:pPr>
              <w:pStyle w:val="Compact"/>
              <w:jc w:val="right"/>
            </w:pPr>
            <w:r>
              <w:t xml:space="preserve">192</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2"/>
                <w:caps/>
                <w:spacing w:val="18"/>
              </w:rPr>
              <w:t xml:space="preserve">203</w:t>
            </w:r>
          </w:p>
        </w:tc>
      </w:tr>
      <w:tr>
        <w:trPr>
          <w:cantSplit/>
        </w:trPr>
        <w:tc>
          <w:tcPr/>
          <w:p>
            <w:pPr>
              <w:pStyle w:val="Compact"/>
              <w:jc w:val="left"/>
            </w:pPr>
            <w:r>
              <w:rPr>
                <w:bCs/>
                <w:b/>
                <w:color w:val="B08625"/>
                <w:sz w:val="22"/>
                <w:caps/>
                <w:spacing w:val="18"/>
              </w:rPr>
              <w:t xml:space="preserve">Appendix B — Master Plan Exhibit Checklist</w:t>
            </w:r>
          </w:p>
        </w:tc>
        <w:tc>
          <w:tcPr/>
          <w:p>
            <w:pPr>
              <w:pStyle w:val="Compact"/>
              <w:jc w:val="right"/>
            </w:pPr>
            <w:r>
              <w:rPr>
                <w:bCs/>
                <w:b/>
                <w:color w:val="B08625"/>
                <w:sz w:val="22"/>
                <w:caps/>
                <w:spacing w:val="18"/>
              </w:rPr>
              <w:t xml:space="preserve">204</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2"/>
                <w:caps/>
                <w:spacing w:val="18"/>
              </w:rPr>
              <w:t xml:space="preserve">206</w:t>
            </w:r>
          </w:p>
        </w:tc>
      </w:tr>
      <w:tr>
        <w:trPr>
          <w:cantSplit/>
        </w:trPr>
        <w:tc>
          <w:tcPr/>
          <w:p>
            <w:pPr>
              <w:pStyle w:val="Compact"/>
              <w:jc w:val="left"/>
            </w:pPr>
            <w:r>
              <w:rPr>
                <w:bCs/>
                <w:b/>
                <w:color w:val="B08625"/>
                <w:sz w:val="22"/>
                <w:caps/>
                <w:spacing w:val="18"/>
              </w:rPr>
              <w:t xml:space="preserve">Appendix D — Programme Catalog Reference</w:t>
            </w:r>
          </w:p>
        </w:tc>
        <w:tc>
          <w:tcPr/>
          <w:p>
            <w:pPr>
              <w:pStyle w:val="Compact"/>
              <w:jc w:val="right"/>
            </w:pPr>
            <w:r>
              <w:rPr>
                <w:bCs/>
                <w:b/>
                <w:color w:val="B08625"/>
                <w:sz w:val="22"/>
                <w:caps/>
                <w:spacing w:val="18"/>
              </w:rPr>
              <w:t xml:space="preserve">207</w:t>
            </w:r>
          </w:p>
        </w:tc>
      </w:tr>
      <w:tr>
        <w:trPr>
          <w:cantSplit/>
        </w:trPr>
        <w:tc>
          <w:tcPr/>
          <w:p>
            <w:pPr>
              <w:pStyle w:val="Compact"/>
              <w:jc w:val="left"/>
            </w:pPr>
            <w:r>
              <w:rPr>
                <w:bCs/>
                <w:b/>
                <w:color w:val="B08625"/>
                <w:sz w:val="22"/>
                <w:caps/>
                <w:spacing w:val="18"/>
              </w:rPr>
              <w:t xml:space="preserve">References</w:t>
            </w:r>
          </w:p>
        </w:tc>
        <w:tc>
          <w:tcPr/>
          <w:p>
            <w:pPr>
              <w:pStyle w:val="Compact"/>
              <w:jc w:val="right"/>
            </w:pPr>
            <w:r>
              <w:rPr>
                <w:bCs/>
                <w:b/>
                <w:color w:val="B08625"/>
                <w:sz w:val="22"/>
                <w:caps/>
                <w:spacing w:val="18"/>
              </w:rPr>
              <w:t xml:space="preserve">208</w:t>
            </w:r>
          </w:p>
        </w:tc>
      </w:tr>
      <w:tr>
        <w:trPr>
          <w:cantSplit/>
        </w:trPr>
        <w:tc>
          <w:tcPr/>
          <w:p>
            <w:pPr>
              <w:pStyle w:val="Compact"/>
              <w:jc w:val="left"/>
            </w:pPr>
            <w:r>
              <w:rPr>
                <w:bCs/>
                <w:b/>
                <w:color w:val="B08625"/>
                <w:sz w:val="22"/>
                <w:caps/>
                <w:spacing w:val="18"/>
              </w:rPr>
              <w:t xml:space="preserve">Index</w:t>
            </w:r>
          </w:p>
        </w:tc>
        <w:tc>
          <w:tcPr/>
          <w:p>
            <w:pPr>
              <w:pStyle w:val="Compact"/>
              <w:jc w:val="right"/>
            </w:pPr>
            <w:r>
              <w:rPr>
                <w:bCs/>
                <w:b/>
                <w:color w:val="B08625"/>
                <w:sz w:val="22"/>
                <w:caps/>
                <w:spacing w:val="18"/>
              </w:rPr>
              <w:t xml:space="preserve">210</w:t>
            </w:r>
          </w:p>
        </w:tc>
      </w:tr>
    </w:tbl>
    <w:p>
      <w:pPr>
        <w:jc w:val="both"/>
      </w:pPr>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jc w:val="bot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jc w:val="both"/>
      </w:pPr>
      <w:r>
        <w:t xml:space="preserve">This Blueprint contains 89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pPr>
        <w:jc w:val="both"/>
      </w:pPr>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pPr>
        <w:jc w:val="both"/>
      </w:pPr>
      <w:r>
        <w:br w:type="page"/>
      </w:r>
    </w:p>
    <w:bookmarkEnd w:id="39"/>
    <w:bookmarkEnd w:id="40"/>
    <w:bookmarkStart w:id="11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Cinzel" w:hAnsi="Cinzel"/>
                <w:color w:val="B08625"/>
                <w:b/>
                <w:sz w:val="108"/>
              </w:rPr>
              <w:t>I</w:t>
            </w:r>
          </w:p>
          <w:p>
            <w:pPr>
              <w:spacing w:before="120" w:after="80"/>
            </w:pPr>
            <w:r>
              <w:rPr>
                <w:rFonts w:ascii="Cormorant Garamond" w:hAnsi="Cormorant Garamond"/>
                <w:b/>
                <w:color w:val="B08625"/>
                <w:sz w:val="22"/>
                <w:caps/>
                <w:spacing w:val="18"/>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01 </w:t>
            </w:r>
            <w:r>
              <w:rPr>
                <w:rFonts w:ascii="Liberation Sans" w:hAnsi="Liberation Sans"/>
                <w:color w:val="FFFFFF"/>
                <w:sz w:val="20"/>
              </w:rPr>
              <w:t>Institutional Vision 2028–2050</w:t>
            </w:r>
          </w:p>
          <w:p>
            <w:pPr>
              <w:spacing w:before="0" w:after="130"/>
            </w:pPr>
            <w:r>
              <w:rPr>
                <w:rFonts w:ascii="Cinzel" w:hAnsi="Cinzel"/>
                <w:b/>
                <w:color w:val="B08625"/>
                <w:sz w:val="22"/>
                <w:caps/>
                <w:spacing w:val="18"/>
              </w:rPr>
              <w:t>02 </w:t>
            </w:r>
            <w:r>
              <w:rPr>
                <w:rFonts w:ascii="Liberation Sans" w:hAnsi="Liberation Sans"/>
                <w:color w:val="FFFFFF"/>
                <w:sz w:val="20"/>
              </w:rPr>
              <w:t>Mission, Values, and Identity</w:t>
            </w:r>
          </w:p>
          <w:p>
            <w:pPr>
              <w:spacing w:before="0" w:after="130"/>
            </w:pPr>
            <w:r>
              <w:rPr>
                <w:rFonts w:ascii="Cinzel" w:hAnsi="Cinzel"/>
                <w:b/>
                <w:color w:val="B08625"/>
                <w:sz w:val="22"/>
                <w:caps/>
                <w:spacing w:val="18"/>
              </w:rPr>
              <w:t>03 </w:t>
            </w:r>
            <w:r>
              <w:rPr>
                <w:rFonts w:ascii="Liberation Sans" w:hAnsi="Liberation Sans"/>
                <w:color w:val="FFFFFF"/>
                <w:sz w:val="20"/>
              </w:rPr>
              <w:t>Governance Framework</w:t>
            </w:r>
          </w:p>
          <w:p>
            <w:pPr>
              <w:spacing w:before="0" w:after="130"/>
            </w:pPr>
            <w:r>
              <w:rPr>
                <w:rFonts w:ascii="Cinzel" w:hAnsi="Cinzel"/>
                <w:b/>
                <w:color w:val="B08625"/>
                <w:sz w:val="22"/>
                <w:caps/>
                <w:spacing w:val="18"/>
              </w:rPr>
              <w:t>04 </w:t>
            </w:r>
            <w:r>
              <w:rPr>
                <w:rFonts w:ascii="Liberation Sans" w:hAnsi="Liberation Sans"/>
                <w:color w:val="FFFFFF"/>
                <w:sz w:val="20"/>
              </w:rPr>
              <w:t>Senate Structure</w:t>
            </w:r>
          </w:p>
          <w:p>
            <w:pPr>
              <w:spacing w:before="0" w:after="130"/>
            </w:pPr>
            <w:r>
              <w:rPr>
                <w:rFonts w:ascii="Cinzel" w:hAnsi="Cinzel"/>
                <w:b/>
                <w:color w:val="B08625"/>
                <w:sz w:val="22"/>
                <w:caps/>
                <w:spacing w:val="18"/>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Cinzel" w:hAnsi="Cinzel"/>
                <w:b/>
                <w:color w:val="B08625"/>
                <w:sz w:val="22"/>
                <w:caps/>
                <w:spacing w:val="18"/>
              </w:rPr>
              <w:t>II</w:t>
            </w:r>
          </w:p>
          <w:p>
            <w:pPr>
              <w:spacing w:before="120" w:after="80"/>
            </w:pPr>
            <w:r>
              <w:rPr>
                <w:rFonts w:ascii="Cormorant Garamond" w:hAnsi="Cormorant Garamond"/>
                <w:b/>
                <w:color w:val="B08625"/>
                <w:sz w:val="22"/>
                <w:caps/>
                <w:spacing w:val="18"/>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06 </w:t>
            </w:r>
            <w:r>
              <w:rPr>
                <w:rFonts w:ascii="Liberation Sans" w:hAnsi="Liberation Sans"/>
                <w:color w:val="FFFFFF"/>
                <w:sz w:val="20"/>
              </w:rPr>
              <w:t>Organizational Chart</w:t>
            </w:r>
          </w:p>
          <w:p>
            <w:pPr>
              <w:spacing w:before="0" w:after="130"/>
            </w:pPr>
            <w:r>
              <w:rPr>
                <w:rFonts w:ascii="Cinzel" w:hAnsi="Cinzel"/>
                <w:b/>
                <w:color w:val="B08625"/>
                <w:sz w:val="22"/>
                <w:caps/>
                <w:spacing w:val="18"/>
              </w:rPr>
              <w:t>07 </w:t>
            </w:r>
            <w:r>
              <w:rPr>
                <w:rFonts w:ascii="Liberation Sans" w:hAnsi="Liberation Sans"/>
                <w:color w:val="FFFFFF"/>
                <w:sz w:val="20"/>
              </w:rPr>
              <w:t>Academic Master Plan</w:t>
            </w:r>
          </w:p>
          <w:p>
            <w:pPr>
              <w:spacing w:before="0" w:after="130"/>
            </w:pPr>
            <w:r>
              <w:rPr>
                <w:rFonts w:ascii="Cinzel" w:hAnsi="Cinzel"/>
                <w:b/>
                <w:color w:val="B08625"/>
                <w:sz w:val="22"/>
                <w:caps/>
                <w:spacing w:val="18"/>
              </w:rPr>
              <w:t>08 </w:t>
            </w:r>
            <w:r>
              <w:rPr>
                <w:rFonts w:ascii="Liberation Sans" w:hAnsi="Liberation Sans"/>
                <w:color w:val="FFFFFF"/>
                <w:sz w:val="20"/>
              </w:rPr>
              <w:t>College Structure</w:t>
            </w:r>
          </w:p>
          <w:p>
            <w:pPr>
              <w:spacing w:before="0" w:after="130"/>
            </w:pPr>
            <w:r>
              <w:rPr>
                <w:rFonts w:ascii="Cinzel" w:hAnsi="Cinzel"/>
                <w:b/>
                <w:color w:val="B08625"/>
                <w:sz w:val="22"/>
                <w:caps/>
                <w:spacing w:val="18"/>
              </w:rPr>
              <w:t>09 </w:t>
            </w:r>
            <w:r>
              <w:rPr>
                <w:rFonts w:ascii="Liberation Sans" w:hAnsi="Liberation Sans"/>
                <w:color w:val="FFFFFF"/>
                <w:sz w:val="20"/>
              </w:rPr>
              <w:t>Faculty Structure</w:t>
            </w:r>
          </w:p>
          <w:p>
            <w:pPr>
              <w:spacing w:before="0" w:after="130"/>
            </w:pPr>
            <w:r>
              <w:rPr>
                <w:rFonts w:ascii="Cinzel" w:hAnsi="Cinzel"/>
                <w:b/>
                <w:color w:val="B08625"/>
                <w:sz w:val="22"/>
                <w:caps/>
                <w:spacing w:val="18"/>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Cinzel" w:hAnsi="Cinzel"/>
                <w:b/>
                <w:color w:val="B08625"/>
                <w:sz w:val="22"/>
                <w:caps/>
                <w:spacing w:val="18"/>
              </w:rPr>
              <w:t>III</w:t>
            </w:r>
          </w:p>
          <w:p>
            <w:pPr>
              <w:spacing w:before="120" w:after="80"/>
            </w:pPr>
            <w:r>
              <w:rPr>
                <w:rFonts w:ascii="Cormorant Garamond" w:hAnsi="Cormorant Garamond"/>
                <w:b/>
                <w:color w:val="B08625"/>
                <w:sz w:val="22"/>
                <w:caps/>
                <w:spacing w:val="18"/>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11 </w:t>
            </w:r>
            <w:r>
              <w:rPr>
                <w:rFonts w:ascii="Liberation Sans" w:hAnsi="Liberation Sans"/>
                <w:color w:val="FFFFFF"/>
                <w:sz w:val="20"/>
              </w:rPr>
              <w:t>Programme Portfolio</w:t>
            </w:r>
          </w:p>
          <w:p>
            <w:pPr>
              <w:spacing w:before="0" w:after="130"/>
            </w:pPr>
            <w:r>
              <w:rPr>
                <w:rFonts w:ascii="Cinzel" w:hAnsi="Cinzel"/>
                <w:b/>
                <w:color w:val="B08625"/>
                <w:sz w:val="22"/>
                <w:caps/>
                <w:spacing w:val="18"/>
              </w:rPr>
              <w:t>12 </w:t>
            </w:r>
            <w:r>
              <w:rPr>
                <w:rFonts w:ascii="Liberation Sans" w:hAnsi="Liberation Sans"/>
                <w:color w:val="FFFFFF"/>
                <w:sz w:val="20"/>
              </w:rPr>
              <w:t>Curriculum Architecture</w:t>
            </w:r>
          </w:p>
          <w:p>
            <w:pPr>
              <w:spacing w:before="0" w:after="130"/>
            </w:pPr>
            <w:r>
              <w:rPr>
                <w:rFonts w:ascii="Cinzel" w:hAnsi="Cinzel"/>
                <w:b/>
                <w:color w:val="B08625"/>
                <w:sz w:val="22"/>
                <w:caps/>
                <w:spacing w:val="18"/>
              </w:rPr>
              <w:t>13 </w:t>
            </w:r>
            <w:r>
              <w:rPr>
                <w:rFonts w:ascii="Liberation Sans" w:hAnsi="Liberation Sans"/>
                <w:color w:val="FFFFFF"/>
                <w:sz w:val="20"/>
              </w:rPr>
              <w:t>Student Journey Map</w:t>
            </w:r>
          </w:p>
          <w:p>
            <w:pPr>
              <w:spacing w:before="0" w:after="130"/>
            </w:pPr>
            <w:r>
              <w:rPr>
                <w:rFonts w:ascii="Cinzel" w:hAnsi="Cinzel"/>
                <w:b/>
                <w:color w:val="B08625"/>
                <w:sz w:val="22"/>
                <w:caps/>
                <w:spacing w:val="18"/>
              </w:rPr>
              <w:t>14 </w:t>
            </w:r>
            <w:r>
              <w:rPr>
                <w:rFonts w:ascii="Liberation Sans" w:hAnsi="Liberation Sans"/>
                <w:color w:val="FFFFFF"/>
                <w:sz w:val="20"/>
              </w:rPr>
              <w:t>Admission Policies</w:t>
            </w:r>
          </w:p>
          <w:p>
            <w:pPr>
              <w:spacing w:before="0" w:after="130"/>
            </w:pPr>
            <w:r>
              <w:rPr>
                <w:rFonts w:ascii="Cinzel" w:hAnsi="Cinzel"/>
                <w:b/>
                <w:color w:val="B08625"/>
                <w:sz w:val="22"/>
                <w:caps/>
                <w:spacing w:val="18"/>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Cinzel" w:hAnsi="Cinzel"/>
                <w:b/>
                <w:color w:val="B08625"/>
                <w:sz w:val="22"/>
                <w:caps/>
                <w:spacing w:val="18"/>
              </w:rPr>
              <w:t>IV</w:t>
            </w:r>
          </w:p>
          <w:p>
            <w:pPr>
              <w:spacing w:before="120" w:after="80"/>
            </w:pPr>
            <w:r>
              <w:rPr>
                <w:rFonts w:ascii="Cormorant Garamond" w:hAnsi="Cormorant Garamond"/>
                <w:b/>
                <w:color w:val="B08625"/>
                <w:sz w:val="22"/>
                <w:caps/>
                <w:spacing w:val="18"/>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16 </w:t>
            </w:r>
            <w:r>
              <w:rPr>
                <w:rFonts w:ascii="Liberation Sans" w:hAnsi="Liberation Sans"/>
                <w:color w:val="FFFFFF"/>
                <w:sz w:val="20"/>
              </w:rPr>
              <w:t>Research Strategy</w:t>
            </w:r>
          </w:p>
          <w:p>
            <w:pPr>
              <w:spacing w:before="0" w:after="130"/>
            </w:pPr>
            <w:r>
              <w:rPr>
                <w:rFonts w:ascii="Cinzel" w:hAnsi="Cinzel"/>
                <w:b/>
                <w:color w:val="B08625"/>
                <w:sz w:val="22"/>
                <w:caps/>
                <w:spacing w:val="18"/>
              </w:rPr>
              <w:t>17 </w:t>
            </w:r>
            <w:r>
              <w:rPr>
                <w:rFonts w:ascii="Liberation Sans" w:hAnsi="Liberation Sans"/>
                <w:color w:val="FFFFFF"/>
                <w:sz w:val="20"/>
              </w:rPr>
              <w:t>Publishing Strategy</w:t>
            </w:r>
          </w:p>
          <w:p>
            <w:pPr>
              <w:spacing w:before="0" w:after="130"/>
            </w:pPr>
            <w:r>
              <w:rPr>
                <w:rFonts w:ascii="Cinzel" w:hAnsi="Cinzel"/>
                <w:b/>
                <w:color w:val="B08625"/>
                <w:sz w:val="22"/>
                <w:caps/>
                <w:spacing w:val="18"/>
              </w:rPr>
              <w:t>18 </w:t>
            </w:r>
            <w:r>
              <w:rPr>
                <w:rFonts w:ascii="Liberation Sans" w:hAnsi="Liberation Sans"/>
                <w:color w:val="FFFFFF"/>
                <w:sz w:val="20"/>
              </w:rPr>
              <w:t>Global Partnerships Strategy</w:t>
            </w:r>
          </w:p>
          <w:p>
            <w:pPr>
              <w:spacing w:before="0" w:after="130"/>
            </w:pPr>
            <w:r>
              <w:rPr>
                <w:rFonts w:ascii="Cinzel" w:hAnsi="Cinzel"/>
                <w:b/>
                <w:color w:val="B08625"/>
                <w:sz w:val="22"/>
                <w:caps/>
                <w:spacing w:val="18"/>
              </w:rPr>
              <w:t>19 </w:t>
            </w:r>
            <w:r>
              <w:rPr>
                <w:rFonts w:ascii="Liberation Sans" w:hAnsi="Liberation Sans"/>
                <w:color w:val="FFFFFF"/>
                <w:sz w:val="20"/>
              </w:rPr>
              <w:t>Accreditation Roadmap</w:t>
            </w:r>
          </w:p>
          <w:p>
            <w:pPr>
              <w:spacing w:before="0" w:after="130"/>
            </w:pPr>
            <w:r>
              <w:rPr>
                <w:rFonts w:ascii="Cinzel" w:hAnsi="Cinzel"/>
                <w:b/>
                <w:color w:val="B08625"/>
                <w:sz w:val="22"/>
                <w:caps/>
                <w:spacing w:val="18"/>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Cinzel" w:hAnsi="Cinzel"/>
                <w:color w:val="B08625"/>
                <w:b/>
                <w:sz w:val="108"/>
              </w:rPr>
              <w:t>V</w:t>
            </w:r>
          </w:p>
          <w:p>
            <w:pPr>
              <w:spacing w:before="120" w:after="80"/>
            </w:pPr>
            <w:r>
              <w:rPr>
                <w:rFonts w:ascii="Cormorant Garamond" w:hAnsi="Cormorant Garamond"/>
                <w:b/>
                <w:color w:val="B08625"/>
                <w:sz w:val="22"/>
                <w:caps/>
                <w:spacing w:val="18"/>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21 </w:t>
            </w:r>
            <w:r>
              <w:rPr>
                <w:rFonts w:ascii="Liberation Sans" w:hAnsi="Liberation Sans"/>
                <w:color w:val="FFFFFF"/>
                <w:sz w:val="20"/>
              </w:rPr>
              <w:t>LMS Ecosystem</w:t>
            </w:r>
          </w:p>
          <w:p>
            <w:pPr>
              <w:spacing w:before="0" w:after="130"/>
            </w:pPr>
            <w:r>
              <w:rPr>
                <w:rFonts w:ascii="Cinzel" w:hAnsi="Cinzel"/>
                <w:b/>
                <w:color w:val="B08625"/>
                <w:sz w:val="22"/>
                <w:caps/>
                <w:spacing w:val="18"/>
              </w:rPr>
              <w:t>22 </w:t>
            </w:r>
            <w:r>
              <w:rPr>
                <w:rFonts w:ascii="Liberation Sans" w:hAnsi="Liberation Sans"/>
                <w:color w:val="FFFFFF"/>
                <w:sz w:val="20"/>
              </w:rPr>
              <w:t>AI Strategy</w:t>
            </w:r>
          </w:p>
          <w:p>
            <w:pPr>
              <w:spacing w:before="0" w:after="130"/>
            </w:pPr>
            <w:r>
              <w:rPr>
                <w:rFonts w:ascii="Cinzel" w:hAnsi="Cinzel"/>
                <w:b/>
                <w:color w:val="B08625"/>
                <w:sz w:val="22"/>
                <w:caps/>
                <w:spacing w:val="18"/>
              </w:rPr>
              <w:t>23 </w:t>
            </w:r>
            <w:r>
              <w:rPr>
                <w:rFonts w:ascii="Liberation Sans" w:hAnsi="Liberation Sans"/>
                <w:color w:val="FFFFFF"/>
                <w:sz w:val="20"/>
              </w:rPr>
              <w:t>Digital Transformation Strategy</w:t>
            </w:r>
          </w:p>
          <w:p>
            <w:pPr>
              <w:spacing w:before="0" w:after="130"/>
            </w:pPr>
            <w:r>
              <w:rPr>
                <w:rFonts w:ascii="Cinzel" w:hAnsi="Cinzel"/>
                <w:b/>
                <w:color w:val="B08625"/>
                <w:sz w:val="22"/>
                <w:caps/>
                <w:spacing w:val="18"/>
              </w:rPr>
              <w:t>24 </w:t>
            </w:r>
            <w:r>
              <w:rPr>
                <w:rFonts w:ascii="Liberation Sans" w:hAnsi="Liberation Sans"/>
                <w:color w:val="FFFFFF"/>
                <w:sz w:val="20"/>
              </w:rPr>
              <w:t>Library Strategy</w:t>
            </w:r>
          </w:p>
          <w:p>
            <w:pPr>
              <w:spacing w:before="0" w:after="130"/>
            </w:pPr>
            <w:r>
              <w:rPr>
                <w:rFonts w:ascii="Cinzel" w:hAnsi="Cinzel"/>
                <w:b/>
                <w:color w:val="B08625"/>
                <w:sz w:val="22"/>
                <w:caps/>
                <w:spacing w:val="18"/>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Cinzel" w:hAnsi="Cinzel"/>
                <w:b/>
                <w:color w:val="B08625"/>
                <w:sz w:val="22"/>
                <w:caps/>
                <w:spacing w:val="18"/>
              </w:rPr>
              <w:t>VI</w:t>
            </w:r>
          </w:p>
          <w:p>
            <w:pPr>
              <w:spacing w:before="120" w:after="80"/>
            </w:pPr>
            <w:r>
              <w:rPr>
                <w:rFonts w:ascii="Cormorant Garamond" w:hAnsi="Cormorant Garamond"/>
                <w:b/>
                <w:color w:val="B08625"/>
                <w:sz w:val="22"/>
                <w:caps/>
                <w:spacing w:val="18"/>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26 </w:t>
            </w:r>
            <w:r>
              <w:rPr>
                <w:rFonts w:ascii="Liberation Sans" w:hAnsi="Liberation Sans"/>
                <w:color w:val="FFFFFF"/>
                <w:sz w:val="20"/>
              </w:rPr>
              <w:t>Scholarship Strategy</w:t>
            </w:r>
          </w:p>
          <w:p>
            <w:pPr>
              <w:spacing w:before="0" w:after="130"/>
            </w:pPr>
            <w:r>
              <w:rPr>
                <w:rFonts w:ascii="Cinzel" w:hAnsi="Cinzel"/>
                <w:b/>
                <w:color w:val="B08625"/>
                <w:sz w:val="22"/>
                <w:caps/>
                <w:spacing w:val="18"/>
              </w:rPr>
              <w:t>27 </w:t>
            </w:r>
            <w:r>
              <w:rPr>
                <w:rFonts w:ascii="Liberation Sans" w:hAnsi="Liberation Sans"/>
                <w:color w:val="FFFFFF"/>
                <w:sz w:val="20"/>
              </w:rPr>
              <w:t>Revenue Diversification Strategy</w:t>
            </w:r>
          </w:p>
          <w:p>
            <w:pPr>
              <w:spacing w:before="0" w:after="130"/>
            </w:pPr>
            <w:r>
              <w:rPr>
                <w:rFonts w:ascii="Cinzel" w:hAnsi="Cinzel"/>
                <w:b/>
                <w:color w:val="B08625"/>
                <w:sz w:val="22"/>
                <w:caps/>
                <w:spacing w:val="18"/>
              </w:rPr>
              <w:t>28 </w:t>
            </w:r>
            <w:r>
              <w:rPr>
                <w:rFonts w:ascii="Liberation Sans" w:hAnsi="Liberation Sans"/>
                <w:color w:val="FFFFFF"/>
                <w:sz w:val="20"/>
              </w:rPr>
              <w:t>Marketing Strategy</w:t>
            </w:r>
          </w:p>
          <w:p>
            <w:pPr>
              <w:spacing w:before="0" w:after="130"/>
            </w:pPr>
            <w:r>
              <w:rPr>
                <w:rFonts w:ascii="Cinzel" w:hAnsi="Cinzel"/>
                <w:b/>
                <w:color w:val="B08625"/>
                <w:sz w:val="22"/>
                <w:caps/>
                <w:spacing w:val="18"/>
              </w:rPr>
              <w:t>29 </w:t>
            </w:r>
            <w:r>
              <w:rPr>
                <w:rFonts w:ascii="Liberation Sans" w:hAnsi="Liberation Sans"/>
                <w:color w:val="FFFFFF"/>
                <w:sz w:val="20"/>
              </w:rPr>
              <w:t>Branding Strategy</w:t>
            </w:r>
          </w:p>
          <w:p>
            <w:pPr>
              <w:spacing w:before="0" w:after="130"/>
            </w:pPr>
            <w:r>
              <w:rPr>
                <w:rFonts w:ascii="Cinzel" w:hAnsi="Cinzel"/>
                <w:b/>
                <w:color w:val="B08625"/>
                <w:sz w:val="22"/>
                <w:caps/>
                <w:spacing w:val="18"/>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Cinzel" w:hAnsi="Cinzel"/>
                <w:b/>
                <w:color w:val="B08625"/>
                <w:sz w:val="22"/>
                <w:caps/>
                <w:spacing w:val="18"/>
              </w:rPr>
              <w:t>VII</w:t>
            </w:r>
          </w:p>
          <w:p>
            <w:pPr>
              <w:spacing w:before="120" w:after="80"/>
            </w:pPr>
            <w:r>
              <w:rPr>
                <w:rFonts w:ascii="Cormorant Garamond" w:hAnsi="Cormorant Garamond"/>
                <w:b/>
                <w:color w:val="B08625"/>
                <w:sz w:val="22"/>
                <w:caps/>
                <w:spacing w:val="18"/>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31 </w:t>
            </w:r>
            <w:r>
              <w:rPr>
                <w:rFonts w:ascii="Liberation Sans" w:hAnsi="Liberation Sans"/>
                <w:color w:val="FFFFFF"/>
                <w:sz w:val="20"/>
              </w:rPr>
              <w:t>Nigeria Campus Strategy</w:t>
            </w:r>
          </w:p>
          <w:p>
            <w:pPr>
              <w:spacing w:before="0" w:after="130"/>
            </w:pPr>
            <w:r>
              <w:rPr>
                <w:rFonts w:ascii="Cinzel" w:hAnsi="Cinzel"/>
                <w:b/>
                <w:color w:val="B08625"/>
                <w:sz w:val="22"/>
                <w:caps/>
                <w:spacing w:val="18"/>
              </w:rPr>
              <w:t>32 </w:t>
            </w:r>
            <w:r>
              <w:rPr>
                <w:rFonts w:ascii="Liberation Sans" w:hAnsi="Liberation Sans"/>
                <w:color w:val="FFFFFF"/>
                <w:sz w:val="20"/>
              </w:rPr>
              <w:t>Gulf Cooperation Strategy</w:t>
            </w:r>
          </w:p>
          <w:p>
            <w:pPr>
              <w:spacing w:before="0" w:after="130"/>
            </w:pPr>
            <w:r>
              <w:rPr>
                <w:rFonts w:ascii="Cinzel" w:hAnsi="Cinzel"/>
                <w:b/>
                <w:color w:val="B08625"/>
                <w:sz w:val="22"/>
                <w:caps/>
                <w:spacing w:val="18"/>
              </w:rPr>
              <w:t>33 </w:t>
            </w:r>
            <w:r>
              <w:rPr>
                <w:rFonts w:ascii="Liberation Sans" w:hAnsi="Liberation Sans"/>
                <w:color w:val="FFFFFF"/>
                <w:sz w:val="20"/>
              </w:rPr>
              <w:t>Student Support Framework</w:t>
            </w:r>
          </w:p>
          <w:p>
            <w:pPr>
              <w:spacing w:before="0" w:after="130"/>
            </w:pPr>
            <w:r>
              <w:rPr>
                <w:rFonts w:ascii="Cinzel" w:hAnsi="Cinzel"/>
                <w:b/>
                <w:color w:val="B08625"/>
                <w:sz w:val="22"/>
                <w:caps/>
                <w:spacing w:val="18"/>
              </w:rPr>
              <w:t>34 </w:t>
            </w:r>
            <w:r>
              <w:rPr>
                <w:rFonts w:ascii="Liberation Sans" w:hAnsi="Liberation Sans"/>
                <w:color w:val="FFFFFF"/>
                <w:sz w:val="20"/>
              </w:rPr>
              <w:t>Alumni Framework</w:t>
            </w:r>
          </w:p>
          <w:p>
            <w:pPr>
              <w:spacing w:before="0" w:after="130"/>
            </w:pPr>
            <w:r>
              <w:rPr>
                <w:rFonts w:ascii="Cinzel" w:hAnsi="Cinzel"/>
                <w:b/>
                <w:color w:val="B08625"/>
                <w:sz w:val="22"/>
                <w:caps/>
                <w:spacing w:val="18"/>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2"/>
                <w:caps/>
                <w:spacing w:val="18"/>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2"/>
                <w:caps/>
                <w:spacing w:val="18"/>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Cinzel" w:hAnsi="Cinzel"/>
                <w:b/>
                <w:color w:val="B08625"/>
                <w:sz w:val="22"/>
                <w:caps/>
                <w:spacing w:val="18"/>
              </w:rPr>
              <w:t>VIII</w:t>
            </w:r>
          </w:p>
          <w:p>
            <w:pPr>
              <w:spacing w:before="120" w:after="80"/>
            </w:pPr>
            <w:r>
              <w:rPr>
                <w:rFonts w:ascii="Cormorant Garamond" w:hAnsi="Cormorant Garamond"/>
                <w:b/>
                <w:color w:val="B08625"/>
                <w:sz w:val="22"/>
                <w:caps/>
                <w:spacing w:val="18"/>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36 </w:t>
            </w:r>
            <w:r>
              <w:rPr>
                <w:rFonts w:ascii="Liberation Sans" w:hAnsi="Liberation Sans"/>
                <w:color w:val="FFFFFF"/>
                <w:sz w:val="20"/>
              </w:rPr>
              <w:t>Risk Management Framework</w:t>
            </w:r>
          </w:p>
          <w:p>
            <w:pPr>
              <w:spacing w:before="0" w:after="130"/>
            </w:pPr>
            <w:r>
              <w:rPr>
                <w:rFonts w:ascii="Cinzel" w:hAnsi="Cinzel"/>
                <w:b/>
                <w:color w:val="B08625"/>
                <w:sz w:val="22"/>
                <w:caps/>
                <w:spacing w:val="18"/>
              </w:rPr>
              <w:t>37 </w:t>
            </w:r>
            <w:r>
              <w:rPr>
                <w:rFonts w:ascii="Liberation Sans" w:hAnsi="Liberation Sans"/>
                <w:color w:val="FFFFFF"/>
                <w:sz w:val="20"/>
              </w:rPr>
              <w:t>Compliance Framework</w:t>
            </w:r>
          </w:p>
          <w:p>
            <w:pPr>
              <w:spacing w:before="0" w:after="130"/>
            </w:pPr>
            <w:r>
              <w:rPr>
                <w:rFonts w:ascii="Cinzel" w:hAnsi="Cinzel"/>
                <w:b/>
                <w:color w:val="B08625"/>
                <w:sz w:val="22"/>
                <w:caps/>
                <w:spacing w:val="18"/>
              </w:rPr>
              <w:t>38 </w:t>
            </w:r>
            <w:r>
              <w:rPr>
                <w:rFonts w:ascii="Liberation Sans" w:hAnsi="Liberation Sans"/>
                <w:color w:val="FFFFFF"/>
                <w:sz w:val="20"/>
              </w:rPr>
              <w:t>Financial Sustainability Framework</w:t>
            </w:r>
          </w:p>
          <w:p>
            <w:pPr>
              <w:spacing w:before="0" w:after="130"/>
            </w:pPr>
            <w:r>
              <w:rPr>
                <w:rFonts w:ascii="Cinzel" w:hAnsi="Cinzel"/>
                <w:b/>
                <w:color w:val="B08625"/>
                <w:sz w:val="22"/>
                <w:caps/>
                <w:spacing w:val="18"/>
              </w:rPr>
              <w:t>39 </w:t>
            </w:r>
            <w:r>
              <w:rPr>
                <w:rFonts w:ascii="Liberation Sans" w:hAnsi="Liberation Sans"/>
                <w:color w:val="FFFFFF"/>
                <w:sz w:val="20"/>
              </w:rPr>
              <w:t>Capital Development Framework</w:t>
            </w:r>
          </w:p>
          <w:p>
            <w:pPr>
              <w:spacing w:before="0" w:after="130"/>
            </w:pPr>
            <w:r>
              <w:rPr>
                <w:rFonts w:ascii="Cinzel" w:hAnsi="Cinzel"/>
                <w:b/>
                <w:color w:val="B08625"/>
                <w:sz w:val="22"/>
                <w:caps/>
                <w:spacing w:val="18"/>
              </w:rPr>
              <w:t>40 </w:t>
            </w:r>
            <w:r>
              <w:rPr>
                <w:rFonts w:ascii="Liberation Sans" w:hAnsi="Liberation Sans"/>
                <w:color w:val="FFFFFF"/>
                <w:sz w:val="20"/>
              </w:rPr>
              <w:t>Twenty-Year Strategic Roadmap</w:t>
            </w:r>
          </w:p>
          <w:p>
            <w:pPr>
              <w:spacing w:before="0" w:after="130"/>
            </w:pPr>
            <w:r>
              <w:rPr>
                <w:rFonts w:ascii="Cinzel" w:hAnsi="Cinzel"/>
                <w:b/>
                <w:color w:val="B08625"/>
                <w:sz w:val="22"/>
                <w:caps/>
                <w:spacing w:val="18"/>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0"/>
    <w:bookmarkStart w:id="111"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Qur’an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9).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2"/>
                <w:color w:val="B08625"/>
                <w:spacing w:val="18"/>
                <w:caps/>
              </w:rPr>
              <w:t>FOREWORD · THE SUPREME STRATEGIC PLANNING COUNCIL</w:t>
            </w:r>
          </w:p>
        </w:tc>
      </w:tr>
    </w:tbl>
    <w:p>
      <w:pPr>
        <w:jc w:val="both"/>
      </w:pPr>
      <w:r>
        <w:br w:type="page"/>
      </w:r>
    </w:p>
    <w:bookmarkEnd w:id="111"/>
    <w:bookmarkEnd w:id="112"/>
    <w:bookmarkStart w:id="117" w:name="appendices"/>
    <w:p>
      <w:pPr>
        <w:pStyle w:val="Heading1"/>
      </w:pPr>
      <w:r>
        <w:t xml:space="preserve">Appendices</w:t>
      </w:r>
    </w:p>
    <w:bookmarkStart w:id="113"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2"/>
                <w:caps/>
                <w:spacing w:val="18"/>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2"/>
                <w:caps/>
                <w:spacing w:val="18"/>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2"/>
                <w:caps/>
                <w:spacing w:val="18"/>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2"/>
                <w:caps/>
                <w:spacing w:val="18"/>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2"/>
                <w:caps/>
                <w:spacing w:val="18"/>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2"/>
                <w:caps/>
                <w:spacing w:val="18"/>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2"/>
                <w:caps/>
                <w:spacing w:val="18"/>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3"/>
    <w:bookmarkStart w:id="114"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4"/>
    <w:bookmarkStart w:id="115"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2"/>
                <w:caps/>
                <w:spacing w:val="18"/>
              </w:rPr>
              <w:t xml:space="preserve">Total</w:t>
            </w:r>
          </w:p>
        </w:tc>
        <w:tc>
          <w:tcPr/>
          <w:p>
            <w:pPr>
              <w:pStyle w:val="Compact"/>
              <w:jc w:val="left"/>
            </w:pPr>
            <w:r>
              <w:rPr>
                <w:bCs/>
                <w:b/>
                <w:color w:val="B08625"/>
                <w:sz w:val="22"/>
                <w:caps/>
                <w:spacing w:val="18"/>
              </w:rPr>
              <w:t xml:space="preserve">100%, zero unallocated residual</w:t>
            </w:r>
          </w:p>
        </w:tc>
        <w:tc>
          <w:tcPr/>
          <w:p>
            <w:pPr>
              <w:pStyle w:val="Compact"/>
              <w:jc w:val="left"/>
            </w:pPr>
            <w:r>
              <w:t xml:space="preserve">—</w:t>
            </w:r>
          </w:p>
        </w:tc>
      </w:tr>
    </w:tbl>
    <w:bookmarkEnd w:id="115"/>
    <w:bookmarkStart w:id="116" w:name="appendix-d-programme-catalog-reference"/>
    <w:p>
      <w:pPr>
        <w:pStyle w:val="Heading2"/>
      </w:pPr>
      <w:r>
        <w:t xml:space="preserve">Appendix D — Programme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6"/>
    <w:bookmarkEnd w:id="117"/>
    <w:bookmarkStart w:id="118"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8"/>
    <w:bookmarkStart w:id="119"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of Trustees, Sections 3, 5 · Board composition &amp; term limits, Section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Section 41</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&amp; Stakeholder Reserve, Sections 2, 25–26, 31, 38–39; Figure 7 · Waqf Development Strategy, Section 25 · Waqf Scholarship Block, Sections 25–26</w:t>
      </w:r>
    </w:p>
    <w:p>
      <w:pPr>
        <w:jc w:val="both"/>
      </w:pPr>
      <w:r>
        <w:pict>
          <v:rect style="width:0;height:1.5pt" o:hralign="center" o:hrstd="t" o:hr="t"/>
        </w:pict>
      </w:r>
    </w:p>
    <w:p>
      <w:pPr>
        <w:jc w:val="both"/>
      </w:pPr>
      <w:r>
        <w:br w:type="page"/>
      </w:r>
    </w:p>
    <w:bookmarkEnd w:id="119"/>
    <w:bookmarkStart w:id="120"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Cinzel" w:hAnsi="Cinzel"/>
                <w:b/>
                <w:color w:val="B08625"/>
                <w:sz w:val="22"/>
                <w:caps/>
                <w:spacing w:val="18"/>
              </w:rPr>
              <w:t>AL-MULK INTERNATIONAL UNIVERSITY</w:t>
            </w:r>
          </w:p>
          <w:p>
            <w:pPr>
              <w:jc w:val="center"/>
              <w:spacing w:before="0" w:after="500"/>
            </w:pPr>
            <w:r>
              <w:rPr>
                <w:rFonts w:ascii="Cormorant Garamond" w:hAnsi="Cormorant Garamond"/>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Cinzel" w:hAnsi="Cinzel"/>
        <w:smallCaps/>
        <w:color w:val="5B6372"/>
        <w:sz w:val="15"/>
        <w:spacing w:val="10"/>
      </w:rPr>
      <w:t>AMIU-SB-002</w:t>
    </w:r>
    <w:r>
      <w:tab/>
      <w:tab/>
    </w:r>
    <w:r>
      <w:rPr>
        <w:rFonts w:ascii="EB Garamond" w:hAnsi="EB Garamond"/>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Cinzel" w:hAnsi="Cinzel"/>
        <w:b w:val="0"/>
        <w:caps/>
        <w:smallCaps/>
        <w:color w:val="122A4E"/>
        <w:sz w:val="17"/>
        <w:spacing w:val="14"/>
      </w:rPr>
      <w:t>Al-Mulk International University</w:t>
    </w:r>
    <w:r>
      <w:tab/>
    </w:r>
    <w:r>
      <w:rPr>
        <w:rFonts w:ascii="Cormorant Garamond" w:hAnsi="Cormorant Garamond"/>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suppressAutoHyphens w:val="true"/>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Cormorant Garamond" w:cs="Cormorant Garamond" w:eastAsia="Cormorant Garamond" w:hAnsi="Cormorant Garamond"/>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Cormorant Garamond" w:cs="Cormorant Garamond" w:eastAsia="Cormorant Garamond" w:hAnsi="Cormorant Garamond"/>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2026-07-25T09:10:55Z</dcterms:created>
  <dcterms:modified xsi:type="dcterms:W3CDTF">2026-07-25T09:10:55Z</dcterms:modified>
</cp:coreProperties>
</file>

<file path=docProps/custom.xml><?xml version="1.0" encoding="utf-8"?>
<Properties xmlns="http://schemas.openxmlformats.org/officeDocument/2006/custom-properties" xmlns:vt="http://schemas.openxmlformats.org/officeDocument/2006/docPropsVTypes"/>
</file>