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AMIU Strategic Implementation Blueprint 2028-2050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1" w:name="al-mulk-international-university-amiu"/>
    <w:p>
      <w:pPr>
        <w:pStyle w:val="Heading1"/>
      </w:pPr>
      <w:r>
        <w:t xml:space="preserve">Al-Mulk International University (AMIU)</w:t>
      </w:r>
    </w:p>
    <w:bookmarkStart w:id="21" w:name="X43070954705b565492b6ab4e71ef8bb2385a276"/>
    <w:p>
      <w:pPr>
        <w:pStyle w:val="Heading2"/>
      </w:pPr>
      <w:r>
        <w:t xml:space="preserve">Strategic Implementation Blueprint 2028–2050</w:t>
      </w:r>
    </w:p>
    <w:p>
      <w:pPr>
        <w:pStyle w:val="FirstParagraph"/>
      </w:pPr>
      <w:r>
        <w:rPr>
          <w:bCs/>
          <w:b/>
        </w:rPr>
        <w:t xml:space="preserve">Document Reference:</w:t>
      </w:r>
      <w:r>
        <w:t xml:space="preserve"> </w:t>
      </w:r>
      <w:r>
        <w:t xml:space="preserve">AMIU-SB-002 · Companion Implementation Volume to the Ten-Year Master Plan &amp; Strategic Charter (AMIU-MP-001, 2028–2037)</w:t>
      </w:r>
      <w:r>
        <w:t xml:space="preserve"> </w:t>
      </w:r>
      <w:r>
        <w:rPr>
          <w:bCs/>
          <w:b/>
        </w:rPr>
        <w:t xml:space="preserve">Prepared for:</w:t>
      </w:r>
      <w:r>
        <w:t xml:space="preserve"> </w:t>
      </w:r>
      <w:r>
        <w:t xml:space="preserve">Board of Trustees, University Senate, Supreme Strategic Planning Council</w:t>
      </w:r>
      <w:r>
        <w:t xml:space="preserve"> </w:t>
      </w:r>
      <w:r>
        <w:rPr>
          <w:bCs/>
          <w:b/>
        </w:rPr>
        <w:t xml:space="preserve">Status:</w:t>
      </w:r>
      <w:r>
        <w:t xml:space="preserve"> </w:t>
      </w:r>
      <w:r>
        <w:t xml:space="preserve">Planning document for Board/Senate/accreditation-body decision-making. Not a certified financial audit or an offer of investment.</w:t>
      </w:r>
      <w:r>
        <w:t xml:space="preserve"> </w:t>
      </w:r>
      <w:r>
        <w:rPr>
          <w:bCs/>
          <w:b/>
        </w:rPr>
        <w:t xml:space="preserve">Contact:</w:t>
      </w:r>
      <w:r>
        <w:t xml:space="preserve"> </w:t>
      </w:r>
      <w:r>
        <w:t xml:space="preserve">edu.amiu.com · info@edu.amiu.com · Texas-Domiciled, Religiously Exempt · Incorporated 6 December 2027</w:t>
      </w:r>
    </w:p>
    <w:p>
      <w:r>
        <w:pict>
          <v:rect style="width:0;height:1.5pt" o:hralign="center" o:hrstd="t" o:hr="t"/>
        </w:pict>
      </w:r>
    </w:p>
    <w:bookmarkStart w:id="20" w:name="how-to-read-this-blueprint"/>
    <w:p>
      <w:pPr>
        <w:pStyle w:val="Heading3"/>
      </w:pPr>
      <w:r>
        <w:t xml:space="preserve">How to read this Blueprint</w:t>
      </w:r>
    </w:p>
    <w:p>
      <w:pPr>
        <w:pStyle w:val="FirstParagraph"/>
      </w:pPr>
      <w:r>
        <w:t xml:space="preserve">This document extends AMIU’s adopted Ten-Year Master Plan (AMIU-MP-001) into a full 40-section implementation blueprint spanning the Founding Decade (2028–2037), the Secular Expansion era (2038–2047), and a conservative Maturity horizon (2048–2050). It does not alter any canon figure, governance seat, program count, or fixed allocation percentage already adopted in AMIU-MP-001. Every budget and staffing figure in every section below is explicitly tied to one of the seven fixed Revenue Allocation Framework categories (Liquidity Reserve 35%, Payroll 20%, Waqf &amp; Stakeholder Reserve 20%, Marketing 10%, Operating Expenses 5%, LMS &amp; Technology Infrastructure 5%, Da’wah &amp; Community Outreach 5%) or to a named Waqf sub-line, and is scaled realistically against AMIU’s actual, small, bootstrapping financial trajectory — $224,747 Gross Revenue in Year 1 (2028) growing to $3,830,549 in Year 10 (2037), $16,669,190 ten-year cumulative, and an illustrative, accreditation-contingent trajectory to $93.9M by Year 20 (2047). Where this Blueprint proposes something the current fixed allocation framework does not yet fund, it says so explicitly and identifies the governance pathway (a Board- or Senate-ratified amendment) required to fund it.</w:t>
      </w:r>
    </w:p>
    <w:p>
      <w:pPr>
        <w:pStyle w:val="BodyText"/>
      </w:pPr>
      <w:r>
        <w:t xml:space="preserve">Each of the 40 sections below addresses ten dimensions: Rationale, Global Best Practices, Implementation Phases, Staffing Requirements, Annual Budget, KPIs, Risks &amp; Mitigation, Timeline, Governance Responsibilities, and Measurable Success Indicators.</w:t>
      </w:r>
    </w:p>
    <w:p>
      <w:r>
        <w:pict>
          <v:rect style="width:0;height:1.5pt" o:hralign="center" o:hrstd="t" o:hr="t"/>
        </w:pict>
      </w:r>
    </w:p>
    <w:bookmarkEnd w:id="20"/>
    <w:bookmarkEnd w:id="21"/>
    <w:bookmarkStart w:id="22" w:name="Xe44aa9cd0eb193ac33dea10128be5507b0b5c60"/>
    <w:p>
      <w:pPr>
        <w:pStyle w:val="Heading2"/>
      </w:pPr>
      <w:r>
        <w:t xml:space="preserve">Part I — Governance &amp; Institutional Foundations (Sections 1–5)</w:t>
      </w:r>
    </w:p>
    <w:bookmarkEnd w:id="22"/>
    <w:bookmarkStart w:id="23" w:name="section-1-institutional-vision-20282050"/>
    <w:p>
      <w:pPr>
        <w:pStyle w:val="Heading2"/>
      </w:pPr>
      <w:r>
        <w:t xml:space="preserve">Section 1: Institutional Vision 2028–2050</w:t>
      </w:r>
    </w:p>
    <w:p>
      <w:pPr>
        <w:pStyle w:val="FirstParagraph"/>
      </w:pPr>
      <w:r>
        <w:rPr>
          <w:bCs/>
          <w:b/>
        </w:rPr>
        <w:t xml:space="preserve">Rationale</w:t>
      </w:r>
    </w:p>
    <w:p>
      <w:pPr>
        <w:pStyle w:val="BodyText"/>
      </w:pPr>
      <w:r>
        <w:t xml:space="preserve">The adopted Master Plan (AMIU-MP-001) commits AMIU to Vision 2037 — financial independence, jurisdiction-by-jurisdiction accreditation, and near-zero-cost access for the world’s poorest students. A blueprint that stops at 2037 leaves the institution without a bridge into the secular-expansion decade already scheduled in Section 16 of the Master Plan (Programs 72-99, Year 11/2038) or a horizon beyond it. This section extends the Vision into three honest horizons rather than one aspirational leap: a Founding Decade that proves the model works at small scale, a Secular Expansion decade that diversifies revenue and accreditation footprint, and a 2048-2050 Maturity window that consolidates rather than reinvents. Every figure beyond Year 10 (2037) is explicitly labelled illustrative and contingent, consistent with the Master Plan’s own framing of its 20-year trajectory.</w:t>
      </w:r>
    </w:p>
    <w:p>
      <w:pPr>
        <w:pStyle w:val="BodyText"/>
      </w:pPr>
      <w:r>
        <w:rPr>
          <w:bCs/>
          <w:b/>
        </w:rPr>
        <w:t xml:space="preserve">Global Best Practices</w:t>
      </w:r>
    </w:p>
    <w:p>
      <w:pPr>
        <w:pStyle w:val="BodyText"/>
      </w:pPr>
      <w:r>
        <w:t xml:space="preserve">Comparable religious and mission-driven universities that scaled sustainably (e.g., faith-affiliated liberal-arts colleges that later added secular schools, and waqf-funded institutions in the Gulf and Southeast Asia) share three disciplines AMIU adopts: (1) sequencing — do not chase secular accreditation before the religious core has an audited multi-year track record; (2) firewalling — keep commercial/investment capital structurally separate from tuition and religious-exemption status; (3) staged internationalisation — one branch campus proven before a second is attempted. AMIU’s Gambia-first, Nigeria-later pipeline mirrors this.</w:t>
      </w:r>
    </w:p>
    <w:p>
      <w:pPr>
        <w:pStyle w:val="BodyText"/>
      </w:pPr>
      <w:r>
        <w:rPr>
          <w:bCs/>
          <w:b/>
        </w:rPr>
        <w:t xml:space="preserve">Implementation Phases (Target Years)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Core Thrust</w:t>
            </w:r>
          </w:p>
        </w:tc>
      </w:tr>
      <w:tr>
        <w:tc>
          <w:tcPr/>
          <w:p>
            <w:pPr>
              <w:pStyle w:val="Compact"/>
              <w:jc w:val="left"/>
            </w:pPr>
            <w:r>
              <w:t xml:space="preserve">I — Founding Decade</w:t>
            </w:r>
          </w:p>
        </w:tc>
        <w:tc>
          <w:tcPr/>
          <w:p>
            <w:pPr>
              <w:pStyle w:val="Compact"/>
              <w:jc w:val="left"/>
            </w:pPr>
            <w:r>
              <w:t xml:space="preserve">2028–2037</w:t>
            </w:r>
          </w:p>
        </w:tc>
        <w:tc>
          <w:tcPr/>
          <w:p>
            <w:pPr>
              <w:pStyle w:val="Compact"/>
              <w:jc w:val="left"/>
            </w:pPr>
            <w:r>
              <w:t xml:space="preserve">Six founding colleges, 71 programs, Texas + Gambia footprint, $224,747 → $3,830,549 annual revenue, 347 → 11,021 active students (all per adopted Master Plan)</w:t>
            </w:r>
          </w:p>
        </w:tc>
      </w:tr>
      <w:tr>
        <w:tc>
          <w:tcPr/>
          <w:p>
            <w:pPr>
              <w:pStyle w:val="Compact"/>
              <w:jc w:val="left"/>
            </w:pPr>
            <w:r>
              <w:t xml:space="preserve">II — Secular Expansion &amp; Global Accreditation</w:t>
            </w:r>
          </w:p>
        </w:tc>
        <w:tc>
          <w:tcPr/>
          <w:p>
            <w:pPr>
              <w:pStyle w:val="Compact"/>
              <w:jc w:val="left"/>
            </w:pPr>
            <w:r>
              <w:t xml:space="preserve">2038–2047</w:t>
            </w:r>
          </w:p>
        </w:tc>
        <w:tc>
          <w:tcPr/>
          <w:p>
            <w:pPr>
              <w:pStyle w:val="Compact"/>
              <w:jc w:val="left"/>
            </w:pPr>
            <w:r>
              <w:t xml:space="preserve">Programs 72-99 (28 secular programs, 7 new schools) launch Year 11; Texas secular accreditation targeted Year 12 (2039); Gulf ministry recognition targeted Year 13 (2040); revenue trajectory $8.36M (2038) → $93.9M (2047) illustrative</w:t>
            </w:r>
          </w:p>
        </w:tc>
      </w:tr>
      <w:tr>
        <w:tc>
          <w:tcPr/>
          <w:p>
            <w:pPr>
              <w:pStyle w:val="Compact"/>
              <w:jc w:val="left"/>
            </w:pPr>
            <w:r>
              <w:t xml:space="preserve">III — Global Maturity &amp; Legacy</w:t>
            </w:r>
          </w:p>
        </w:tc>
        <w:tc>
          <w:tcPr/>
          <w:p>
            <w:pPr>
              <w:pStyle w:val="Compact"/>
              <w:jc w:val="left"/>
            </w:pPr>
            <w:r>
              <w:t xml:space="preserve">2048–2050</w:t>
            </w:r>
          </w:p>
        </w:tc>
        <w:tc>
          <w:tcPr/>
          <w:p>
            <w:pPr>
              <w:pStyle w:val="Compact"/>
              <w:jc w:val="left"/>
            </w:pPr>
            <w:r>
              <w:t xml:space="preserve">Consolidation of multi-campus network, Nigeria Mega-University reaching operating maturity, endowment/Waqf reserves reaching institutional scale, sustained (not necessarily accelerating) growth within the $90M-$150M band already contemplated for Year 20</w:t>
            </w:r>
          </w:p>
        </w:tc>
      </w:tr>
    </w:tbl>
    <w:p>
      <w:pPr>
        <w:pStyle w:val="BodyText"/>
      </w:pPr>
      <w:r>
        <w:rPr>
          <w:bCs/>
          <w:b/>
        </w:rPr>
        <w:t xml:space="preserve">Staffing Requirements</w:t>
      </w:r>
    </w:p>
    <w:p>
      <w:pPr>
        <w:pStyle w:val="BodyText"/>
      </w:pPr>
      <w:r>
        <w:t xml:space="preserve">Phase I stays lean and multi-hat: 3 founders, ~9-14 honoraria-based Senate seat-holders, department heads doubling as instructors. Phase II is the first point at which dedicated non-honoraria staff (registrars, secular-school administrators, compliance officers) become affordable, funded from the Core Admin Staff sub-line (18% of the 20% Payroll allocation) as it grows past $137,900/yr (Year 10) toward multi-million-dollar Payroll totals by the mid-2040s. Phase III staffing is not sized here — it depends on Senate resolutions adjusting sub-allocations as actual Year 11-20 revenue is realized, not on projections drafted in 2028.</w:t>
      </w:r>
    </w:p>
    <w:p>
      <w:pPr>
        <w:pStyle w:val="BodyText"/>
      </w:pPr>
      <w:r>
        <w:rPr>
          <w:bCs/>
          <w:b/>
        </w:rPr>
        <w:t xml:space="preserve">Annual Budget</w:t>
      </w:r>
    </w:p>
    <w:p>
      <w:pPr>
        <w:pStyle w:val="BodyText"/>
      </w:pPr>
      <w:r>
        <w:t xml:space="preserve">No new allocation category is created for</w:t>
      </w:r>
      <w:r>
        <w:t xml:space="preserve"> </w:t>
      </w:r>
      <w:r>
        <w:t xml:space="preserve">“</w:t>
      </w:r>
      <w:r>
        <w:t xml:space="preserve">Vision</w:t>
      </w:r>
      <w:r>
        <w:t xml:space="preserve">”</w:t>
      </w:r>
      <w:r>
        <w:t xml:space="preserve"> </w:t>
      </w:r>
      <w:r>
        <w:t xml:space="preserve">work — it is funded across all seven fixed percentages as the institution executes its plans. Illustrative anchors already adopted: Year 1 total revenue $224,747; Year 5 $1,290,784; Year 10 $3,830,549 (10-yr cumulative $16,669,190, $0 deficit in any year of any scenario). Phase II/III figures ($8.36M in 2038 through $93.9M in 2047, and a conservative continuation in that band through 2050) remain directional; any structural change to how the seven percentages are split requires a Board-approved Senate resolution, not a unilateral blueprint amendment.</w:t>
      </w:r>
    </w:p>
    <w:p>
      <w:pPr>
        <w:pStyle w:val="BodyText"/>
      </w:pPr>
      <w:r>
        <w:rPr>
          <w:bCs/>
          <w:b/>
        </w:rPr>
        <w:t xml:space="preserve">KPIs</w:t>
      </w:r>
    </w:p>
    <w:p>
      <w:pPr>
        <w:numPr>
          <w:ilvl w:val="0"/>
          <w:numId w:val="1001"/>
        </w:numPr>
        <w:pStyle w:val="Compact"/>
      </w:pPr>
      <w:r>
        <w:t xml:space="preserve">Active enrolment vs. Master Plan targets (347 / 3,493 / 11,021 at Years 1/5/10)</w:t>
      </w:r>
    </w:p>
    <w:p>
      <w:pPr>
        <w:numPr>
          <w:ilvl w:val="0"/>
          <w:numId w:val="1001"/>
        </w:numPr>
        <w:pStyle w:val="Compact"/>
      </w:pPr>
      <w:r>
        <w:t xml:space="preserve">Number of jurisdictions holding active accreditation or recognition</w:t>
      </w:r>
    </w:p>
    <w:p>
      <w:pPr>
        <w:numPr>
          <w:ilvl w:val="0"/>
          <w:numId w:val="1001"/>
        </w:numPr>
        <w:pStyle w:val="Compact"/>
      </w:pPr>
      <w:r>
        <w:t xml:space="preserve">Ratio of secular-program revenue to religious-program revenue post-2038 (monitor for mission-drift)</w:t>
      </w:r>
    </w:p>
    <w:p>
      <w:pPr>
        <w:numPr>
          <w:ilvl w:val="0"/>
          <w:numId w:val="1001"/>
        </w:numPr>
        <w:pStyle w:val="Compact"/>
      </w:pPr>
      <w:r>
        <w:t xml:space="preserve">Waqf &amp; Stakeholder Reserve balance growth (target: real institutional scale by 2048-2050, not merely nominal growth)</w:t>
      </w:r>
    </w:p>
    <w:p>
      <w:pPr>
        <w:pStyle w:val="FirstParagraph"/>
      </w:pPr>
      <w:r>
        <w:rPr>
          <w:bCs/>
          <w:b/>
        </w:rPr>
        <w:t xml:space="preserve">Risks &amp; Mitigation</w:t>
      </w:r>
    </w:p>
    <w:p>
      <w:pPr>
        <w:pStyle w:val="BodyText"/>
      </w:pPr>
      <w:r>
        <w:t xml:space="preserve">Premature secular pivot risking the Texas religious exemption is mitigated by the fixed Year-11 sequencing already in the Master Plan (Risk Register items on IRS commingling scrutiny and accreditation candidacy delay). Over-promising Phase III figures is mitigated by explicitly labelling 2048-2050 numbers as non-binding extrapolations, reviewed and re-forecast no later than Year 15 (2042) against actual results. Nigeria approval risk (sovereign process, outside AMIU’s control) means Phase III</w:t>
      </w:r>
      <w:r>
        <w:t xml:space="preserve"> </w:t>
      </w:r>
      <w:r>
        <w:t xml:space="preserve">“</w:t>
      </w:r>
      <w:r>
        <w:t xml:space="preserve">Nigeria fully operational</w:t>
      </w:r>
      <w:r>
        <w:t xml:space="preserve">”</w:t>
      </w:r>
      <w:r>
        <w:t xml:space="preserve"> </w:t>
      </w:r>
      <w:r>
        <w:t xml:space="preserve">language is conditioned on NUC/National Assembly action, not guaranteed by this blueprint.</w:t>
      </w:r>
    </w:p>
    <w:p>
      <w:pPr>
        <w:pStyle w:val="BodyText"/>
      </w:pPr>
      <w:r>
        <w:rPr>
          <w:bCs/>
          <w:b/>
        </w:rPr>
        <w:t xml:space="preserve">Timeline</w:t>
      </w:r>
    </w:p>
    <w:p>
      <w:pPr>
        <w:pStyle w:val="BodyText"/>
      </w:pPr>
      <w:r>
        <w:t xml:space="preserve">2028 incorporation and academic launch → 2029-2030 ISO 21001/CPD milestones → 2037 close of Founding Decade → 2038 secular program launch → 2039 Texas secular accreditation target → 2040 Gulf recognition target → 2042 mid-course trajectory review → 2047 close of Secular Expansion decade → 2048-2050 consolidation window with a mandated strategic-plan refresh due no later than 2049 to produce AMIU-MP-002 or its successor.</w:t>
      </w:r>
    </w:p>
    <w:p>
      <w:pPr>
        <w:pStyle w:val="BodyText"/>
      </w:pPr>
      <w:r>
        <w:rPr>
          <w:bCs/>
          <w:b/>
        </w:rPr>
        <w:t xml:space="preserve">Governance Responsibilities</w:t>
      </w:r>
    </w:p>
    <w:p>
      <w:pPr>
        <w:pStyle w:val="BodyText"/>
      </w:pPr>
      <w:r>
        <w:t xml:space="preserve">The Board of Trustees holds ultimate authority over Institutional Strategy (per the Delegation of Authority Matrix) and must formally ratify any Phase III horizon revision. The Senate’s Group I (President &amp; VC, DVC Academic Affairs, DVC Admin &amp; Finance) owns operational translation of Vision into annual academic and administrative planning. Group IV (Director of Academic Planning &amp; LMS Infrastructure plus the three independent faculty seats) is tasked with the Year-15 (2042) trajectory review to keep Phase III grounded in evidence rather than aspiration.</w:t>
      </w:r>
    </w:p>
    <w:p>
      <w:pPr>
        <w:pStyle w:val="BodyText"/>
      </w:pPr>
      <w:r>
        <w:rPr>
          <w:bCs/>
          <w:b/>
        </w:rPr>
        <w:t xml:space="preserve">Measurable Success Indicators</w:t>
      </w:r>
    </w:p>
    <w:p>
      <w:pPr>
        <w:pStyle w:val="BodyText"/>
      </w:pPr>
      <w:r>
        <w:t xml:space="preserve">By 2037: Vision 2037 targets met as adopted (financial independence achieved, multi-jurisdiction accreditation pursuit underway, $0 cumulative deficit). By 2047: secular schools operating in at least Texas with recognition progress in at least one Gulf jurisdiction. By 2050: Nigeria Mega-University holding its own independent accreditation status (or a clearly documented reason for delay), and Waqf &amp; Stakeholder Reserve cumulative balance demonstrably funding Islamic schools, widows/orphans, scholarships, and emergency relief at a scale proportionate to realized (not merely projected) revenue.</w:t>
      </w:r>
    </w:p>
    <w:bookmarkEnd w:id="23"/>
    <w:bookmarkStart w:id="24" w:name="section-2-mission-values-and-identity"/>
    <w:p>
      <w:pPr>
        <w:pStyle w:val="Heading2"/>
      </w:pPr>
      <w:r>
        <w:t xml:space="preserve">Section 2: Mission, Values, and Identity</w:t>
      </w:r>
    </w:p>
    <w:p>
      <w:pPr>
        <w:pStyle w:val="FirstParagraph"/>
      </w:pPr>
      <w:r>
        <w:rPr>
          <w:bCs/>
          <w:b/>
        </w:rPr>
        <w:t xml:space="preserve">Rationale</w:t>
      </w:r>
    </w:p>
    <w:p>
      <w:pPr>
        <w:pStyle w:val="BodyText"/>
      </w:pPr>
      <w:r>
        <w:t xml:space="preserve">A mission statement that promises rigor, universal access, and financial self-sufficiency simultaneously is only credible if each of the seven ISLAMIC values has an operational home — a named office, a budget line, or an audit checkpoint — rather than remaining rhetorical. This section specifies exactly where each value lives inside AMIU’s actual governance and financial machinery.</w:t>
      </w:r>
    </w:p>
    <w:p>
      <w:pPr>
        <w:pStyle w:val="BodyText"/>
      </w:pPr>
      <w:r>
        <w:rPr>
          <w:bCs/>
          <w:b/>
        </w:rPr>
        <w:t xml:space="preserve">Global Best Practices</w:t>
      </w:r>
    </w:p>
    <w:p>
      <w:pPr>
        <w:pStyle w:val="BodyText"/>
      </w:pPr>
      <w:r>
        <w:t xml:space="preserve">Leading mission-driven universities (both secular civic-mission institutions and Islamic universities such as those accredited under GCC and Southeast Asian frameworks) embed values through three mechanisms AMIU replicates: annual mission-fidelity audits presented to the governing board; values tied to specific committee mandates rather than left as marketing copy; and public reporting of tension points (e.g., where access commitments strain finances) rather than silence about trade-offs.</w:t>
      </w:r>
    </w:p>
    <w:p>
      <w:pPr>
        <w:pStyle w:val="BodyText"/>
      </w:pPr>
      <w:r>
        <w:rPr>
          <w:bCs/>
          <w:b/>
        </w:rPr>
        <w:t xml:space="preserve">Implementation Phases (Target Years)</w:t>
      </w:r>
    </w:p>
    <w:p>
      <w:pPr>
        <w:pStyle w:val="BodyText"/>
      </w:pPr>
      <w:r>
        <w:t xml:space="preserve">Year 1 (2028): baseline mission-fidelity metrics established at launch. Year 2-3 (2029-2030): first Independent Sharī’ah Advisory Board review cycle operationalized alongside ISO 21001/CPD milestones. Year 5 (2032): first full external mission-audit at 3,493-student scale. Year 10 (2037): mission-fidelity report becomes a standing annual Board agenda item ahead of the Programs 72-99 secular launch, to confirm the religious core is not diluted.</w:t>
      </w:r>
    </w:p>
    <w:p>
      <w:pPr>
        <w:pStyle w:val="BodyText"/>
      </w:pPr>
      <w:r>
        <w:rPr>
          <w:bCs/>
          <w:b/>
        </w:rPr>
        <w:t xml:space="preserve">Staffing Requirements</w:t>
      </w:r>
    </w:p>
    <w:p>
      <w:pPr>
        <w:pStyle w:val="BodyText"/>
      </w:pPr>
      <w:r>
        <w:t xml:space="preserve">No new dedicated</w:t>
      </w:r>
      <w:r>
        <w:t xml:space="preserve"> </w:t>
      </w:r>
      <w:r>
        <w:t xml:space="preserve">“</w:t>
      </w:r>
      <w:r>
        <w:t xml:space="preserve">values office</w:t>
      </w:r>
      <w:r>
        <w:t xml:space="preserve">”</w:t>
      </w:r>
      <w:r>
        <w:t xml:space="preserve"> </w:t>
      </w:r>
      <w:r>
        <w:t xml:space="preserve">is created in the Founding Decade — mission stewardship is distributed: the DVC Academic Affairs (Muhammad Al-Qumash) supervises Illumination/Inquiry through curriculum; the Independent Sharī’ah Advisory Board (volunteer/honoraria, drawn from qualified scholars, meeting cadence tied to Senate calendar) supervises Sanad/Morality; the Waqf &amp; Endowment Board (existing structure) supervises Love/Access via scholarship deployment; the DVC Admin &amp; Finance (Abdullah Turki) supervises Calling/financial-sustainability tension monitoring. This is FTE-neutral in Phase I, riding on existing Senate-stipend and honoraria lines.</w:t>
      </w:r>
    </w:p>
    <w:p>
      <w:pPr>
        <w:pStyle w:val="BodyText"/>
      </w:pPr>
      <w:r>
        <w:rPr>
          <w:bCs/>
          <w:b/>
        </w:rPr>
        <w:t xml:space="preserve">Annual Budget</w:t>
      </w:r>
    </w:p>
    <w:p>
      <w:pPr>
        <w:pStyle w:val="BodyText"/>
      </w:pPr>
      <w:r>
        <w:t xml:space="preserve">Values enforcement is not a standalone allocation; it is audited spend inside existing categories: Access is measured through the Waqf Scholarship Block (20% of the 20% Waqf allocation — roughly $8,990 Year 1, $51,631 Year 5, $153,222 Year 10); Calling/outreach through the fixed 5% Da’wah &amp; Community Outreach line ($11,237 / $64,539 / $191,527 at Years 1/5/10); Sanad (authenticated chain of transmission/credential integrity) through curriculum-approval cost already inside Senate operating norms, no separate budget.</w:t>
      </w:r>
    </w:p>
    <w:p>
      <w:pPr>
        <w:pStyle w:val="BodyText"/>
      </w:pPr>
      <w:r>
        <w:rPr>
          <w:bCs/>
          <w:b/>
        </w:rPr>
        <w:t xml:space="preserve">Values-to-Practice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Operational Home</w:t>
            </w:r>
          </w:p>
        </w:tc>
        <w:tc>
          <w:tcPr/>
          <w:p>
            <w:pPr>
              <w:pStyle w:val="Compact"/>
              <w:jc w:val="left"/>
            </w:pPr>
            <w:r>
              <w:t xml:space="preserve">Audit Mechanism</w:t>
            </w:r>
          </w:p>
        </w:tc>
      </w:tr>
      <w:tr>
        <w:tc>
          <w:tcPr/>
          <w:p>
            <w:pPr>
              <w:pStyle w:val="Compact"/>
              <w:jc w:val="left"/>
            </w:pPr>
            <w:r>
              <w:t xml:space="preserve">Illumination</w:t>
            </w:r>
          </w:p>
        </w:tc>
        <w:tc>
          <w:tcPr/>
          <w:p>
            <w:pPr>
              <w:pStyle w:val="Compact"/>
              <w:jc w:val="left"/>
            </w:pPr>
            <w:r>
              <w:t xml:space="preserve">Curriculum design, DVC Academic Affairs</w:t>
            </w:r>
          </w:p>
        </w:tc>
        <w:tc>
          <w:tcPr/>
          <w:p>
            <w:pPr>
              <w:pStyle w:val="Compact"/>
              <w:jc w:val="left"/>
            </w:pPr>
            <w:r>
              <w:t xml:space="preserve">Senate Group II annual curriculum review</w:t>
            </w:r>
          </w:p>
        </w:tc>
      </w:tr>
      <w:tr>
        <w:tc>
          <w:tcPr/>
          <w:p>
            <w:pPr>
              <w:pStyle w:val="Compact"/>
              <w:jc w:val="left"/>
            </w:pPr>
            <w:r>
              <w:t xml:space="preserve">Sanad</w:t>
            </w:r>
          </w:p>
        </w:tc>
        <w:tc>
          <w:tcPr/>
          <w:p>
            <w:pPr>
              <w:pStyle w:val="Compact"/>
              <w:jc w:val="left"/>
            </w:pPr>
            <w:r>
              <w:t xml:space="preserve">Faculty credentialing, ijāzah/chain verification</w:t>
            </w:r>
          </w:p>
        </w:tc>
        <w:tc>
          <w:tcPr/>
          <w:p>
            <w:pPr>
              <w:pStyle w:val="Compact"/>
              <w:jc w:val="left"/>
            </w:pPr>
            <w:r>
              <w:t xml:space="preserve">Independent Sharī’ah Advisory Board sign-off before program approval</w:t>
            </w:r>
          </w:p>
        </w:tc>
      </w:tr>
      <w:tr>
        <w:tc>
          <w:tcPr/>
          <w:p>
            <w:pPr>
              <w:pStyle w:val="Compact"/>
              <w:jc w:val="left"/>
            </w:pPr>
            <w:r>
              <w:t xml:space="preserve">Love</w:t>
            </w:r>
          </w:p>
        </w:tc>
        <w:tc>
          <w:tcPr/>
          <w:p>
            <w:pPr>
              <w:pStyle w:val="Compact"/>
              <w:jc w:val="left"/>
            </w:pPr>
            <w:r>
              <w:t xml:space="preserve">Waqf Scholarship Block, community outreach</w:t>
            </w:r>
          </w:p>
        </w:tc>
        <w:tc>
          <w:tcPr/>
          <w:p>
            <w:pPr>
              <w:pStyle w:val="Compact"/>
              <w:jc w:val="left"/>
            </w:pPr>
            <w:r>
              <w:t xml:space="preserve">Waqf &amp; Endowment Board quarterly disbursement report</w:t>
            </w:r>
          </w:p>
        </w:tc>
      </w:tr>
      <w:tr>
        <w:tc>
          <w:tcPr/>
          <w:p>
            <w:pPr>
              <w:pStyle w:val="Compact"/>
              <w:jc w:val="left"/>
            </w:pPr>
            <w:r>
              <w:t xml:space="preserve">Access</w:t>
            </w:r>
          </w:p>
        </w:tc>
        <w:tc>
          <w:tcPr/>
          <w:p>
            <w:pPr>
              <w:pStyle w:val="Compact"/>
              <w:jc w:val="left"/>
            </w:pPr>
            <w:r>
              <w:t xml:space="preserve">Four-tier tuition, 15% upfront discount, Tier-4 built-in waivers</w:t>
            </w:r>
          </w:p>
        </w:tc>
        <w:tc>
          <w:tcPr/>
          <w:p>
            <w:pPr>
              <w:pStyle w:val="Compact"/>
              <w:jc w:val="left"/>
            </w:pPr>
            <w:r>
              <w:t xml:space="preserve">Board of Trustees tuition-tier review (exclusive authority)</w:t>
            </w:r>
          </w:p>
        </w:tc>
      </w:tr>
      <w:tr>
        <w:tc>
          <w:tcPr/>
          <w:p>
            <w:pPr>
              <w:pStyle w:val="Compact"/>
              <w:jc w:val="left"/>
            </w:pPr>
            <w:r>
              <w:t xml:space="preserve">Morality</w:t>
            </w:r>
          </w:p>
        </w:tc>
        <w:tc>
          <w:tcPr/>
          <w:p>
            <w:pPr>
              <w:pStyle w:val="Compact"/>
              <w:jc w:val="left"/>
            </w:pPr>
            <w:r>
              <w:t xml:space="preserve">Sharī’ah-compliance screening of all revenue/investment activity</w:t>
            </w:r>
          </w:p>
        </w:tc>
        <w:tc>
          <w:tcPr/>
          <w:p>
            <w:pPr>
              <w:pStyle w:val="Compact"/>
              <w:jc w:val="left"/>
            </w:pPr>
            <w:r>
              <w:t xml:space="preserve">Independent Sharī’ah Advisory Board + Audit &amp; Risk Committee joint review</w:t>
            </w:r>
          </w:p>
        </w:tc>
      </w:tr>
      <w:tr>
        <w:tc>
          <w:tcPr/>
          <w:p>
            <w:pPr>
              <w:pStyle w:val="Compact"/>
              <w:jc w:val="left"/>
            </w:pPr>
            <w:r>
              <w:t xml:space="preserve">Inquiry</w:t>
            </w:r>
          </w:p>
        </w:tc>
        <w:tc>
          <w:tcPr/>
          <w:p>
            <w:pPr>
              <w:pStyle w:val="Compact"/>
              <w:jc w:val="left"/>
            </w:pPr>
            <w:r>
              <w:t xml:space="preserve">Research tracks, Post-Doctoral Fellowship (Tier VII, Year 6)</w:t>
            </w:r>
          </w:p>
        </w:tc>
        <w:tc>
          <w:tcPr/>
          <w:p>
            <w:pPr>
              <w:pStyle w:val="Compact"/>
              <w:jc w:val="left"/>
            </w:pPr>
            <w:r>
              <w:t xml:space="preserve">Senate degree-conferral and academic-standards process</w:t>
            </w:r>
          </w:p>
        </w:tc>
      </w:tr>
      <w:tr>
        <w:tc>
          <w:tcPr/>
          <w:p>
            <w:pPr>
              <w:pStyle w:val="Compact"/>
              <w:jc w:val="left"/>
            </w:pPr>
            <w:r>
              <w:t xml:space="preserve">Calling</w:t>
            </w:r>
          </w:p>
        </w:tc>
        <w:tc>
          <w:tcPr/>
          <w:p>
            <w:pPr>
              <w:pStyle w:val="Compact"/>
              <w:jc w:val="left"/>
            </w:pPr>
            <w:r>
              <w:t xml:space="preserve">Financial self-sufficiency discipline, $0-deficit rule</w:t>
            </w:r>
          </w:p>
        </w:tc>
        <w:tc>
          <w:tcPr/>
          <w:p>
            <w:pPr>
              <w:pStyle w:val="Compact"/>
              <w:jc w:val="left"/>
            </w:pPr>
            <w:r>
              <w:t xml:space="preserve">Board annual budget approval; DVC Admin &amp; Finance reporting</w:t>
            </w:r>
          </w:p>
        </w:tc>
      </w:tr>
    </w:tbl>
    <w:p>
      <w:pPr>
        <w:pStyle w:val="BodyText"/>
      </w:pPr>
      <w:r>
        <w:rPr>
          <w:bCs/>
          <w:b/>
        </w:rPr>
        <w:t xml:space="preserve">KPIs</w:t>
      </w:r>
    </w:p>
    <w:p>
      <w:pPr>
        <w:pStyle w:val="BodyText"/>
      </w:pPr>
      <w:r>
        <w:t xml:space="preserve">Percentage of Tier-4/sponsored students enrolled (Access); number of Sharī’ah-compliance exceptions flagged and resolved (Morality); faculty ijāzah/credential verification completion rate (Sanad); Waqf disbursement-to-allocation ratio (Love, target ~100% of the fixed 20% deployed, not hoarded or diverted).</w:t>
      </w:r>
    </w:p>
    <w:p>
      <w:pPr>
        <w:pStyle w:val="BodyText"/>
      </w:pPr>
      <w:r>
        <w:rPr>
          <w:bCs/>
          <w:b/>
        </w:rPr>
        <w:t xml:space="preserve">Risks &amp; Mitigation</w:t>
      </w:r>
    </w:p>
    <w:p>
      <w:pPr>
        <w:pStyle w:val="BodyText"/>
      </w:pPr>
      <w:r>
        <w:t xml:space="preserve">Chief risk is</w:t>
      </w:r>
      <w:r>
        <w:t xml:space="preserve"> </w:t>
      </w:r>
      <w:r>
        <w:t xml:space="preserve">“</w:t>
      </w:r>
      <w:r>
        <w:t xml:space="preserve">mission drift</w:t>
      </w:r>
      <w:r>
        <w:t xml:space="preserve">”</w:t>
      </w:r>
      <w:r>
        <w:t xml:space="preserve"> </w:t>
      </w:r>
      <w:r>
        <w:t xml:space="preserve">once secular Programs 72-99 launch in 2038 generating larger absolute revenue — mitigated by the canon rule that the 5% Da’wah allocation and Waqf policy extend automatically to secular-program revenue, and by mandating the Group IV independent seats review this ratio annually. A second risk is values becoming purely rhetorical without audit teeth — mitigated by tying Morality and Sanad explicitly to Senate degree-conferral authority, meaning no program proceeds without sign-off.</w:t>
      </w:r>
    </w:p>
    <w:p>
      <w:pPr>
        <w:pStyle w:val="BodyText"/>
      </w:pPr>
      <w:r>
        <w:rPr>
          <w:bCs/>
          <w:b/>
        </w:rPr>
        <w:t xml:space="preserve">Timeline</w:t>
      </w:r>
    </w:p>
    <w:p>
      <w:pPr>
        <w:pStyle w:val="BodyText"/>
      </w:pPr>
      <w:r>
        <w:t xml:space="preserve">2028: baseline metrics. 2029-2030: Sharī’ah Advisory Board and ISO/CPD cycles begin. 2032: first external mission audit. 2037: pre-secular-launch mission-fidelity report to Board. 2038 onward: annual reporting embedded permanently.</w:t>
      </w:r>
    </w:p>
    <w:p>
      <w:pPr>
        <w:pStyle w:val="BodyText"/>
      </w:pPr>
      <w:r>
        <w:rPr>
          <w:bCs/>
          <w:b/>
        </w:rPr>
        <w:t xml:space="preserve">Governance Responsibilities</w:t>
      </w:r>
    </w:p>
    <w:p>
      <w:pPr>
        <w:pStyle w:val="BodyText"/>
      </w:pPr>
      <w:r>
        <w:t xml:space="preserve">Senate (academic authority) owns Illumination, Sanad, Inquiry through curriculum and degree conferral. Board of Trustees owns Access and Morality’s financial dimension through exclusive tuition-setting and Commercial Engine firewall enforcement. The Independent Sharī’ah Advisory Board reports to both bodies but holds no unilateral authority — consistent with the bicameral design.</w:t>
      </w:r>
    </w:p>
    <w:p>
      <w:pPr>
        <w:pStyle w:val="BodyText"/>
      </w:pPr>
      <w:r>
        <w:rPr>
          <w:bCs/>
          <w:b/>
        </w:rPr>
        <w:t xml:space="preserve">Measurable Success Indicators</w:t>
      </w:r>
    </w:p>
    <w:p>
      <w:pPr>
        <w:pStyle w:val="BodyText"/>
      </w:pPr>
      <w:r>
        <w:t xml:space="preserve">By Year 5: documented mission-audit with no unresolved Sharī’ah-compliance exceptions. By Year 10: Tier-4/sponsored enrolment share sustained without breaching the $0-deficit rule. By 2038: secular-program revenue observably funding the same 5% Da’wah and 20% Waqf ratios as religious-program revenue, evidencing the mission survived diversification.</w:t>
      </w:r>
    </w:p>
    <w:bookmarkEnd w:id="24"/>
    <w:bookmarkStart w:id="25" w:name="section-3-governance-framework"/>
    <w:p>
      <w:pPr>
        <w:pStyle w:val="Heading2"/>
      </w:pPr>
      <w:r>
        <w:t xml:space="preserve">Section 3: Governance Framework</w:t>
      </w:r>
    </w:p>
    <w:p>
      <w:pPr>
        <w:pStyle w:val="FirstParagraph"/>
      </w:pPr>
      <w:r>
        <w:rPr>
          <w:bCs/>
          <w:b/>
        </w:rPr>
        <w:t xml:space="preserve">Rationale</w:t>
      </w:r>
    </w:p>
    <w:p>
      <w:pPr>
        <w:pStyle w:val="BodyText"/>
      </w:pPr>
      <w:r>
        <w:t xml:space="preserve">AMIU’s bicameral split (Board = strategy/finance/legal/tuition/Commercial Engine; Senate = academic authority) prevents the two most common Islamic-university failure modes: financial capture of academic decisions, and academic bodies overspending without fiduciary accountability. This section specifies the committee layer beneath both chambers and how information flows between them, since the Master Plan establishes the chambers but this blueprint must operationalize their interlock.</w:t>
      </w:r>
    </w:p>
    <w:p>
      <w:pPr>
        <w:pStyle w:val="BodyText"/>
      </w:pPr>
      <w:r>
        <w:rPr>
          <w:bCs/>
          <w:b/>
        </w:rPr>
        <w:t xml:space="preserve">Global Best Practices</w:t>
      </w:r>
    </w:p>
    <w:p>
      <w:pPr>
        <w:pStyle w:val="BodyText"/>
      </w:pPr>
      <w:r>
        <w:t xml:space="preserve">Mature nonprofit and university governance (AGB standards, INQAAHE-aligned quality frameworks, waqf-governance codes from Gulf endowment regulators) converge on four standing committees regardless of institutional size: an Audit &amp; Risk Committee independent of management; a dedicated endowment/waqf oversight body; an independent religious/ethics advisory board with no employment stake in outcomes; and a faculty affairs body protecting academic due process. AMIU adopts all four rather than inventing bespoke structures.</w:t>
      </w:r>
    </w:p>
    <w:p>
      <w:pPr>
        <w:pStyle w:val="BodyText"/>
      </w:pPr>
      <w:r>
        <w:rPr>
          <w:bCs/>
          <w:b/>
        </w:rPr>
        <w:t xml:space="preserve">Committee Structure Beneath the Two Chambers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Committee</w:t>
            </w:r>
          </w:p>
        </w:tc>
        <w:tc>
          <w:tcPr/>
          <w:p>
            <w:pPr>
              <w:pStyle w:val="Compact"/>
              <w:jc w:val="left"/>
            </w:pPr>
            <w:r>
              <w:t xml:space="preserve">Reports To</w:t>
            </w:r>
          </w:p>
        </w:tc>
        <w:tc>
          <w:tcPr/>
          <w:p>
            <w:pPr>
              <w:pStyle w:val="Compact"/>
              <w:jc w:val="left"/>
            </w:pPr>
            <w:r>
              <w:t xml:space="preserve">Core Mandate</w:t>
            </w:r>
          </w:p>
        </w:tc>
      </w:tr>
      <w:tr>
        <w:tc>
          <w:tcPr/>
          <w:p>
            <w:pPr>
              <w:pStyle w:val="Compact"/>
              <w:jc w:val="left"/>
            </w:pPr>
            <w:r>
              <w:t xml:space="preserve">Audit &amp; Risk Committee</w:t>
            </w:r>
          </w:p>
        </w:tc>
        <w:tc>
          <w:tcPr/>
          <w:p>
            <w:pPr>
              <w:pStyle w:val="Compact"/>
              <w:jc w:val="left"/>
            </w:pPr>
            <w:r>
              <w:t xml:space="preserve">Board of Trustees</w:t>
            </w:r>
          </w:p>
        </w:tc>
        <w:tc>
          <w:tcPr/>
          <w:p>
            <w:pPr>
              <w:pStyle w:val="Compact"/>
              <w:jc w:val="left"/>
            </w:pPr>
            <w:r>
              <w:t xml:space="preserve">Internal Audit oversight, Risk Register (14 items) monitoring, IRS nonprofit-compliance review</w:t>
            </w:r>
          </w:p>
        </w:tc>
      </w:tr>
      <w:tr>
        <w:tc>
          <w:tcPr/>
          <w:p>
            <w:pPr>
              <w:pStyle w:val="Compact"/>
              <w:jc w:val="left"/>
            </w:pPr>
            <w:r>
              <w:t xml:space="preserve">Waqf &amp; Endowment Board</w:t>
            </w:r>
          </w:p>
        </w:tc>
        <w:tc>
          <w:tcPr/>
          <w:p>
            <w:pPr>
              <w:pStyle w:val="Compact"/>
              <w:jc w:val="left"/>
            </w:pPr>
            <w:r>
              <w:t xml:space="preserve">Board (fiduciary) + Senate (2/3+2-independent vote on &gt;$250k/yr deployment)</w:t>
            </w:r>
          </w:p>
        </w:tc>
        <w:tc>
          <w:tcPr/>
          <w:p>
            <w:pPr>
              <w:pStyle w:val="Compact"/>
              <w:jc w:val="left"/>
            </w:pPr>
            <w:r>
              <w:t xml:space="preserve">Administers 20% Waqf allocation and five sub-categories; 14-day adjudication on Scholarship Block awards</w:t>
            </w:r>
          </w:p>
        </w:tc>
      </w:tr>
      <w:tr>
        <w:tc>
          <w:tcPr/>
          <w:p>
            <w:pPr>
              <w:pStyle w:val="Compact"/>
              <w:jc w:val="left"/>
            </w:pPr>
            <w:r>
              <w:t xml:space="preserve">Independent Sharī’ah Advisory Board</w:t>
            </w:r>
          </w:p>
        </w:tc>
        <w:tc>
          <w:tcPr/>
          <w:p>
            <w:pPr>
              <w:pStyle w:val="Compact"/>
              <w:jc w:val="left"/>
            </w:pPr>
            <w:r>
              <w:t xml:space="preserve">Senate (academic) with Board notification rights</w:t>
            </w:r>
          </w:p>
        </w:tc>
        <w:tc>
          <w:tcPr/>
          <w:p>
            <w:pPr>
              <w:pStyle w:val="Compact"/>
              <w:jc w:val="left"/>
            </w:pPr>
            <w:r>
              <w:t xml:space="preserve">Sharī’ah-compliance sign-off on curriculum, finance products, Commercial Engine ventures</w:t>
            </w:r>
          </w:p>
        </w:tc>
      </w:tr>
      <w:tr>
        <w:tc>
          <w:tcPr/>
          <w:p>
            <w:pPr>
              <w:pStyle w:val="Compact"/>
              <w:jc w:val="left"/>
            </w:pPr>
            <w:r>
              <w:t xml:space="preserve">Faculty Affairs Committee</w:t>
            </w:r>
          </w:p>
        </w:tc>
        <w:tc>
          <w:tcPr/>
          <w:p>
            <w:pPr>
              <w:pStyle w:val="Compact"/>
              <w:jc w:val="left"/>
            </w:pPr>
            <w:r>
              <w:t xml:space="preserve">Senate Group III (Heads of Department)</w:t>
            </w:r>
          </w:p>
        </w:tc>
        <w:tc>
          <w:tcPr/>
          <w:p>
            <w:pPr>
              <w:pStyle w:val="Compact"/>
              <w:jc w:val="left"/>
            </w:pPr>
            <w:r>
              <w:t xml:space="preserve">Faculty grievances, appointment due process, attrition/burnout monitoring (Risk Register item)</w:t>
            </w:r>
          </w:p>
        </w:tc>
      </w:tr>
    </w:tbl>
    <w:p>
      <w:pPr>
        <w:pStyle w:val="BodyText"/>
      </w:pPr>
      <w:r>
        <w:rPr>
          <w:bCs/>
          <w:b/>
        </w:rPr>
        <w:t xml:space="preserve">Implementation Phases (Target Years)</w:t>
      </w:r>
    </w:p>
    <w:p>
      <w:pPr>
        <w:pStyle w:val="BodyText"/>
      </w:pPr>
      <w:r>
        <w:t xml:space="preserve">Year 1 (2028): Audit &amp; Risk Committee and Waqf &amp; Endowment Board seated concurrently with Senate formation (both required for Year-1 disbursements to be lawful). Year 2 (2029): Faculty Affairs Committee formalized as first cohort of faculty is hired at scale. Year 3 (2030): Independent Sharī’ah Advisory Board formal charter finalized alongside ISO 21001 target; succession plans for founder-held Senate seats 2-4 due this year per Risk Register. Year 5 (2032): first full external audit cycle at 3,493-student scale. Year 10 (2037): governance structure stress-tested ahead of Programs 72-99 secular launch.</w:t>
      </w:r>
    </w:p>
    <w:p>
      <w:pPr>
        <w:pStyle w:val="BodyText"/>
      </w:pPr>
      <w:r>
        <w:rPr>
          <w:bCs/>
          <w:b/>
        </w:rPr>
        <w:t xml:space="preserve">Staffing Requirements</w:t>
      </w:r>
    </w:p>
    <w:p>
      <w:pPr>
        <w:pStyle w:val="BodyText"/>
      </w:pPr>
      <w:r>
        <w:t xml:space="preserve">All four committees are Founding-Decade honoraria/volunteer bodies drawn from the existing 18 Senate seats plus external independent experts (Sharī’ah scholars, a CPA/auditor for Audit &amp; Risk) — no dedicated FTE headcount in Phase I. A part-time Internal Audit function (contracted, not employee) becomes affordable inside the Core Admin Staff sub-line (18% of Payroll) around Year 3-5 as Payroll grows from $44,949 (Year 1) to $258,157 (Year 5).</w:t>
      </w:r>
    </w:p>
    <w:p>
      <w:pPr>
        <w:pStyle w:val="BodyText"/>
      </w:pPr>
      <w:r>
        <w:rPr>
          <w:bCs/>
          <w:b/>
        </w:rPr>
        <w:t xml:space="preserve">Annual Budget</w:t>
      </w:r>
    </w:p>
    <w:p>
      <w:pPr>
        <w:pStyle w:val="BodyText"/>
      </w:pPr>
      <w:r>
        <w:t xml:space="preserve">Committee operating costs are absorbed inside the Senate Stipends sub-line (18% of the 20% Payroll allocation: $8,091 Year 1 → $46,468 Year 5 → $137,900 Year 10) plus the Operating Expenses fixed 5% line for external audit fees ($11,237 Year 1 → $64,539 Year 5 → $191,527 Year 10). No committee should be budgeted beyond these existing envelopes without a Board-approved sub-allocation adjustment.</w:t>
      </w:r>
    </w:p>
    <w:p>
      <w:pPr>
        <w:pStyle w:val="BodyText"/>
      </w:pPr>
      <w:r>
        <w:rPr>
          <w:bCs/>
          <w:b/>
        </w:rPr>
        <w:t xml:space="preserve">KPIs</w:t>
      </w:r>
    </w:p>
    <w:p>
      <w:pPr>
        <w:pStyle w:val="BodyText"/>
      </w:pPr>
      <w:r>
        <w:t xml:space="preserve">Committee meeting-completion rate against annual calendar; number of Risk Register items with current mitigation status vs. stale/unreviewed; average Waqf Scholarship Block adjudication time (target: at or under the 14-day standard); Audit &amp; Risk findings closed within the fiscal year.</w:t>
      </w:r>
    </w:p>
    <w:p>
      <w:pPr>
        <w:pStyle w:val="BodyText"/>
      </w:pPr>
      <w:r>
        <w:rPr>
          <w:bCs/>
          <w:b/>
        </w:rPr>
        <w:t xml:space="preserve">Risks &amp; Mitigation</w:t>
      </w:r>
    </w:p>
    <w:p>
      <w:pPr>
        <w:pStyle w:val="BodyText"/>
      </w:pPr>
      <w:r>
        <w:t xml:space="preserve">Overlapping mandates (e.g., Sharī’ah Advisory Board vs. Waqf &amp; Endowment Board both touching Waqf deployment) are mitigated by the explicit fiduciary/academic split in the table above. Committee capture by founders is structurally prevented by the independence safeguard: founder compensation requires all four independent seats’ approval, and large Waqf deployments require 2/3 Senate plus ≥2 independent seats — no committee recommendation can bypass this.</w:t>
      </w:r>
    </w:p>
    <w:p>
      <w:pPr>
        <w:pStyle w:val="BodyText"/>
      </w:pPr>
      <w:r>
        <w:rPr>
          <w:bCs/>
          <w:b/>
        </w:rPr>
        <w:t xml:space="preserve">Annual Governance Calendar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Quarter</w:t>
            </w:r>
          </w:p>
        </w:tc>
        <w:tc>
          <w:tcPr/>
          <w:p>
            <w:pPr>
              <w:pStyle w:val="Compact"/>
              <w:jc w:val="left"/>
            </w:pPr>
            <w:r>
              <w:t xml:space="preserve">Board Activity</w:t>
            </w:r>
          </w:p>
        </w:tc>
        <w:tc>
          <w:tcPr/>
          <w:p>
            <w:pPr>
              <w:pStyle w:val="Compact"/>
              <w:jc w:val="left"/>
            </w:pPr>
            <w:r>
              <w:t xml:space="preserve">Senate/Committee Activity</w:t>
            </w:r>
          </w:p>
        </w:tc>
      </w:tr>
      <w:tr>
        <w:tc>
          <w:tcPr/>
          <w:p>
            <w:pPr>
              <w:pStyle w:val="Compact"/>
              <w:jc w:val="left"/>
            </w:pPr>
            <w:r>
              <w:t xml:space="preserve">Q1</w:t>
            </w:r>
          </w:p>
        </w:tc>
        <w:tc>
          <w:tcPr/>
          <w:p>
            <w:pPr>
              <w:pStyle w:val="Compact"/>
              <w:jc w:val="left"/>
            </w:pPr>
            <w:r>
              <w:t xml:space="preserve">Prior-year audited financials review</w:t>
            </w:r>
          </w:p>
        </w:tc>
        <w:tc>
          <w:tcPr/>
          <w:p>
            <w:pPr>
              <w:pStyle w:val="Compact"/>
              <w:jc w:val="left"/>
            </w:pPr>
            <w:r>
              <w:t xml:space="preserve">Waqf &amp; Endowment Board annual disbursement report</w:t>
            </w:r>
          </w:p>
        </w:tc>
      </w:tr>
      <w:tr>
        <w:tc>
          <w:tcPr/>
          <w:p>
            <w:pPr>
              <w:pStyle w:val="Compact"/>
              <w:jc w:val="left"/>
            </w:pPr>
            <w:r>
              <w:t xml:space="preserve">Q2</w:t>
            </w:r>
          </w:p>
        </w:tc>
        <w:tc>
          <w:tcPr/>
          <w:p>
            <w:pPr>
              <w:pStyle w:val="Compact"/>
              <w:jc w:val="left"/>
            </w:pPr>
            <w:r>
              <w:t xml:space="preserve">Tuition-tier review (exclusive authority)</w:t>
            </w:r>
          </w:p>
        </w:tc>
        <w:tc>
          <w:tcPr/>
          <w:p>
            <w:pPr>
              <w:pStyle w:val="Compact"/>
              <w:jc w:val="left"/>
            </w:pPr>
            <w:r>
              <w:t xml:space="preserve">Faculty Affairs annual review; Sharī’ah Advisory curriculum sign-off</w:t>
            </w:r>
          </w:p>
        </w:tc>
      </w:tr>
      <w:tr>
        <w:tc>
          <w:tcPr/>
          <w:p>
            <w:pPr>
              <w:pStyle w:val="Compact"/>
              <w:jc w:val="left"/>
            </w:pPr>
            <w:r>
              <w:t xml:space="preserve">Q3</w:t>
            </w:r>
          </w:p>
        </w:tc>
        <w:tc>
          <w:tcPr/>
          <w:p>
            <w:pPr>
              <w:pStyle w:val="Compact"/>
              <w:jc w:val="left"/>
            </w:pPr>
            <w:r>
              <w:t xml:space="preserve">Commercial Engine oversight review (firewall compliance)</w:t>
            </w:r>
          </w:p>
        </w:tc>
        <w:tc>
          <w:tcPr/>
          <w:p>
            <w:pPr>
              <w:pStyle w:val="Compact"/>
              <w:jc w:val="left"/>
            </w:pPr>
            <w:r>
              <w:t xml:space="preserve">Academic program review, degree-conferral cycle</w:t>
            </w:r>
          </w:p>
        </w:tc>
      </w:tr>
      <w:tr>
        <w:tc>
          <w:tcPr/>
          <w:p>
            <w:pPr>
              <w:pStyle w:val="Compact"/>
              <w:jc w:val="left"/>
            </w:pPr>
            <w:r>
              <w:t xml:space="preserve">Q4</w:t>
            </w:r>
          </w:p>
        </w:tc>
        <w:tc>
          <w:tcPr/>
          <w:p>
            <w:pPr>
              <w:pStyle w:val="Compact"/>
              <w:jc w:val="left"/>
            </w:pPr>
            <w:r>
              <w:t xml:space="preserve">Annual budget approval for coming fiscal year</w:t>
            </w:r>
          </w:p>
        </w:tc>
        <w:tc>
          <w:tcPr/>
          <w:p>
            <w:pPr>
              <w:pStyle w:val="Compact"/>
              <w:jc w:val="left"/>
            </w:pPr>
            <w:r>
              <w:t xml:space="preserve">Risk Register full review; succession-plan status check</w:t>
            </w:r>
          </w:p>
        </w:tc>
      </w:tr>
    </w:tbl>
    <w:p>
      <w:pPr>
        <w:pStyle w:val="BodyText"/>
      </w:pPr>
      <w:r>
        <w:rPr>
          <w:bCs/>
          <w:b/>
        </w:rPr>
        <w:t xml:space="preserve">Governance Responsibilities</w:t>
      </w:r>
    </w:p>
    <w:p>
      <w:pPr>
        <w:pStyle w:val="BodyText"/>
      </w:pPr>
      <w:r>
        <w:t xml:space="preserve">The Delegation of Authority Matrix already fixes Approving Authority/Executing Office pairs (e.g., Tuition/Fee Setting → Board exclusive; Degree Conferral → Senate exclusive; Waqf Allocation → joint per thresholds; Internal Audit → Audit &amp; Risk Committee reporting to Board). This blueprint adds only the committee reporting lines above it; it does not alter any Matrix assignment.</w:t>
      </w:r>
    </w:p>
    <w:p>
      <w:pPr>
        <w:pStyle w:val="BodyText"/>
      </w:pPr>
      <w:r>
        <w:rPr>
          <w:bCs/>
          <w:b/>
        </w:rPr>
        <w:t xml:space="preserve">Measurable Success Indicators</w:t>
      </w:r>
    </w:p>
    <w:p>
      <w:pPr>
        <w:pStyle w:val="BodyText"/>
      </w:pPr>
      <w:r>
        <w:t xml:space="preserve">By Year 3: all four committees operating on documented charters with succession plans filed for founder-held seats. By Year 5: zero unresolved Audit &amp; Risk findings older than 12 months. By Year 10: governance structure has survived a full decade including at least one founder-succession event without disruption to Senate quorum or Board fiduciary continuity.</w:t>
      </w:r>
    </w:p>
    <w:bookmarkEnd w:id="25"/>
    <w:bookmarkStart w:id="26" w:name="section-4-senate-structure"/>
    <w:p>
      <w:pPr>
        <w:pStyle w:val="Heading2"/>
      </w:pPr>
      <w:r>
        <w:t xml:space="preserve">Section 4: Senate Structure</w:t>
      </w:r>
    </w:p>
    <w:p>
      <w:pPr>
        <w:pStyle w:val="FirstParagraph"/>
      </w:pPr>
      <w:r>
        <w:rPr>
          <w:bCs/>
          <w:b/>
        </w:rPr>
        <w:t xml:space="preserve">Rationale</w:t>
      </w:r>
    </w:p>
    <w:p>
      <w:pPr>
        <w:pStyle w:val="BodyText"/>
      </w:pPr>
      <w:r>
        <w:t xml:space="preserve">The Senate is AMIU’s supreme academic authority, strictly capped at 18 seats to keep decision-making fast at small scale while remaining representative. This blueprint operationalizes — without altering — the canon seat count, groupings, quorum, and supermajority thresholds already adopted, and adds the procedural detail (elections, terms, succession) the Master Plan references but does not fully specify.</w:t>
      </w:r>
    </w:p>
    <w:p>
      <w:pPr>
        <w:pStyle w:val="BodyText"/>
      </w:pPr>
      <w:r>
        <w:rPr>
          <w:bCs/>
          <w:b/>
        </w:rPr>
        <w:t xml:space="preserve">Global Best Practices</w:t>
      </w:r>
    </w:p>
    <w:p>
      <w:pPr>
        <w:pStyle w:val="BodyText"/>
      </w:pPr>
      <w:r>
        <w:t xml:space="preserve">Small-institution academic senates that function well (as opposed to the 40-80-seat senates common at large research universities, which are frequently gridlocked) keep membership under 20, mix ex officio and elected seats, and reserve a fixed independent bloc immune from executive influence — exactly AMIU’s design with seats 8, 16, 17, 18 held independent.</w:t>
      </w:r>
    </w:p>
    <w:p>
      <w:pPr>
        <w:pStyle w:val="BodyText"/>
      </w:pPr>
      <w:r>
        <w:rPr>
          <w:bCs/>
          <w:b/>
        </w:rPr>
        <w:t xml:space="preserve">The 18-Seat Structure (Canon, Unaltered)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Seats</w:t>
            </w:r>
          </w:p>
        </w:tc>
        <w:tc>
          <w:tcPr/>
          <w:p>
            <w:pPr>
              <w:pStyle w:val="Compact"/>
              <w:jc w:val="left"/>
            </w:pPr>
            <w:r>
              <w:t xml:space="preserve">Composition</w:t>
            </w:r>
          </w:p>
        </w:tc>
      </w:tr>
      <w:tr>
        <w:tc>
          <w:tcPr/>
          <w:p>
            <w:pPr>
              <w:pStyle w:val="Compact"/>
              <w:jc w:val="left"/>
            </w:pPr>
            <w:r>
              <w:t xml:space="preserve">I — Executive Leadership</w:t>
            </w:r>
          </w:p>
        </w:tc>
        <w:tc>
          <w:tcPr/>
          <w:p>
            <w:pPr>
              <w:pStyle w:val="Compact"/>
              <w:jc w:val="left"/>
            </w:pPr>
            <w:r>
              <w:t xml:space="preserve">3</w:t>
            </w:r>
          </w:p>
        </w:tc>
        <w:tc>
          <w:tcPr/>
          <w:p>
            <w:pPr>
              <w:pStyle w:val="Compact"/>
              <w:jc w:val="left"/>
            </w:pPr>
            <w:r>
              <w:t xml:space="preserve">President &amp; VC (Chair); DVC Academic Affairs, Muhammad Al-Qumash PhD (Vice-Chair); DVC Admin &amp; Finance, Abdullah Turki PhD (Secretary)</w:t>
            </w:r>
          </w:p>
        </w:tc>
      </w:tr>
      <w:tr>
        <w:tc>
          <w:tcPr/>
          <w:p>
            <w:pPr>
              <w:pStyle w:val="Compact"/>
              <w:jc w:val="left"/>
            </w:pPr>
            <w:r>
              <w:t xml:space="preserve">II — Academic Operations</w:t>
            </w:r>
          </w:p>
        </w:tc>
        <w:tc>
          <w:tcPr/>
          <w:p>
            <w:pPr>
              <w:pStyle w:val="Compact"/>
              <w:jc w:val="left"/>
            </w:pPr>
            <w:r>
              <w:t xml:space="preserve">5</w:t>
            </w:r>
          </w:p>
        </w:tc>
        <w:tc>
          <w:tcPr/>
          <w:p>
            <w:pPr>
              <w:pStyle w:val="Compact"/>
              <w:jc w:val="left"/>
            </w:pPr>
            <w:r>
              <w:t xml:space="preserve">4 College Deans (covering 6 colleges in paired/single assignments) + University Librarian (independent seat)</w:t>
            </w:r>
          </w:p>
        </w:tc>
      </w:tr>
      <w:tr>
        <w:tc>
          <w:tcPr/>
          <w:p>
            <w:pPr>
              <w:pStyle w:val="Compact"/>
              <w:jc w:val="left"/>
            </w:pPr>
            <w:r>
              <w:t xml:space="preserve">III — Frontline Instructional Management</w:t>
            </w:r>
          </w:p>
        </w:tc>
        <w:tc>
          <w:tcPr/>
          <w:p>
            <w:pPr>
              <w:pStyle w:val="Compact"/>
              <w:jc w:val="left"/>
            </w:pPr>
            <w:r>
              <w:t xml:space="preserve">6</w:t>
            </w:r>
          </w:p>
        </w:tc>
        <w:tc>
          <w:tcPr/>
          <w:p>
            <w:pPr>
              <w:pStyle w:val="Compact"/>
              <w:jc w:val="left"/>
            </w:pPr>
            <w:r>
              <w:t xml:space="preserve">Heads of Department: Qur’ānic Studies &amp; Tafsīr, Hadith Sciences, Sharī’ah &amp; Fiqh, Aqeedah &amp; Islamic Philosophy, Arabic Language &amp; Linguistics, Da’wah &amp; Islamic Communication</w:t>
            </w:r>
          </w:p>
        </w:tc>
      </w:tr>
      <w:tr>
        <w:tc>
          <w:tcPr/>
          <w:p>
            <w:pPr>
              <w:pStyle w:val="Compact"/>
              <w:jc w:val="left"/>
            </w:pPr>
            <w:r>
              <w:t xml:space="preserve">IV — Institutional &amp; Digital Strategy</w:t>
            </w:r>
          </w:p>
        </w:tc>
        <w:tc>
          <w:tcPr/>
          <w:p>
            <w:pPr>
              <w:pStyle w:val="Compact"/>
              <w:jc w:val="left"/>
            </w:pPr>
            <w:r>
              <w:t xml:space="preserve">4</w:t>
            </w:r>
          </w:p>
        </w:tc>
        <w:tc>
          <w:tcPr/>
          <w:p>
            <w:pPr>
              <w:pStyle w:val="Compact"/>
              <w:jc w:val="left"/>
            </w:pPr>
            <w:r>
              <w:t xml:space="preserve">Director of Academic Planning &amp; LMS Infrastructure + 3 fully independent elected faculty representatives (no founder/executive role)</w:t>
            </w:r>
          </w:p>
        </w:tc>
      </w:tr>
    </w:tbl>
    <w:p>
      <w:pPr>
        <w:pStyle w:val="BodyText"/>
      </w:pPr>
      <w:r>
        <w:rPr>
          <w:bCs/>
          <w:b/>
        </w:rPr>
        <w:t xml:space="preserve">Election/Appointment Procedures</w:t>
      </w:r>
    </w:p>
    <w:p>
      <w:pPr>
        <w:pStyle w:val="BodyText"/>
      </w:pPr>
      <w:r>
        <w:t xml:space="preserve">Group I and Group IV’s Director seat are executive appointments confirmed by Board ratification. Group II Deans and Group III Department Heads are appointed by the DVC Academic Affairs subject to Senate confirmation vote (simple majority). The four fully independent seats (Librarian = Seat 8; three Group IV faculty reps = Seats 16-18) are filled by faculty-body election, one-member-one-vote among active instructional faculty, explicitly excluding founders and any Group I/II/III office-holder from candidacy — this is what makes them</w:t>
      </w:r>
      <w:r>
        <w:t xml:space="preserve"> </w:t>
      </w:r>
      <w:r>
        <w:t xml:space="preserve">“</w:t>
      </w:r>
      <w:r>
        <w:t xml:space="preserve">independent.</w:t>
      </w:r>
      <w:r>
        <w:t xml:space="preserve">”</w:t>
      </w:r>
      <w:r>
        <w:t xml:space="preserve"> </w:t>
      </w:r>
      <w:r>
        <w:t xml:space="preserve">Elections are administered by the Director of Academic Planning &amp; LMS Infrastructure as a neutral returning officer, with results certified by the Audit &amp; Risk Committee to prevent self-dealing.</w:t>
      </w:r>
    </w:p>
    <w:p>
      <w:pPr>
        <w:pStyle w:val="BodyText"/>
      </w:pPr>
      <w:r>
        <w:rPr>
          <w:bCs/>
          <w:b/>
        </w:rPr>
        <w:t xml:space="preserve">Terms</w:t>
      </w:r>
    </w:p>
    <w:p>
      <w:pPr>
        <w:pStyle w:val="BodyText"/>
      </w:pPr>
      <w:r>
        <w:t xml:space="preserve">Ex officio seats (Groups I-III, Seat 15 Director) run concurrent with the underlying office/appointment. Independent elected seats (8, 16, 17, 18) serve staggered 3-year terms, renewable once consecutively, to balance continuity against entrenchment; a seat-holder may not serve more than two consecutive terms without a one-term gap.</w:t>
      </w:r>
    </w:p>
    <w:p>
      <w:pPr>
        <w:pStyle w:val="BodyText"/>
      </w:pPr>
      <w:r>
        <w:rPr>
          <w:bCs/>
          <w:b/>
        </w:rPr>
        <w:t xml:space="preserve">Quorum and Voting Thresholds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 Type</w:t>
            </w:r>
          </w:p>
        </w:tc>
        <w:tc>
          <w:tcPr/>
          <w:p>
            <w:pPr>
              <w:pStyle w:val="Compact"/>
              <w:jc w:val="left"/>
            </w:pPr>
            <w:r>
              <w:t xml:space="preserve">Threshold</w:t>
            </w:r>
          </w:p>
        </w:tc>
      </w:tr>
      <w:tr>
        <w:tc>
          <w:tcPr/>
          <w:p>
            <w:pPr>
              <w:pStyle w:val="Compact"/>
              <w:jc w:val="left"/>
            </w:pPr>
            <w:r>
              <w:t xml:space="preserve">Ordinary business (curriculum, standard academic matters)</w:t>
            </w:r>
          </w:p>
        </w:tc>
        <w:tc>
          <w:tcPr/>
          <w:p>
            <w:pPr>
              <w:pStyle w:val="Compact"/>
              <w:jc w:val="left"/>
            </w:pPr>
            <w:r>
              <w:t xml:space="preserve">Simple majority of seated members, quorum = 10 of 18</w:t>
            </w:r>
          </w:p>
        </w:tc>
      </w:tr>
      <w:tr>
        <w:tc>
          <w:tcPr/>
          <w:p>
            <w:pPr>
              <w:pStyle w:val="Compact"/>
              <w:jc w:val="left"/>
            </w:pPr>
            <w:r>
              <w:t xml:space="preserve">Waqf deployment above $250,000/yr</w:t>
            </w:r>
          </w:p>
        </w:tc>
        <w:tc>
          <w:tcPr/>
          <w:p>
            <w:pPr>
              <w:pStyle w:val="Compact"/>
              <w:jc w:val="left"/>
            </w:pPr>
            <w:r>
              <w:t xml:space="preserve">2/3 Senate vote (12 of 18) including ≥2 of the 4 independent seats</w:t>
            </w:r>
          </w:p>
        </w:tc>
      </w:tr>
      <w:tr>
        <w:tc>
          <w:tcPr/>
          <w:p>
            <w:pPr>
              <w:pStyle w:val="Compact"/>
              <w:jc w:val="left"/>
            </w:pPr>
            <w:r>
              <w:t xml:space="preserve">Founders’ compensation</w:t>
            </w:r>
          </w:p>
        </w:tc>
        <w:tc>
          <w:tcPr/>
          <w:p>
            <w:pPr>
              <w:pStyle w:val="Compact"/>
              <w:jc w:val="left"/>
            </w:pPr>
            <w:r>
              <w:t xml:space="preserve">Unanimous affirmative approval from all 4 independent seats (8, 16, 17, 18) — no exceptions, no proxy override</w:t>
            </w:r>
          </w:p>
        </w:tc>
      </w:tr>
      <w:tr>
        <w:tc>
          <w:tcPr/>
          <w:p>
            <w:pPr>
              <w:pStyle w:val="Compact"/>
              <w:jc w:val="left"/>
            </w:pPr>
            <w:r>
              <w:t xml:space="preserve">Degree conferral / new program approval</w:t>
            </w:r>
          </w:p>
        </w:tc>
        <w:tc>
          <w:tcPr/>
          <w:p>
            <w:pPr>
              <w:pStyle w:val="Compact"/>
              <w:jc w:val="left"/>
            </w:pPr>
            <w:r>
              <w:t xml:space="preserve">Simple majority with mandatory Independent Sharī’ah Advisory Board sign-off precondition</w:t>
            </w:r>
          </w:p>
        </w:tc>
      </w:tr>
    </w:tbl>
    <w:p>
      <w:pPr>
        <w:pStyle w:val="BodyText"/>
      </w:pPr>
      <w:r>
        <w:rPr>
          <w:bCs/>
          <w:b/>
        </w:rPr>
        <w:t xml:space="preserve">Implementation Phases (Target Years)</w:t>
      </w:r>
    </w:p>
    <w:p>
      <w:pPr>
        <w:pStyle w:val="BodyText"/>
      </w:pPr>
      <w:r>
        <w:t xml:space="preserve">Year 1 (2028): full 18-seat Senate seated at launch, all Group I-III positions filled given the university cannot operate academically without them. Year 2-3 (2029-2030): first independent-seat elections held once faculty body reaches sufficient size to hold a genuine election (not a formality); succession plans filed for Seats 2-4 (the founder-linked executive seats) per Risk Register key-person mitigation. Year 5 (2032): first staggered-term rotation of independent seats. Year 10 (2037): Senate structure reviewed for adequacy ahead of Programs 72-99, though the 18-seat cap itself is canon and not proposed for change here — any expansion would require a future Master Plan amendment, not this blueprint.</w:t>
      </w:r>
    </w:p>
    <w:p>
      <w:pPr>
        <w:pStyle w:val="BodyText"/>
      </w:pPr>
      <w:r>
        <w:rPr>
          <w:bCs/>
          <w:b/>
        </w:rPr>
        <w:t xml:space="preserve">Staffing Requirements</w:t>
      </w:r>
    </w:p>
    <w:p>
      <w:pPr>
        <w:pStyle w:val="BodyText"/>
      </w:pPr>
      <w:r>
        <w:t xml:space="preserve">All 18 seats are honoraria-based in the Founding Decade, funded from the Senate Stipends sub-line (18% of Payroll: $8,091 Year 1 / $46,468 Year 5 / $137,900 Year 10). No seat is a full-time salaried position in Phase I; several seat-holders (Deans, Department Heads) are also teaching faculty drawing separately from the 40% Faculty Honoraria sub-line.</w:t>
      </w:r>
    </w:p>
    <w:p>
      <w:pPr>
        <w:pStyle w:val="BodyText"/>
      </w:pPr>
      <w:r>
        <w:rPr>
          <w:bCs/>
          <w:b/>
        </w:rPr>
        <w:t xml:space="preserve">Annual Budget</w:t>
      </w:r>
    </w:p>
    <w:p>
      <w:pPr>
        <w:pStyle w:val="BodyText"/>
      </w:pPr>
      <w:r>
        <w:t xml:space="preserve">Senate operation (stipends, election administration, meeting logistics) draws exclusively from the 18% Senate Stipends sub-line of the fixed 20% Payroll allocation — no separate line exists or should be created without Board-approved resolution.</w:t>
      </w:r>
    </w:p>
    <w:p>
      <w:pPr>
        <w:pStyle w:val="BodyText"/>
      </w:pPr>
      <w:r>
        <w:rPr>
          <w:bCs/>
          <w:b/>
        </w:rPr>
        <w:t xml:space="preserve">Risks &amp; Mitigation</w:t>
      </w:r>
    </w:p>
    <w:p>
      <w:pPr>
        <w:pStyle w:val="BodyText"/>
      </w:pPr>
      <w:r>
        <w:t xml:space="preserve">Key-person risk (3 founders occupying influence over Seats 2-4) is the most material Senate-specific risk on the Register; mitigation is the Year-3 (2030) mandatory succession-plan filing, reviewed annually by the Audit &amp; Risk Committee. Independent-seat capture risk is mitigated by returning-officer neutrality and Audit &amp; Risk certification of election results. Quorum failure risk (small faculty body in Year 1-2) is mitigated by ex officio seats (Groups I-III) being immediately fillable regardless of election timing, ensuring the Senate can convene from Day 1 even before independent elections mature.</w:t>
      </w:r>
    </w:p>
    <w:p>
      <w:pPr>
        <w:pStyle w:val="BodyText"/>
      </w:pPr>
      <w:r>
        <w:rPr>
          <w:bCs/>
          <w:b/>
        </w:rPr>
        <w:t xml:space="preserve">Timeline</w:t>
      </w:r>
    </w:p>
    <w:p>
      <w:pPr>
        <w:pStyle w:val="BodyText"/>
      </w:pPr>
      <w:r>
        <w:t xml:space="preserve">2028: full seating. 2029: succession-plan drafting begins. 2030: succession plans filed (Risk Register deadline); first genuine independent elections targeted. 2032: first staggered rotation. 2037: decade-mark structural review (no seat-count change without formal amendment).</w:t>
      </w:r>
    </w:p>
    <w:p>
      <w:pPr>
        <w:pStyle w:val="BodyText"/>
      </w:pPr>
      <w:r>
        <w:rPr>
          <w:bCs/>
          <w:b/>
        </w:rPr>
        <w:t xml:space="preserve">Governance Responsibilities</w:t>
      </w:r>
    </w:p>
    <w:p>
      <w:pPr>
        <w:pStyle w:val="BodyText"/>
      </w:pPr>
      <w:r>
        <w:t xml:space="preserve">The Senate holds supreme academic authority: curriculum, standards, degree conferral (per the Delegation of Authority Matrix). It has no authority over tuition, Commercial Engine matters, or annual budget approval — those remain Board-exclusive. Its sole financial powers are the two supermajority votes above (large Waqf deployment concurrence, founder-compensation approval), both designed as checks on the Board/founders rather than independent spending authority.</w:t>
      </w:r>
    </w:p>
    <w:p>
      <w:pPr>
        <w:pStyle w:val="BodyText"/>
      </w:pPr>
      <w:r>
        <w:rPr>
          <w:bCs/>
          <w:b/>
        </w:rPr>
        <w:t xml:space="preserve">Measurable Success Indicators</w:t>
      </w:r>
    </w:p>
    <w:p>
      <w:pPr>
        <w:pStyle w:val="BodyText"/>
      </w:pPr>
      <w:r>
        <w:t xml:space="preserve">By Year 3: succession plans filed and independent elections held without contested-result disputes. By Year 5: zero quorum failures recorded. By Year 10: at least one full staggered-term rotation cycle completed for all four independent seats with documented continuity of institutional knowledge.</w:t>
      </w:r>
    </w:p>
    <w:bookmarkEnd w:id="26"/>
    <w:bookmarkStart w:id="27" w:name="section-5-board-structure"/>
    <w:p>
      <w:pPr>
        <w:pStyle w:val="Heading2"/>
      </w:pPr>
      <w:r>
        <w:t xml:space="preserve">Section 5: Board Structure</w:t>
      </w:r>
    </w:p>
    <w:p>
      <w:pPr>
        <w:pStyle w:val="FirstParagraph"/>
      </w:pPr>
      <w:r>
        <w:rPr>
          <w:bCs/>
          <w:b/>
        </w:rPr>
        <w:t xml:space="preserve">Rationale</w:t>
      </w:r>
    </w:p>
    <w:p>
      <w:pPr>
        <w:pStyle w:val="BodyText"/>
      </w:pPr>
      <w:r>
        <w:t xml:space="preserve">The Board of Trustees is AMIU’s supreme authority over strategy, finance, legal compliance, and holds exclusive, non-delegable power over tuition/fee-setting and Commercial Engine oversight — the firewall that keeps investor capital in AMIU Global Services LLC permanently separated from tuition revenue and religious-exemption status. This section details Board composition, powers, and the recruitment/term discipline needed to keep that firewall credible for decades, not just at incorporation.</w:t>
      </w:r>
    </w:p>
    <w:p>
      <w:pPr>
        <w:pStyle w:val="BodyText"/>
      </w:pPr>
      <w:r>
        <w:rPr>
          <w:bCs/>
          <w:b/>
        </w:rPr>
        <w:t xml:space="preserve">Global Best Practices</w:t>
      </w:r>
    </w:p>
    <w:p>
      <w:pPr>
        <w:pStyle w:val="BodyText"/>
      </w:pPr>
      <w:r>
        <w:t xml:space="preserve">Nonprofit governance codes (BoardSource, AGB) and waqf-endowment regulatory codes converge on: skills-based (not purely honorary) trustee recruitment; fixed term limits with staggered rotation to avoid founder-board ossification; a standing conflict-of-interest policy with mandatory annual disclosure; and clear separation between founder/visionary roles and independent fiduciary oversight roles on the same board. AMIU’s advisory/committee-role composition follows this pattern.</w:t>
      </w:r>
    </w:p>
    <w:p>
      <w:pPr>
        <w:pStyle w:val="BodyText"/>
      </w:pPr>
      <w:r>
        <w:rPr>
          <w:bCs/>
          <w:b/>
        </w:rPr>
        <w:t xml:space="preserve">Board Composition (Advisory/Committee Roles Under the Board)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Function</w:t>
            </w:r>
          </w:p>
        </w:tc>
      </w:tr>
      <w:tr>
        <w:tc>
          <w:tcPr/>
          <w:p>
            <w:pPr>
              <w:pStyle w:val="Compact"/>
              <w:jc w:val="left"/>
            </w:pPr>
            <w:r>
              <w:t xml:space="preserve">Chairman</w:t>
            </w:r>
          </w:p>
        </w:tc>
        <w:tc>
          <w:tcPr/>
          <w:p>
            <w:pPr>
              <w:pStyle w:val="Compact"/>
              <w:jc w:val="left"/>
            </w:pPr>
            <w:r>
              <w:t xml:space="preserve">Presides over Board meetings, tie-breaking authority, primary liaison to the Senate Chair (President &amp; VC)</w:t>
            </w:r>
          </w:p>
        </w:tc>
      </w:tr>
      <w:tr>
        <w:tc>
          <w:tcPr/>
          <w:p>
            <w:pPr>
              <w:pStyle w:val="Compact"/>
              <w:jc w:val="left"/>
            </w:pPr>
            <w:r>
              <w:t xml:space="preserve">Vision Architect / Founder</w:t>
            </w:r>
          </w:p>
        </w:tc>
        <w:tc>
          <w:tcPr/>
          <w:p>
            <w:pPr>
              <w:pStyle w:val="Compact"/>
              <w:jc w:val="left"/>
            </w:pPr>
            <w:r>
              <w:t xml:space="preserve">Strategic continuity, mission-fidelity input; subject to the same conflict-of-interest and compensation-approval constraints as any founder (Senate 4-independent-seat unanimity required for compensation)</w:t>
            </w:r>
          </w:p>
        </w:tc>
      </w:tr>
      <w:tr>
        <w:tc>
          <w:tcPr/>
          <w:p>
            <w:pPr>
              <w:pStyle w:val="Compact"/>
              <w:jc w:val="left"/>
            </w:pPr>
            <w:r>
              <w:t xml:space="preserve">Governance Specialist</w:t>
            </w:r>
          </w:p>
        </w:tc>
        <w:tc>
          <w:tcPr/>
          <w:p>
            <w:pPr>
              <w:pStyle w:val="Compact"/>
              <w:jc w:val="left"/>
            </w:pPr>
            <w:r>
              <w:t xml:space="preserve">Board policy, bylaws maintenance, committee-charter oversight</w:t>
            </w:r>
          </w:p>
        </w:tc>
      </w:tr>
      <w:tr>
        <w:tc>
          <w:tcPr/>
          <w:p>
            <w:pPr>
              <w:pStyle w:val="Compact"/>
              <w:jc w:val="left"/>
            </w:pPr>
            <w:r>
              <w:t xml:space="preserve">Accreditation Consultant</w:t>
            </w:r>
          </w:p>
        </w:tc>
        <w:tc>
          <w:tcPr/>
          <w:p>
            <w:pPr>
              <w:pStyle w:val="Compact"/>
              <w:jc w:val="left"/>
            </w:pPr>
            <w:r>
              <w:t xml:space="preserve">Guides the multi-jurisdiction accreditation pipeline (Texas → Gambia/NAQAA → ISO 21001 → CPD → future Gulf/Nigeria)</w:t>
            </w:r>
          </w:p>
        </w:tc>
      </w:tr>
      <w:tr>
        <w:tc>
          <w:tcPr/>
          <w:p>
            <w:pPr>
              <w:pStyle w:val="Compact"/>
              <w:jc w:val="left"/>
            </w:pPr>
            <w:r>
              <w:t xml:space="preserve">Legal Affairs Director</w:t>
            </w:r>
          </w:p>
        </w:tc>
        <w:tc>
          <w:tcPr/>
          <w:p>
            <w:pPr>
              <w:pStyle w:val="Compact"/>
              <w:jc w:val="left"/>
            </w:pPr>
            <w:r>
              <w:t xml:space="preserve">Texas nonprofit compliance, IRS 501(c)(3) religious-exemption maintenance, Commercial Engine firewall legal enforcement</w:t>
            </w:r>
          </w:p>
        </w:tc>
      </w:tr>
      <w:tr>
        <w:tc>
          <w:tcPr/>
          <w:p>
            <w:pPr>
              <w:pStyle w:val="Compact"/>
              <w:jc w:val="left"/>
            </w:pPr>
            <w:r>
              <w:t xml:space="preserve">Nonprofit/Endowment Governance Expert</w:t>
            </w:r>
          </w:p>
        </w:tc>
        <w:tc>
          <w:tcPr/>
          <w:p>
            <w:pPr>
              <w:pStyle w:val="Compact"/>
              <w:jc w:val="left"/>
            </w:pPr>
            <w:r>
              <w:t xml:space="preserve">Waqf &amp; Endowment Board liaison, fiduciary best-practice oversight</w:t>
            </w:r>
          </w:p>
        </w:tc>
      </w:tr>
    </w:tbl>
    <w:p>
      <w:pPr>
        <w:pStyle w:val="BodyText"/>
      </w:pPr>
      <w:r>
        <w:rPr>
          <w:bCs/>
          <w:b/>
        </w:rPr>
        <w:t xml:space="preserve">Exclusive Board Powers</w:t>
      </w:r>
    </w:p>
    <w:p>
      <w:pPr>
        <w:pStyle w:val="BodyText"/>
      </w:pPr>
      <w:r>
        <w:t xml:space="preserve">Per the Delegation of Authority Matrix, three powers are Board-exclusive and cannot be delegated to the Senate or any committee: (1) Tuition/Fee Setting across all four global purchasing-power tiers and all scholarship-discount structures; (2) Commercial Engine Oversight — enforcing the legal/financial firewall between AMIU (100% tuition-funded nonprofit) and AMIU Global Services LLC (investor-capitalized, Gate A agribusiness/Gate B real estate); (3) Annual Budget Approval, confirming allocation across the seven fixed percentages before each fiscal year.</w:t>
      </w:r>
    </w:p>
    <w:p>
      <w:pPr>
        <w:pStyle w:val="BodyText"/>
      </w:pPr>
      <w:r>
        <w:rPr>
          <w:bCs/>
          <w:b/>
        </w:rPr>
        <w:t xml:space="preserve">Implementation Phases (Target Years)</w:t>
      </w:r>
    </w:p>
    <w:p>
      <w:pPr>
        <w:pStyle w:val="BodyText"/>
      </w:pPr>
      <w:r>
        <w:t xml:space="preserve">Year 1 (2028): Board seated concurrently with incorporation (6 December 2027) and academic launch (1 January 2028); Chairman, Founder role(s), and at minimum Legal Affairs Director must be filled before first tuition dollar is collected. Year 2-3 (2029-2030): Accreditation Consultant role activated ahead of ISO 21001 (2030) and CPD (2029) targets; Governance Specialist formalizes committee charters (Audit &amp; Risk, Waqf &amp; Endowment). Year 5 (2032): first full trustee-term rotation begins. Year 10 (2037): Board composition reviewed for adequacy ahead of the Programs 72-99 secular launch and its added legal/accreditation complexity (7 new schools, Texas secular accreditation targeted 2039).</w:t>
      </w:r>
    </w:p>
    <w:p>
      <w:pPr>
        <w:pStyle w:val="BodyText"/>
      </w:pPr>
      <w:r>
        <w:rPr>
          <w:bCs/>
          <w:b/>
        </w:rPr>
        <w:t xml:space="preserve">Staffing Requirements</w:t>
      </w:r>
    </w:p>
    <w:p>
      <w:pPr>
        <w:pStyle w:val="BodyText"/>
      </w:pPr>
      <w:r>
        <w:t xml:space="preserve">Trustee roles are non-employee governance positions (typically uncompensated or modest per-meeting honoraria, distinct from the Senate Stipends line) in the Founding Decade — this is standard nonprofit-board practice and keeps Board service structurally separate from the Payroll allocation that funds Senate/faculty/admin. If any trustee role converts to paid staff (e.g., a compliance officer supporting the Legal Affairs Director) as complexity grows post-2038, that cost is drawn from Core Admin Staff (18% of Payroll), not created as a new category.</w:t>
      </w:r>
    </w:p>
    <w:p>
      <w:pPr>
        <w:pStyle w:val="BodyText"/>
      </w:pPr>
      <w:r>
        <w:rPr>
          <w:bCs/>
          <w:b/>
        </w:rPr>
        <w:t xml:space="preserve">Annual Budget</w:t>
      </w:r>
    </w:p>
    <w:p>
      <w:pPr>
        <w:pStyle w:val="BodyText"/>
      </w:pPr>
      <w:r>
        <w:t xml:space="preserve">Board operations (meeting logistics, external legal/accreditation-consultant fees where trustees are advisory rather than staff) draw from the fixed 5% Operating Expenses line ($11,237 Year 1 → $64,539 Year 5 → $191,527 Year 10). Texas formation costs (~$1,015 one-time) were already absorbed in Year-1 OpEx per the Master Plan. ISO 21001 ($12,000 initial + $3,500/yr) and CPD ($4,000 initial + $1,200/yr) accreditation costs likewise sit inside this same 5% OpEx envelope and must be sequenced so cumulative Year 1-3 OpEx draws do not exceed what 5% of actual revenue supports at that scale.</w:t>
      </w:r>
    </w:p>
    <w:p>
      <w:pPr>
        <w:pStyle w:val="BodyText"/>
      </w:pPr>
      <w:r>
        <w:rPr>
          <w:bCs/>
          <w:b/>
        </w:rPr>
        <w:t xml:space="preserve">KPIs</w:t>
      </w:r>
    </w:p>
    <w:p>
      <w:pPr>
        <w:pStyle w:val="BodyText"/>
      </w:pPr>
      <w:r>
        <w:t xml:space="preserve">Trustee meeting attendance rate; conflict-of-interest disclosures filed on schedule (annual, 100% compliance target); Commercial Engine firewall audit findings (target: zero commingling findings per fiscal year); tuition-tier decisions made within Board-exclusive process with no Senate encroachment recorded.</w:t>
      </w:r>
    </w:p>
    <w:p>
      <w:pPr>
        <w:pStyle w:val="BodyText"/>
      </w:pPr>
      <w:r>
        <w:rPr>
          <w:bCs/>
          <w:b/>
        </w:rPr>
        <w:t xml:space="preserve">Risks &amp; Mitigation</w:t>
      </w:r>
    </w:p>
    <w:p>
      <w:pPr>
        <w:pStyle w:val="BodyText"/>
      </w:pPr>
      <w:r>
        <w:t xml:space="preserve">The Commercial Engine underperformance and credibility/offering risks (Risk Register items) are mitigated structurally: no tuition revenue may ever fund investor returns, no shared bank accounts exist, and any future amendment reopening that path requires full Senate independent-seat supermajority plus independent legal counsel opinion — a Board cannot unilaterally weaken the firewall. IRS nonprofit/for-profit commingling scrutiny risk is mitigated by the Legal Affairs Director’s standing mandate to certify firewall integrity annually to the Audit &amp; Risk Committee. Trustee entrenchment risk is mitigated by term limits and staggered rotation (below).</w:t>
      </w:r>
    </w:p>
    <w:p>
      <w:pPr>
        <w:pStyle w:val="BodyText"/>
      </w:pPr>
      <w:r>
        <w:rPr>
          <w:bCs/>
          <w:b/>
        </w:rPr>
        <w:t xml:space="preserve">Trustee Recruitment, Term Limits, and Conflict-of-Interest Policy</w:t>
      </w:r>
    </w:p>
    <w:p>
      <w:pPr>
        <w:pStyle w:val="BodyText"/>
      </w:pPr>
      <w:r>
        <w:t xml:space="preserve">Recruitment is skills-based against the six named roles above, not honorary; candidates are vetted by the Governance Specialist function and confirmed by existing trustees. Standard term is 3 years, renewable up to two consecutive terms (6 years), then a mandatory one-term gap before eligibility to serve again — mirroring the Senate independent-seat discipline for consistency across the bicameral structure. Founder/Vision Architect continuity is the one role permitted longer tenure given key-person considerations, but founder compensation remains subject to the Senate’s 4-independent-seat unanimous-approval check regardless of Board term length, preventing the founder role from becoming self-dealing by default. All trustees file annual written conflict-of-interest disclosures, reviewed by the Audit &amp; Risk Committee, with mandatory recusal on any vote where a disclosed interest exists (particularly relevant for Commercial Engine oversight votes involving the Founder role).</w:t>
      </w:r>
    </w:p>
    <w:p>
      <w:pPr>
        <w:pStyle w:val="BodyText"/>
      </w:pPr>
      <w:r>
        <w:rPr>
          <w:bCs/>
          <w:b/>
        </w:rPr>
        <w:t xml:space="preserve">Timeline</w:t>
      </w:r>
    </w:p>
    <w:p>
      <w:pPr>
        <w:pStyle w:val="BodyText"/>
      </w:pPr>
      <w:r>
        <w:t xml:space="preserve">2027 (Dec): incorporation, initial Board seated. 2028: academic launch, tuition tiers first set. 2029-2030: Accreditation Consultant activated for CPD/ISO milestones. 2032: first trustee-term rotation. 2037: Board composition review ahead of secular expansion. 2039: Board oversight of Texas secular accreditation completion (targeted).</w:t>
      </w:r>
    </w:p>
    <w:p>
      <w:pPr>
        <w:pStyle w:val="BodyText"/>
      </w:pPr>
      <w:r>
        <w:rPr>
          <w:bCs/>
          <w:b/>
        </w:rPr>
        <w:t xml:space="preserve">Governance Responsibilities</w:t>
      </w:r>
    </w:p>
    <w:p>
      <w:pPr>
        <w:pStyle w:val="BodyText"/>
      </w:pPr>
      <w:r>
        <w:t xml:space="preserve">Per the Delegation of Authority Matrix, the Board is Approving Authority for Institutional Strategy, Annual Budget, Tuition/Fee Setting, and Commercial Engine Oversight, with the Executing Office typically being DVC Admin &amp; Finance (Abdullah Turki) for budget/finance execution and the Legal Affairs Director for firewall compliance execution. The Board’s relationship to the Senate is strictly non-overlapping by design: the Board never sets curriculum or confers degrees, and the Senate never sets tuition or governs the Commercial Engine — each chamber checks the other only at the specific junctures the Matrix defines (e.g., Waqf deployment above $250,000/yr requiring Senate supermajority concurrence even though Waqf sits within Board fiduciary oversight).</w:t>
      </w:r>
    </w:p>
    <w:p>
      <w:pPr>
        <w:pStyle w:val="BodyText"/>
      </w:pPr>
      <w:r>
        <w:rPr>
          <w:bCs/>
          <w:b/>
        </w:rPr>
        <w:t xml:space="preserve">Measurable Success Indicators</w:t>
      </w:r>
    </w:p>
    <w:p>
      <w:pPr>
        <w:pStyle w:val="BodyText"/>
      </w:pPr>
      <w:r>
        <w:t xml:space="preserve">By Year 3: all six advisory/committee roles filled with documented skills-based rationale and first conflict-of-interest disclosure cycle complete. By Year 5: zero Commercial Engine firewall breaches recorded, first trustee rotation completed on schedule. By Year 10: Board has successfully overseen four full tuition-tier review cycles and at least one full accreditation-pipeline milestone sequence (Gambia/NAQAA, ISO 21001, CPD) without a single instance of tuition revenue crossing into Commercial Engine accounts.</w:t>
      </w:r>
    </w:p>
    <w:p>
      <w:r>
        <w:pict>
          <v:rect style="width:0;height:1.5pt" o:hralign="center" o:hrstd="t" o:hr="t"/>
        </w:pict>
      </w:r>
    </w:p>
    <w:bookmarkEnd w:id="27"/>
    <w:bookmarkStart w:id="28" w:name="Xc4fe29e821a1e1eecedf31145a56df2f47c6700"/>
    <w:p>
      <w:pPr>
        <w:pStyle w:val="Heading2"/>
      </w:pPr>
      <w:r>
        <w:t xml:space="preserve">Part II — Organizational &amp; Academic Structure (Sections 6–10)</w:t>
      </w:r>
    </w:p>
    <w:bookmarkEnd w:id="28"/>
    <w:bookmarkStart w:id="29" w:name="section-6-organizational-chart"/>
    <w:p>
      <w:pPr>
        <w:pStyle w:val="Heading2"/>
      </w:pPr>
      <w:r>
        <w:t xml:space="preserve">Section 6: Organizational Chart</w:t>
      </w:r>
    </w:p>
    <w:p>
      <w:pPr>
        <w:pStyle w:val="FirstParagraph"/>
      </w:pPr>
      <w:r>
        <w:rPr>
          <w:bCs/>
          <w:b/>
        </w:rPr>
        <w:t xml:space="preserve">Rationale</w:t>
      </w:r>
    </w:p>
    <w:p>
      <w:pPr>
        <w:pStyle w:val="BodyText"/>
      </w:pPr>
      <w:r>
        <w:t xml:space="preserve">AMIU’s mission demands governance that stays credible at $224,747 in annual revenue and still scales to $93.9M without re-engineering its constitution. A single fixed bicameral structure — Board of Trustees for money/law, 18-seat Senate for academic authority — is designed to absorb 30x enrolment growth by adding</w:t>
      </w:r>
      <w:r>
        <w:t xml:space="preserve"> </w:t>
      </w:r>
      <w:r>
        <w:rPr>
          <w:iCs/>
          <w:i/>
        </w:rPr>
        <w:t xml:space="preserve">people under</w:t>
      </w:r>
      <w:r>
        <w:t xml:space="preserve"> </w:t>
      </w:r>
      <w:r>
        <w:t xml:space="preserve">fixed seats rather than</w:t>
      </w:r>
      <w:r>
        <w:t xml:space="preserve"> </w:t>
      </w:r>
      <w:r>
        <w:rPr>
          <w:iCs/>
          <w:i/>
        </w:rPr>
        <w:t xml:space="preserve">adding seats</w:t>
      </w:r>
      <w:r>
        <w:t xml:space="preserve">, preserving auditability and avoiding governance creep.</w:t>
      </w:r>
    </w:p>
    <w:p>
      <w:pPr>
        <w:pStyle w:val="BodyText"/>
      </w:pPr>
      <w:r>
        <w:rPr>
          <w:bCs/>
          <w:b/>
        </w:rPr>
        <w:t xml:space="preserve">Global Best Practices</w:t>
      </w:r>
    </w:p>
    <w:p>
      <w:pPr>
        <w:pStyle w:val="BodyText"/>
      </w:pPr>
      <w:r>
        <w:t xml:space="preserve">Lean founding-era Islamic and faith-based institutions (e.g., early-stage seminaries and waqf-funded colleges) typically over-index on unpaid/honorary leadership before hiring administration; secular accreditation bodies (SACSCOC-model) expect a documented chain from Board → academic senate → dean → department chair regardless of institution size — AMIU’s Delegation of Authority Matrix satisfies this from Year 1 rather than retrofitting it at accreditation time.</w:t>
      </w:r>
    </w:p>
    <w:p>
      <w:pPr>
        <w:pStyle w:val="BodyText"/>
      </w:pPr>
      <w:r>
        <w:rPr>
          <w:bCs/>
          <w:b/>
        </w:rPr>
        <w:t xml:space="preserve">Year 1 (2028) — Snapshot: 347 students, Total Payroll $44,949</w:t>
      </w:r>
    </w:p>
    <w:p>
      <w:pPr>
        <w:pStyle w:val="SourceCode"/>
      </w:pPr>
      <w:r>
        <w:rPr>
          <w:rStyle w:val="VerbatimChar"/>
        </w:rPr>
        <w:t xml:space="preserve">Board of Trustees (strategy · finance · legal · tuition)</w:t>
      </w:r>
      <w:r>
        <w:br/>
      </w:r>
      <w:r>
        <w:rPr>
          <w:rStyle w:val="VerbatimChar"/>
        </w:rPr>
        <w:t xml:space="preserve">└── University Senate (18 seats — full academic authority)</w:t>
      </w:r>
      <w:r>
        <w:br/>
      </w:r>
      <w:r>
        <w:rPr>
          <w:rStyle w:val="VerbatimChar"/>
        </w:rPr>
        <w:t xml:space="preserve">    ├── Group I – Executive Leadership (3)</w:t>
      </w:r>
      <w:r>
        <w:br/>
      </w:r>
      <w:r>
        <w:rPr>
          <w:rStyle w:val="VerbatimChar"/>
        </w:rPr>
        <w:t xml:space="preserve">    │   ├── President &amp; Vice-Chancellor (Senate Chair)</w:t>
      </w:r>
      <w:r>
        <w:br/>
      </w:r>
      <w:r>
        <w:rPr>
          <w:rStyle w:val="VerbatimChar"/>
        </w:rPr>
        <w:t xml:space="preserve">    │   ├── DVC Academic Affairs — Dr. Muhammad Al-Qumash (Vice-Chair)</w:t>
      </w:r>
      <w:r>
        <w:br/>
      </w:r>
      <w:r>
        <w:rPr>
          <w:rStyle w:val="VerbatimChar"/>
        </w:rPr>
        <w:t xml:space="preserve">    │   └── DVC Admin &amp; Finance — Dr. Abdullah Turki (Secretary)</w:t>
      </w:r>
      <w:r>
        <w:br/>
      </w:r>
      <w:r>
        <w:rPr>
          <w:rStyle w:val="VerbatimChar"/>
        </w:rPr>
        <w:t xml:space="preserve">    ├── Group II – Academic Operations (5)</w:t>
      </w:r>
      <w:r>
        <w:br/>
      </w:r>
      <w:r>
        <w:rPr>
          <w:rStyle w:val="VerbatimChar"/>
        </w:rPr>
        <w:t xml:space="preserve">    │   ├── Dean, Qur'ānic &amp; Hadith Sciences + Sharī'ah &amp; Islamic Law (paired)</w:t>
      </w:r>
      <w:r>
        <w:br/>
      </w:r>
      <w:r>
        <w:rPr>
          <w:rStyle w:val="VerbatimChar"/>
        </w:rPr>
        <w:t xml:space="preserve">    │   ├── Dean, Theology &amp; Philosophy + Da'wah, Communication &amp; Chaplaincy (paired)</w:t>
      </w:r>
      <w:r>
        <w:br/>
      </w:r>
      <w:r>
        <w:rPr>
          <w:rStyle w:val="VerbatimChar"/>
        </w:rPr>
        <w:t xml:space="preserve">    │   ├── Dean, Arabic Language &amp; Linguistics</w:t>
      </w:r>
      <w:r>
        <w:br/>
      </w:r>
      <w:r>
        <w:rPr>
          <w:rStyle w:val="VerbatimChar"/>
        </w:rPr>
        <w:t xml:space="preserve">    │   ├── Dean, Islamic Finance, Economics &amp; Waqf Administration</w:t>
      </w:r>
      <w:r>
        <w:br/>
      </w:r>
      <w:r>
        <w:rPr>
          <w:rStyle w:val="VerbatimChar"/>
        </w:rPr>
        <w:t xml:space="preserve">    │   └── University Librarian (independent seat)</w:t>
      </w:r>
      <w:r>
        <w:br/>
      </w:r>
      <w:r>
        <w:rPr>
          <w:rStyle w:val="VerbatimChar"/>
        </w:rPr>
        <w:t xml:space="preserve">    ├── Group III – Frontline Instructional Mgmt (6 HoDs)</w:t>
      </w:r>
      <w:r>
        <w:br/>
      </w:r>
      <w:r>
        <w:rPr>
          <w:rStyle w:val="VerbatimChar"/>
        </w:rPr>
        <w:t xml:space="preserve">    │   └── Qur'ānic Studies &amp; Tafsīr · Hadith Sciences · Sharī'ah &amp; Fiqh ·</w:t>
      </w:r>
      <w:r>
        <w:br/>
      </w:r>
      <w:r>
        <w:rPr>
          <w:rStyle w:val="VerbatimChar"/>
        </w:rPr>
        <w:t xml:space="preserve">    │       Aqeedah &amp; Islamic Philosophy · Arabic Language &amp; Linguistics ·</w:t>
      </w:r>
      <w:r>
        <w:br/>
      </w:r>
      <w:r>
        <w:rPr>
          <w:rStyle w:val="VerbatimChar"/>
        </w:rPr>
        <w:t xml:space="preserve">    │       Da'wah &amp; Islamic Communication</w:t>
      </w:r>
      <w:r>
        <w:br/>
      </w:r>
      <w:r>
        <w:rPr>
          <w:rStyle w:val="VerbatimChar"/>
        </w:rPr>
        <w:t xml:space="preserve">    └── Group IV – Institutional &amp; Digital Strategy (4)</w:t>
      </w:r>
      <w:r>
        <w:br/>
      </w:r>
      <w:r>
        <w:rPr>
          <w:rStyle w:val="VerbatimChar"/>
        </w:rPr>
        <w:t xml:space="preserve">        ├── Director, Academic Planning &amp; LMS Infrastructure</w:t>
      </w:r>
      <w:r>
        <w:br/>
      </w:r>
      <w:r>
        <w:rPr>
          <w:rStyle w:val="VerbatimChar"/>
        </w:rPr>
        <w:t xml:space="preserve">        └── 3 × Independent Elected Faculty Representatives</w:t>
      </w:r>
      <w:r>
        <w:br/>
      </w:r>
      <w:r>
        <w:br/>
      </w:r>
      <w:r>
        <w:rPr>
          <w:rStyle w:val="VerbatimChar"/>
        </w:rPr>
        <w:t xml:space="preserve">Operational layer (non-Senate, Year 1):</w:t>
      </w:r>
      <w:r>
        <w:br/>
      </w:r>
      <w:r>
        <w:rPr>
          <w:rStyle w:val="VerbatimChar"/>
        </w:rPr>
        <w:t xml:space="preserve">├── University Registrar (issues conferrals per Senate ratification)</w:t>
      </w:r>
      <w:r>
        <w:br/>
      </w:r>
      <w:r>
        <w:rPr>
          <w:rStyle w:val="VerbatimChar"/>
        </w:rPr>
        <w:t xml:space="preserve">├── ~8–12 honoraria adjunct/visiting scholars (attached to HoDs, teach Diploma→BA of their spine)</w:t>
      </w:r>
      <w:r>
        <w:br/>
      </w:r>
      <w:r>
        <w:rPr>
          <w:rStyle w:val="VerbatimChar"/>
        </w:rPr>
        <w:t xml:space="preserve">└── 1 shared Admin/Ops generalist (HR+Finance+IT+Admissions) under DVC Admin &amp; Finance</w:t>
      </w:r>
    </w:p>
    <w:p>
      <w:pPr>
        <w:pStyle w:val="FirstParagraph"/>
      </w:pPr>
      <w:r>
        <w:t xml:space="preserve">The 18 Senate seat-holders</w:t>
      </w:r>
      <w:r>
        <w:t xml:space="preserve"> </w:t>
      </w:r>
      <w:r>
        <w:rPr>
          <w:bCs/>
          <w:b/>
        </w:rPr>
        <w:t xml:space="preserve">are</w:t>
      </w:r>
      <w:r>
        <w:t xml:space="preserve"> </w:t>
      </w:r>
      <w:r>
        <w:t xml:space="preserve">the org chart; Deans and HoDs are teaching scholars holding governance seats part-time, not office-bearing bureaucrats.</w:t>
      </w:r>
    </w:p>
    <w:p>
      <w:pPr>
        <w:pStyle w:val="BodyText"/>
      </w:pPr>
      <w:r>
        <w:rPr>
          <w:bCs/>
          <w:b/>
        </w:rPr>
        <w:t xml:space="preserve">Year 5 (2032) — Snapshot: 3,493 students, Total Payroll $258,157</w:t>
      </w:r>
    </w:p>
    <w:p>
      <w:pPr>
        <w:pStyle w:val="BodyText"/>
      </w:pPr>
      <w:r>
        <w:t xml:space="preserve">Senate structure unchanged (governance is fixed by charter). Growth occurs below it: adjunct/visiting pool grows to ~30–35 scholars now spanning MA (Yr2) and early PhD (Yr3) cohorts; Registrar’s Office adds 1–2 Assistant Registrars; Admin/Ops grows to 3–4 part-time-leaning staff; the longest-serving honoraria faculty receive internal</w:t>
      </w:r>
      <w:r>
        <w:t xml:space="preserve"> </w:t>
      </w:r>
      <w:r>
        <w:t xml:space="preserve">“</w:t>
      </w:r>
      <w:r>
        <w:t xml:space="preserve">Senior Instructor</w:t>
      </w:r>
      <w:r>
        <w:t xml:space="preserve">”</w:t>
      </w:r>
      <w:r>
        <w:t xml:space="preserve"> </w:t>
      </w:r>
      <w:r>
        <w:t xml:space="preserve">pay differentiation as a precursor to formal ranks (see Section 9).</w:t>
      </w:r>
    </w:p>
    <w:p>
      <w:pPr>
        <w:pStyle w:val="BodyText"/>
      </w:pPr>
      <w:r>
        <w:rPr>
          <w:bCs/>
          <w:b/>
        </w:rPr>
        <w:t xml:space="preserve">Year 15 (2042) — Snapshot: post-secular-launch (2038), illustrative revenue ≈$43.1M</w:t>
      </w:r>
    </w:p>
    <w:p>
      <w:pPr>
        <w:pStyle w:val="SourceCode"/>
      </w:pPr>
      <w:r>
        <w:rPr>
          <w:rStyle w:val="VerbatimChar"/>
        </w:rPr>
        <w:t xml:space="preserve">Board of Trustees</w:t>
      </w:r>
      <w:r>
        <w:br/>
      </w:r>
      <w:r>
        <w:rPr>
          <w:rStyle w:val="VerbatimChar"/>
        </w:rPr>
        <w:t xml:space="preserve">└── University Senate (still 18 seats — charter unchanged)</w:t>
      </w:r>
      <w:r>
        <w:br/>
      </w:r>
      <w:r>
        <w:rPr>
          <w:rStyle w:val="VerbatimChar"/>
        </w:rPr>
        <w:t xml:space="preserve">    ├── Group II Deans — now each with a small Dean's Office</w:t>
      </w:r>
      <w:r>
        <w:br/>
      </w:r>
      <w:r>
        <w:rPr>
          <w:rStyle w:val="VerbatimChar"/>
        </w:rPr>
        <w:t xml:space="preserve">    │   (1 Associate Dean + 1 Faculty Affairs Officer per college)</w:t>
      </w:r>
      <w:r>
        <w:br/>
      </w:r>
      <w:r>
        <w:rPr>
          <w:rStyle w:val="VerbatimChar"/>
        </w:rPr>
        <w:t xml:space="preserve">    ├── Group III HoDs — now lead full Departments (Section 10)</w:t>
      </w:r>
      <w:r>
        <w:br/>
      </w:r>
      <w:r>
        <w:rPr>
          <w:rStyle w:val="VerbatimChar"/>
        </w:rPr>
        <w:t xml:space="preserve">    ├── Group IV Director, Academic Planning &amp; LMS — liaises to:</w:t>
      </w:r>
      <w:r>
        <w:br/>
      </w:r>
      <w:r>
        <w:rPr>
          <w:rStyle w:val="VerbatimChar"/>
        </w:rPr>
        <w:t xml:space="preserve">    │   └── 7 Secular Schools' Heads (Business &amp; Economics, CS &amp; Technology,</w:t>
      </w:r>
      <w:r>
        <w:br/>
      </w:r>
      <w:r>
        <w:rPr>
          <w:rStyle w:val="VerbatimChar"/>
        </w:rPr>
        <w:t xml:space="preserve">    │       Law, Health Sciences, Engineering, Education, Social &amp; Political</w:t>
      </w:r>
      <w:r>
        <w:br/>
      </w:r>
      <w:r>
        <w:rPr>
          <w:rStyle w:val="VerbatimChar"/>
        </w:rPr>
        <w:t xml:space="preserve">    │       Sciences) — administrative line to DVC Academic Affairs; curriculum</w:t>
      </w:r>
      <w:r>
        <w:br/>
      </w:r>
      <w:r>
        <w:rPr>
          <w:rStyle w:val="VerbatimChar"/>
        </w:rPr>
        <w:t xml:space="preserve">    │       still requires Senate ratification per Delegation Matrix</w:t>
      </w:r>
      <w:r>
        <w:br/>
      </w:r>
      <w:r>
        <w:rPr>
          <w:rStyle w:val="VerbatimChar"/>
        </w:rPr>
        <w:t xml:space="preserve">    └── Registrar's Office — Registrar + Deputy + tier-specific officers</w:t>
      </w:r>
      <w:r>
        <w:br/>
      </w:r>
      <w:r>
        <w:br/>
      </w:r>
      <w:r>
        <w:rPr>
          <w:rStyle w:val="VerbatimChar"/>
        </w:rPr>
        <w:t xml:space="preserve">Shared services (under DVC Admin &amp; Finance): HR, Finance, IT/LMS, Admissions —</w:t>
      </w:r>
      <w:r>
        <w:br/>
      </w:r>
      <w:r>
        <w:rPr>
          <w:rStyle w:val="VerbatimChar"/>
        </w:rPr>
        <w:t xml:space="preserve">each a dedicated 3–6 FTE team</w:t>
      </w:r>
    </w:p>
    <w:p>
      <w:pPr>
        <w:pStyle w:val="FirstParagraph"/>
      </w:pPr>
      <w:r>
        <w:t xml:space="preserve">Secular Schools deliberately do</w:t>
      </w:r>
      <w:r>
        <w:t xml:space="preserve"> </w:t>
      </w:r>
      <w:r>
        <w:rPr>
          <w:bCs/>
          <w:b/>
        </w:rPr>
        <w:t xml:space="preserve">not</w:t>
      </w:r>
      <w:r>
        <w:t xml:space="preserve"> </w:t>
      </w:r>
      <w:r>
        <w:t xml:space="preserve">receive new Senate seats — they integrate through the Group IV / DVC Academic Affairs line, preventing uncontrolled Senate expansion while still routing every new program through Senate approval.</w:t>
      </w:r>
    </w:p>
    <w:p>
      <w:pPr>
        <w:pStyle w:val="BodyText"/>
      </w:pPr>
      <w:r>
        <w:rPr>
          <w:bCs/>
          <w:b/>
        </w:rPr>
        <w:t xml:space="preserve">Staffing, Budget, KPIs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Payroll (20% of Gross Rev)</w:t>
            </w:r>
          </w:p>
        </w:tc>
        <w:tc>
          <w:tcPr/>
          <w:p>
            <w:pPr>
              <w:pStyle w:val="Compact"/>
              <w:jc w:val="left"/>
            </w:pPr>
            <w:r>
              <w:t xml:space="preserve">Admin/Ops FTE</w:t>
            </w:r>
          </w:p>
        </w:tc>
        <w:tc>
          <w:tcPr/>
          <w:p>
            <w:pPr>
              <w:pStyle w:val="Compact"/>
              <w:jc w:val="left"/>
            </w:pPr>
            <w:r>
              <w:t xml:space="preserve">Registrar staff</w:t>
            </w:r>
          </w:p>
        </w:tc>
        <w:tc>
          <w:tcPr/>
          <w:p>
            <w:pPr>
              <w:pStyle w:val="Compact"/>
              <w:jc w:val="left"/>
            </w:pPr>
            <w:r>
              <w:t xml:space="preserve">Key cost driver</w:t>
            </w:r>
          </w:p>
        </w:tc>
      </w:tr>
      <w:tr>
        <w:tc>
          <w:tcPr/>
          <w:p>
            <w:pPr>
              <w:pStyle w:val="Compact"/>
              <w:jc w:val="left"/>
            </w:pPr>
            <w:r>
              <w:t xml:space="preserve">Yr1</w:t>
            </w:r>
          </w:p>
        </w:tc>
        <w:tc>
          <w:tcPr/>
          <w:p>
            <w:pPr>
              <w:pStyle w:val="Compact"/>
              <w:jc w:val="left"/>
            </w:pPr>
            <w:r>
              <w:t xml:space="preserve">$44,949</w:t>
            </w:r>
          </w:p>
        </w:tc>
        <w:tc>
          <w:tcPr/>
          <w:p>
            <w:pPr>
              <w:pStyle w:val="Compact"/>
              <w:jc w:val="left"/>
            </w:pPr>
            <w:r>
              <w:t xml:space="preserve">1 (shared)</w:t>
            </w:r>
          </w:p>
        </w:tc>
        <w:tc>
          <w:tcPr/>
          <w:p>
            <w:pPr>
              <w:pStyle w:val="Compact"/>
              <w:jc w:val="left"/>
            </w:pPr>
            <w:r>
              <w:t xml:space="preserve">1</w:t>
            </w:r>
          </w:p>
        </w:tc>
        <w:tc>
          <w:tcPr/>
          <w:p>
            <w:pPr>
              <w:pStyle w:val="Compact"/>
              <w:jc w:val="left"/>
            </w:pPr>
            <w:r>
              <w:t xml:space="preserve">Core Admin sub-split 18% = $8,091</w:t>
            </w:r>
          </w:p>
        </w:tc>
      </w:tr>
      <w:tr>
        <w:tc>
          <w:tcPr/>
          <w:p>
            <w:pPr>
              <w:pStyle w:val="Compact"/>
              <w:jc w:val="left"/>
            </w:pPr>
            <w:r>
              <w:t xml:space="preserve">Yr5</w:t>
            </w:r>
          </w:p>
        </w:tc>
        <w:tc>
          <w:tcPr/>
          <w:p>
            <w:pPr>
              <w:pStyle w:val="Compact"/>
              <w:jc w:val="left"/>
            </w:pPr>
            <w:r>
              <w:t xml:space="preserve">$258,157</w:t>
            </w:r>
          </w:p>
        </w:tc>
        <w:tc>
          <w:tcPr/>
          <w:p>
            <w:pPr>
              <w:pStyle w:val="Compact"/>
              <w:jc w:val="left"/>
            </w:pPr>
            <w:r>
              <w:t xml:space="preserve">3–4</w:t>
            </w:r>
          </w:p>
        </w:tc>
        <w:tc>
          <w:tcPr/>
          <w:p>
            <w:pPr>
              <w:pStyle w:val="Compact"/>
              <w:jc w:val="left"/>
            </w:pPr>
            <w:r>
              <w:t xml:space="preserve">2–3</w:t>
            </w:r>
          </w:p>
        </w:tc>
        <w:tc>
          <w:tcPr/>
          <w:p>
            <w:pPr>
              <w:pStyle w:val="Compact"/>
              <w:jc w:val="left"/>
            </w:pPr>
            <w:r>
              <w:t xml:space="preserve">Core Admin = $46,468</w:t>
            </w:r>
          </w:p>
        </w:tc>
      </w:tr>
      <w:tr>
        <w:tc>
          <w:tcPr/>
          <w:p>
            <w:pPr>
              <w:pStyle w:val="Compact"/>
              <w:jc w:val="left"/>
            </w:pPr>
            <w:r>
              <w:t xml:space="preserve">Yr15 (illustrative)</w:t>
            </w:r>
          </w:p>
        </w:tc>
        <w:tc>
          <w:tcPr/>
          <w:p>
            <w:pPr>
              <w:pStyle w:val="Compact"/>
              <w:jc w:val="left"/>
            </w:pPr>
            <w:r>
              <w:t xml:space="preserve">≈$8.62M</w:t>
            </w:r>
          </w:p>
        </w:tc>
        <w:tc>
          <w:tcPr/>
          <w:p>
            <w:pPr>
              <w:pStyle w:val="Compact"/>
              <w:jc w:val="left"/>
            </w:pPr>
            <w:r>
              <w:t xml:space="preserve">20–30</w:t>
            </w:r>
          </w:p>
        </w:tc>
        <w:tc>
          <w:tcPr/>
          <w:p>
            <w:pPr>
              <w:pStyle w:val="Compact"/>
              <w:jc w:val="left"/>
            </w:pPr>
            <w:r>
              <w:t xml:space="preserve">6–8</w:t>
            </w:r>
          </w:p>
        </w:tc>
        <w:tc>
          <w:tcPr/>
          <w:p>
            <w:pPr>
              <w:pStyle w:val="Compact"/>
              <w:jc w:val="left"/>
            </w:pPr>
            <w:r>
              <w:t xml:space="preserve">Core Admin ≈$1.55M (18% of payroll)</w:t>
            </w:r>
          </w:p>
        </w:tc>
      </w:tr>
    </w:tbl>
    <w:p>
      <w:pPr>
        <w:pStyle w:val="BodyText"/>
      </w:pPr>
      <w:r>
        <w:rPr>
          <w:bCs/>
          <w:b/>
        </w:rPr>
        <w:t xml:space="preserve">KPIs:</w:t>
      </w:r>
      <w:r>
        <w:t xml:space="preserve"> </w:t>
      </w:r>
      <w:r>
        <w:t xml:space="preserve">span-of-control ratio (students per Senate seat), time-to-fill vacant HoD/Dean roles, Registrar conferral turnaround (days), % administrative cost vs. 18% Core Admin ceiling.</w:t>
      </w:r>
    </w:p>
    <w:p>
      <w:pPr>
        <w:pStyle w:val="BodyText"/>
      </w:pPr>
      <w:r>
        <w:rPr>
          <w:bCs/>
          <w:b/>
        </w:rPr>
        <w:t xml:space="preserve">Risks &amp; Mitigation</w:t>
      </w:r>
    </w:p>
    <w:p>
      <w:pPr>
        <w:numPr>
          <w:ilvl w:val="0"/>
          <w:numId w:val="1002"/>
        </w:numPr>
        <w:pStyle w:val="Compact"/>
      </w:pPr>
      <w:r>
        <w:rPr>
          <w:bCs/>
          <w:b/>
        </w:rPr>
        <w:t xml:space="preserve">Founder over-concentration</w:t>
      </w:r>
      <w:r>
        <w:t xml:space="preserve"> </w:t>
      </w:r>
      <w:r>
        <w:t xml:space="preserve">(Group I holds Chair/Vice-Chair/Secretary) → mitigated by Group IV’s 3 independent elected reps and Board’s separate legal authority.</w:t>
      </w:r>
    </w:p>
    <w:p>
      <w:pPr>
        <w:numPr>
          <w:ilvl w:val="0"/>
          <w:numId w:val="1002"/>
        </w:numPr>
        <w:pStyle w:val="Compact"/>
      </w:pPr>
      <w:r>
        <w:rPr>
          <w:bCs/>
          <w:b/>
        </w:rPr>
        <w:t xml:space="preserve">Bureaucratic creep as revenue scales</w:t>
      </w:r>
      <w:r>
        <w:t xml:space="preserve"> </w:t>
      </w:r>
      <w:r>
        <w:t xml:space="preserve">→ each Dean’s Office/School Head addition is gated to a funded-phase trigger (Section 8), not automatic.</w:t>
      </w:r>
    </w:p>
    <w:p>
      <w:pPr>
        <w:numPr>
          <w:ilvl w:val="0"/>
          <w:numId w:val="1002"/>
        </w:numPr>
        <w:pStyle w:val="Compact"/>
      </w:pPr>
      <w:r>
        <w:rPr>
          <w:bCs/>
          <w:b/>
        </w:rPr>
        <w:t xml:space="preserve">Secular-school authority ambiguity</w:t>
      </w:r>
      <w:r>
        <w:t xml:space="preserve"> </w:t>
      </w:r>
      <w:r>
        <w:t xml:space="preserve">→ resolved explicitly: academic authority stays with Senate; Schools are administrative, not governance, units.</w:t>
      </w:r>
    </w:p>
    <w:p>
      <w:pPr>
        <w:pStyle w:val="FirstParagraph"/>
      </w:pPr>
      <w:r>
        <w:rPr>
          <w:bCs/>
          <w:b/>
        </w:rPr>
        <w:t xml:space="preserve">Timeline &amp; Governance Mapping</w:t>
      </w:r>
    </w:p>
    <w:p>
      <w:pPr>
        <w:pStyle w:val="BodyText"/>
      </w:pPr>
      <w:r>
        <w:t xml:space="preserve">Year 1 org stands up at incorporation (Dec 2027)/launch (Jan 2028); Year 5 staffing growth is continuous, not phase-gated; Year 11 (2038) adds the Secular Schools layer coincident with Program #72–99 launch; Year 15 snapshot reflects Dean’s Office maturity funded by Payroll growth. All appointments trace to the Delegation Matrix: Faculty Appointment → Senate Faculty Affairs Committee approves, Deans onboard; Degree Conferral → Senate ratifies, Registrar issues.</w:t>
      </w:r>
    </w:p>
    <w:p>
      <w:pPr>
        <w:pStyle w:val="BodyText"/>
      </w:pPr>
      <w:r>
        <w:rPr>
          <w:bCs/>
          <w:b/>
        </w:rPr>
        <w:t xml:space="preserve">Measurable Success Indicators</w:t>
      </w:r>
    </w:p>
    <w:p>
      <w:pPr>
        <w:pStyle w:val="BodyText"/>
      </w:pPr>
      <w:r>
        <w:t xml:space="preserve">No Senate seat added outside charter amendment through 2050; Core Admin spend stays ≤18% of Payroll in every audited year; Registrar conferral backlog &lt;30 days by Year 10.</w:t>
      </w:r>
    </w:p>
    <w:bookmarkEnd w:id="29"/>
    <w:bookmarkStart w:id="30" w:name="section-7-academic-master-plan"/>
    <w:p>
      <w:pPr>
        <w:pStyle w:val="Heading2"/>
      </w:pPr>
      <w:r>
        <w:t xml:space="preserve">Section 7: Academic Master Plan</w:t>
      </w:r>
    </w:p>
    <w:p>
      <w:pPr>
        <w:pStyle w:val="FirstParagraph"/>
      </w:pPr>
      <w:r>
        <w:rPr>
          <w:bCs/>
          <w:b/>
        </w:rPr>
        <w:t xml:space="preserve">Rationale</w:t>
      </w:r>
    </w:p>
    <w:p>
      <w:pPr>
        <w:pStyle w:val="BodyText"/>
      </w:pPr>
      <w:r>
        <w:t xml:space="preserve">The seven-tier ladder is AMIU’s core product. This section governs</w:t>
      </w:r>
      <w:r>
        <w:t xml:space="preserve"> </w:t>
      </w:r>
      <w:r>
        <w:rPr>
          <w:iCs/>
          <w:i/>
        </w:rPr>
        <w:t xml:space="preserve">how</w:t>
      </w:r>
      <w:r>
        <w:t xml:space="preserve"> </w:t>
      </w:r>
      <w:r>
        <w:t xml:space="preserve">71 founding programs and 28 secular programs are sequenced, paced, and quality-assured over 23 years without ever breaking the</w:t>
      </w:r>
      <w:r>
        <w:t xml:space="preserve"> </w:t>
      </w:r>
      <w:r>
        <w:t xml:space="preserve">“</w:t>
      </w:r>
      <w:r>
        <w:t xml:space="preserve">no credit loss at any transition</w:t>
      </w:r>
      <w:r>
        <w:t xml:space="preserve">”</w:t>
      </w:r>
      <w:r>
        <w:t xml:space="preserve"> </w:t>
      </w:r>
      <w:r>
        <w:t xml:space="preserve">guarantee that defines the institution’s academic seriousness.</w:t>
      </w:r>
    </w:p>
    <w:p>
      <w:pPr>
        <w:pStyle w:val="BodyText"/>
      </w:pPr>
      <w:r>
        <w:rPr>
          <w:bCs/>
          <w:b/>
        </w:rPr>
        <w:t xml:space="preserve">Global Best Practices</w:t>
      </w:r>
    </w:p>
    <w:p>
      <w:pPr>
        <w:pStyle w:val="BodyText"/>
      </w:pPr>
      <w:r>
        <w:t xml:space="preserve">The model borrows the US 2+2 associate-to-bachelor’s articulation convention (Tier II→III), the UK/Gulf postgraduate-diploma bridge for career-changers (Tier IV), and Carnegie-unit credit portability — combined with a traditional ijāza-chain seriousness standard rarely paired with stackable Western credit architecture. Staged multi-decade rollout (found core discipline first, add secular breadth after a decade of financial proof) mirrors how mature Islamic universities (e.g., al-Azhar’s historical faculty expansion) added secular faculties only after theological foundations matured.</w:t>
      </w:r>
    </w:p>
    <w:p>
      <w:pPr>
        <w:pStyle w:val="BodyText"/>
      </w:pPr>
      <w:r>
        <w:rPr>
          <w:bCs/>
          <w:b/>
        </w:rPr>
        <w:t xml:space="preserve">Rollout Phases (target years)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Tier(s) launched</w:t>
            </w:r>
          </w:p>
        </w:tc>
        <w:tc>
          <w:tcPr/>
          <w:p>
            <w:pPr>
              <w:pStyle w:val="Compact"/>
              <w:jc w:val="left"/>
            </w:pPr>
            <w:r>
              <w:t xml:space="preserve">Programs</w:t>
            </w:r>
          </w:p>
        </w:tc>
      </w:tr>
      <w:tr>
        <w:tc>
          <w:tcPr/>
          <w:p>
            <w:pPr>
              <w:pStyle w:val="Compact"/>
              <w:jc w:val="left"/>
            </w:pPr>
            <w:r>
              <w:t xml:space="preserve">1</w:t>
            </w:r>
          </w:p>
        </w:tc>
        <w:tc>
          <w:tcPr/>
          <w:p>
            <w:pPr>
              <w:pStyle w:val="Compact"/>
              <w:jc w:val="left"/>
            </w:pPr>
            <w:r>
              <w:t xml:space="preserve">Yr1 (2028)</w:t>
            </w:r>
          </w:p>
        </w:tc>
        <w:tc>
          <w:tcPr/>
          <w:p>
            <w:pPr>
              <w:pStyle w:val="Compact"/>
              <w:jc w:val="left"/>
            </w:pPr>
            <w:r>
              <w:t xml:space="preserve">I Diploma, II Associate, III BA</w:t>
            </w:r>
          </w:p>
        </w:tc>
        <w:tc>
          <w:tcPr/>
          <w:p>
            <w:pPr>
              <w:pStyle w:val="Compact"/>
              <w:jc w:val="left"/>
            </w:pPr>
            <w:r>
              <w:t xml:space="preserve">#1–47 (47 programs)</w:t>
            </w:r>
          </w:p>
        </w:tc>
      </w:tr>
      <w:tr>
        <w:tc>
          <w:tcPr/>
          <w:p>
            <w:pPr>
              <w:pStyle w:val="Compact"/>
              <w:jc w:val="left"/>
            </w:pPr>
            <w:r>
              <w:t xml:space="preserve">2</w:t>
            </w:r>
          </w:p>
        </w:tc>
        <w:tc>
          <w:tcPr/>
          <w:p>
            <w:pPr>
              <w:pStyle w:val="Compact"/>
              <w:jc w:val="left"/>
            </w:pPr>
            <w:r>
              <w:t xml:space="preserve">Yr2 (2029)</w:t>
            </w:r>
          </w:p>
        </w:tc>
        <w:tc>
          <w:tcPr/>
          <w:p>
            <w:pPr>
              <w:pStyle w:val="Compact"/>
              <w:jc w:val="left"/>
            </w:pPr>
            <w:r>
              <w:t xml:space="preserve">IV Higher PG Diploma, V MA</w:t>
            </w:r>
          </w:p>
        </w:tc>
        <w:tc>
          <w:tcPr/>
          <w:p>
            <w:pPr>
              <w:pStyle w:val="Compact"/>
              <w:jc w:val="left"/>
            </w:pPr>
            <w:r>
              <w:t xml:space="preserve">#48–61 (14 programs)</w:t>
            </w:r>
          </w:p>
        </w:tc>
      </w:tr>
      <w:tr>
        <w:tc>
          <w:tcPr/>
          <w:p>
            <w:pPr>
              <w:pStyle w:val="Compact"/>
              <w:jc w:val="left"/>
            </w:pPr>
            <w:r>
              <w:t xml:space="preserve">3</w:t>
            </w:r>
          </w:p>
        </w:tc>
        <w:tc>
          <w:tcPr/>
          <w:p>
            <w:pPr>
              <w:pStyle w:val="Compact"/>
              <w:jc w:val="left"/>
            </w:pPr>
            <w:r>
              <w:t xml:space="preserve">Yr3 (2030)</w:t>
            </w:r>
          </w:p>
        </w:tc>
        <w:tc>
          <w:tcPr/>
          <w:p>
            <w:pPr>
              <w:pStyle w:val="Compact"/>
              <w:jc w:val="left"/>
            </w:pPr>
            <w:r>
              <w:t xml:space="preserve">VI PhD</w:t>
            </w:r>
          </w:p>
        </w:tc>
        <w:tc>
          <w:tcPr/>
          <w:p>
            <w:pPr>
              <w:pStyle w:val="Compact"/>
              <w:jc w:val="left"/>
            </w:pPr>
            <w:r>
              <w:t xml:space="preserve">#62–67 (6 programs)</w:t>
            </w:r>
          </w:p>
        </w:tc>
      </w:tr>
      <w:tr>
        <w:tc>
          <w:tcPr/>
          <w:p>
            <w:pPr>
              <w:pStyle w:val="Compact"/>
              <w:jc w:val="left"/>
            </w:pPr>
            <w:r>
              <w:t xml:space="preserve">4</w:t>
            </w:r>
          </w:p>
        </w:tc>
        <w:tc>
          <w:tcPr/>
          <w:p>
            <w:pPr>
              <w:pStyle w:val="Compact"/>
              <w:jc w:val="left"/>
            </w:pPr>
            <w:r>
              <w:t xml:space="preserve">Yr6 (2033)</w:t>
            </w:r>
          </w:p>
        </w:tc>
        <w:tc>
          <w:tcPr/>
          <w:p>
            <w:pPr>
              <w:pStyle w:val="Compact"/>
              <w:jc w:val="left"/>
            </w:pPr>
            <w:r>
              <w:t xml:space="preserve">VII Post-Doctoral Fellowship (non-credit)</w:t>
            </w:r>
          </w:p>
        </w:tc>
        <w:tc>
          <w:tcPr/>
          <w:p>
            <w:pPr>
              <w:pStyle w:val="Compact"/>
              <w:jc w:val="left"/>
            </w:pPr>
            <w:r>
              <w:t xml:space="preserve">#68–71 (4 tracks)</w:t>
            </w:r>
          </w:p>
        </w:tc>
      </w:tr>
      <w:tr>
        <w:tc>
          <w:tcPr/>
          <w:p>
            <w:pPr>
              <w:pStyle w:val="Compact"/>
              <w:jc w:val="left"/>
            </w:pPr>
            <w:r>
              <w:t xml:space="preserve">5</w:t>
            </w:r>
          </w:p>
        </w:tc>
        <w:tc>
          <w:tcPr/>
          <w:p>
            <w:pPr>
              <w:pStyle w:val="Compact"/>
              <w:jc w:val="left"/>
            </w:pPr>
            <w:r>
              <w:t xml:space="preserve">Yr11 (2038)</w:t>
            </w:r>
          </w:p>
        </w:tc>
        <w:tc>
          <w:tcPr/>
          <w:p>
            <w:pPr>
              <w:pStyle w:val="Compact"/>
              <w:jc w:val="left"/>
            </w:pPr>
            <w:r>
              <w:t xml:space="preserve">7 Secular Schools</w:t>
            </w:r>
          </w:p>
        </w:tc>
        <w:tc>
          <w:tcPr/>
          <w:p>
            <w:pPr>
              <w:pStyle w:val="Compact"/>
              <w:jc w:val="left"/>
            </w:pPr>
            <w:r>
              <w:t xml:space="preserve">#72–99 (28 programs)</w:t>
            </w:r>
          </w:p>
        </w:tc>
      </w:tr>
      <w:tr>
        <w:tc>
          <w:tcPr/>
          <w:p>
            <w:pPr>
              <w:pStyle w:val="Compact"/>
              <w:jc w:val="left"/>
            </w:pPr>
            <w:r>
              <w:t xml:space="preserve">6</w:t>
            </w:r>
          </w:p>
        </w:tc>
        <w:tc>
          <w:tcPr/>
          <w:p>
            <w:pPr>
              <w:pStyle w:val="Compact"/>
              <w:jc w:val="left"/>
            </w:pPr>
            <w:r>
              <w:t xml:space="preserve">Yr12–20 (2039–2047)</w:t>
            </w:r>
          </w:p>
        </w:tc>
        <w:tc>
          <w:tcPr/>
          <w:p>
            <w:pPr>
              <w:pStyle w:val="Compact"/>
              <w:jc w:val="left"/>
            </w:pPr>
            <w:r>
              <w:t xml:space="preserve">Maturation, dual Islamic/secular gen-ed bridges</w:t>
            </w:r>
          </w:p>
        </w:tc>
        <w:tc>
          <w:tcPr/>
          <w:p>
            <w:pPr>
              <w:pStyle w:val="Compact"/>
              <w:jc w:val="left"/>
            </w:pPr>
            <w:r>
              <w:t xml:space="preserve">no new numbered programs w/o Senate</w:t>
            </w:r>
          </w:p>
        </w:tc>
      </w:tr>
      <w:tr>
        <w:tc>
          <w:tcPr/>
          <w:p>
            <w:pPr>
              <w:pStyle w:val="Compact"/>
              <w:jc w:val="left"/>
            </w:pPr>
            <w:r>
              <w:t xml:space="preserve">7</w:t>
            </w:r>
          </w:p>
        </w:tc>
        <w:tc>
          <w:tcPr/>
          <w:p>
            <w:pPr>
              <w:pStyle w:val="Compact"/>
              <w:jc w:val="left"/>
            </w:pPr>
            <w:r>
              <w:t xml:space="preserve">Yr21–23 (2048–2050)</w:t>
            </w:r>
          </w:p>
        </w:tc>
        <w:tc>
          <w:tcPr/>
          <w:p>
            <w:pPr>
              <w:pStyle w:val="Compact"/>
              <w:jc w:val="left"/>
            </w:pPr>
            <w:r>
              <w:t xml:space="preserve">Steady-state consolidation &amp; accreditation deepening</w:t>
            </w:r>
          </w:p>
        </w:tc>
        <w:tc>
          <w:tcPr/>
          <w:p>
            <w:pPr>
              <w:pStyle w:val="Compact"/>
              <w:jc w:val="left"/>
            </w:pPr>
            <w:r>
              <w:t xml:space="preserve">—</w:t>
            </w:r>
          </w:p>
        </w:tc>
      </w:tr>
    </w:tbl>
    <w:p>
      <w:pPr>
        <w:pStyle w:val="BodyText"/>
      </w:pPr>
      <w:r>
        <w:t xml:space="preserve">All 71+28 = 99 programs are Senate-approved by charter; no addition/modification/discontinuation occurs without Senate vote (Delegation Matrix: Academic Programs &amp; Curriculum → Senate approves, DVC Academic Affairs implements).</w:t>
      </w:r>
    </w:p>
    <w:p>
      <w:pPr>
        <w:pStyle w:val="BodyText"/>
      </w:pPr>
      <w:r>
        <w:rPr>
          <w:bCs/>
          <w:b/>
        </w:rPr>
        <w:t xml:space="preserve">Academic Calendar / Semester Model</w:t>
      </w:r>
    </w:p>
    <w:p>
      <w:pPr>
        <w:pStyle w:val="BodyText"/>
      </w:pPr>
      <w:r>
        <w:t xml:space="preserve">Two anchor semesters (Fall Aug–Dec, Spring Jan–May) plus an optional Summer intersession used for Accelerated-track and Fast-Track completion. Three pacing tracks run in parallel every tier:</w:t>
      </w:r>
      <w:r>
        <w:t xml:space="preserve"> </w:t>
      </w:r>
      <w:r>
        <w:rPr>
          <w:bCs/>
          <w:b/>
        </w:rPr>
        <w:t xml:space="preserve">Accelerated</w:t>
      </w:r>
      <w:r>
        <w:t xml:space="preserve"> </w:t>
      </w:r>
      <w:r>
        <w:t xml:space="preserve">(e.g., BA in 6 semesters),</w:t>
      </w:r>
      <w:r>
        <w:t xml:space="preserve"> </w:t>
      </w:r>
      <w:r>
        <w:rPr>
          <w:bCs/>
          <w:b/>
        </w:rPr>
        <w:t xml:space="preserve">Standard/full-time</w:t>
      </w:r>
      <w:r>
        <w:t xml:space="preserve"> </w:t>
      </w:r>
      <w:r>
        <w:t xml:space="preserve">(8),</w:t>
      </w:r>
      <w:r>
        <w:t xml:space="preserve"> </w:t>
      </w:r>
      <w:r>
        <w:rPr>
          <w:bCs/>
          <w:b/>
        </w:rPr>
        <w:t xml:space="preserve">Extended/part-time</w:t>
      </w:r>
      <w:r>
        <w:t xml:space="preserve"> </w:t>
      </w:r>
      <w:r>
        <w:t xml:space="preserve">(12) — same for Diploma, Associate, HPGD, MA, PhD proportionally. Fast-Track acceleration (moving faster than one’s declared track) is a standing right at no fee, verified each term by the HoD against 3-CH block completion, with the Registrar logging credit-hour transcripts centrally to guarantee zero credit loss at Diploma→Associate→BA→HPGD→MA→PhD transitions.</w:t>
      </w:r>
    </w:p>
    <w:p>
      <w:pPr>
        <w:pStyle w:val="BodyText"/>
      </w:pPr>
      <w:r>
        <w:rPr>
          <w:bCs/>
          <w:b/>
        </w:rPr>
        <w:t xml:space="preserve">Staffing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Faculty Honoraria pool</w:t>
            </w:r>
          </w:p>
        </w:tc>
        <w:tc>
          <w:tcPr/>
          <w:p>
            <w:pPr>
              <w:pStyle w:val="Compact"/>
              <w:jc w:val="left"/>
            </w:pPr>
            <w:r>
              <w:t xml:space="preserve">Approx. teaching scholars</w:t>
            </w:r>
          </w:p>
        </w:tc>
        <w:tc>
          <w:tcPr/>
          <w:p>
            <w:pPr>
              <w:pStyle w:val="Compact"/>
              <w:jc w:val="left"/>
            </w:pPr>
            <w:r>
              <w:t xml:space="preserve">Notes</w:t>
            </w:r>
          </w:p>
        </w:tc>
      </w:tr>
      <w:tr>
        <w:tc>
          <w:tcPr/>
          <w:p>
            <w:pPr>
              <w:pStyle w:val="Compact"/>
              <w:jc w:val="left"/>
            </w:pPr>
            <w:r>
              <w:t xml:space="preserve">Yr1</w:t>
            </w:r>
          </w:p>
        </w:tc>
        <w:tc>
          <w:tcPr/>
          <w:p>
            <w:pPr>
              <w:pStyle w:val="Compact"/>
              <w:jc w:val="left"/>
            </w:pPr>
            <w:r>
              <w:t xml:space="preserve">$17,980</w:t>
            </w:r>
          </w:p>
        </w:tc>
        <w:tc>
          <w:tcPr/>
          <w:p>
            <w:pPr>
              <w:pStyle w:val="Compact"/>
              <w:jc w:val="left"/>
            </w:pPr>
            <w:r>
              <w:t xml:space="preserve">8–12</w:t>
            </w:r>
          </w:p>
        </w:tc>
        <w:tc>
          <w:tcPr/>
          <w:p>
            <w:pPr>
              <w:pStyle w:val="Compact"/>
              <w:jc w:val="left"/>
            </w:pPr>
            <w:r>
              <w:t xml:space="preserve">multi-hat, cover Diploma–BA of one spine each</w:t>
            </w:r>
          </w:p>
        </w:tc>
      </w:tr>
      <w:tr>
        <w:tc>
          <w:tcPr/>
          <w:p>
            <w:pPr>
              <w:pStyle w:val="Compact"/>
              <w:jc w:val="left"/>
            </w:pPr>
            <w:r>
              <w:t xml:space="preserve">Yr5</w:t>
            </w:r>
          </w:p>
        </w:tc>
        <w:tc>
          <w:tcPr/>
          <w:p>
            <w:pPr>
              <w:pStyle w:val="Compact"/>
              <w:jc w:val="left"/>
            </w:pPr>
            <w:r>
              <w:t xml:space="preserve">$103,263</w:t>
            </w:r>
          </w:p>
        </w:tc>
        <w:tc>
          <w:tcPr/>
          <w:p>
            <w:pPr>
              <w:pStyle w:val="Compact"/>
              <w:jc w:val="left"/>
            </w:pPr>
            <w:r>
              <w:t xml:space="preserve">30–35</w:t>
            </w:r>
          </w:p>
        </w:tc>
        <w:tc>
          <w:tcPr/>
          <w:p>
            <w:pPr>
              <w:pStyle w:val="Compact"/>
              <w:jc w:val="left"/>
            </w:pPr>
            <w:r>
              <w:t xml:space="preserve">now cover through early PhD</w:t>
            </w:r>
          </w:p>
        </w:tc>
      </w:tr>
      <w:tr>
        <w:tc>
          <w:tcPr/>
          <w:p>
            <w:pPr>
              <w:pStyle w:val="Compact"/>
              <w:jc w:val="left"/>
            </w:pPr>
            <w:r>
              <w:t xml:space="preserve">Yr10</w:t>
            </w:r>
          </w:p>
        </w:tc>
        <w:tc>
          <w:tcPr/>
          <w:p>
            <w:pPr>
              <w:pStyle w:val="Compact"/>
              <w:jc w:val="left"/>
            </w:pPr>
            <w:r>
              <w:t xml:space="preserve">$306,444</w:t>
            </w:r>
          </w:p>
        </w:tc>
        <w:tc>
          <w:tcPr/>
          <w:p>
            <w:pPr>
              <w:pStyle w:val="Compact"/>
              <w:jc w:val="left"/>
            </w:pPr>
            <w:r>
              <w:t xml:space="preserve">60–90</w:t>
            </w:r>
          </w:p>
        </w:tc>
        <w:tc>
          <w:tcPr/>
          <w:p>
            <w:pPr>
              <w:pStyle w:val="Compact"/>
              <w:jc w:val="left"/>
            </w:pPr>
            <w:r>
              <w:t xml:space="preserve">full ladder + first Post-Doc fellows as mentors</w:t>
            </w:r>
          </w:p>
        </w:tc>
      </w:tr>
      <w:tr>
        <w:tc>
          <w:tcPr/>
          <w:p>
            <w:pPr>
              <w:pStyle w:val="Compact"/>
              <w:jc w:val="left"/>
            </w:pPr>
            <w:r>
              <w:t xml:space="preserve">Yr11+</w:t>
            </w:r>
          </w:p>
        </w:tc>
        <w:tc>
          <w:tcPr/>
          <w:p>
            <w:pPr>
              <w:pStyle w:val="Compact"/>
              <w:jc w:val="left"/>
            </w:pPr>
            <w:r>
              <w:t xml:space="preserve">scales with secular Payroll</w:t>
            </w:r>
          </w:p>
        </w:tc>
        <w:tc>
          <w:tcPr/>
          <w:p>
            <w:pPr>
              <w:pStyle w:val="Compact"/>
              <w:jc w:val="left"/>
            </w:pPr>
            <w:r>
              <w:t xml:space="preserve">+40–60 secular faculty by Yr12</w:t>
            </w:r>
          </w:p>
        </w:tc>
        <w:tc>
          <w:tcPr/>
          <w:p>
            <w:pPr>
              <w:pStyle w:val="Compact"/>
              <w:jc w:val="left"/>
            </w:pPr>
            <w:r>
              <w:t xml:space="preserve">terminal-degree hires per School</w:t>
            </w:r>
          </w:p>
        </w:tc>
      </w:tr>
    </w:tbl>
    <w:p>
      <w:pPr>
        <w:pStyle w:val="BodyText"/>
      </w:pPr>
      <w:r>
        <w:rPr>
          <w:bCs/>
          <w:b/>
        </w:rPr>
        <w:t xml:space="preserve">Annual Budget (fixed allocation ties)</w:t>
      </w:r>
    </w:p>
    <w:p>
      <w:pPr>
        <w:pStyle w:val="BodyText"/>
      </w:pPr>
      <w:r>
        <w:t xml:space="preserve">Curriculum development and QA cycles are funded from</w:t>
      </w:r>
      <w:r>
        <w:t xml:space="preserve"> </w:t>
      </w:r>
      <w:r>
        <w:rPr>
          <w:bCs/>
          <w:b/>
        </w:rPr>
        <w:t xml:space="preserve">Operating Expenses (5% of Gross Revenue)</w:t>
      </w:r>
      <w:r>
        <w:t xml:space="preserve">: Yr1 $11,237; Yr5 $64,539; Yr10 $191,527. LMS-hosted course delivery infrastructure draws from</w:t>
      </w:r>
      <w:r>
        <w:t xml:space="preserve"> </w:t>
      </w:r>
      <w:r>
        <w:rPr>
          <w:bCs/>
          <w:b/>
        </w:rPr>
        <w:t xml:space="preserve">LMS &amp; Technology Infrastructure (5%)</w:t>
      </w:r>
      <w:r>
        <w:t xml:space="preserve"> </w:t>
      </w:r>
      <w:r>
        <w:t xml:space="preserve">at identical dollar figures per year.</w:t>
      </w:r>
    </w:p>
    <w:p>
      <w:pPr>
        <w:pStyle w:val="BodyText"/>
      </w:pPr>
      <w:r>
        <w:rPr>
          <w:bCs/>
          <w:b/>
        </w:rPr>
        <w:t xml:space="preserve">Quality Assurance Cycle</w:t>
      </w:r>
    </w:p>
    <w:p>
      <w:pPr>
        <w:pStyle w:val="BodyText"/>
      </w:pPr>
      <w:r>
        <w:t xml:space="preserve">Annual: each HoD reviews course-level outcomes for their department → escalates to College Dean. Biennial: Dean-level program review against Senate-approved learning outcomes, reported to DVC Academic Affairs. Quinquennial (5-year): full external-benchmarked program review per college, presented to Senate for ratification/renewal — modeled on regional-accreditor cycles even prior to formal accreditation. Every Fast-Track and tier-transition credit transfer is audited annually by the Registrar for zero-loss compliance.</w:t>
      </w:r>
    </w:p>
    <w:p>
      <w:pPr>
        <w:pStyle w:val="BodyText"/>
      </w:pPr>
      <w:r>
        <w:rPr>
          <w:bCs/>
          <w:b/>
        </w:rPr>
        <w:t xml:space="preserve">KPIs &amp; Measurable Success Indicators</w:t>
      </w:r>
    </w:p>
    <w:p>
      <w:pPr>
        <w:pStyle w:val="BodyText"/>
      </w:pPr>
      <w:r>
        <w:t xml:space="preserve">Program completion rate by track; Fast-Track utilization rate; zero-credit-loss audit pass rate (target 100%); cumulative enrolments vs. 18,333 ten-year target; secular-program enrolment share post-2038; 5-year external review completion rate per college.</w:t>
      </w:r>
    </w:p>
    <w:p>
      <w:pPr>
        <w:pStyle w:val="BodyText"/>
      </w:pPr>
      <w:r>
        <w:rPr>
          <w:bCs/>
          <w:b/>
        </w:rPr>
        <w:t xml:space="preserve">Risks &amp; Mitigation</w:t>
      </w:r>
    </w:p>
    <w:p>
      <w:pPr>
        <w:numPr>
          <w:ilvl w:val="0"/>
          <w:numId w:val="1003"/>
        </w:numPr>
        <w:pStyle w:val="Compact"/>
      </w:pPr>
      <w:r>
        <w:rPr>
          <w:bCs/>
          <w:b/>
        </w:rPr>
        <w:t xml:space="preserve">Overexpansion before financial proof</w:t>
      </w:r>
      <w:r>
        <w:t xml:space="preserve"> </w:t>
      </w:r>
      <w:r>
        <w:t xml:space="preserve">→ secular launch hard-gated to Year 11, not accelerated regardless of demand.</w:t>
      </w:r>
    </w:p>
    <w:p>
      <w:pPr>
        <w:numPr>
          <w:ilvl w:val="0"/>
          <w:numId w:val="1003"/>
        </w:numPr>
        <w:pStyle w:val="Compact"/>
      </w:pPr>
      <w:r>
        <w:rPr>
          <w:bCs/>
          <w:b/>
        </w:rPr>
        <w:t xml:space="preserve">Credit-loss disputes</w:t>
      </w:r>
      <w:r>
        <w:t xml:space="preserve"> </w:t>
      </w:r>
      <w:r>
        <w:t xml:space="preserve">→ Registrar-held master transcript ledger, audited annually, is the single source of truth.</w:t>
      </w:r>
    </w:p>
    <w:p>
      <w:pPr>
        <w:numPr>
          <w:ilvl w:val="0"/>
          <w:numId w:val="1003"/>
        </w:numPr>
        <w:pStyle w:val="Compact"/>
      </w:pPr>
      <w:r>
        <w:rPr>
          <w:bCs/>
          <w:b/>
        </w:rPr>
        <w:t xml:space="preserve">QA understaffing at small scale</w:t>
      </w:r>
      <w:r>
        <w:t xml:space="preserve"> </w:t>
      </w:r>
      <w:r>
        <w:t xml:space="preserve">→ Yr1–5 QA performed by the same Senate seat-holders already reviewing curriculum (Group II/III), avoiding a separate QA office until Yr10+.</w:t>
      </w:r>
    </w:p>
    <w:p>
      <w:pPr>
        <w:pStyle w:val="FirstParagraph"/>
      </w:pPr>
      <w:r>
        <w:rPr>
          <w:bCs/>
          <w:b/>
        </w:rPr>
        <w:t xml:space="preserve">Governance Responsibilities</w:t>
      </w:r>
    </w:p>
    <w:p>
      <w:pPr>
        <w:pStyle w:val="BodyText"/>
      </w:pPr>
      <w:r>
        <w:t xml:space="preserve">Program approval/change: Senate (full body). Implementation: DVC Academic Affairs (Group I). Quality review escalation: HoD (Group III) → Dean (Group II) → DVC Academic Affairs → Senate. Calendar and tracking is a Group IV (Director, Academic Planning &amp; LMS) function.</w:t>
      </w:r>
    </w:p>
    <w:p>
      <w:pPr>
        <w:pStyle w:val="BodyText"/>
      </w:pPr>
      <w:r>
        <w:rPr>
          <w:bCs/>
          <w:b/>
        </w:rPr>
        <w:t xml:space="preserve">Timeline</w:t>
      </w:r>
    </w:p>
    <w:p>
      <w:pPr>
        <w:pStyle w:val="BodyText"/>
      </w:pPr>
      <w:r>
        <w:t xml:space="preserve">2028 Phase 1 → 2029 Phase 2 → 2030 Phase 3 → 2033 Phase 4 → 2038 Phase 5 → 2039–2047 Phase 6 → 2048–2050 Phase 7.</w:t>
      </w:r>
    </w:p>
    <w:bookmarkEnd w:id="30"/>
    <w:bookmarkStart w:id="31" w:name="section-8-college-structure"/>
    <w:p>
      <w:pPr>
        <w:pStyle w:val="Heading2"/>
      </w:pPr>
      <w:r>
        <w:t xml:space="preserve">Section 8: College Structure</w:t>
      </w:r>
    </w:p>
    <w:p>
      <w:pPr>
        <w:pStyle w:val="FirstParagraph"/>
      </w:pPr>
      <w:r>
        <w:rPr>
          <w:bCs/>
          <w:b/>
        </w:rPr>
        <w:t xml:space="preserve">Rationale</w:t>
      </w:r>
    </w:p>
    <w:p>
      <w:pPr>
        <w:pStyle w:val="BodyText"/>
      </w:pPr>
      <w:r>
        <w:t xml:space="preserve">Each college must be operable on its honoraria-scale share of the Faculty Honoraria pool while sharing scarce resources (Arabic instruction, Islamic Studies gen-ed) across colleges rather than duplicating capacity — essential at $17,980 total Year-1 faculty spend.</w:t>
      </w:r>
    </w:p>
    <w:p>
      <w:pPr>
        <w:pStyle w:val="BodyText"/>
      </w:pPr>
      <w:r>
        <w:rPr>
          <w:bCs/>
          <w:b/>
        </w:rPr>
        <w:t xml:space="preserve">Global Best Practices</w:t>
      </w:r>
    </w:p>
    <w:p>
      <w:pPr>
        <w:pStyle w:val="BodyText"/>
      </w:pPr>
      <w:r>
        <w:t xml:space="preserve">Shared</w:t>
      </w:r>
      <w:r>
        <w:t xml:space="preserve"> </w:t>
      </w:r>
      <w:r>
        <w:t xml:space="preserve">“</w:t>
      </w:r>
      <w:r>
        <w:t xml:space="preserve">service departments</w:t>
      </w:r>
      <w:r>
        <w:t xml:space="preserve">”</w:t>
      </w:r>
      <w:r>
        <w:t xml:space="preserve"> </w:t>
      </w:r>
      <w:r>
        <w:t xml:space="preserve">(a central language institute serving every faculty; a mandatory ethics/worldview gen-ed core serving every school) are standard at both Islamic universities (shared Arabic/Qur’ān core) and Western liberal-arts institutions (shared writing/gen-ed core) — AMIU adopts both patterns simultaneously.</w:t>
      </w:r>
    </w:p>
    <w:p>
      <w:pPr>
        <w:pStyle w:val="BodyText"/>
      </w:pPr>
      <w:r>
        <w:rPr>
          <w:bCs/>
          <w:b/>
        </w:rPr>
        <w:t xml:space="preserve">The Six Founding Colleges (Year 1 leadership, per Senate Group II)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College</w:t>
            </w:r>
          </w:p>
        </w:tc>
        <w:tc>
          <w:tcPr/>
          <w:p>
            <w:pPr>
              <w:pStyle w:val="Compact"/>
              <w:jc w:val="left"/>
            </w:pPr>
            <w:r>
              <w:t xml:space="preserve">Dean (Senate seat)</w:t>
            </w:r>
          </w:p>
        </w:tc>
        <w:tc>
          <w:tcPr/>
          <w:p>
            <w:pPr>
              <w:pStyle w:val="Compact"/>
              <w:jc w:val="left"/>
            </w:pPr>
            <w:r>
              <w:t xml:space="preserve">Programs</w:t>
            </w:r>
          </w:p>
        </w:tc>
        <w:tc>
          <w:tcPr/>
          <w:p>
            <w:pPr>
              <w:pStyle w:val="Compact"/>
              <w:jc w:val="left"/>
            </w:pPr>
            <w:r>
              <w:t xml:space="preserve">Core spine</w:t>
            </w:r>
          </w:p>
        </w:tc>
      </w:tr>
      <w:tr>
        <w:tc>
          <w:tcPr/>
          <w:p>
            <w:pPr>
              <w:pStyle w:val="Compact"/>
              <w:jc w:val="left"/>
            </w:pPr>
            <w:r>
              <w:t xml:space="preserve">I. Qur’ānic &amp; Hadith Sciences</w:t>
            </w:r>
          </w:p>
        </w:tc>
        <w:tc>
          <w:tcPr/>
          <w:p>
            <w:pPr>
              <w:pStyle w:val="Compact"/>
              <w:jc w:val="left"/>
            </w:pPr>
            <w:r>
              <w:t xml:space="preserve">paired Dean (with III)</w:t>
            </w:r>
          </w:p>
        </w:tc>
        <w:tc>
          <w:tcPr/>
          <w:p>
            <w:pPr>
              <w:pStyle w:val="Compact"/>
              <w:jc w:val="left"/>
            </w:pPr>
            <w:r>
              <w:t xml:space="preserve">Tafsīr, Qirā’āt, Hadith</w:t>
            </w:r>
          </w:p>
        </w:tc>
        <w:tc>
          <w:tcPr/>
          <w:p>
            <w:pPr>
              <w:pStyle w:val="Compact"/>
              <w:jc w:val="left"/>
            </w:pPr>
            <w:r>
              <w:t xml:space="preserve">shares HoDs w/ Group III</w:t>
            </w:r>
          </w:p>
        </w:tc>
      </w:tr>
      <w:tr>
        <w:tc>
          <w:tcPr/>
          <w:p>
            <w:pPr>
              <w:pStyle w:val="Compact"/>
              <w:jc w:val="left"/>
            </w:pPr>
            <w:r>
              <w:t xml:space="preserve">II. Sharī’ah &amp; Islamic Law</w:t>
            </w:r>
          </w:p>
        </w:tc>
        <w:tc>
          <w:tcPr/>
          <w:p>
            <w:pPr>
              <w:pStyle w:val="Compact"/>
              <w:jc w:val="left"/>
            </w:pPr>
            <w:r>
              <w:t xml:space="preserve">paired Dean (with I)</w:t>
            </w:r>
          </w:p>
        </w:tc>
        <w:tc>
          <w:tcPr/>
          <w:p>
            <w:pPr>
              <w:pStyle w:val="Compact"/>
              <w:jc w:val="left"/>
            </w:pPr>
            <w:r>
              <w:t xml:space="preserve">Fiqh, Uṣūl al-Fiqh</w:t>
            </w:r>
          </w:p>
        </w:tc>
        <w:tc>
          <w:tcPr/>
          <w:p>
            <w:pPr>
              <w:pStyle w:val="Compact"/>
            </w:pPr>
          </w:p>
        </w:tc>
      </w:tr>
      <w:tr>
        <w:tc>
          <w:tcPr/>
          <w:p>
            <w:pPr>
              <w:pStyle w:val="Compact"/>
              <w:jc w:val="left"/>
            </w:pPr>
            <w:r>
              <w:t xml:space="preserve">III. Islamic Theology &amp; Philosophy</w:t>
            </w:r>
          </w:p>
        </w:tc>
        <w:tc>
          <w:tcPr/>
          <w:p>
            <w:pPr>
              <w:pStyle w:val="Compact"/>
              <w:jc w:val="left"/>
            </w:pPr>
            <w:r>
              <w:t xml:space="preserve">paired Dean (with V)</w:t>
            </w:r>
          </w:p>
        </w:tc>
        <w:tc>
          <w:tcPr/>
          <w:p>
            <w:pPr>
              <w:pStyle w:val="Compact"/>
              <w:jc w:val="left"/>
            </w:pPr>
            <w:r>
              <w:t xml:space="preserve">Aqeedah</w:t>
            </w:r>
          </w:p>
        </w:tc>
        <w:tc>
          <w:tcPr/>
          <w:p>
            <w:pPr>
              <w:pStyle w:val="Compact"/>
            </w:pPr>
          </w:p>
        </w:tc>
      </w:tr>
      <w:tr>
        <w:tc>
          <w:tcPr/>
          <w:p>
            <w:pPr>
              <w:pStyle w:val="Compact"/>
              <w:jc w:val="left"/>
            </w:pPr>
            <w:r>
              <w:t xml:space="preserve">V. Da’wah, Communication &amp; Chaplaincy</w:t>
            </w:r>
          </w:p>
        </w:tc>
        <w:tc>
          <w:tcPr/>
          <w:p>
            <w:pPr>
              <w:pStyle w:val="Compact"/>
              <w:jc w:val="left"/>
            </w:pPr>
            <w:r>
              <w:t xml:space="preserve">paired Dean (with III)</w:t>
            </w:r>
          </w:p>
        </w:tc>
        <w:tc>
          <w:tcPr/>
          <w:p>
            <w:pPr>
              <w:pStyle w:val="Compact"/>
              <w:jc w:val="left"/>
            </w:pPr>
            <w:r>
              <w:t xml:space="preserve">Chaplaincy, Communication</w:t>
            </w:r>
          </w:p>
        </w:tc>
        <w:tc>
          <w:tcPr/>
          <w:p>
            <w:pPr>
              <w:pStyle w:val="Compact"/>
            </w:pPr>
          </w:p>
        </w:tc>
      </w:tr>
      <w:tr>
        <w:tc>
          <w:tcPr/>
          <w:p>
            <w:pPr>
              <w:pStyle w:val="Compact"/>
              <w:jc w:val="left"/>
            </w:pPr>
            <w:r>
              <w:t xml:space="preserve">IV. Arabic Language &amp; Linguistics</w:t>
            </w:r>
          </w:p>
        </w:tc>
        <w:tc>
          <w:tcPr/>
          <w:p>
            <w:pPr>
              <w:pStyle w:val="Compact"/>
              <w:jc w:val="left"/>
            </w:pPr>
            <w:r>
              <w:t xml:space="preserve">solo Dean</w:t>
            </w:r>
          </w:p>
        </w:tc>
        <w:tc>
          <w:tcPr/>
          <w:p>
            <w:pPr>
              <w:pStyle w:val="Compact"/>
              <w:jc w:val="left"/>
            </w:pPr>
            <w:r>
              <w:t xml:space="preserve">services all colleges</w:t>
            </w:r>
          </w:p>
        </w:tc>
        <w:tc>
          <w:tcPr/>
          <w:p>
            <w:pPr>
              <w:pStyle w:val="Compact"/>
              <w:jc w:val="left"/>
            </w:pPr>
            <w:r>
              <w:t xml:space="preserve">shared core</w:t>
            </w:r>
          </w:p>
        </w:tc>
      </w:tr>
      <w:tr>
        <w:tc>
          <w:tcPr/>
          <w:p>
            <w:pPr>
              <w:pStyle w:val="Compact"/>
              <w:jc w:val="left"/>
            </w:pPr>
            <w:r>
              <w:t xml:space="preserve">VI. Islamic Finance, Economics &amp; Waqf</w:t>
            </w:r>
          </w:p>
        </w:tc>
        <w:tc>
          <w:tcPr/>
          <w:p>
            <w:pPr>
              <w:pStyle w:val="Compact"/>
              <w:jc w:val="left"/>
            </w:pPr>
            <w:r>
              <w:t xml:space="preserve">solo Dean</w:t>
            </w:r>
          </w:p>
        </w:tc>
        <w:tc>
          <w:tcPr/>
          <w:p>
            <w:pPr>
              <w:pStyle w:val="Compact"/>
              <w:jc w:val="left"/>
            </w:pPr>
            <w:r>
              <w:t xml:space="preserve">Zakāt/Waqf admin</w:t>
            </w:r>
          </w:p>
        </w:tc>
        <w:tc>
          <w:tcPr/>
          <w:p>
            <w:pPr>
              <w:pStyle w:val="Compact"/>
            </w:pPr>
          </w:p>
        </w:tc>
      </w:tr>
    </w:tbl>
    <w:p>
      <w:pPr>
        <w:pStyle w:val="BodyText"/>
      </w:pPr>
      <w:r>
        <w:rPr>
          <w:iCs/>
          <w:i/>
        </w:rPr>
        <w:t xml:space="preserve">(Roman numerals here follow the Master Plan’s six-college numbering; Dean pairing exactly matches AMIU-MP-001.)</w:t>
      </w:r>
    </w:p>
    <w:p>
      <w:pPr>
        <w:pStyle w:val="BodyText"/>
      </w:pPr>
      <w:r>
        <w:rPr>
          <w:bCs/>
          <w:b/>
        </w:rPr>
        <w:t xml:space="preserve">Inter-College Shared Services</w:t>
      </w:r>
    </w:p>
    <w:p>
      <w:pPr>
        <w:numPr>
          <w:ilvl w:val="0"/>
          <w:numId w:val="1004"/>
        </w:numPr>
        <w:pStyle w:val="Compact"/>
      </w:pPr>
      <w:r>
        <w:rPr>
          <w:bCs/>
          <w:b/>
        </w:rPr>
        <w:t xml:space="preserve">Shared Arabic-Language Core</w:t>
      </w:r>
      <w:r>
        <w:t xml:space="preserve"> </w:t>
      </w:r>
      <w:r>
        <w:t xml:space="preserve">— every Diploma/Associate/BA student across all six colleges takes foundational Arabic through College IV, staffed centrally rather than duplicated per college; funded from the same Faculty Honoraria pool but budgeted as a shared line, reducing redundant hires.</w:t>
      </w:r>
    </w:p>
    <w:p>
      <w:pPr>
        <w:numPr>
          <w:ilvl w:val="0"/>
          <w:numId w:val="1004"/>
        </w:numPr>
        <w:pStyle w:val="Compact"/>
      </w:pPr>
      <w:r>
        <w:rPr>
          <w:bCs/>
          <w:b/>
        </w:rPr>
        <w:t xml:space="preserve">Shared Islamic Studies Gen-Ed Core (Year 11+)</w:t>
      </w:r>
      <w:r>
        <w:t xml:space="preserve"> </w:t>
      </w:r>
      <w:r>
        <w:t xml:space="preserve">— every secular-school student (Programs #72–99) takes a mandatory Islamic worldview/ethics gen-ed sequence delivered by College I/III faculty, directly operationalizing the mission (</w:t>
      </w:r>
      <w:r>
        <w:t xml:space="preserve">“</w:t>
      </w:r>
      <w:r>
        <w:t xml:space="preserve">spread Islamic education all over the world</w:t>
      </w:r>
      <w:r>
        <w:t xml:space="preserve">”</w:t>
      </w:r>
      <w:r>
        <w:t xml:space="preserve">) inside the secular curriculum rather than segregating it.</w:t>
      </w:r>
    </w:p>
    <w:p>
      <w:pPr>
        <w:pStyle w:val="FirstParagraph"/>
      </w:pPr>
      <w:r>
        <w:rPr>
          <w:bCs/>
          <w:b/>
        </w:rPr>
        <w:t xml:space="preserve">Year-11+ Secular Schools (leadership matures per Section 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School</w:t>
            </w:r>
          </w:p>
        </w:tc>
        <w:tc>
          <w:tcPr/>
          <w:p>
            <w:pPr>
              <w:pStyle w:val="Compact"/>
              <w:jc w:val="left"/>
            </w:pPr>
            <w:r>
              <w:t xml:space="preserve">Programs</w:t>
            </w:r>
          </w:p>
        </w:tc>
        <w:tc>
          <w:tcPr/>
          <w:p>
            <w:pPr>
              <w:pStyle w:val="Compact"/>
              <w:jc w:val="left"/>
            </w:pPr>
            <w:r>
              <w:t xml:space="preserve">Launch</w:t>
            </w:r>
          </w:p>
        </w:tc>
      </w:tr>
      <w:tr>
        <w:tc>
          <w:tcPr/>
          <w:p>
            <w:pPr>
              <w:pStyle w:val="Compact"/>
              <w:jc w:val="left"/>
            </w:pPr>
            <w:r>
              <w:t xml:space="preserve">Business &amp; Economics</w:t>
            </w:r>
          </w:p>
        </w:tc>
        <w:tc>
          <w:tcPr/>
          <w:p>
            <w:pPr>
              <w:pStyle w:val="Compact"/>
              <w:jc w:val="left"/>
            </w:pPr>
            <w:r>
              <w:t xml:space="preserve">BBA, BSc Acct&amp;Fin, BSc Econ, MBA, MSc Finance</w:t>
            </w:r>
          </w:p>
        </w:tc>
        <w:tc>
          <w:tcPr/>
          <w:p>
            <w:pPr>
              <w:pStyle w:val="Compact"/>
              <w:jc w:val="left"/>
            </w:pPr>
            <w:r>
              <w:t xml:space="preserve">2038</w:t>
            </w:r>
          </w:p>
        </w:tc>
      </w:tr>
      <w:tr>
        <w:tc>
          <w:tcPr/>
          <w:p>
            <w:pPr>
              <w:pStyle w:val="Compact"/>
              <w:jc w:val="left"/>
            </w:pPr>
            <w:r>
              <w:t xml:space="preserve">Computer Science &amp; Technology</w:t>
            </w:r>
          </w:p>
        </w:tc>
        <w:tc>
          <w:tcPr/>
          <w:p>
            <w:pPr>
              <w:pStyle w:val="Compact"/>
              <w:jc w:val="left"/>
            </w:pPr>
            <w:r>
              <w:t xml:space="preserve">BSc CS, Data Science, Cybersecurity, IS, MSc AI/ML</w:t>
            </w:r>
          </w:p>
        </w:tc>
        <w:tc>
          <w:tcPr/>
          <w:p>
            <w:pPr>
              <w:pStyle w:val="Compact"/>
              <w:jc w:val="left"/>
            </w:pPr>
            <w:r>
              <w:t xml:space="preserve">2038</w:t>
            </w:r>
          </w:p>
        </w:tc>
      </w:tr>
      <w:tr>
        <w:tc>
          <w:tcPr/>
          <w:p>
            <w:pPr>
              <w:pStyle w:val="Compact"/>
              <w:jc w:val="left"/>
            </w:pPr>
            <w:r>
              <w:t xml:space="preserve">Law</w:t>
            </w:r>
          </w:p>
        </w:tc>
        <w:tc>
          <w:tcPr/>
          <w:p>
            <w:pPr>
              <w:pStyle w:val="Compact"/>
              <w:jc w:val="left"/>
            </w:pPr>
            <w:r>
              <w:t xml:space="preserve">LLB, LLM Int’l Law, LLM Comparative &amp; Islamic-Civil Law</w:t>
            </w:r>
          </w:p>
        </w:tc>
        <w:tc>
          <w:tcPr/>
          <w:p>
            <w:pPr>
              <w:pStyle w:val="Compact"/>
              <w:jc w:val="left"/>
            </w:pPr>
            <w:r>
              <w:t xml:space="preserve">2038</w:t>
            </w:r>
          </w:p>
        </w:tc>
      </w:tr>
      <w:tr>
        <w:tc>
          <w:tcPr/>
          <w:p>
            <w:pPr>
              <w:pStyle w:val="Compact"/>
              <w:jc w:val="left"/>
            </w:pPr>
            <w:r>
              <w:t xml:space="preserve">Health Sciences</w:t>
            </w:r>
          </w:p>
        </w:tc>
        <w:tc>
          <w:tcPr/>
          <w:p>
            <w:pPr>
              <w:pStyle w:val="Compact"/>
              <w:jc w:val="left"/>
            </w:pPr>
            <w:r>
              <w:t xml:space="preserve">BSc Public Health, Nursing, Health Admin, MPH</w:t>
            </w:r>
          </w:p>
        </w:tc>
        <w:tc>
          <w:tcPr/>
          <w:p>
            <w:pPr>
              <w:pStyle w:val="Compact"/>
              <w:jc w:val="left"/>
            </w:pPr>
            <w:r>
              <w:t xml:space="preserve">2038</w:t>
            </w:r>
          </w:p>
        </w:tc>
      </w:tr>
      <w:tr>
        <w:tc>
          <w:tcPr/>
          <w:p>
            <w:pPr>
              <w:pStyle w:val="Compact"/>
              <w:jc w:val="left"/>
            </w:pPr>
            <w:r>
              <w:t xml:space="preserve">Engineering</w:t>
            </w:r>
          </w:p>
        </w:tc>
        <w:tc>
          <w:tcPr/>
          <w:p>
            <w:pPr>
              <w:pStyle w:val="Compact"/>
              <w:jc w:val="left"/>
            </w:pPr>
            <w:r>
              <w:t xml:space="preserve">BEng Civil, EE, Computer, Mechanical</w:t>
            </w:r>
          </w:p>
        </w:tc>
        <w:tc>
          <w:tcPr/>
          <w:p>
            <w:pPr>
              <w:pStyle w:val="Compact"/>
              <w:jc w:val="left"/>
            </w:pPr>
            <w:r>
              <w:t xml:space="preserve">2038</w:t>
            </w:r>
          </w:p>
        </w:tc>
      </w:tr>
      <w:tr>
        <w:tc>
          <w:tcPr/>
          <w:p>
            <w:pPr>
              <w:pStyle w:val="Compact"/>
              <w:jc w:val="left"/>
            </w:pPr>
            <w:r>
              <w:t xml:space="preserve">Education</w:t>
            </w:r>
          </w:p>
        </w:tc>
        <w:tc>
          <w:tcPr/>
          <w:p>
            <w:pPr>
              <w:pStyle w:val="Compact"/>
              <w:jc w:val="left"/>
            </w:pPr>
            <w:r>
              <w:t xml:space="preserve">BEd, MEd, PhD Ed Leadership</w:t>
            </w:r>
          </w:p>
        </w:tc>
        <w:tc>
          <w:tcPr/>
          <w:p>
            <w:pPr>
              <w:pStyle w:val="Compact"/>
              <w:jc w:val="left"/>
            </w:pPr>
            <w:r>
              <w:t xml:space="preserve">2038</w:t>
            </w:r>
          </w:p>
        </w:tc>
      </w:tr>
      <w:tr>
        <w:tc>
          <w:tcPr/>
          <w:p>
            <w:pPr>
              <w:pStyle w:val="Compact"/>
              <w:jc w:val="left"/>
            </w:pPr>
            <w:r>
              <w:t xml:space="preserve">Social &amp; Political Sciences</w:t>
            </w:r>
          </w:p>
        </w:tc>
        <w:tc>
          <w:tcPr/>
          <w:p>
            <w:pPr>
              <w:pStyle w:val="Compact"/>
              <w:jc w:val="left"/>
            </w:pPr>
            <w:r>
              <w:t xml:space="preserve">Pol Sci, IR &amp; Diplomacy, Psych, Sociology</w:t>
            </w:r>
          </w:p>
        </w:tc>
        <w:tc>
          <w:tcPr/>
          <w:p>
            <w:pPr>
              <w:pStyle w:val="Compact"/>
              <w:jc w:val="left"/>
            </w:pPr>
            <w:r>
              <w:t xml:space="preserve">2038</w:t>
            </w:r>
          </w:p>
        </w:tc>
      </w:tr>
    </w:tbl>
    <w:p>
      <w:pPr>
        <w:pStyle w:val="BodyText"/>
      </w:pPr>
      <w:r>
        <w:rPr>
          <w:bCs/>
          <w:b/>
        </w:rPr>
        <w:t xml:space="preserve">Staffing Requirements</w:t>
      </w:r>
    </w:p>
    <w:p>
      <w:pPr>
        <w:pStyle w:val="BodyText"/>
      </w:pPr>
      <w:r>
        <w:t xml:space="preserve">Yr1–5: each Islamic college run by its Dean + relevant HoD(s), no separate college staff — Dean IS the administrator. Yr10: Deans gain a part-time Faculty Affairs Officer as Faculty Honoraria approaches $306,444. Yr11–15: each of the 6 Islamic colleges gets an Associate Dean (per Section 6); each of the 7 secular Schools stands up with a Head of School + 3–6 terminal-degree faculty hires funded from post-2038 Payroll growth (illustrative Yr12 revenue $14.6M → Payroll ≈$2.92M).</w:t>
      </w:r>
    </w:p>
    <w:p>
      <w:pPr>
        <w:pStyle w:val="BodyText"/>
      </w:pPr>
      <w:r>
        <w:rPr>
          <w:bCs/>
          <w:b/>
        </w:rPr>
        <w:t xml:space="preserve">Annual Budget</w:t>
      </w:r>
    </w:p>
    <w:p>
      <w:pPr>
        <w:pStyle w:val="BodyText"/>
      </w:pPr>
      <w:r>
        <w:t xml:space="preserve">College-level instructional cost draws from</w:t>
      </w:r>
      <w:r>
        <w:t xml:space="preserve"> </w:t>
      </w:r>
      <w:r>
        <w:rPr>
          <w:bCs/>
          <w:b/>
        </w:rPr>
        <w:t xml:space="preserve">Faculty Honoraria (40% of Payroll)</w:t>
      </w:r>
      <w:r>
        <w:t xml:space="preserve">, apportioned pro-rata by enrolled credit hours per college. Shared-core staffing (Arabic, Islamic gen-ed) is budgeted as a fixed cross-charge before per-college apportionment to prevent double-funding. Secular Schools’ 2038 stand-up costs draw from the same mechanism at the much larger post-Yr11 revenue base.</w:t>
      </w:r>
    </w:p>
    <w:p>
      <w:pPr>
        <w:pStyle w:val="BodyText"/>
      </w:pPr>
      <w:r>
        <w:rPr>
          <w:bCs/>
          <w:b/>
        </w:rPr>
        <w:t xml:space="preserve">KPIs</w:t>
      </w:r>
    </w:p>
    <w:p>
      <w:pPr>
        <w:pStyle w:val="BodyText"/>
      </w:pPr>
      <w:r>
        <w:t xml:space="preserve">Cost-per-credit-hour by college; shared-core utilization rate (% of eligible students enrolled); secular-school gen-ed completion rate; college-level enrolment share vs. Master Plan targets.</w:t>
      </w:r>
    </w:p>
    <w:p>
      <w:pPr>
        <w:pStyle w:val="BodyText"/>
      </w:pPr>
      <w:r>
        <w:rPr>
          <w:bCs/>
          <w:b/>
        </w:rPr>
        <w:t xml:space="preserve">Risks &amp; Mitigation</w:t>
      </w:r>
    </w:p>
    <w:p>
      <w:pPr>
        <w:numPr>
          <w:ilvl w:val="0"/>
          <w:numId w:val="1005"/>
        </w:numPr>
        <w:pStyle w:val="Compact"/>
      </w:pPr>
      <w:r>
        <w:rPr>
          <w:bCs/>
          <w:b/>
        </w:rPr>
        <w:t xml:space="preserve">Shared-core underfunding as a</w:t>
      </w:r>
      <w:r>
        <w:rPr>
          <w:bCs/>
          <w:b/>
        </w:rPr>
        <w:t xml:space="preserve"> </w:t>
      </w:r>
      <w:r>
        <w:rPr>
          <w:bCs/>
          <w:b/>
        </w:rPr>
        <w:t xml:space="preserve">“</w:t>
      </w:r>
      <w:r>
        <w:rPr>
          <w:bCs/>
          <w:b/>
        </w:rPr>
        <w:t xml:space="preserve">nobody’s budget</w:t>
      </w:r>
      <w:r>
        <w:rPr>
          <w:bCs/>
          <w:b/>
        </w:rPr>
        <w:t xml:space="preserve">”</w:t>
      </w:r>
      <w:r>
        <w:rPr>
          <w:bCs/>
          <w:b/>
        </w:rPr>
        <w:t xml:space="preserve"> </w:t>
      </w:r>
      <w:r>
        <w:rPr>
          <w:bCs/>
          <w:b/>
        </w:rPr>
        <w:t xml:space="preserve">line</w:t>
      </w:r>
      <w:r>
        <w:t xml:space="preserve"> </w:t>
      </w:r>
      <w:r>
        <w:t xml:space="preserve">→ explicitly cross-charged before college apportionment, reviewed annually by DVC Admin &amp; Finance.</w:t>
      </w:r>
    </w:p>
    <w:p>
      <w:pPr>
        <w:numPr>
          <w:ilvl w:val="0"/>
          <w:numId w:val="1005"/>
        </w:numPr>
        <w:pStyle w:val="Compact"/>
      </w:pPr>
      <w:r>
        <w:rPr>
          <w:bCs/>
          <w:b/>
        </w:rPr>
        <w:t xml:space="preserve">Secular Schools diluting Islamic identity</w:t>
      </w:r>
      <w:r>
        <w:t xml:space="preserve"> </w:t>
      </w:r>
      <w:r>
        <w:t xml:space="preserve">→ gen-ed core is a hard graduation requirement, Senate-enforced, not elective.</w:t>
      </w:r>
    </w:p>
    <w:p>
      <w:pPr>
        <w:pStyle w:val="FirstParagraph"/>
      </w:pPr>
      <w:r>
        <w:rPr>
          <w:bCs/>
          <w:b/>
        </w:rPr>
        <w:t xml:space="preserve">Governance Responsibilities</w:t>
      </w:r>
    </w:p>
    <w:p>
      <w:pPr>
        <w:pStyle w:val="BodyText"/>
      </w:pPr>
      <w:r>
        <w:t xml:space="preserve">Each college’s Dean sits in Senate Group II; each School Head (Yr11+) reports administratively to DVC Academic Affairs; program-level curriculum changes still require full Senate approval regardless of college/school.</w:t>
      </w:r>
    </w:p>
    <w:p>
      <w:pPr>
        <w:pStyle w:val="BodyText"/>
      </w:pPr>
      <w:r>
        <w:rPr>
          <w:bCs/>
          <w:b/>
        </w:rPr>
        <w:t xml:space="preserve">Timeline &amp; Success Indicators</w:t>
      </w:r>
    </w:p>
    <w:p>
      <w:pPr>
        <w:pStyle w:val="BodyText"/>
      </w:pPr>
      <w:r>
        <w:t xml:space="preserve">2028: 6 colleges operational. 2038: 7 Schools operational with shared gen-ed live. 2042: all colleges/schools carry dedicated Associate Dean/Head tier. Success: 100% secular-student gen-ed core completion; shared Arabic core cost-per-student declining year over year as enrolment scales.</w:t>
      </w:r>
    </w:p>
    <w:bookmarkEnd w:id="31"/>
    <w:bookmarkStart w:id="32" w:name="section-9-faculty-structure"/>
    <w:p>
      <w:pPr>
        <w:pStyle w:val="Heading2"/>
      </w:pPr>
      <w:r>
        <w:t xml:space="preserve">Section 9: Faculty Structure</w:t>
      </w:r>
    </w:p>
    <w:p>
      <w:pPr>
        <w:pStyle w:val="FirstParagraph"/>
      </w:pPr>
      <w:r>
        <w:rPr>
          <w:bCs/>
          <w:b/>
        </w:rPr>
        <w:t xml:space="preserve">Rationale</w:t>
      </w:r>
    </w:p>
    <w:p>
      <w:pPr>
        <w:pStyle w:val="BodyText"/>
      </w:pPr>
      <w:r>
        <w:t xml:space="preserve">AMIU cannot pay Western full-time salaries in the founding decade ($17,980 total Yr1 faculty spend), so its rank system must dignify and credential honoraria-based, multi-hat teaching from day one while providing a genuine promotion pathway as Faculty Honoraria scales</w:t>
      </w:r>
      <w:r>
        <w:t xml:space="preserve"> </w:t>
      </w:r>
      <w:r>
        <w:t xml:space="preserve">“</w:t>
      </w:r>
      <w:r>
        <w:t xml:space="preserve">with no ceiling.</w:t>
      </w:r>
      <w:r>
        <w:t xml:space="preserve">”</w:t>
      </w:r>
    </w:p>
    <w:p>
      <w:pPr>
        <w:pStyle w:val="BodyText"/>
      </w:pPr>
      <w:r>
        <w:rPr>
          <w:bCs/>
          <w:b/>
        </w:rPr>
        <w:t xml:space="preserve">Global Best Practices</w:t>
      </w:r>
    </w:p>
    <w:p>
      <w:pPr>
        <w:pStyle w:val="BodyText"/>
      </w:pPr>
      <w:r>
        <w:t xml:space="preserve">Traditional ijāza/isnād chains (unbroken teacher-to-teacher transmission) remain the gold-standard credential for Qur’ān/Hadith/Fiqh instruction across the Muslim world, verified independently of Western terminal degrees; this is paired here with standard PhD/terminal-degree verification for Arabic linguistics, Islamic Finance, and (Yr11+) secular fields — a dual-track credentialing model used by hybrid seminaries.</w:t>
      </w:r>
    </w:p>
    <w:p>
      <w:pPr>
        <w:pStyle w:val="BodyText"/>
      </w:pPr>
      <w:r>
        <w:rPr>
          <w:bCs/>
          <w:b/>
        </w:rPr>
        <w:t xml:space="preserve">Ranks &amp; Titles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Compensation basis</w:t>
            </w:r>
          </w:p>
        </w:tc>
        <w:tc>
          <w:tcPr/>
          <w:p>
            <w:pPr>
              <w:pStyle w:val="Compact"/>
              <w:jc w:val="left"/>
            </w:pPr>
            <w:r>
              <w:t xml:space="preserve">Typical phase</w:t>
            </w:r>
          </w:p>
        </w:tc>
      </w:tr>
      <w:tr>
        <w:tc>
          <w:tcPr/>
          <w:p>
            <w:pPr>
              <w:pStyle w:val="Compact"/>
              <w:jc w:val="left"/>
            </w:pPr>
            <w:r>
              <w:t xml:space="preserve">Honorary/Visiting Scholar</w:t>
            </w:r>
          </w:p>
        </w:tc>
        <w:tc>
          <w:tcPr/>
          <w:p>
            <w:pPr>
              <w:pStyle w:val="Compact"/>
              <w:jc w:val="left"/>
            </w:pPr>
            <w:r>
              <w:t xml:space="preserve">Token/unpaid, guest lectures</w:t>
            </w:r>
          </w:p>
        </w:tc>
        <w:tc>
          <w:tcPr/>
          <w:p>
            <w:pPr>
              <w:pStyle w:val="Compact"/>
              <w:jc w:val="left"/>
            </w:pPr>
            <w:r>
              <w:t xml:space="preserve">Yr1+</w:t>
            </w:r>
          </w:p>
        </w:tc>
      </w:tr>
      <w:tr>
        <w:tc>
          <w:tcPr/>
          <w:p>
            <w:pPr>
              <w:pStyle w:val="Compact"/>
              <w:jc w:val="left"/>
            </w:pPr>
            <w:r>
              <w:t xml:space="preserve">Adjunct Instructor</w:t>
            </w:r>
          </w:p>
        </w:tc>
        <w:tc>
          <w:tcPr/>
          <w:p>
            <w:pPr>
              <w:pStyle w:val="Compact"/>
              <w:jc w:val="left"/>
            </w:pPr>
            <w:r>
              <w:t xml:space="preserve">Per-CH honorarium (Faculty Honoraria pool)</w:t>
            </w:r>
          </w:p>
        </w:tc>
        <w:tc>
          <w:tcPr/>
          <w:p>
            <w:pPr>
              <w:pStyle w:val="Compact"/>
              <w:jc w:val="left"/>
            </w:pPr>
            <w:r>
              <w:t xml:space="preserve">Yr1+ — dominant Yr1–10</w:t>
            </w:r>
          </w:p>
        </w:tc>
      </w:tr>
      <w:tr>
        <w:tc>
          <w:tcPr/>
          <w:p>
            <w:pPr>
              <w:pStyle w:val="Compact"/>
              <w:jc w:val="left"/>
            </w:pPr>
            <w:r>
              <w:t xml:space="preserve">Assistant Professor</w:t>
            </w:r>
          </w:p>
        </w:tc>
        <w:tc>
          <w:tcPr/>
          <w:p>
            <w:pPr>
              <w:pStyle w:val="Compact"/>
              <w:jc w:val="left"/>
            </w:pPr>
            <w:r>
              <w:t xml:space="preserve">Small fixed honorarium premium over adjunct rate</w:t>
            </w:r>
          </w:p>
        </w:tc>
        <w:tc>
          <w:tcPr/>
          <w:p>
            <w:pPr>
              <w:pStyle w:val="Compact"/>
              <w:jc w:val="left"/>
            </w:pPr>
            <w:r>
              <w:t xml:space="preserve">emerges Yr5+ as pool grows</w:t>
            </w:r>
          </w:p>
        </w:tc>
      </w:tr>
      <w:tr>
        <w:tc>
          <w:tcPr/>
          <w:p>
            <w:pPr>
              <w:pStyle w:val="Compact"/>
              <w:jc w:val="left"/>
            </w:pPr>
            <w:r>
              <w:t xml:space="preserve">Associate Professor</w:t>
            </w:r>
          </w:p>
        </w:tc>
        <w:tc>
          <w:tcPr/>
          <w:p>
            <w:pPr>
              <w:pStyle w:val="Compact"/>
              <w:jc w:val="left"/>
            </w:pPr>
            <w:r>
              <w:t xml:space="preserve">Higher fixed premium, tenure-track service recognized</w:t>
            </w:r>
          </w:p>
        </w:tc>
        <w:tc>
          <w:tcPr/>
          <w:p>
            <w:pPr>
              <w:pStyle w:val="Compact"/>
              <w:jc w:val="left"/>
            </w:pPr>
            <w:r>
              <w:t xml:space="preserve">emerges Yr8–10</w:t>
            </w:r>
          </w:p>
        </w:tc>
      </w:tr>
      <w:tr>
        <w:tc>
          <w:tcPr/>
          <w:p>
            <w:pPr>
              <w:pStyle w:val="Compact"/>
              <w:jc w:val="left"/>
            </w:pPr>
            <w:r>
              <w:t xml:space="preserve">Full Professor</w:t>
            </w:r>
          </w:p>
        </w:tc>
        <w:tc>
          <w:tcPr/>
          <w:p>
            <w:pPr>
              <w:pStyle w:val="Compact"/>
              <w:jc w:val="left"/>
            </w:pPr>
            <w:r>
              <w:t xml:space="preserve">Top honorarium/salary band</w:t>
            </w:r>
          </w:p>
        </w:tc>
        <w:tc>
          <w:tcPr/>
          <w:p>
            <w:pPr>
              <w:pStyle w:val="Compact"/>
              <w:jc w:val="left"/>
            </w:pPr>
            <w:r>
              <w:t xml:space="preserve">emerges Yr10+ (secular hires largely salaried Yr11+)</w:t>
            </w:r>
          </w:p>
        </w:tc>
      </w:tr>
      <w:tr>
        <w:tc>
          <w:tcPr/>
          <w:p>
            <w:pPr>
              <w:pStyle w:val="Compact"/>
              <w:jc w:val="left"/>
            </w:pPr>
            <w:r>
              <w:t xml:space="preserve">Senate-Seat Professor</w:t>
            </w:r>
          </w:p>
        </w:tc>
        <w:tc>
          <w:tcPr/>
          <w:p>
            <w:pPr>
              <w:pStyle w:val="Compact"/>
              <w:jc w:val="left"/>
            </w:pPr>
            <w:r>
              <w:t xml:space="preserve">Ex officio via Group II/III seat (Dean/HoD), Senate Stipend sub-split</w:t>
            </w:r>
          </w:p>
        </w:tc>
        <w:tc>
          <w:tcPr/>
          <w:p>
            <w:pPr>
              <w:pStyle w:val="Compact"/>
              <w:jc w:val="left"/>
            </w:pPr>
            <w:r>
              <w:t xml:space="preserve">Yr1 (fixed 18 seats)</w:t>
            </w:r>
          </w:p>
        </w:tc>
      </w:tr>
    </w:tbl>
    <w:p>
      <w:pPr>
        <w:pStyle w:val="BodyText"/>
      </w:pPr>
      <w:r>
        <w:rPr>
          <w:bCs/>
          <w:b/>
        </w:rPr>
        <w:t xml:space="preserve">Promotion Pathway</w:t>
      </w:r>
    </w:p>
    <w:p>
      <w:pPr>
        <w:pStyle w:val="BodyText"/>
      </w:pPr>
      <w:r>
        <w:t xml:space="preserve">Adjunct Instructor → (credential verification + ≥2 years teaching service) → Assistant Professor → Associate → Full, tracked by the HoD and reviewed by the Senate Faculty Affairs Committee. Per the Delegation Matrix:</w:t>
      </w:r>
      <w:r>
        <w:t xml:space="preserve"> </w:t>
      </w:r>
      <w:r>
        <w:rPr>
          <w:bCs/>
          <w:b/>
        </w:rPr>
        <w:t xml:space="preserve">Faculty Appointment = Senate’s Faculty Affairs Committee approves, College Deans onboard.</w:t>
      </w:r>
      <w:r>
        <w:t xml:space="preserve"> </w:t>
      </w:r>
      <w:r>
        <w:t xml:space="preserve">Senate-seat elevation (e.g., to a future HoD/Dean vacancy) requires both faculty rank standing and Senate election/appointment per Group III/II rules — rank alone does not confer a seat.</w:t>
      </w:r>
    </w:p>
    <w:p>
      <w:pPr>
        <w:pStyle w:val="BodyText"/>
      </w:pPr>
      <w:r>
        <w:rPr>
          <w:bCs/>
          <w:b/>
        </w:rPr>
        <w:t xml:space="preserve">Credentialing Standards</w:t>
      </w:r>
    </w:p>
    <w:p>
      <w:pPr>
        <w:numPr>
          <w:ilvl w:val="0"/>
          <w:numId w:val="1006"/>
        </w:numPr>
        <w:pStyle w:val="Compact"/>
      </w:pPr>
      <w:r>
        <w:rPr>
          <w:bCs/>
          <w:b/>
        </w:rPr>
        <w:t xml:space="preserve">Religious faculty</w:t>
      </w:r>
      <w:r>
        <w:t xml:space="preserve"> </w:t>
      </w:r>
      <w:r>
        <w:t xml:space="preserve">(Colleges I, II, III, V): isnād/ijāza chain audited by the relevant HoD plus Faculty Affairs Committee; academic degree (where held) recorded but not required at Adjunct tier — seriousness is chain-verified, not degree-gated, consistent with the mission’s</w:t>
      </w:r>
      <w:r>
        <w:t xml:space="preserve"> </w:t>
      </w:r>
      <w:r>
        <w:t xml:space="preserve">“</w:t>
      </w:r>
      <w:r>
        <w:t xml:space="preserve">rigorous… never sacrifices academic seriousness.</w:t>
      </w:r>
      <w:r>
        <w:t xml:space="preserve">”</w:t>
      </w:r>
    </w:p>
    <w:p>
      <w:pPr>
        <w:numPr>
          <w:ilvl w:val="0"/>
          <w:numId w:val="1006"/>
        </w:numPr>
        <w:pStyle w:val="Compact"/>
      </w:pPr>
      <w:r>
        <w:rPr>
          <w:bCs/>
          <w:b/>
        </w:rPr>
        <w:t xml:space="preserve">Arabic Language faculty</w:t>
      </w:r>
      <w:r>
        <w:t xml:space="preserve"> </w:t>
      </w:r>
      <w:r>
        <w:t xml:space="preserve">(College IV): native/near-native competency + academic linguistics credential.</w:t>
      </w:r>
    </w:p>
    <w:p>
      <w:pPr>
        <w:numPr>
          <w:ilvl w:val="0"/>
          <w:numId w:val="1006"/>
        </w:numPr>
        <w:pStyle w:val="Compact"/>
      </w:pPr>
      <w:r>
        <w:rPr>
          <w:bCs/>
          <w:b/>
        </w:rPr>
        <w:t xml:space="preserve">Islamic Finance faculty</w:t>
      </w:r>
      <w:r>
        <w:t xml:space="preserve"> </w:t>
      </w:r>
      <w:r>
        <w:t xml:space="preserve">(College VI): terminal degree or recognized professional certification (e.g., AAOIFI) plus Sharī’ah-compliance literacy.</w:t>
      </w:r>
    </w:p>
    <w:p>
      <w:pPr>
        <w:numPr>
          <w:ilvl w:val="0"/>
          <w:numId w:val="1006"/>
        </w:numPr>
        <w:pStyle w:val="Compact"/>
      </w:pPr>
      <w:r>
        <w:rPr>
          <w:bCs/>
          <w:b/>
        </w:rPr>
        <w:t xml:space="preserve">Secular-school faculty</w:t>
      </w:r>
      <w:r>
        <w:t xml:space="preserve"> </w:t>
      </w:r>
      <w:r>
        <w:t xml:space="preserve">(Yr11+): standard terminal-degree/professional-license verification (PhD, CPA, PE, RN, bar admission, etc.), reviewed to conventional accreditation-readiness standard.</w:t>
      </w:r>
    </w:p>
    <w:p>
      <w:pPr>
        <w:pStyle w:val="FirstParagraph"/>
      </w:pPr>
      <w:r>
        <w:rPr>
          <w:bCs/>
          <w:b/>
        </w:rPr>
        <w:t xml:space="preserve">Workload Model</w:t>
      </w:r>
    </w:p>
    <w:p>
      <w:pPr>
        <w:pStyle w:val="BodyText"/>
      </w:pPr>
      <w:r>
        <w:t xml:space="preserve">Tied directly to the stackable ladder: the same faculty member typically teaches Diploma through PhD tier of one subject spine (per canon), workload measured in CH-equivalents/semester, weighted by pacing track (Accelerated sections run more intensively per term than Extended). Honoraria are paid per CH taught, drawn from the Faculty Honoraria sub-split (40% of Payroll), which scales with revenue with no fixed ceiling — the only Payroll sub-split without a hard cap.</w:t>
      </w:r>
    </w:p>
    <w:p>
      <w:pPr>
        <w:pStyle w:val="BodyText"/>
      </w:pPr>
      <w:r>
        <w:rPr>
          <w:bCs/>
          <w:b/>
        </w:rPr>
        <w:t xml:space="preserve">Staffing Requirements &amp; Annual Budget by Phase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Faculty Honoraria pool</w:t>
            </w:r>
          </w:p>
        </w:tc>
        <w:tc>
          <w:tcPr/>
          <w:p>
            <w:pPr>
              <w:pStyle w:val="Compact"/>
              <w:jc w:val="left"/>
            </w:pPr>
            <w:r>
              <w:t xml:space="preserve">Avg. per-scholar honorarium</w:t>
            </w:r>
          </w:p>
        </w:tc>
        <w:tc>
          <w:tcPr/>
          <w:p>
            <w:pPr>
              <w:pStyle w:val="Compact"/>
              <w:jc w:val="left"/>
            </w:pPr>
            <w:r>
              <w:t xml:space="preserve">Rank mix</w:t>
            </w:r>
          </w:p>
        </w:tc>
      </w:tr>
      <w:tr>
        <w:tc>
          <w:tcPr/>
          <w:p>
            <w:pPr>
              <w:pStyle w:val="Compact"/>
              <w:jc w:val="left"/>
            </w:pPr>
            <w:r>
              <w:t xml:space="preserve">Yr1</w:t>
            </w:r>
          </w:p>
        </w:tc>
        <w:tc>
          <w:tcPr/>
          <w:p>
            <w:pPr>
              <w:pStyle w:val="Compact"/>
              <w:jc w:val="left"/>
            </w:pPr>
            <w:r>
              <w:t xml:space="preserve">$17,980</w:t>
            </w:r>
          </w:p>
        </w:tc>
        <w:tc>
          <w:tcPr/>
          <w:p>
            <w:pPr>
              <w:pStyle w:val="Compact"/>
              <w:jc w:val="left"/>
            </w:pPr>
            <w:r>
              <w:t xml:space="preserve">~$1,500–2,200 (8–12 scholars)</w:t>
            </w:r>
          </w:p>
        </w:tc>
        <w:tc>
          <w:tcPr/>
          <w:p>
            <w:pPr>
              <w:pStyle w:val="Compact"/>
              <w:jc w:val="left"/>
            </w:pPr>
            <w:r>
              <w:t xml:space="preserve">~100% Adjunct/Honorary</w:t>
            </w:r>
          </w:p>
        </w:tc>
      </w:tr>
      <w:tr>
        <w:tc>
          <w:tcPr/>
          <w:p>
            <w:pPr>
              <w:pStyle w:val="Compact"/>
              <w:jc w:val="left"/>
            </w:pPr>
            <w:r>
              <w:t xml:space="preserve">Yr5</w:t>
            </w:r>
          </w:p>
        </w:tc>
        <w:tc>
          <w:tcPr/>
          <w:p>
            <w:pPr>
              <w:pStyle w:val="Compact"/>
              <w:jc w:val="left"/>
            </w:pPr>
            <w:r>
              <w:t xml:space="preserve">$103,263</w:t>
            </w:r>
          </w:p>
        </w:tc>
        <w:tc>
          <w:tcPr/>
          <w:p>
            <w:pPr>
              <w:pStyle w:val="Compact"/>
              <w:jc w:val="left"/>
            </w:pPr>
            <w:r>
              <w:t xml:space="preserve">~$2,900–3,400 (30–35 scholars)</w:t>
            </w:r>
          </w:p>
        </w:tc>
        <w:tc>
          <w:tcPr/>
          <w:p>
            <w:pPr>
              <w:pStyle w:val="Compact"/>
              <w:jc w:val="left"/>
            </w:pPr>
            <w:r>
              <w:t xml:space="preserve">mostly Adjunct, first Assistant Professors</w:t>
            </w:r>
          </w:p>
        </w:tc>
      </w:tr>
      <w:tr>
        <w:tc>
          <w:tcPr/>
          <w:p>
            <w:pPr>
              <w:pStyle w:val="Compact"/>
              <w:jc w:val="left"/>
            </w:pPr>
            <w:r>
              <w:t xml:space="preserve">Yr10</w:t>
            </w:r>
          </w:p>
        </w:tc>
        <w:tc>
          <w:tcPr/>
          <w:p>
            <w:pPr>
              <w:pStyle w:val="Compact"/>
              <w:jc w:val="left"/>
            </w:pPr>
            <w:r>
              <w:t xml:space="preserve">$306,444</w:t>
            </w:r>
          </w:p>
        </w:tc>
        <w:tc>
          <w:tcPr/>
          <w:p>
            <w:pPr>
              <w:pStyle w:val="Compact"/>
              <w:jc w:val="left"/>
            </w:pPr>
            <w:r>
              <w:t xml:space="preserve">~$3,400–5,100 (60–90 scholars)</w:t>
            </w:r>
          </w:p>
        </w:tc>
        <w:tc>
          <w:tcPr/>
          <w:p>
            <w:pPr>
              <w:pStyle w:val="Compact"/>
              <w:jc w:val="left"/>
            </w:pPr>
            <w:r>
              <w:t xml:space="preserve">Adjunct–Full Professor spread</w:t>
            </w:r>
          </w:p>
        </w:tc>
      </w:tr>
      <w:tr>
        <w:tc>
          <w:tcPr/>
          <w:p>
            <w:pPr>
              <w:pStyle w:val="Compact"/>
              <w:jc w:val="left"/>
            </w:pPr>
            <w:r>
              <w:t xml:space="preserve">Yr11+ (secular)</w:t>
            </w:r>
          </w:p>
        </w:tc>
        <w:tc>
          <w:tcPr/>
          <w:p>
            <w:pPr>
              <w:pStyle w:val="Compact"/>
              <w:jc w:val="left"/>
            </w:pPr>
            <w:r>
              <w:t xml:space="preserve">scales with new-school Payroll</w:t>
            </w:r>
          </w:p>
        </w:tc>
        <w:tc>
          <w:tcPr/>
          <w:p>
            <w:pPr>
              <w:pStyle w:val="Compact"/>
              <w:jc w:val="left"/>
            </w:pPr>
            <w:r>
              <w:t xml:space="preserve">salaried terminal-degree hires</w:t>
            </w:r>
          </w:p>
        </w:tc>
        <w:tc>
          <w:tcPr/>
          <w:p>
            <w:pPr>
              <w:pStyle w:val="Compact"/>
              <w:jc w:val="left"/>
            </w:pPr>
            <w:r>
              <w:t xml:space="preserve">conventional FT/adjunct mix</w:t>
            </w:r>
          </w:p>
        </w:tc>
      </w:tr>
    </w:tbl>
    <w:p>
      <w:pPr>
        <w:pStyle w:val="BodyText"/>
      </w:pPr>
      <w:r>
        <w:rPr>
          <w:bCs/>
          <w:b/>
        </w:rPr>
        <w:t xml:space="preserve">KPIs</w:t>
      </w:r>
    </w:p>
    <w:p>
      <w:pPr>
        <w:pStyle w:val="BodyText"/>
      </w:pPr>
      <w:r>
        <w:t xml:space="preserve">Faculty-to-student ratio by college; % faculty with verified credentials on file; promotion cycle completion time; honorarium-per-CH trend vs. revenue growth (should track proportionally, not lag).</w:t>
      </w:r>
    </w:p>
    <w:p>
      <w:pPr>
        <w:pStyle w:val="BodyText"/>
      </w:pPr>
      <w:r>
        <w:rPr>
          <w:bCs/>
          <w:b/>
        </w:rPr>
        <w:t xml:space="preserve">Risks &amp; Mitigation</w:t>
      </w:r>
    </w:p>
    <w:p>
      <w:pPr>
        <w:numPr>
          <w:ilvl w:val="0"/>
          <w:numId w:val="1007"/>
        </w:numPr>
        <w:pStyle w:val="Compact"/>
      </w:pPr>
      <w:r>
        <w:rPr>
          <w:bCs/>
          <w:b/>
        </w:rPr>
        <w:t xml:space="preserve">Credential fraud in isnād verification</w:t>
      </w:r>
      <w:r>
        <w:t xml:space="preserve"> </w:t>
      </w:r>
      <w:r>
        <w:t xml:space="preserve">→ dual sign-off (HoD + Faculty Affairs Committee), documented chain retained in personnel file.</w:t>
      </w:r>
    </w:p>
    <w:p>
      <w:pPr>
        <w:numPr>
          <w:ilvl w:val="0"/>
          <w:numId w:val="1007"/>
        </w:numPr>
        <w:pStyle w:val="Compact"/>
      </w:pPr>
      <w:r>
        <w:rPr>
          <w:bCs/>
          <w:b/>
        </w:rPr>
        <w:t xml:space="preserve">Faculty burnout from multi-hat, low-honorarium load in Yr1–5</w:t>
      </w:r>
      <w:r>
        <w:t xml:space="preserve"> </w:t>
      </w:r>
      <w:r>
        <w:t xml:space="preserve">→ Fast-Track’s</w:t>
      </w:r>
      <w:r>
        <w:t xml:space="preserve"> </w:t>
      </w:r>
      <w:r>
        <w:t xml:space="preserve">“</w:t>
      </w:r>
      <w:r>
        <w:t xml:space="preserve">no extra fee</w:t>
      </w:r>
      <w:r>
        <w:t xml:space="preserve">”</w:t>
      </w:r>
      <w:r>
        <w:t xml:space="preserve"> </w:t>
      </w:r>
      <w:r>
        <w:t xml:space="preserve">design keeps student course-load manageable, indirectly capping faculty section counts; workload audited annually by HoDs.</w:t>
      </w:r>
    </w:p>
    <w:p>
      <w:pPr>
        <w:numPr>
          <w:ilvl w:val="0"/>
          <w:numId w:val="1007"/>
        </w:numPr>
        <w:pStyle w:val="Compact"/>
      </w:pPr>
      <w:r>
        <w:rPr>
          <w:bCs/>
          <w:b/>
        </w:rPr>
        <w:t xml:space="preserve">Secular hires undermining honoraria-based religious faculty morale</w:t>
      </w:r>
      <w:r>
        <w:t xml:space="preserve"> </w:t>
      </w:r>
      <w:r>
        <w:t xml:space="preserve">→ published, transparent rank/pay bands communicated at first secular hire (2038).</w:t>
      </w:r>
    </w:p>
    <w:p>
      <w:pPr>
        <w:pStyle w:val="FirstParagraph"/>
      </w:pPr>
      <w:r>
        <w:rPr>
          <w:bCs/>
          <w:b/>
        </w:rPr>
        <w:t xml:space="preserve">Governance Responsibilities &amp; Timeline</w:t>
      </w:r>
    </w:p>
    <w:p>
      <w:pPr>
        <w:pStyle w:val="BodyText"/>
      </w:pPr>
      <w:r>
        <w:t xml:space="preserve">Faculty Affairs Committee (subset of Senate) approves appointments/promotions throughout 2028–2050; Deans onboard; HoDs manage day-to-day workload and credential files. Full-rank ladder (Assistant→Full) is substantially populated by Year 10; secular-school conventional faculty ranks stand up from 2038.</w:t>
      </w:r>
    </w:p>
    <w:p>
      <w:pPr>
        <w:pStyle w:val="BodyText"/>
      </w:pPr>
      <w:r>
        <w:rPr>
          <w:bCs/>
          <w:b/>
        </w:rPr>
        <w:t xml:space="preserve">Measurable Success Indicators</w:t>
      </w:r>
    </w:p>
    <w:p>
      <w:pPr>
        <w:pStyle w:val="BodyText"/>
      </w:pPr>
      <w:r>
        <w:t xml:space="preserve">100% of religious faculty with documented isnād/ijāza on file by Yr2; Faculty Honoraria per-CH rate rising year-over-year through Yr10; secular faculty terminal-degree verification rate 100% at each School’s launch.</w:t>
      </w:r>
    </w:p>
    <w:bookmarkEnd w:id="32"/>
    <w:bookmarkStart w:id="33" w:name="section-10-department-structure"/>
    <w:p>
      <w:pPr>
        <w:pStyle w:val="Heading2"/>
      </w:pPr>
      <w:r>
        <w:t xml:space="preserve">Section 10: Department Structure</w:t>
      </w:r>
    </w:p>
    <w:p>
      <w:pPr>
        <w:pStyle w:val="FirstParagraph"/>
      </w:pPr>
      <w:r>
        <w:rPr>
          <w:bCs/>
          <w:b/>
        </w:rPr>
        <w:t xml:space="preserve">Rationale</w:t>
      </w:r>
    </w:p>
    <w:p>
      <w:pPr>
        <w:pStyle w:val="BodyText"/>
      </w:pPr>
      <w:r>
        <w:t xml:space="preserve">Group III of the Senate — the 6 HoDs — is where curriculum meets classroom. Departments must be resourced from Yr1 at honoraria scale, then grow into full department units only as secular expansion (Yr11+) brings the Payroll base that can sustain it.</w:t>
      </w:r>
    </w:p>
    <w:p>
      <w:pPr>
        <w:pStyle w:val="BodyText"/>
      </w:pPr>
      <w:r>
        <w:rPr>
          <w:bCs/>
          <w:b/>
        </w:rPr>
        <w:t xml:space="preserve">Global Best Practices</w:t>
      </w:r>
    </w:p>
    <w:p>
      <w:pPr>
        <w:pStyle w:val="BodyText"/>
      </w:pPr>
      <w:r>
        <w:t xml:space="preserve">Department-as-cost-center budgeting (each unit funded pro-rata by CH delivered) is standard in both Islamic seminary administration and Western university department funding formulas, and scales cleanly from a one-person HoD-led unit to a full department without restructuring — the model AMIU adopts explicitly to avoid a Year-11 redesign.</w:t>
      </w:r>
    </w:p>
    <w:p>
      <w:pPr>
        <w:pStyle w:val="BodyText"/>
      </w:pPr>
      <w:r>
        <w:rPr>
          <w:bCs/>
          <w:b/>
        </w:rPr>
        <w:t xml:space="preserve">The Six Founding Departments (Group III, Year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Department (HoD)</w:t>
            </w:r>
          </w:p>
        </w:tc>
        <w:tc>
          <w:tcPr/>
          <w:p>
            <w:pPr>
              <w:pStyle w:val="Compact"/>
              <w:jc w:val="left"/>
            </w:pPr>
            <w:r>
              <w:t xml:space="preserve">Colleges served</w:t>
            </w:r>
          </w:p>
        </w:tc>
        <w:tc>
          <w:tcPr/>
          <w:p>
            <w:pPr>
              <w:pStyle w:val="Compact"/>
              <w:jc w:val="left"/>
            </w:pPr>
            <w:r>
              <w:t xml:space="preserve">Founding-phase staffing</w:t>
            </w:r>
          </w:p>
        </w:tc>
      </w:tr>
      <w:tr>
        <w:tc>
          <w:tcPr/>
          <w:p>
            <w:pPr>
              <w:pStyle w:val="Compact"/>
              <w:jc w:val="left"/>
            </w:pPr>
            <w:r>
              <w:t xml:space="preserve">Qur’ānic Studies &amp; Tafsīr</w:t>
            </w:r>
          </w:p>
        </w:tc>
        <w:tc>
          <w:tcPr/>
          <w:p>
            <w:pPr>
              <w:pStyle w:val="Compact"/>
              <w:jc w:val="left"/>
            </w:pPr>
            <w:r>
              <w:t xml:space="preserve">College I</w:t>
            </w:r>
          </w:p>
        </w:tc>
        <w:tc>
          <w:tcPr/>
          <w:p>
            <w:pPr>
              <w:pStyle w:val="Compact"/>
              <w:jc w:val="left"/>
            </w:pPr>
            <w:r>
              <w:t xml:space="preserve">HoD + 2–3 adjunct scholars</w:t>
            </w:r>
          </w:p>
        </w:tc>
      </w:tr>
      <w:tr>
        <w:tc>
          <w:tcPr/>
          <w:p>
            <w:pPr>
              <w:pStyle w:val="Compact"/>
              <w:jc w:val="left"/>
            </w:pPr>
            <w:r>
              <w:t xml:space="preserve">Hadith Sciences</w:t>
            </w:r>
          </w:p>
        </w:tc>
        <w:tc>
          <w:tcPr/>
          <w:p>
            <w:pPr>
              <w:pStyle w:val="Compact"/>
              <w:jc w:val="left"/>
            </w:pPr>
            <w:r>
              <w:t xml:space="preserve">College I</w:t>
            </w:r>
          </w:p>
        </w:tc>
        <w:tc>
          <w:tcPr/>
          <w:p>
            <w:pPr>
              <w:pStyle w:val="Compact"/>
              <w:jc w:val="left"/>
            </w:pPr>
            <w:r>
              <w:t xml:space="preserve">HoD + 1–2 adjunct scholars</w:t>
            </w:r>
          </w:p>
        </w:tc>
      </w:tr>
      <w:tr>
        <w:tc>
          <w:tcPr/>
          <w:p>
            <w:pPr>
              <w:pStyle w:val="Compact"/>
              <w:jc w:val="left"/>
            </w:pPr>
            <w:r>
              <w:t xml:space="preserve">Sharī’ah &amp; Fiqh</w:t>
            </w:r>
          </w:p>
        </w:tc>
        <w:tc>
          <w:tcPr/>
          <w:p>
            <w:pPr>
              <w:pStyle w:val="Compact"/>
              <w:jc w:val="left"/>
            </w:pPr>
            <w:r>
              <w:t xml:space="preserve">College II</w:t>
            </w:r>
          </w:p>
        </w:tc>
        <w:tc>
          <w:tcPr/>
          <w:p>
            <w:pPr>
              <w:pStyle w:val="Compact"/>
              <w:jc w:val="left"/>
            </w:pPr>
            <w:r>
              <w:t xml:space="preserve">HoD + 2–3 adjunct scholars</w:t>
            </w:r>
          </w:p>
        </w:tc>
      </w:tr>
      <w:tr>
        <w:tc>
          <w:tcPr/>
          <w:p>
            <w:pPr>
              <w:pStyle w:val="Compact"/>
              <w:jc w:val="left"/>
            </w:pPr>
            <w:r>
              <w:t xml:space="preserve">Aqeedah &amp; Islamic Philosophy</w:t>
            </w:r>
          </w:p>
        </w:tc>
        <w:tc>
          <w:tcPr/>
          <w:p>
            <w:pPr>
              <w:pStyle w:val="Compact"/>
              <w:jc w:val="left"/>
            </w:pPr>
            <w:r>
              <w:t xml:space="preserve">College III</w:t>
            </w:r>
          </w:p>
        </w:tc>
        <w:tc>
          <w:tcPr/>
          <w:p>
            <w:pPr>
              <w:pStyle w:val="Compact"/>
              <w:jc w:val="left"/>
            </w:pPr>
            <w:r>
              <w:t xml:space="preserve">HoD + 1–2 adjunct scholars</w:t>
            </w:r>
          </w:p>
        </w:tc>
      </w:tr>
      <w:tr>
        <w:tc>
          <w:tcPr/>
          <w:p>
            <w:pPr>
              <w:pStyle w:val="Compact"/>
              <w:jc w:val="left"/>
            </w:pPr>
            <w:r>
              <w:t xml:space="preserve">Arabic Language &amp; Linguistics</w:t>
            </w:r>
          </w:p>
        </w:tc>
        <w:tc>
          <w:tcPr/>
          <w:p>
            <w:pPr>
              <w:pStyle w:val="Compact"/>
              <w:jc w:val="left"/>
            </w:pPr>
            <w:r>
              <w:t xml:space="preserve">College IV (+ shared core)</w:t>
            </w:r>
          </w:p>
        </w:tc>
        <w:tc>
          <w:tcPr/>
          <w:p>
            <w:pPr>
              <w:pStyle w:val="Compact"/>
              <w:jc w:val="left"/>
            </w:pPr>
            <w:r>
              <w:t xml:space="preserve">HoD + 2–3 adjunct scholars</w:t>
            </w:r>
          </w:p>
        </w:tc>
      </w:tr>
      <w:tr>
        <w:tc>
          <w:tcPr/>
          <w:p>
            <w:pPr>
              <w:pStyle w:val="Compact"/>
              <w:jc w:val="left"/>
            </w:pPr>
            <w:r>
              <w:t xml:space="preserve">Da’wah &amp; Islamic Communication</w:t>
            </w:r>
          </w:p>
        </w:tc>
        <w:tc>
          <w:tcPr/>
          <w:p>
            <w:pPr>
              <w:pStyle w:val="Compact"/>
              <w:jc w:val="left"/>
            </w:pPr>
            <w:r>
              <w:t xml:space="preserve">College V</w:t>
            </w:r>
          </w:p>
        </w:tc>
        <w:tc>
          <w:tcPr/>
          <w:p>
            <w:pPr>
              <w:pStyle w:val="Compact"/>
              <w:jc w:val="left"/>
            </w:pPr>
            <w:r>
              <w:t xml:space="preserve">HoD + 1–2 adjunct scholars</w:t>
            </w:r>
          </w:p>
        </w:tc>
      </w:tr>
    </w:tbl>
    <w:p>
      <w:pPr>
        <w:pStyle w:val="BodyText"/>
      </w:pPr>
      <w:r>
        <w:t xml:space="preserve">Each HoD is simultaneously a teaching scholar and the department’s sole administrator in Years 1–5 — there is no department office beyond the HoD until enrolment/revenue justifies one.</w:t>
      </w:r>
    </w:p>
    <w:p>
      <w:pPr>
        <w:pStyle w:val="BodyText"/>
      </w:pPr>
      <w:r>
        <w:rPr>
          <w:bCs/>
          <w:b/>
        </w:rPr>
        <w:t xml:space="preserve">Department-Level Budget &amp; Staffing by Phase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Total dept. staffing budget source</w:t>
            </w:r>
          </w:p>
        </w:tc>
        <w:tc>
          <w:tcPr/>
          <w:p>
            <w:pPr>
              <w:pStyle w:val="Compact"/>
              <w:jc w:val="left"/>
            </w:pPr>
            <w:r>
              <w:t xml:space="preserve">Approx. per-department honoraria pool (Yr1/Yr5/Yr10, 6 depts sharing $17,980/$103,263/$306,444)</w:t>
            </w:r>
          </w:p>
        </w:tc>
      </w:tr>
      <w:tr>
        <w:tc>
          <w:tcPr/>
          <w:p>
            <w:pPr>
              <w:pStyle w:val="Compact"/>
              <w:jc w:val="left"/>
            </w:pPr>
            <w:r>
              <w:t xml:space="preserve">Yr1</w:t>
            </w:r>
          </w:p>
        </w:tc>
        <w:tc>
          <w:tcPr/>
          <w:p>
            <w:pPr>
              <w:pStyle w:val="Compact"/>
              <w:jc w:val="left"/>
            </w:pPr>
            <w:r>
              <w:t xml:space="preserve">Faculty Honoraria (40% of $44,949 Payroll)</w:t>
            </w:r>
          </w:p>
        </w:tc>
        <w:tc>
          <w:tcPr/>
          <w:p>
            <w:pPr>
              <w:pStyle w:val="Compact"/>
              <w:jc w:val="left"/>
            </w:pPr>
            <w:r>
              <w:t xml:space="preserve">≈$3,000 avg/dept</w:t>
            </w:r>
          </w:p>
        </w:tc>
      </w:tr>
      <w:tr>
        <w:tc>
          <w:tcPr/>
          <w:p>
            <w:pPr>
              <w:pStyle w:val="Compact"/>
              <w:jc w:val="left"/>
            </w:pPr>
            <w:r>
              <w:t xml:space="preserve">Yr5</w:t>
            </w:r>
          </w:p>
        </w:tc>
        <w:tc>
          <w:tcPr/>
          <w:p>
            <w:pPr>
              <w:pStyle w:val="Compact"/>
              <w:jc w:val="left"/>
            </w:pPr>
            <w:r>
              <w:t xml:space="preserve">Faculty Honoraria (40% of $258,157 Payroll)</w:t>
            </w:r>
          </w:p>
        </w:tc>
        <w:tc>
          <w:tcPr/>
          <w:p>
            <w:pPr>
              <w:pStyle w:val="Compact"/>
              <w:jc w:val="left"/>
            </w:pPr>
            <w:r>
              <w:t xml:space="preserve">≈$17,200 avg/dept</w:t>
            </w:r>
          </w:p>
        </w:tc>
      </w:tr>
      <w:tr>
        <w:tc>
          <w:tcPr/>
          <w:p>
            <w:pPr>
              <w:pStyle w:val="Compact"/>
              <w:jc w:val="left"/>
            </w:pPr>
            <w:r>
              <w:t xml:space="preserve">Yr10</w:t>
            </w:r>
          </w:p>
        </w:tc>
        <w:tc>
          <w:tcPr/>
          <w:p>
            <w:pPr>
              <w:pStyle w:val="Compact"/>
              <w:jc w:val="left"/>
            </w:pPr>
            <w:r>
              <w:t xml:space="preserve">Faculty Honoraria (40% of $766,110 Payroll)</w:t>
            </w:r>
          </w:p>
        </w:tc>
        <w:tc>
          <w:tcPr/>
          <w:p>
            <w:pPr>
              <w:pStyle w:val="Compact"/>
              <w:jc w:val="left"/>
            </w:pPr>
            <w:r>
              <w:t xml:space="preserve">≈$51,000 avg/dept</w:t>
            </w:r>
          </w:p>
        </w:tc>
      </w:tr>
    </w:tbl>
    <w:p>
      <w:pPr>
        <w:pStyle w:val="BodyText"/>
      </w:pPr>
      <w:r>
        <w:t xml:space="preserve">Apportionment is not equal-split in practice — it follows enrolled CH per department’s subject spine (e.g., Sharī’ah &amp; Fiqh and Qur’ānic Studies typically carry higher enrolment share and thus larger pro-rata pools).</w:t>
      </w:r>
    </w:p>
    <w:p>
      <w:pPr>
        <w:pStyle w:val="BodyText"/>
      </w:pPr>
      <w:r>
        <w:rPr>
          <w:bCs/>
          <w:b/>
        </w:rPr>
        <w:t xml:space="preserve">New Departments Under the Year-11 Secular Schools</w:t>
      </w:r>
    </w:p>
    <w:p>
      <w:pPr>
        <w:pStyle w:val="BodyText"/>
      </w:pPr>
      <w:r>
        <w:t xml:space="preserve">Standing up mirrors the existing governance path exactly:</w:t>
      </w:r>
      <w:r>
        <w:t xml:space="preserve"> </w:t>
      </w:r>
      <w:r>
        <w:rPr>
          <w:bCs/>
          <w:b/>
        </w:rPr>
        <w:t xml:space="preserve">School Head proposes → DVC Academic Affairs vets → Senate approves</w:t>
      </w:r>
      <w:r>
        <w:t xml:space="preserve"> </w:t>
      </w:r>
      <w:r>
        <w:t xml:space="preserve">(Delegation Matrix: Academic Programs &amp; Curriculum = Senate approves, DVC Academic Affairs implements). Each of the 7 Schools stands up its own department set at 2038 launch (e.g., School of Computer Science &amp; Technology stands up Computer Science, Data Science &amp; Analytics, Cybersecurity, Information Systems departments), funded from the post-2038 Payroll base (Yr11 illustrative revenue $8.36M → Payroll ≈$1.67M) rather than diverting from the six founding departments’ pool.</w:t>
      </w:r>
    </w:p>
    <w:p>
      <w:pPr>
        <w:pStyle w:val="BodyText"/>
      </w:pPr>
      <w:r>
        <w:rPr>
          <w:bCs/>
          <w:b/>
        </w:rPr>
        <w:t xml:space="preserve">Reporting Line</w:t>
      </w:r>
    </w:p>
    <w:p>
      <w:pPr>
        <w:pStyle w:val="BodyText"/>
      </w:pPr>
      <w:r>
        <w:t xml:space="preserve">Department (HoD, Group III) → College Dean (Group II) → DVC Academic Affairs (Group I) → full Senate. Degree conferral cuts across all departments to the Registrar upon Senate ratification. Secular-school departments follow the identical chain, substituting Head of School for Dean at the intermediate layer.</w:t>
      </w:r>
    </w:p>
    <w:p>
      <w:pPr>
        <w:pStyle w:val="BodyText"/>
      </w:pPr>
      <w:r>
        <w:rPr>
          <w:bCs/>
          <w:b/>
        </w:rPr>
        <w:t xml:space="preserve">KPIs</w:t>
      </w:r>
    </w:p>
    <w:p>
      <w:pPr>
        <w:pStyle w:val="BodyText"/>
      </w:pPr>
      <w:r>
        <w:t xml:space="preserve">Cost-per-CH by department; adjunct-to-HoD ratio; department-level program completion rate; time from School proposal to Senate approval for new secular departments (target &lt;2 semesters).</w:t>
      </w:r>
    </w:p>
    <w:p>
      <w:pPr>
        <w:pStyle w:val="BodyText"/>
      </w:pPr>
      <w:r>
        <w:rPr>
          <w:bCs/>
          <w:b/>
        </w:rPr>
        <w:t xml:space="preserve">Risks &amp; Mitigation</w:t>
      </w:r>
    </w:p>
    <w:p>
      <w:pPr>
        <w:numPr>
          <w:ilvl w:val="0"/>
          <w:numId w:val="1008"/>
        </w:numPr>
        <w:pStyle w:val="Compact"/>
      </w:pPr>
      <w:r>
        <w:rPr>
          <w:bCs/>
          <w:b/>
        </w:rPr>
        <w:t xml:space="preserve">HoD single-point-of-failure</w:t>
      </w:r>
      <w:r>
        <w:t xml:space="preserve"> </w:t>
      </w:r>
      <w:r>
        <w:t xml:space="preserve">in Yr1–5 (no deputy) → Group IV’s Director of Academic Planning maintains a continuity file per department; Faculty Affairs Committee can appoint an acting HoD from the adjunct pool if needed.</w:t>
      </w:r>
    </w:p>
    <w:p>
      <w:pPr>
        <w:numPr>
          <w:ilvl w:val="0"/>
          <w:numId w:val="1008"/>
        </w:numPr>
        <w:pStyle w:val="Compact"/>
      </w:pPr>
      <w:r>
        <w:rPr>
          <w:bCs/>
          <w:b/>
        </w:rPr>
        <w:t xml:space="preserve">Secular departments proliferating faster than governance capacity</w:t>
      </w:r>
      <w:r>
        <w:t xml:space="preserve"> </w:t>
      </w:r>
      <w:r>
        <w:t xml:space="preserve">→ hard-gated to post-2038 launch with Senate approval required per department, not blanket School-level approval.</w:t>
      </w:r>
    </w:p>
    <w:p>
      <w:pPr>
        <w:numPr>
          <w:ilvl w:val="0"/>
          <w:numId w:val="1008"/>
        </w:numPr>
        <w:pStyle w:val="Compact"/>
      </w:pPr>
      <w:r>
        <w:rPr>
          <w:bCs/>
          <w:b/>
        </w:rPr>
        <w:t xml:space="preserve">Pro-rata funding starving small departments</w:t>
      </w:r>
      <w:r>
        <w:t xml:space="preserve"> </w:t>
      </w:r>
      <w:r>
        <w:t xml:space="preserve">(e.g., Aqeedah &amp; Islamic Philosophy) → Senate Faculty Affairs Committee reviews minimum-viable funding floor annually regardless of CH share.</w:t>
      </w:r>
    </w:p>
    <w:p>
      <w:pPr>
        <w:pStyle w:val="FirstParagraph"/>
      </w:pPr>
      <w:r>
        <w:rPr>
          <w:bCs/>
          <w:b/>
        </w:rPr>
        <w:t xml:space="preserve">Timeline &amp; Governance Responsibilities</w:t>
      </w:r>
    </w:p>
    <w:p>
      <w:pPr>
        <w:pStyle w:val="BodyText"/>
      </w:pPr>
      <w:r>
        <w:t xml:space="preserve">2028: 6 departments live under lone HoDs. 2032–2037: departments add adjunct depth as Faculty Honoraria grows past $100K then $300K. 2038: first secular departments stand up under new Schools. 2039–2050: department count grows incrementally per Senate approval only, never automatically.</w:t>
      </w:r>
    </w:p>
    <w:p>
      <w:pPr>
        <w:pStyle w:val="BodyText"/>
      </w:pPr>
      <w:r>
        <w:rPr>
          <w:bCs/>
          <w:b/>
        </w:rPr>
        <w:t xml:space="preserve">Measurable Success Indicators</w:t>
      </w:r>
    </w:p>
    <w:p>
      <w:pPr>
        <w:pStyle w:val="BodyText"/>
      </w:pPr>
      <w:r>
        <w:t xml:space="preserve">Every department’s CH-based budget reconciles annually to the Faculty Honoraria sub-split with zero unallocated residual (consistent with the fixed allocation framework); 100% of new secular departments (2038+) trace to a Senate approval record before first course offering; no department goes fully unstaffed (zero active adjuncts) in any academic year through 2050.</w:t>
      </w:r>
    </w:p>
    <w:p>
      <w:r>
        <w:pict>
          <v:rect style="width:0;height:1.5pt" o:hralign="center" o:hrstd="t" o:hr="t"/>
        </w:pict>
      </w:r>
    </w:p>
    <w:bookmarkEnd w:id="33"/>
    <w:bookmarkStart w:id="34" w:name="Xd9d68cd70e2468613743edd0b82cdc314d3bb9d"/>
    <w:p>
      <w:pPr>
        <w:pStyle w:val="Heading2"/>
      </w:pPr>
      <w:r>
        <w:t xml:space="preserve">Part III — Curriculum &amp; Student Journey (Sections 11–15)</w:t>
      </w:r>
    </w:p>
    <w:bookmarkEnd w:id="34"/>
    <w:bookmarkStart w:id="35" w:name="section-11-programme-portfolio"/>
    <w:p>
      <w:pPr>
        <w:pStyle w:val="Heading2"/>
      </w:pPr>
      <w:r>
        <w:t xml:space="preserve">Section 11: Programme Portfolio</w:t>
      </w:r>
    </w:p>
    <w:p>
      <w:pPr>
        <w:pStyle w:val="FirstParagraph"/>
      </w:pPr>
      <w:r>
        <w:rPr>
          <w:bCs/>
          <w:b/>
        </w:rPr>
        <w:t xml:space="preserve">Rationale</w:t>
      </w:r>
    </w:p>
    <w:p>
      <w:pPr>
        <w:pStyle w:val="BodyText"/>
      </w:pPr>
      <w:r>
        <w:t xml:space="preserve">AMIU’s 71 founding programs (Colleges I–VI) plus the 28 secular programs launching in Year 11 (2038, seven new Schools) are the operational expression of the Master Plan’s mission: rigorous, stackable credentials at minimum cost. A portfolio this size, growing over a 23-year horizon (2028–2050), requires disciplined lifecycle management so that program proliferation never outruns the fixed-percentage financial model, and so that the 7-tier ladder stays balanced rather than top- or bottom-heavy.</w:t>
      </w:r>
    </w:p>
    <w:p>
      <w:pPr>
        <w:pStyle w:val="BodyText"/>
      </w:pPr>
      <w:r>
        <w:rPr>
          <w:bCs/>
          <w:b/>
        </w:rPr>
        <w:t xml:space="preserve">Global Best Practices</w:t>
      </w:r>
    </w:p>
    <w:p>
      <w:pPr>
        <w:pStyle w:val="BodyText"/>
      </w:pPr>
      <w:r>
        <w:t xml:space="preserve">Peer institutions (e.g., Al-Azhar’s affiliated colleges, Islamic Online University, UK Access-to-HE consortia) show three transferable disciplines: (1) a standing portfolio committee separate from day-to-day curriculum committees; (2) minimum-viable-cohort thresholds before a program is greenlit; (3) mandatory periodic review (typically 3–5 years) with an explicit sunset/merge/continue decision, never silent neglect.</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0 – Founding</w:t>
            </w:r>
          </w:p>
        </w:tc>
        <w:tc>
          <w:tcPr/>
          <w:p>
            <w:pPr>
              <w:pStyle w:val="Compact"/>
              <w:jc w:val="left"/>
            </w:pPr>
            <w:r>
              <w:t xml:space="preserve">2027</w:t>
            </w:r>
          </w:p>
        </w:tc>
        <w:tc>
          <w:tcPr/>
          <w:p>
            <w:pPr>
              <w:pStyle w:val="Compact"/>
              <w:jc w:val="left"/>
            </w:pPr>
            <w:r>
              <w:t xml:space="preserve">Senate ratifies the 71-program catalog and permanent numbering (1–71)</w:t>
            </w:r>
          </w:p>
        </w:tc>
      </w:tr>
      <w:tr>
        <w:tc>
          <w:tcPr/>
          <w:p>
            <w:pPr>
              <w:pStyle w:val="Compact"/>
              <w:jc w:val="left"/>
            </w:pPr>
            <w:r>
              <w:t xml:space="preserve">1 – Stabilization</w:t>
            </w:r>
          </w:p>
        </w:tc>
        <w:tc>
          <w:tcPr/>
          <w:p>
            <w:pPr>
              <w:pStyle w:val="Compact"/>
              <w:jc w:val="left"/>
            </w:pPr>
            <w:r>
              <w:t xml:space="preserve">2028–2030</w:t>
            </w:r>
          </w:p>
        </w:tc>
        <w:tc>
          <w:tcPr/>
          <w:p>
            <w:pPr>
              <w:pStyle w:val="Compact"/>
              <w:jc w:val="left"/>
            </w:pPr>
            <w:r>
              <w:t xml:space="preserve">Launch monitoring; no new programs; fix early-cohort defects</w:t>
            </w:r>
          </w:p>
        </w:tc>
      </w:tr>
      <w:tr>
        <w:tc>
          <w:tcPr/>
          <w:p>
            <w:pPr>
              <w:pStyle w:val="Compact"/>
              <w:jc w:val="left"/>
            </w:pPr>
            <w:r>
              <w:t xml:space="preserve">2 – Consolidation</w:t>
            </w:r>
          </w:p>
        </w:tc>
        <w:tc>
          <w:tcPr/>
          <w:p>
            <w:pPr>
              <w:pStyle w:val="Compact"/>
              <w:jc w:val="left"/>
            </w:pPr>
            <w:r>
              <w:t xml:space="preserve">2031–2034</w:t>
            </w:r>
          </w:p>
        </w:tc>
        <w:tc>
          <w:tcPr/>
          <w:p>
            <w:pPr>
              <w:pStyle w:val="Compact"/>
              <w:jc w:val="left"/>
            </w:pPr>
            <w:r>
              <w:t xml:space="preserve">First 3-year reviews; balance checks across tiers/colleges</w:t>
            </w:r>
          </w:p>
        </w:tc>
      </w:tr>
      <w:tr>
        <w:tc>
          <w:tcPr/>
          <w:p>
            <w:pPr>
              <w:pStyle w:val="Compact"/>
              <w:jc w:val="left"/>
            </w:pPr>
            <w:r>
              <w:t xml:space="preserve">3 – Pre-Expansion</w:t>
            </w:r>
          </w:p>
        </w:tc>
        <w:tc>
          <w:tcPr/>
          <w:p>
            <w:pPr>
              <w:pStyle w:val="Compact"/>
              <w:jc w:val="left"/>
            </w:pPr>
            <w:r>
              <w:t xml:space="preserve">2035–2037</w:t>
            </w:r>
          </w:p>
        </w:tc>
        <w:tc>
          <w:tcPr/>
          <w:p>
            <w:pPr>
              <w:pStyle w:val="Compact"/>
              <w:jc w:val="left"/>
            </w:pPr>
            <w:r>
              <w:t xml:space="preserve">Readiness audit for secular expansion; capacity planning</w:t>
            </w:r>
          </w:p>
        </w:tc>
      </w:tr>
      <w:tr>
        <w:tc>
          <w:tcPr/>
          <w:p>
            <w:pPr>
              <w:pStyle w:val="Compact"/>
              <w:jc w:val="left"/>
            </w:pPr>
            <w:r>
              <w:t xml:space="preserve">4 – Secular Launch</w:t>
            </w:r>
          </w:p>
        </w:tc>
        <w:tc>
          <w:tcPr/>
          <w:p>
            <w:pPr>
              <w:pStyle w:val="Compact"/>
              <w:jc w:val="left"/>
            </w:pPr>
            <w:r>
              <w:t xml:space="preserve">2038–2041</w:t>
            </w:r>
          </w:p>
        </w:tc>
        <w:tc>
          <w:tcPr/>
          <w:p>
            <w:pPr>
              <w:pStyle w:val="Compact"/>
              <w:jc w:val="left"/>
            </w:pPr>
            <w:r>
              <w:t xml:space="preserve">Onboard 28 programs (#72–99), 7 new Schools</w:t>
            </w:r>
          </w:p>
        </w:tc>
      </w:tr>
      <w:tr>
        <w:tc>
          <w:tcPr/>
          <w:p>
            <w:pPr>
              <w:pStyle w:val="Compact"/>
              <w:jc w:val="left"/>
            </w:pPr>
            <w:r>
              <w:t xml:space="preserve">5 – Maturity</w:t>
            </w:r>
          </w:p>
        </w:tc>
        <w:tc>
          <w:tcPr/>
          <w:p>
            <w:pPr>
              <w:pStyle w:val="Compact"/>
              <w:jc w:val="left"/>
            </w:pPr>
            <w:r>
              <w:t xml:space="preserve">2042–2050</w:t>
            </w:r>
          </w:p>
        </w:tc>
        <w:tc>
          <w:tcPr/>
          <w:p>
            <w:pPr>
              <w:pStyle w:val="Compact"/>
              <w:jc w:val="left"/>
            </w:pPr>
            <w:r>
              <w:t xml:space="preserve">Steady-state renewal, selective new-program proposals, sunset review cycle</w:t>
            </w:r>
          </w:p>
        </w:tc>
      </w:tr>
    </w:tbl>
    <w:p>
      <w:pPr>
        <w:pStyle w:val="BodyText"/>
      </w:pPr>
      <w:r>
        <w:rPr>
          <w:bCs/>
          <w:b/>
        </w:rPr>
        <w:t xml:space="preserve">Staffing Requirements</w:t>
      </w:r>
      <w:r>
        <w:t xml:space="preserve"> </w:t>
      </w:r>
      <w:r>
        <w:t xml:space="preserve">(phase-scaled, thin by design)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Portfolio-related staffing</w:t>
            </w:r>
          </w:p>
        </w:tc>
      </w:tr>
      <w:tr>
        <w:tc>
          <w:tcPr/>
          <w:p>
            <w:pPr>
              <w:pStyle w:val="Compact"/>
              <w:jc w:val="left"/>
            </w:pPr>
            <w:r>
              <w:t xml:space="preserve">1 (Yr1–3)</w:t>
            </w:r>
          </w:p>
        </w:tc>
        <w:tc>
          <w:tcPr/>
          <w:p>
            <w:pPr>
              <w:pStyle w:val="Compact"/>
              <w:jc w:val="left"/>
            </w:pPr>
            <w:r>
              <w:t xml:space="preserve">No dedicated role; Senate Secretary + DVC Academic Affairs track portfolio part-time</w:t>
            </w:r>
          </w:p>
        </w:tc>
      </w:tr>
      <w:tr>
        <w:tc>
          <w:tcPr/>
          <w:p>
            <w:pPr>
              <w:pStyle w:val="Compact"/>
              <w:jc w:val="left"/>
            </w:pPr>
            <w:r>
              <w:t xml:space="preserve">2 (Yr4–7)</w:t>
            </w:r>
          </w:p>
        </w:tc>
        <w:tc>
          <w:tcPr/>
          <w:p>
            <w:pPr>
              <w:pStyle w:val="Compact"/>
              <w:jc w:val="left"/>
            </w:pPr>
            <w:r>
              <w:t xml:space="preserve">Programme Portfolio Analyst, 0.5 FTE</w:t>
            </w:r>
          </w:p>
        </w:tc>
      </w:tr>
      <w:tr>
        <w:tc>
          <w:tcPr/>
          <w:p>
            <w:pPr>
              <w:pStyle w:val="Compact"/>
              <w:jc w:val="left"/>
            </w:pPr>
            <w:r>
              <w:t xml:space="preserve">3 (Yr8–10)</w:t>
            </w:r>
          </w:p>
        </w:tc>
        <w:tc>
          <w:tcPr/>
          <w:p>
            <w:pPr>
              <w:pStyle w:val="Compact"/>
              <w:jc w:val="left"/>
            </w:pPr>
            <w:r>
              <w:t xml:space="preserve">Analyst to 1.0 FTE; College Curriculum Liaisons (volunteer, 1 per college)</w:t>
            </w:r>
          </w:p>
        </w:tc>
      </w:tr>
      <w:tr>
        <w:tc>
          <w:tcPr/>
          <w:p>
            <w:pPr>
              <w:pStyle w:val="Compact"/>
              <w:jc w:val="left"/>
            </w:pPr>
            <w:r>
              <w:t xml:space="preserve">4 (Yr11–14)</w:t>
            </w:r>
          </w:p>
        </w:tc>
        <w:tc>
          <w:tcPr/>
          <w:p>
            <w:pPr>
              <w:pStyle w:val="Compact"/>
              <w:jc w:val="left"/>
            </w:pPr>
            <w:r>
              <w:t xml:space="preserve">Programme Portfolio Office, 2 FTE, incl. secular-schools liaison</w:t>
            </w:r>
          </w:p>
        </w:tc>
      </w:tr>
      <w:tr>
        <w:tc>
          <w:tcPr/>
          <w:p>
            <w:pPr>
              <w:pStyle w:val="Compact"/>
              <w:jc w:val="left"/>
            </w:pPr>
            <w:r>
              <w:t xml:space="preserve">5 (Yr15–23)</w:t>
            </w:r>
          </w:p>
        </w:tc>
        <w:tc>
          <w:tcPr/>
          <w:p>
            <w:pPr>
              <w:pStyle w:val="Compact"/>
              <w:jc w:val="left"/>
            </w:pPr>
            <w:r>
              <w:t xml:space="preserve">2–3 FTE, steady-state, succession-planned</w:t>
            </w:r>
          </w:p>
        </w:tc>
      </w:tr>
    </w:tbl>
    <w:p>
      <w:pPr>
        <w:pStyle w:val="BodyText"/>
      </w:pPr>
      <w:r>
        <w:rPr>
          <w:bCs/>
          <w:b/>
        </w:rPr>
        <w:t xml:space="preserve">Annual Budget</w:t>
      </w:r>
    </w:p>
    <w:p>
      <w:pPr>
        <w:pStyle w:val="BodyText"/>
      </w:pPr>
      <w:r>
        <w:t xml:space="preserve">Portfolio administration is an institutional-effectiveness function funded from the fixed 5% OpEx allocation, not a standalone line. Illustrative ceilings: Year 1 OpEx pool = $11,237 (portfolio work a token share, &lt;$2,000); Year 5 OpEx pool = $64,539 (supports the 0.5 FTE Analyst); Year 10 OpEx pool = $191,527 (supports 1.0 FTE plus review-cycle costs). Post-Year-10 figures are extension-period planning assumptions pending annual Board ratification, not Master Plan commitments.</w:t>
      </w:r>
    </w:p>
    <w:p>
      <w:pPr>
        <w:pStyle w:val="BodyText"/>
      </w:pPr>
      <w:r>
        <w:rPr>
          <w:bCs/>
          <w:b/>
        </w:rPr>
        <w:t xml:space="preserve">KPIs</w:t>
      </w:r>
    </w:p>
    <w:p>
      <w:pPr>
        <w:numPr>
          <w:ilvl w:val="0"/>
          <w:numId w:val="1009"/>
        </w:numPr>
        <w:pStyle w:val="Compact"/>
      </w:pPr>
      <w:r>
        <w:t xml:space="preserve">No single tier exceeds ~45% of total enrolled headcount (ladder-balance guardrail)</w:t>
      </w:r>
    </w:p>
    <w:p>
      <w:pPr>
        <w:numPr>
          <w:ilvl w:val="0"/>
          <w:numId w:val="1009"/>
        </w:numPr>
        <w:pStyle w:val="Compact"/>
      </w:pPr>
      <w:r>
        <w:t xml:space="preserve">100% of active programs reviewed on a rolling 3–5-year cycle</w:t>
      </w:r>
    </w:p>
    <w:p>
      <w:pPr>
        <w:numPr>
          <w:ilvl w:val="0"/>
          <w:numId w:val="1009"/>
        </w:numPr>
        <w:pStyle w:val="Compact"/>
      </w:pPr>
      <w:r>
        <w:t xml:space="preserve">Median Senate turnaround on new-program proposals &lt; 180 days</w:t>
      </w:r>
    </w:p>
    <w:p>
      <w:pPr>
        <w:numPr>
          <w:ilvl w:val="0"/>
          <w:numId w:val="1009"/>
        </w:numPr>
        <w:pStyle w:val="Compact"/>
      </w:pPr>
      <w:r>
        <w:t xml:space="preserve">≤5% of programs below minimum-viable-cohort threshold for 2 consecutive years without a corrective plan</w:t>
      </w:r>
    </w:p>
    <w:p>
      <w:pPr>
        <w:pStyle w:val="FirstParagraph"/>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Program proliferation dilutes faculty/marketing capacity</w:t>
            </w:r>
          </w:p>
        </w:tc>
        <w:tc>
          <w:tcPr/>
          <w:p>
            <w:pPr>
              <w:pStyle w:val="Compact"/>
              <w:jc w:val="left"/>
            </w:pPr>
            <w:r>
              <w:t xml:space="preserve">Minimum-viable-cohort gate before Senate approval; sunset trigger after 3 sub-threshold years</w:t>
            </w:r>
          </w:p>
        </w:tc>
      </w:tr>
      <w:tr>
        <w:tc>
          <w:tcPr/>
          <w:p>
            <w:pPr>
              <w:pStyle w:val="Compact"/>
              <w:jc w:val="left"/>
            </w:pPr>
            <w:r>
              <w:t xml:space="preserve">Secular Schools (Yr11) cannibalize religious-college enrollment/marketing share</w:t>
            </w:r>
          </w:p>
        </w:tc>
        <w:tc>
          <w:tcPr/>
          <w:p>
            <w:pPr>
              <w:pStyle w:val="Compact"/>
              <w:jc w:val="left"/>
            </w:pPr>
            <w:r>
              <w:t xml:space="preserve">Separate marketing sub-budgets and KPIs per college/school within the 10% Marketing allocation</w:t>
            </w:r>
          </w:p>
        </w:tc>
      </w:tr>
      <w:tr>
        <w:tc>
          <w:tcPr/>
          <w:p>
            <w:pPr>
              <w:pStyle w:val="Compact"/>
              <w:jc w:val="left"/>
            </w:pPr>
            <w:r>
              <w:t xml:space="preserve">Senate becomes a bottleneck as catalog grows to 99 programs</w:t>
            </w:r>
          </w:p>
        </w:tc>
        <w:tc>
          <w:tcPr/>
          <w:p>
            <w:pPr>
              <w:pStyle w:val="Compact"/>
              <w:jc w:val="left"/>
            </w:pPr>
            <w:r>
              <w:t xml:space="preserve">Programme Portfolio Committee pre-screens and batches routine reviews; only substantive changes go to full Senate</w:t>
            </w:r>
          </w:p>
        </w:tc>
      </w:tr>
      <w:tr>
        <w:tc>
          <w:tcPr/>
          <w:p>
            <w:pPr>
              <w:pStyle w:val="Compact"/>
              <w:jc w:val="left"/>
            </w:pPr>
            <w:r>
              <w:t xml:space="preserve">Permanent numbering (1–71) creates confusion when a program is sunset</w:t>
            </w:r>
          </w:p>
        </w:tc>
        <w:tc>
          <w:tcPr/>
          <w:p>
            <w:pPr>
              <w:pStyle w:val="Compact"/>
              <w:jc w:val="left"/>
            </w:pPr>
            <w:r>
              <w:t xml:space="preserve">Sunset = status flag (</w:t>
            </w:r>
            <w:r>
              <w:t xml:space="preserve">“</w:t>
            </w:r>
            <w:r>
              <w:t xml:space="preserve">inactive/teach-out</w:t>
            </w:r>
            <w:r>
              <w:t xml:space="preserve">”</w:t>
            </w:r>
            <w:r>
              <w:t xml:space="preserve">), never renumbering or reuse</w:t>
            </w:r>
          </w:p>
        </w:tc>
      </w:tr>
    </w:tbl>
    <w:p>
      <w:pPr>
        <w:pStyle w:val="BodyText"/>
      </w:pPr>
      <w:r>
        <w:rPr>
          <w:bCs/>
          <w:b/>
        </w:rPr>
        <w:t xml:space="preserve">Timeline</w:t>
      </w:r>
    </w:p>
    <w:p>
      <w:pPr>
        <w:pStyle w:val="BodyText"/>
      </w:pPr>
      <w:r>
        <w:t xml:space="preserve">2028 catalog live → 2031 first triennial review → 2034 balance audit → 2037 expansion readiness certified → 2038 Schools 72–99 launch → 2041 secular-portfolio first review → 2050 full-catalog maturity review.</w:t>
      </w:r>
    </w:p>
    <w:p>
      <w:pPr>
        <w:pStyle w:val="BodyText"/>
      </w:pPr>
      <w:r>
        <w:rPr>
          <w:bCs/>
          <w:b/>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Body</w:t>
            </w:r>
          </w:p>
        </w:tc>
        <w:tc>
          <w:tcPr/>
          <w:p>
            <w:pPr>
              <w:pStyle w:val="Compact"/>
              <w:jc w:val="left"/>
            </w:pPr>
            <w:r>
              <w:t xml:space="preserve">Role</w:t>
            </w:r>
          </w:p>
        </w:tc>
      </w:tr>
      <w:tr>
        <w:tc>
          <w:tcPr/>
          <w:p>
            <w:pPr>
              <w:pStyle w:val="Compact"/>
              <w:jc w:val="left"/>
            </w:pPr>
            <w:r>
              <w:t xml:space="preserve">Board of Trustees</w:t>
            </w:r>
          </w:p>
        </w:tc>
        <w:tc>
          <w:tcPr/>
          <w:p>
            <w:pPr>
              <w:pStyle w:val="Compact"/>
              <w:jc w:val="left"/>
            </w:pPr>
            <w:r>
              <w:t xml:space="preserve">Approves creation of new Colleges/Schools (capital &amp; fiduciary dimension)</w:t>
            </w:r>
          </w:p>
        </w:tc>
      </w:tr>
      <w:tr>
        <w:tc>
          <w:tcPr/>
          <w:p>
            <w:pPr>
              <w:pStyle w:val="Compact"/>
              <w:jc w:val="left"/>
            </w:pPr>
            <w:r>
              <w:t xml:space="preserve">University Senate</w:t>
            </w:r>
          </w:p>
        </w:tc>
        <w:tc>
          <w:tcPr/>
          <w:p>
            <w:pPr>
              <w:pStyle w:val="Compact"/>
              <w:jc w:val="left"/>
            </w:pPr>
            <w:r>
              <w:t xml:space="preserve">Supreme authority: approves every program addition, modification, discontinuation</w:t>
            </w:r>
          </w:p>
        </w:tc>
      </w:tr>
      <w:tr>
        <w:tc>
          <w:tcPr/>
          <w:p>
            <w:pPr>
              <w:pStyle w:val="Compact"/>
              <w:jc w:val="left"/>
            </w:pPr>
            <w:r>
              <w:t xml:space="preserve">Programme Portfolio Committee (PPC, Senate subcommittee)</w:t>
            </w:r>
          </w:p>
        </w:tc>
        <w:tc>
          <w:tcPr/>
          <w:p>
            <w:pPr>
              <w:pStyle w:val="Compact"/>
              <w:jc w:val="left"/>
            </w:pPr>
            <w:r>
              <w:t xml:space="preserve">Conducts reviews, recommends sunset/launch, monitors tier/college balance</w:t>
            </w:r>
          </w:p>
        </w:tc>
      </w:tr>
      <w:tr>
        <w:tc>
          <w:tcPr/>
          <w:p>
            <w:pPr>
              <w:pStyle w:val="Compact"/>
              <w:jc w:val="left"/>
            </w:pPr>
            <w:r>
              <w:t xml:space="preserve">DVC Academic Affairs (Al-Qumash)</w:t>
            </w:r>
          </w:p>
        </w:tc>
        <w:tc>
          <w:tcPr/>
          <w:p>
            <w:pPr>
              <w:pStyle w:val="Compact"/>
              <w:jc w:val="left"/>
            </w:pPr>
            <w:r>
              <w:t xml:space="preserve">Implements Senate decisions, chairs PPC coordination</w:t>
            </w:r>
          </w:p>
        </w:tc>
      </w:tr>
      <w:tr>
        <w:tc>
          <w:tcPr/>
          <w:p>
            <w:pPr>
              <w:pStyle w:val="Compact"/>
              <w:jc w:val="left"/>
            </w:pPr>
            <w:r>
              <w:t xml:space="preserve">University Registrar</w:t>
            </w:r>
          </w:p>
        </w:tc>
        <w:tc>
          <w:tcPr/>
          <w:p>
            <w:pPr>
              <w:pStyle w:val="Compact"/>
              <w:jc w:val="left"/>
            </w:pPr>
            <w:r>
              <w:t xml:space="preserve">Maintains authoritative program catalog and permanent numbering</w:t>
            </w:r>
          </w:p>
        </w:tc>
      </w:tr>
    </w:tbl>
    <w:p>
      <w:pPr>
        <w:pStyle w:val="BodyText"/>
      </w:pPr>
      <w:r>
        <w:rPr>
          <w:bCs/>
          <w:b/>
        </w:rPr>
        <w:t xml:space="preserve">Measurable Success Indicators</w:t>
      </w:r>
    </w:p>
    <w:p>
      <w:pPr>
        <w:pStyle w:val="BodyText"/>
      </w:pPr>
      <w:r>
        <w:t xml:space="preserve">By 2037: 71 programs fully stabilized, ≥90% passing triennial review without corrective action. By 2041: 28 secular programs onboarded with balanced enrollment across all 13 colleges/schools. By 2050: portfolio-wide sunset/launch cadence operating on autopilot with &lt;5% Senate-escalation rate.</w:t>
      </w:r>
    </w:p>
    <w:bookmarkEnd w:id="35"/>
    <w:bookmarkStart w:id="36" w:name="section-12-curriculum-architecture"/>
    <w:p>
      <w:pPr>
        <w:pStyle w:val="Heading2"/>
      </w:pPr>
      <w:r>
        <w:t xml:space="preserve">Section 12: Curriculum Architecture</w:t>
      </w:r>
    </w:p>
    <w:p>
      <w:pPr>
        <w:pStyle w:val="FirstParagraph"/>
      </w:pPr>
      <w:r>
        <w:rPr>
          <w:bCs/>
          <w:b/>
        </w:rPr>
        <w:t xml:space="preserve">Rationale</w:t>
      </w:r>
    </w:p>
    <w:p>
      <w:pPr>
        <w:pStyle w:val="BodyText"/>
      </w:pPr>
      <w:r>
        <w:t xml:space="preserve">The Master Plan fixes credit-hour totals per tier (Diploma 45CH → Associate 60CH → BA 120CH → HPGD 30CH → MA 45CH → PhD 60CH → Post-Doc non-credit) and mandates zero credit loss at any transition. This section specifies</w:t>
      </w:r>
      <w:r>
        <w:t xml:space="preserve"> </w:t>
      </w:r>
      <w:r>
        <w:rPr>
          <w:iCs/>
          <w:i/>
        </w:rPr>
        <w:t xml:space="preserve">how</w:t>
      </w:r>
      <w:r>
        <w:t xml:space="preserve"> </w:t>
      </w:r>
      <w:r>
        <w:t xml:space="preserve">those hours are composed — gen-ed/core/elective mix, religious-authenticity verification, English-medium standards, and Fast-Track mechanics — without altering any canon total.</w:t>
      </w:r>
    </w:p>
    <w:p>
      <w:pPr>
        <w:pStyle w:val="BodyText"/>
      </w:pPr>
      <w:r>
        <w:rPr>
          <w:bCs/>
          <w:b/>
        </w:rPr>
        <w:t xml:space="preserve">Global Best Practices</w:t>
      </w:r>
    </w:p>
    <w:p>
      <w:pPr>
        <w:pStyle w:val="BodyText"/>
      </w:pPr>
      <w:r>
        <w:t xml:space="preserve">Carnegie-unit transparency (US regional accreditors), isnād-preservation protocols used by Al-Azhar and traditional ijāza-granting institutions, and CEFR-anchored English-medium instruction (EMI) benchmarks used by transnational universities are the three reference frameworks blended here.</w:t>
      </w:r>
    </w:p>
    <w:p>
      <w:pPr>
        <w:pStyle w:val="BodyText"/>
      </w:pPr>
      <w:r>
        <w:rPr>
          <w:bCs/>
          <w:b/>
        </w:rPr>
        <w:t xml:space="preserve">Curriculum Composition by Tier (illustrative allocation within fixed CH totals)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Total CH</w:t>
            </w:r>
          </w:p>
        </w:tc>
        <w:tc>
          <w:tcPr/>
          <w:p>
            <w:pPr>
              <w:pStyle w:val="Compact"/>
              <w:jc w:val="left"/>
            </w:pPr>
            <w:r>
              <w:t xml:space="preserve">Gen-Ed</w:t>
            </w:r>
          </w:p>
        </w:tc>
        <w:tc>
          <w:tcPr/>
          <w:p>
            <w:pPr>
              <w:pStyle w:val="Compact"/>
              <w:jc w:val="left"/>
            </w:pPr>
            <w:r>
              <w:t xml:space="preserve">Core/Major</w:t>
            </w:r>
          </w:p>
        </w:tc>
        <w:tc>
          <w:tcPr/>
          <w:p>
            <w:pPr>
              <w:pStyle w:val="Compact"/>
              <w:jc w:val="left"/>
            </w:pPr>
            <w:r>
              <w:t xml:space="preserve">Elective/Research</w:t>
            </w:r>
          </w:p>
        </w:tc>
      </w:tr>
      <w:tr>
        <w:tc>
          <w:tcPr/>
          <w:p>
            <w:pPr>
              <w:pStyle w:val="Compact"/>
              <w:jc w:val="left"/>
            </w:pPr>
            <w:r>
              <w:t xml:space="preserve">I Diploma</w:t>
            </w:r>
          </w:p>
        </w:tc>
        <w:tc>
          <w:tcPr/>
          <w:p>
            <w:pPr>
              <w:pStyle w:val="Compact"/>
              <w:jc w:val="left"/>
            </w:pPr>
            <w:r>
              <w:t xml:space="preserve">45</w:t>
            </w:r>
          </w:p>
        </w:tc>
        <w:tc>
          <w:tcPr/>
          <w:p>
            <w:pPr>
              <w:pStyle w:val="Compact"/>
              <w:jc w:val="left"/>
            </w:pPr>
            <w:r>
              <w:t xml:space="preserve">9 (20%)</w:t>
            </w:r>
          </w:p>
        </w:tc>
        <w:tc>
          <w:tcPr/>
          <w:p>
            <w:pPr>
              <w:pStyle w:val="Compact"/>
              <w:jc w:val="left"/>
            </w:pPr>
            <w:r>
              <w:t xml:space="preserve">36 (80%)</w:t>
            </w:r>
          </w:p>
        </w:tc>
        <w:tc>
          <w:tcPr/>
          <w:p>
            <w:pPr>
              <w:pStyle w:val="Compact"/>
              <w:jc w:val="left"/>
            </w:pPr>
            <w:r>
              <w:t xml:space="preserve">—</w:t>
            </w:r>
          </w:p>
        </w:tc>
      </w:tr>
      <w:tr>
        <w:tc>
          <w:tcPr/>
          <w:p>
            <w:pPr>
              <w:pStyle w:val="Compact"/>
              <w:jc w:val="left"/>
            </w:pPr>
            <w:r>
              <w:t xml:space="preserve">II Associate</w:t>
            </w:r>
          </w:p>
        </w:tc>
        <w:tc>
          <w:tcPr/>
          <w:p>
            <w:pPr>
              <w:pStyle w:val="Compact"/>
              <w:jc w:val="left"/>
            </w:pPr>
            <w:r>
              <w:t xml:space="preserve">60</w:t>
            </w:r>
          </w:p>
        </w:tc>
        <w:tc>
          <w:tcPr/>
          <w:p>
            <w:pPr>
              <w:pStyle w:val="Compact"/>
              <w:jc w:val="left"/>
            </w:pPr>
            <w:r>
              <w:t xml:space="preserve">12 (20%)</w:t>
            </w:r>
          </w:p>
        </w:tc>
        <w:tc>
          <w:tcPr/>
          <w:p>
            <w:pPr>
              <w:pStyle w:val="Compact"/>
              <w:jc w:val="left"/>
            </w:pPr>
            <w:r>
              <w:t xml:space="preserve">42 (70%)</w:t>
            </w:r>
          </w:p>
        </w:tc>
        <w:tc>
          <w:tcPr/>
          <w:p>
            <w:pPr>
              <w:pStyle w:val="Compact"/>
              <w:jc w:val="left"/>
            </w:pPr>
            <w:r>
              <w:t xml:space="preserve">6 (10%)</w:t>
            </w:r>
          </w:p>
        </w:tc>
      </w:tr>
      <w:tr>
        <w:tc>
          <w:tcPr/>
          <w:p>
            <w:pPr>
              <w:pStyle w:val="Compact"/>
              <w:jc w:val="left"/>
            </w:pPr>
            <w:r>
              <w:t xml:space="preserve">III BA</w:t>
            </w:r>
          </w:p>
        </w:tc>
        <w:tc>
          <w:tcPr/>
          <w:p>
            <w:pPr>
              <w:pStyle w:val="Compact"/>
              <w:jc w:val="left"/>
            </w:pPr>
            <w:r>
              <w:t xml:space="preserve">120</w:t>
            </w:r>
          </w:p>
        </w:tc>
        <w:tc>
          <w:tcPr/>
          <w:p>
            <w:pPr>
              <w:pStyle w:val="Compact"/>
              <w:jc w:val="left"/>
            </w:pPr>
            <w:r>
              <w:t xml:space="preserve">24 (20%)</w:t>
            </w:r>
          </w:p>
        </w:tc>
        <w:tc>
          <w:tcPr/>
          <w:p>
            <w:pPr>
              <w:pStyle w:val="Compact"/>
              <w:jc w:val="left"/>
            </w:pPr>
            <w:r>
              <w:t xml:space="preserve">72 (60%)</w:t>
            </w:r>
          </w:p>
        </w:tc>
        <w:tc>
          <w:tcPr/>
          <w:p>
            <w:pPr>
              <w:pStyle w:val="Compact"/>
              <w:jc w:val="left"/>
            </w:pPr>
            <w:r>
              <w:t xml:space="preserve">24 (20%)</w:t>
            </w:r>
          </w:p>
        </w:tc>
      </w:tr>
      <w:tr>
        <w:tc>
          <w:tcPr/>
          <w:p>
            <w:pPr>
              <w:pStyle w:val="Compact"/>
              <w:jc w:val="left"/>
            </w:pPr>
            <w:r>
              <w:t xml:space="preserve">IV HPGD (bridge)</w:t>
            </w:r>
          </w:p>
        </w:tc>
        <w:tc>
          <w:tcPr/>
          <w:p>
            <w:pPr>
              <w:pStyle w:val="Compact"/>
              <w:jc w:val="left"/>
            </w:pPr>
            <w:r>
              <w:t xml:space="preserve">30</w:t>
            </w:r>
          </w:p>
        </w:tc>
        <w:tc>
          <w:tcPr/>
          <w:p>
            <w:pPr>
              <w:pStyle w:val="Compact"/>
              <w:jc w:val="left"/>
            </w:pPr>
            <w:r>
              <w:t xml:space="preserve">—</w:t>
            </w:r>
          </w:p>
        </w:tc>
        <w:tc>
          <w:tcPr/>
          <w:p>
            <w:pPr>
              <w:pStyle w:val="Compact"/>
              <w:jc w:val="left"/>
            </w:pPr>
            <w:r>
              <w:t xml:space="preserve">24 (80%)</w:t>
            </w:r>
          </w:p>
        </w:tc>
        <w:tc>
          <w:tcPr/>
          <w:p>
            <w:pPr>
              <w:pStyle w:val="Compact"/>
              <w:jc w:val="left"/>
            </w:pPr>
            <w:r>
              <w:t xml:space="preserve">6 (20%)</w:t>
            </w:r>
          </w:p>
        </w:tc>
      </w:tr>
      <w:tr>
        <w:tc>
          <w:tcPr/>
          <w:p>
            <w:pPr>
              <w:pStyle w:val="Compact"/>
              <w:jc w:val="left"/>
            </w:pPr>
            <w:r>
              <w:t xml:space="preserve">V MA</w:t>
            </w:r>
          </w:p>
        </w:tc>
        <w:tc>
          <w:tcPr/>
          <w:p>
            <w:pPr>
              <w:pStyle w:val="Compact"/>
              <w:jc w:val="left"/>
            </w:pPr>
            <w:r>
              <w:t xml:space="preserve">45</w:t>
            </w:r>
          </w:p>
        </w:tc>
        <w:tc>
          <w:tcPr/>
          <w:p>
            <w:pPr>
              <w:pStyle w:val="Compact"/>
              <w:jc w:val="left"/>
            </w:pPr>
            <w:r>
              <w:t xml:space="preserve">—</w:t>
            </w:r>
          </w:p>
        </w:tc>
        <w:tc>
          <w:tcPr/>
          <w:p>
            <w:pPr>
              <w:pStyle w:val="Compact"/>
              <w:jc w:val="left"/>
            </w:pPr>
            <w:r>
              <w:t xml:space="preserve">33 core/specialization</w:t>
            </w:r>
          </w:p>
        </w:tc>
        <w:tc>
          <w:tcPr/>
          <w:p>
            <w:pPr>
              <w:pStyle w:val="Compact"/>
              <w:jc w:val="left"/>
            </w:pPr>
            <w:r>
              <w:t xml:space="preserve">12 thesis/elective</w:t>
            </w:r>
          </w:p>
        </w:tc>
      </w:tr>
      <w:tr>
        <w:tc>
          <w:tcPr/>
          <w:p>
            <w:pPr>
              <w:pStyle w:val="Compact"/>
              <w:jc w:val="left"/>
            </w:pPr>
            <w:r>
              <w:t xml:space="preserve">VI PhD</w:t>
            </w:r>
          </w:p>
        </w:tc>
        <w:tc>
          <w:tcPr/>
          <w:p>
            <w:pPr>
              <w:pStyle w:val="Compact"/>
              <w:jc w:val="left"/>
            </w:pPr>
            <w:r>
              <w:t xml:space="preserve">60</w:t>
            </w:r>
          </w:p>
        </w:tc>
        <w:tc>
          <w:tcPr/>
          <w:p>
            <w:pPr>
              <w:pStyle w:val="Compact"/>
              <w:jc w:val="left"/>
            </w:pPr>
            <w:r>
              <w:t xml:space="preserve">—</w:t>
            </w:r>
          </w:p>
        </w:tc>
        <w:tc>
          <w:tcPr/>
          <w:p>
            <w:pPr>
              <w:pStyle w:val="Compact"/>
              <w:jc w:val="left"/>
            </w:pPr>
            <w:r>
              <w:t xml:space="preserve">18 coursework</w:t>
            </w:r>
          </w:p>
        </w:tc>
        <w:tc>
          <w:tcPr/>
          <w:p>
            <w:pPr>
              <w:pStyle w:val="Compact"/>
              <w:jc w:val="left"/>
            </w:pPr>
            <w:r>
              <w:t xml:space="preserve">42 comprehensive + dissertation</w:t>
            </w:r>
          </w:p>
        </w:tc>
      </w:tr>
      <w:tr>
        <w:tc>
          <w:tcPr/>
          <w:p>
            <w:pPr>
              <w:pStyle w:val="Compact"/>
              <w:jc w:val="left"/>
            </w:pPr>
            <w:r>
              <w:t xml:space="preserve">VII Post-Doc</w:t>
            </w:r>
          </w:p>
        </w:tc>
        <w:tc>
          <w:tcPr/>
          <w:p>
            <w:pPr>
              <w:pStyle w:val="Compact"/>
              <w:jc w:val="left"/>
            </w:pPr>
            <w:r>
              <w:t xml:space="preserve">non-credit</w:t>
            </w:r>
          </w:p>
        </w:tc>
        <w:tc>
          <w:tcPr/>
          <w:p>
            <w:pPr>
              <w:pStyle w:val="Compact"/>
              <w:jc w:val="left"/>
            </w:pPr>
            <w:r>
              <w:t xml:space="preserve">—</w:t>
            </w:r>
          </w:p>
        </w:tc>
        <w:tc>
          <w:tcPr/>
          <w:p>
            <w:pPr>
              <w:pStyle w:val="Compact"/>
              <w:jc w:val="left"/>
            </w:pPr>
            <w:r>
              <w:t xml:space="preserve">mentored research</w:t>
            </w:r>
          </w:p>
        </w:tc>
        <w:tc>
          <w:tcPr/>
          <w:p>
            <w:pPr>
              <w:pStyle w:val="Compact"/>
              <w:jc w:val="left"/>
            </w:pPr>
            <w:r>
              <w:t xml:space="preserve">—</w:t>
            </w:r>
          </w:p>
        </w:tc>
      </w:tr>
    </w:tbl>
    <w:p>
      <w:pPr>
        <w:pStyle w:val="BodyText"/>
      </w:pPr>
      <w:r>
        <w:t xml:space="preserve">HPGD carries no gen-ed block by design — it is the bridge for secular degree-holders, so general education is presumed satisfied by their prior degree.</w:t>
      </w:r>
    </w:p>
    <w:p>
      <w:pPr>
        <w:pStyle w:val="BodyText"/>
      </w:pPr>
      <w:r>
        <w:rPr>
          <w:bCs/>
          <w:b/>
        </w:rPr>
        <w:t xml:space="preserve">Sanad Verification Protocol</w:t>
      </w:r>
    </w:p>
    <w:p>
      <w:pPr>
        <w:pStyle w:val="BodyText"/>
      </w:pPr>
      <w:r>
        <w:t xml:space="preserve">Every religious-content course in Colleges I (Qur’ānic &amp; Hadith Sciences) and II (Sharī’ah) must document the isnād/ijāza chain of the instructor and the primary sources taught. Each syllabus carries a Sanad Audit log, reviewed by the Curriculum &amp; Assessment Committee (CAC) before Senate ratification; transfer or Fast-Track credit can never substitute for a live isnād-based oral certification where the source discipline requires it (e.g., Hifz/Qirā’āt).</w:t>
      </w:r>
    </w:p>
    <w:p>
      <w:pPr>
        <w:pStyle w:val="BodyText"/>
      </w:pPr>
      <w:r>
        <w:rPr>
          <w:bCs/>
          <w:b/>
        </w:rPr>
        <w:t xml:space="preserve">English-Medium Instruction Standards</w:t>
      </w:r>
    </w:p>
    <w:p>
      <w:pPr>
        <w:pStyle w:val="BodyText"/>
      </w:pPr>
      <w:r>
        <w:t xml:space="preserve">All instruction is delivered in English; entry benchmark CEFR B2 (or institutional placement equivalent) at BA and above, with academic-English support embedded in the Diploma/Associate gen-ed block for students below threshold. Faculty undergo an EMI-readiness check as part of credentialing (see Section 15).</w:t>
      </w:r>
    </w:p>
    <w:p>
      <w:pPr>
        <w:pStyle w:val="BodyText"/>
      </w:pPr>
      <w:r>
        <w:rPr>
          <w:bCs/>
          <w:b/>
        </w:rPr>
        <w:t xml:space="preserve">Fast-Track (Competency-Based) Assessment Mechanics</w:t>
      </w:r>
    </w:p>
    <w:p>
      <w:pPr>
        <w:pStyle w:val="BodyText"/>
      </w:pPr>
      <w:r>
        <w:t xml:space="preserve">Fast-Track is a standing right, not a promotional offer, available institution-wide at no fee: (1) Student petitions via LMS at any point in any tier. (2) Faculty mentor + CAC administer a competency exam/portfolio review against the mapped Program Learning Outcomes (PLOs). (3) On pass, Registrar reclassifies pacing (Accelerated column) and credits are banked with zero loss. (4) Assessment windows run each term to avoid staffing an always-on office.</w:t>
      </w:r>
    </w:p>
    <w:p>
      <w:pPr>
        <w:pStyle w:val="BodyText"/>
      </w:pPr>
      <w:r>
        <w:rPr>
          <w:bCs/>
          <w:b/>
        </w:rPr>
        <w:t xml:space="preserve">Curriculum Mapping to Outcomes</w:t>
      </w:r>
    </w:p>
    <w:p>
      <w:pPr>
        <w:pStyle w:val="BodyText"/>
      </w:pPr>
      <w:r>
        <w:t xml:space="preserve">Every course maps to PLOs and Institutional Learning Outcomes (ILOs) in a matrix maintained by CAC and reviewed on the same 3-year cycle as portfolio review (Section 11), feeding external program review evidence.</w:t>
      </w:r>
    </w:p>
    <w:p>
      <w:pPr>
        <w:pStyle w:val="BodyText"/>
      </w:pPr>
      <w:r>
        <w:rPr>
          <w:bCs/>
          <w:b/>
        </w:rPr>
        <w:t xml:space="preserve">Implementation Phases /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2028–2029</w:t>
            </w:r>
          </w:p>
        </w:tc>
        <w:tc>
          <w:tcPr/>
          <w:p>
            <w:pPr>
              <w:pStyle w:val="Compact"/>
              <w:jc w:val="left"/>
            </w:pPr>
            <w:r>
              <w:t xml:space="preserve">Publish curriculum maps for all 71 programs; Sanad Audit baseline</w:t>
            </w:r>
          </w:p>
        </w:tc>
      </w:tr>
      <w:tr>
        <w:tc>
          <w:tcPr/>
          <w:p>
            <w:pPr>
              <w:pStyle w:val="Compact"/>
              <w:jc w:val="left"/>
            </w:pPr>
            <w:r>
              <w:t xml:space="preserve">2</w:t>
            </w:r>
          </w:p>
        </w:tc>
        <w:tc>
          <w:tcPr/>
          <w:p>
            <w:pPr>
              <w:pStyle w:val="Compact"/>
              <w:jc w:val="left"/>
            </w:pPr>
            <w:r>
              <w:t xml:space="preserve">2030–2033</w:t>
            </w:r>
          </w:p>
        </w:tc>
        <w:tc>
          <w:tcPr/>
          <w:p>
            <w:pPr>
              <w:pStyle w:val="Compact"/>
              <w:jc w:val="left"/>
            </w:pPr>
            <w:r>
              <w:t xml:space="preserve">First Fast-Track cohort data collected; EMI support pipeline built</w:t>
            </w:r>
          </w:p>
        </w:tc>
      </w:tr>
      <w:tr>
        <w:tc>
          <w:tcPr/>
          <w:p>
            <w:pPr>
              <w:pStyle w:val="Compact"/>
              <w:jc w:val="left"/>
            </w:pPr>
            <w:r>
              <w:t xml:space="preserve">3</w:t>
            </w:r>
          </w:p>
        </w:tc>
        <w:tc>
          <w:tcPr/>
          <w:p>
            <w:pPr>
              <w:pStyle w:val="Compact"/>
              <w:jc w:val="left"/>
            </w:pPr>
            <w:r>
              <w:t xml:space="preserve">2034–2037</w:t>
            </w:r>
          </w:p>
        </w:tc>
        <w:tc>
          <w:tcPr/>
          <w:p>
            <w:pPr>
              <w:pStyle w:val="Compact"/>
              <w:jc w:val="left"/>
            </w:pPr>
            <w:r>
              <w:t xml:space="preserve">External-reviewer-ready curriculum-map matrices; accreditation prep</w:t>
            </w:r>
          </w:p>
        </w:tc>
      </w:tr>
      <w:tr>
        <w:tc>
          <w:tcPr/>
          <w:p>
            <w:pPr>
              <w:pStyle w:val="Compact"/>
              <w:jc w:val="left"/>
            </w:pPr>
            <w:r>
              <w:t xml:space="preserve">4</w:t>
            </w:r>
          </w:p>
        </w:tc>
        <w:tc>
          <w:tcPr/>
          <w:p>
            <w:pPr>
              <w:pStyle w:val="Compact"/>
              <w:jc w:val="left"/>
            </w:pPr>
            <w:r>
              <w:t xml:space="preserve">2038–2040</w:t>
            </w:r>
          </w:p>
        </w:tc>
        <w:tc>
          <w:tcPr/>
          <w:p>
            <w:pPr>
              <w:pStyle w:val="Compact"/>
              <w:jc w:val="left"/>
            </w:pPr>
            <w:r>
              <w:t xml:space="preserve">Design gen-ed/core/elective architecture for 28 secular programs</w:t>
            </w:r>
          </w:p>
        </w:tc>
      </w:tr>
      <w:tr>
        <w:tc>
          <w:tcPr/>
          <w:p>
            <w:pPr>
              <w:pStyle w:val="Compact"/>
              <w:jc w:val="left"/>
            </w:pPr>
            <w:r>
              <w:t xml:space="preserve">5</w:t>
            </w:r>
          </w:p>
        </w:tc>
        <w:tc>
          <w:tcPr/>
          <w:p>
            <w:pPr>
              <w:pStyle w:val="Compact"/>
              <w:jc w:val="left"/>
            </w:pPr>
            <w:r>
              <w:t xml:space="preserve">2041–2050</w:t>
            </w:r>
          </w:p>
        </w:tc>
        <w:tc>
          <w:tcPr/>
          <w:p>
            <w:pPr>
              <w:pStyle w:val="Compact"/>
              <w:jc w:val="left"/>
            </w:pPr>
            <w:r>
              <w:t xml:space="preserve">Continuous mapping refresh on 3-year cadence</w:t>
            </w:r>
          </w:p>
        </w:tc>
      </w:tr>
    </w:tbl>
    <w:p>
      <w:pPr>
        <w:pStyle w:val="BodyText"/>
      </w:pPr>
      <w:r>
        <w:rPr>
          <w:bCs/>
          <w:b/>
        </w:rPr>
        <w:t xml:space="preserve">Staffing</w:t>
      </w:r>
    </w:p>
    <w:p>
      <w:pPr>
        <w:pStyle w:val="BodyText"/>
      </w:pPr>
      <w:r>
        <w:t xml:space="preserve">Yr1–3: DVC Academic Affairs plus volunteer scholar subcommittee, part-time. Yr4–7: Curriculum Coordinator, 1 FTE. Yr8–10: add Assessment/Accreditation Officer, 1 FTE. Yr11+: add secular-curriculum specialists per new School.</w:t>
      </w:r>
    </w:p>
    <w:p>
      <w:pPr>
        <w:pStyle w:val="BodyText"/>
      </w:pPr>
      <w:r>
        <w:rPr>
          <w:bCs/>
          <w:b/>
        </w:rPr>
        <w:t xml:space="preserve">Annual Budget</w:t>
      </w:r>
    </w:p>
    <w:p>
      <w:pPr>
        <w:pStyle w:val="BodyText"/>
      </w:pPr>
      <w:r>
        <w:t xml:space="preserve">Faculty curriculum-mapping and Sanad-audit work is compensated through the Faculty Honoraria line (fixed at 40% of Payroll), scaling automatically with revenue growth ($224,747 Yr1 → $1,290,784 Yr5 → $3,830,549 Yr10). Administrative tooling (LMS curriculum-mapping module, EMI diagnostic licenses) draws from the 5% OpEx allocation ($11,237/$64,539/$191,527 in Yr1/5/10 respectively).</w:t>
      </w:r>
    </w:p>
    <w:p>
      <w:pPr>
        <w:pStyle w:val="BodyText"/>
      </w:pPr>
      <w:r>
        <w:rPr>
          <w:bCs/>
          <w:b/>
        </w:rPr>
        <w:t xml:space="preserve">KPIs</w:t>
      </w:r>
    </w:p>
    <w:p>
      <w:pPr>
        <w:pStyle w:val="BodyText"/>
      </w:pPr>
      <w:r>
        <w:t xml:space="preserve">100% Sanad Audit completion before course activation; 100% programs with a current curriculum map; Fast-Track uptake rate tracked but capped by pass-rate integrity (no volume target); EMI placement-test pass rate trend.</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Isnād-verified faculty bottleneck limits course activation</w:t>
            </w:r>
          </w:p>
        </w:tc>
        <w:tc>
          <w:tcPr/>
          <w:p>
            <w:pPr>
              <w:pStyle w:val="Compact"/>
              <w:jc w:val="left"/>
            </w:pPr>
            <w:r>
              <w:t xml:space="preserve">Diaspora scholar network, partner-institution MOUs (Section 15)</w:t>
            </w:r>
          </w:p>
        </w:tc>
      </w:tr>
      <w:tr>
        <w:tc>
          <w:tcPr/>
          <w:p>
            <w:pPr>
              <w:pStyle w:val="Compact"/>
              <w:jc w:val="left"/>
            </w:pPr>
            <w:r>
              <w:t xml:space="preserve">Fast-Track overuse erodes rigor</w:t>
            </w:r>
          </w:p>
        </w:tc>
        <w:tc>
          <w:tcPr/>
          <w:p>
            <w:pPr>
              <w:pStyle w:val="Compact"/>
              <w:jc w:val="left"/>
            </w:pPr>
            <w:r>
              <w:t xml:space="preserve">Competency exam standard fixed by Senate, audited annually by CAC</w:t>
            </w:r>
          </w:p>
        </w:tc>
      </w:tr>
      <w:tr>
        <w:tc>
          <w:tcPr/>
          <w:p>
            <w:pPr>
              <w:pStyle w:val="Compact"/>
              <w:jc w:val="left"/>
            </w:pPr>
            <w:r>
              <w:t xml:space="preserve">Curriculum drift from fixed CH totals</w:t>
            </w:r>
          </w:p>
        </w:tc>
        <w:tc>
          <w:tcPr/>
          <w:p>
            <w:pPr>
              <w:pStyle w:val="Compact"/>
              <w:jc w:val="left"/>
            </w:pPr>
            <w:r>
              <w:t xml:space="preserve">Registrar cross-checks every catalog change against Master Plan canon before Senate submission</w:t>
            </w:r>
          </w:p>
        </w:tc>
      </w:tr>
    </w:tbl>
    <w:p>
      <w:pPr>
        <w:pStyle w:val="BodyText"/>
      </w:pPr>
      <w:r>
        <w:rPr>
          <w:bCs/>
          <w:b/>
        </w:rPr>
        <w:t xml:space="preserve">Governance Responsibilities:</w:t>
      </w:r>
      <w:r>
        <w:t xml:space="preserve"> </w:t>
      </w:r>
      <w:r>
        <w:t xml:space="preserve">Senate holds supreme authority over curriculum standards and PLO/ILO frameworks; CAC (chaired under DVC Al-Qumash) executes technical mapping and Sanad audits; Registrar certifies transcripts against the fixed credit-hour architecture.</w:t>
      </w:r>
    </w:p>
    <w:p>
      <w:pPr>
        <w:pStyle w:val="BodyText"/>
      </w:pPr>
      <w:r>
        <w:rPr>
          <w:bCs/>
          <w:b/>
        </w:rPr>
        <w:t xml:space="preserve">Measurable Success Indicators</w:t>
      </w:r>
    </w:p>
    <w:p>
      <w:pPr>
        <w:pStyle w:val="BodyText"/>
      </w:pPr>
      <w:r>
        <w:t xml:space="preserve">By 2030: all 71 programs fully mapped with Sanad Audit complete. By 2037: external-review-ready documentation for accreditation. By 2040: secular curriculum architecture published without disturbing existing tier CH totals.</w:t>
      </w:r>
    </w:p>
    <w:bookmarkEnd w:id="36"/>
    <w:bookmarkStart w:id="37" w:name="section-13-student-journey-map"/>
    <w:p>
      <w:pPr>
        <w:pStyle w:val="Heading2"/>
      </w:pPr>
      <w:r>
        <w:t xml:space="preserve">Section 13: Student Journey Map</w:t>
      </w:r>
    </w:p>
    <w:p>
      <w:pPr>
        <w:pStyle w:val="FirstParagraph"/>
      </w:pPr>
      <w:r>
        <w:rPr>
          <w:bCs/>
          <w:b/>
        </w:rPr>
        <w:t xml:space="preserve">Rationale</w:t>
      </w:r>
    </w:p>
    <w:p>
      <w:pPr>
        <w:pStyle w:val="BodyText"/>
      </w:pPr>
      <w:r>
        <w:t xml:space="preserve">With admissions/advising staffing deliberately thin in the founding decade (funded from a 5% OpEx allocation that is only $11,237 in Year 1), the student journey must be engineered for maximum digital self-service, reserving human attention for exceptions — tier disputes, Fast-Track review, Waqf adjudication.</w:t>
      </w:r>
    </w:p>
    <w:p>
      <w:pPr>
        <w:pStyle w:val="BodyText"/>
      </w:pPr>
      <w:r>
        <w:rPr>
          <w:bCs/>
          <w:b/>
        </w:rPr>
        <w:t xml:space="preserve">Global Best Practices</w:t>
      </w:r>
    </w:p>
    <w:p>
      <w:pPr>
        <w:pStyle w:val="BodyText"/>
      </w:pPr>
      <w:r>
        <w:t xml:space="preserve">Distance-learning leaders (Open University UK, Islamic Online University) and low-touch admissions models (community-college rolling intake) both show that a well-designed applicant portal with automated document checklists and self-paced placement tools can carry &gt;80% of routine volume without added headcount.</w:t>
      </w:r>
    </w:p>
    <w:p>
      <w:pPr>
        <w:pStyle w:val="BodyText"/>
      </w:pPr>
      <w:r>
        <w:rPr>
          <w:bCs/>
          <w:b/>
        </w:rPr>
        <w:t xml:space="preserve">Journey Stages &amp; Touchpoints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Channel</w:t>
            </w:r>
          </w:p>
        </w:tc>
        <w:tc>
          <w:tcPr/>
          <w:p>
            <w:pPr>
              <w:pStyle w:val="Compact"/>
              <w:jc w:val="left"/>
            </w:pPr>
            <w:r>
              <w:t xml:space="preserve">Human Touch?</w:t>
            </w:r>
          </w:p>
        </w:tc>
      </w:tr>
      <w:tr>
        <w:tc>
          <w:tcPr/>
          <w:p>
            <w:pPr>
              <w:pStyle w:val="Compact"/>
              <w:jc w:val="left"/>
            </w:pPr>
            <w:r>
              <w:t xml:space="preserve">Inquiry</w:t>
            </w:r>
          </w:p>
        </w:tc>
        <w:tc>
          <w:tcPr/>
          <w:p>
            <w:pPr>
              <w:pStyle w:val="Compact"/>
              <w:jc w:val="left"/>
            </w:pPr>
            <w:r>
              <w:t xml:space="preserve">LMS/website, mosque-network referral, WhatsApp/SMS chatbot</w:t>
            </w:r>
          </w:p>
        </w:tc>
        <w:tc>
          <w:tcPr/>
          <w:p>
            <w:pPr>
              <w:pStyle w:val="Compact"/>
              <w:jc w:val="left"/>
            </w:pPr>
            <w:r>
              <w:t xml:space="preserve">No</w:t>
            </w:r>
          </w:p>
        </w:tc>
      </w:tr>
      <w:tr>
        <w:tc>
          <w:tcPr/>
          <w:p>
            <w:pPr>
              <w:pStyle w:val="Compact"/>
              <w:jc w:val="left"/>
            </w:pPr>
            <w:r>
              <w:t xml:space="preserve">Application</w:t>
            </w:r>
          </w:p>
        </w:tc>
        <w:tc>
          <w:tcPr/>
          <w:p>
            <w:pPr>
              <w:pStyle w:val="Compact"/>
              <w:jc w:val="left"/>
            </w:pPr>
            <w:r>
              <w:t xml:space="preserve">Online portal, automated document checklist</w:t>
            </w:r>
          </w:p>
        </w:tc>
        <w:tc>
          <w:tcPr/>
          <w:p>
            <w:pPr>
              <w:pStyle w:val="Compact"/>
              <w:jc w:val="left"/>
            </w:pPr>
            <w:r>
              <w:t xml:space="preserve">No (exceptions escalate)</w:t>
            </w:r>
          </w:p>
        </w:tc>
      </w:tr>
      <w:tr>
        <w:tc>
          <w:tcPr/>
          <w:p>
            <w:pPr>
              <w:pStyle w:val="Compact"/>
              <w:jc w:val="left"/>
            </w:pPr>
            <w:r>
              <w:t xml:space="preserve">Tier Placement</w:t>
            </w:r>
          </w:p>
        </w:tc>
        <w:tc>
          <w:tcPr/>
          <w:p>
            <w:pPr>
              <w:pStyle w:val="Compact"/>
              <w:jc w:val="left"/>
            </w:pPr>
            <w:r>
              <w:t xml:space="preserve">Self-service country-tier calculator + document upload</w:t>
            </w:r>
          </w:p>
        </w:tc>
        <w:tc>
          <w:tcPr/>
          <w:p>
            <w:pPr>
              <w:pStyle w:val="Compact"/>
              <w:jc w:val="left"/>
            </w:pPr>
            <w:r>
              <w:t xml:space="preserve">Only on dispute (Section 14)</w:t>
            </w:r>
          </w:p>
        </w:tc>
      </w:tr>
      <w:tr>
        <w:tc>
          <w:tcPr/>
          <w:p>
            <w:pPr>
              <w:pStyle w:val="Compact"/>
              <w:jc w:val="left"/>
            </w:pPr>
            <w:r>
              <w:t xml:space="preserve">Admission Decision</w:t>
            </w:r>
          </w:p>
        </w:tc>
        <w:tc>
          <w:tcPr/>
          <w:p>
            <w:pPr>
              <w:pStyle w:val="Compact"/>
              <w:jc w:val="left"/>
            </w:pPr>
            <w:r>
              <w:t xml:space="preserve">Automated for Diploma/Associate/HPGD rolling tiers; committee-reviewed for cohort tiers</w:t>
            </w:r>
          </w:p>
        </w:tc>
        <w:tc>
          <w:tcPr/>
          <w:p>
            <w:pPr>
              <w:pStyle w:val="Compact"/>
              <w:jc w:val="left"/>
            </w:pPr>
            <w:r>
              <w:t xml:space="preserve">Partial</w:t>
            </w:r>
          </w:p>
        </w:tc>
      </w:tr>
      <w:tr>
        <w:tc>
          <w:tcPr/>
          <w:p>
            <w:pPr>
              <w:pStyle w:val="Compact"/>
              <w:jc w:val="left"/>
            </w:pPr>
            <w:r>
              <w:t xml:space="preserve">Enrollment &amp; Orientation</w:t>
            </w:r>
          </w:p>
        </w:tc>
        <w:tc>
          <w:tcPr/>
          <w:p>
            <w:pPr>
              <w:pStyle w:val="Compact"/>
              <w:jc w:val="left"/>
            </w:pPr>
            <w:r>
              <w:t xml:space="preserve">Self-service enrollment agreement, onboarding module</w:t>
            </w:r>
          </w:p>
        </w:tc>
        <w:tc>
          <w:tcPr/>
          <w:p>
            <w:pPr>
              <w:pStyle w:val="Compact"/>
              <w:jc w:val="left"/>
            </w:pPr>
            <w:r>
              <w:t xml:space="preserve">Minimal</w:t>
            </w:r>
          </w:p>
        </w:tc>
      </w:tr>
      <w:tr>
        <w:tc>
          <w:tcPr/>
          <w:p>
            <w:pPr>
              <w:pStyle w:val="Compact"/>
              <w:jc w:val="left"/>
            </w:pPr>
            <w:r>
              <w:t xml:space="preserve">Ladder Progression</w:t>
            </w:r>
          </w:p>
        </w:tc>
        <w:tc>
          <w:tcPr/>
          <w:p>
            <w:pPr>
              <w:pStyle w:val="Compact"/>
              <w:jc w:val="left"/>
            </w:pPr>
            <w:r>
              <w:t xml:space="preserve">Automated progress dashboard; Fast-Track petition gate</w:t>
            </w:r>
          </w:p>
        </w:tc>
        <w:tc>
          <w:tcPr/>
          <w:p>
            <w:pPr>
              <w:pStyle w:val="Compact"/>
              <w:jc w:val="left"/>
            </w:pPr>
            <w:r>
              <w:t xml:space="preserve">Yes, at Fast-Track review</w:t>
            </w:r>
          </w:p>
        </w:tc>
      </w:tr>
      <w:tr>
        <w:tc>
          <w:tcPr/>
          <w:p>
            <w:pPr>
              <w:pStyle w:val="Compact"/>
              <w:jc w:val="left"/>
            </w:pPr>
            <w:r>
              <w:t xml:space="preserve">Graduation</w:t>
            </w:r>
          </w:p>
        </w:tc>
        <w:tc>
          <w:tcPr/>
          <w:p>
            <w:pPr>
              <w:pStyle w:val="Compact"/>
              <w:jc w:val="left"/>
            </w:pPr>
            <w:r>
              <w:t xml:space="preserve">Registrar-certified upon Senate ratification</w:t>
            </w:r>
          </w:p>
        </w:tc>
        <w:tc>
          <w:tcPr/>
          <w:p>
            <w:pPr>
              <w:pStyle w:val="Compact"/>
              <w:jc w:val="left"/>
            </w:pPr>
            <w:r>
              <w:t xml:space="preserve">Yes</w:t>
            </w:r>
          </w:p>
        </w:tc>
      </w:tr>
      <w:tr>
        <w:tc>
          <w:tcPr/>
          <w:p>
            <w:pPr>
              <w:pStyle w:val="Compact"/>
              <w:jc w:val="left"/>
            </w:pPr>
            <w:r>
              <w:t xml:space="preserve">Alumni / Re-stacking</w:t>
            </w:r>
          </w:p>
        </w:tc>
        <w:tc>
          <w:tcPr/>
          <w:p>
            <w:pPr>
              <w:pStyle w:val="Compact"/>
              <w:jc w:val="left"/>
            </w:pPr>
            <w:r>
              <w:t xml:space="preserve">Automated</w:t>
            </w:r>
            <w:r>
              <w:t xml:space="preserve"> </w:t>
            </w:r>
            <w:r>
              <w:t xml:space="preserve">“</w:t>
            </w:r>
            <w:r>
              <w:t xml:space="preserve">next tier</w:t>
            </w:r>
            <w:r>
              <w:t xml:space="preserve">”</w:t>
            </w:r>
            <w:r>
              <w:t xml:space="preserve"> </w:t>
            </w:r>
            <w:r>
              <w:t xml:space="preserve">offer at credential completion</w:t>
            </w:r>
          </w:p>
        </w:tc>
        <w:tc>
          <w:tcPr/>
          <w:p>
            <w:pPr>
              <w:pStyle w:val="Compact"/>
              <w:jc w:val="left"/>
            </w:pPr>
            <w:r>
              <w:t xml:space="preserve">No, unless aid re-adjudication needed</w:t>
            </w:r>
          </w:p>
        </w:tc>
      </w:tr>
    </w:tbl>
    <w:p>
      <w:pPr>
        <w:pStyle w:val="BodyText"/>
      </w:pPr>
      <w:r>
        <w:rPr>
          <w:bCs/>
          <w:b/>
        </w:rPr>
        <w:t xml:space="preserve">Key Decision Gates:</w:t>
      </w:r>
      <w:r>
        <w:t xml:space="preserve"> </w:t>
      </w:r>
      <w:r>
        <w:t xml:space="preserve">(1) Country-tier verification/appeal; (2) English-proficiency and Islamic-studies-readiness placement; (3) Fast-Track eligibility review at any tier; (4) tier-to-tier stacking gate at credential completion; (5) Waqf Scholarship Block adjudication for Tier4 students, guaranteed within 14 days by the Waqf &amp; Endowment Board.</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Milestone</w:t>
            </w:r>
          </w:p>
        </w:tc>
      </w:tr>
      <w:tr>
        <w:tc>
          <w:tcPr/>
          <w:p>
            <w:pPr>
              <w:pStyle w:val="Compact"/>
              <w:jc w:val="left"/>
            </w:pPr>
            <w:r>
              <w:t xml:space="preserve">1</w:t>
            </w:r>
          </w:p>
        </w:tc>
        <w:tc>
          <w:tcPr/>
          <w:p>
            <w:pPr>
              <w:pStyle w:val="Compact"/>
              <w:jc w:val="left"/>
            </w:pPr>
            <w:r>
              <w:t xml:space="preserve">2028–2029</w:t>
            </w:r>
          </w:p>
        </w:tc>
        <w:tc>
          <w:tcPr/>
          <w:p>
            <w:pPr>
              <w:pStyle w:val="Compact"/>
              <w:jc w:val="left"/>
            </w:pPr>
            <w:r>
              <w:t xml:space="preserve">Core self-service portal live; single dual-hatted Admissions/Registrar Officer</w:t>
            </w:r>
          </w:p>
        </w:tc>
      </w:tr>
      <w:tr>
        <w:tc>
          <w:tcPr/>
          <w:p>
            <w:pPr>
              <w:pStyle w:val="Compact"/>
              <w:jc w:val="left"/>
            </w:pPr>
            <w:r>
              <w:t xml:space="preserve">2</w:t>
            </w:r>
          </w:p>
        </w:tc>
        <w:tc>
          <w:tcPr/>
          <w:p>
            <w:pPr>
              <w:pStyle w:val="Compact"/>
              <w:jc w:val="left"/>
            </w:pPr>
            <w:r>
              <w:t xml:space="preserve">2030–2033</w:t>
            </w:r>
          </w:p>
        </w:tc>
        <w:tc>
          <w:tcPr/>
          <w:p>
            <w:pPr>
              <w:pStyle w:val="Compact"/>
              <w:jc w:val="left"/>
            </w:pPr>
            <w:r>
              <w:t xml:space="preserve">Dedicated Admissions Coordinator; chatbot/FAQ tier added</w:t>
            </w:r>
          </w:p>
        </w:tc>
      </w:tr>
      <w:tr>
        <w:tc>
          <w:tcPr/>
          <w:p>
            <w:pPr>
              <w:pStyle w:val="Compact"/>
              <w:jc w:val="left"/>
            </w:pPr>
            <w:r>
              <w:t xml:space="preserve">3</w:t>
            </w:r>
          </w:p>
        </w:tc>
        <w:tc>
          <w:tcPr/>
          <w:p>
            <w:pPr>
              <w:pStyle w:val="Compact"/>
              <w:jc w:val="left"/>
            </w:pPr>
            <w:r>
              <w:t xml:space="preserve">2034–2037</w:t>
            </w:r>
          </w:p>
        </w:tc>
        <w:tc>
          <w:tcPr/>
          <w:p>
            <w:pPr>
              <w:pStyle w:val="Compact"/>
              <w:jc w:val="left"/>
            </w:pPr>
            <w:r>
              <w:t xml:space="preserve">Regional community-referral liaisons (part-time/volunteer per mosque network)</w:t>
            </w:r>
          </w:p>
        </w:tc>
      </w:tr>
      <w:tr>
        <w:tc>
          <w:tcPr/>
          <w:p>
            <w:pPr>
              <w:pStyle w:val="Compact"/>
              <w:jc w:val="left"/>
            </w:pPr>
            <w:r>
              <w:t xml:space="preserve">4</w:t>
            </w:r>
          </w:p>
        </w:tc>
        <w:tc>
          <w:tcPr/>
          <w:p>
            <w:pPr>
              <w:pStyle w:val="Compact"/>
              <w:jc w:val="left"/>
            </w:pPr>
            <w:r>
              <w:t xml:space="preserve">2038–2041</w:t>
            </w:r>
          </w:p>
        </w:tc>
        <w:tc>
          <w:tcPr/>
          <w:p>
            <w:pPr>
              <w:pStyle w:val="Compact"/>
              <w:jc w:val="left"/>
            </w:pPr>
            <w:r>
              <w:t xml:space="preserve">Parallel admissions tracks stood up for 7 secular Schools</w:t>
            </w:r>
          </w:p>
        </w:tc>
      </w:tr>
      <w:tr>
        <w:tc>
          <w:tcPr/>
          <w:p>
            <w:pPr>
              <w:pStyle w:val="Compact"/>
              <w:jc w:val="left"/>
            </w:pPr>
            <w:r>
              <w:t xml:space="preserve">5</w:t>
            </w:r>
          </w:p>
        </w:tc>
        <w:tc>
          <w:tcPr/>
          <w:p>
            <w:pPr>
              <w:pStyle w:val="Compact"/>
              <w:jc w:val="left"/>
            </w:pPr>
            <w:r>
              <w:t xml:space="preserve">2042–2050</w:t>
            </w:r>
          </w:p>
        </w:tc>
        <w:tc>
          <w:tcPr/>
          <w:p>
            <w:pPr>
              <w:pStyle w:val="Compact"/>
              <w:jc w:val="left"/>
            </w:pPr>
            <w:r>
              <w:t xml:space="preserve">Full advising office; predictive attrition dashboards</w:t>
            </w:r>
          </w:p>
        </w:tc>
      </w:tr>
    </w:tbl>
    <w:p>
      <w:pPr>
        <w:pStyle w:val="BodyText"/>
      </w:pPr>
      <w:r>
        <w:rPr>
          <w:bCs/>
          <w:b/>
        </w:rPr>
        <w:t xml:space="preserve">Staffing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Roles</w:t>
            </w:r>
          </w:p>
        </w:tc>
      </w:tr>
      <w:tr>
        <w:tc>
          <w:tcPr/>
          <w:p>
            <w:pPr>
              <w:pStyle w:val="Compact"/>
              <w:jc w:val="left"/>
            </w:pPr>
            <w:r>
              <w:t xml:space="preserve">1 (Yr1–3)</w:t>
            </w:r>
          </w:p>
        </w:tc>
        <w:tc>
          <w:tcPr/>
          <w:p>
            <w:pPr>
              <w:pStyle w:val="Compact"/>
              <w:jc w:val="left"/>
            </w:pPr>
            <w:r>
              <w:t xml:space="preserve">1 shared Admissions/Registrar Officer + DVC oversight</w:t>
            </w:r>
          </w:p>
        </w:tc>
      </w:tr>
      <w:tr>
        <w:tc>
          <w:tcPr/>
          <w:p>
            <w:pPr>
              <w:pStyle w:val="Compact"/>
              <w:jc w:val="left"/>
            </w:pPr>
            <w:r>
              <w:t xml:space="preserve">2 (Yr4–7)</w:t>
            </w:r>
          </w:p>
        </w:tc>
        <w:tc>
          <w:tcPr/>
          <w:p>
            <w:pPr>
              <w:pStyle w:val="Compact"/>
              <w:jc w:val="left"/>
            </w:pPr>
            <w:r>
              <w:t xml:space="preserve">+ Admissions Coordinator (1 FTE), part-time Student Success Advisor</w:t>
            </w:r>
          </w:p>
        </w:tc>
      </w:tr>
      <w:tr>
        <w:tc>
          <w:tcPr/>
          <w:p>
            <w:pPr>
              <w:pStyle w:val="Compact"/>
              <w:jc w:val="left"/>
            </w:pPr>
            <w:r>
              <w:t xml:space="preserve">3 (Yr8–10)</w:t>
            </w:r>
          </w:p>
        </w:tc>
        <w:tc>
          <w:tcPr/>
          <w:p>
            <w:pPr>
              <w:pStyle w:val="Compact"/>
              <w:jc w:val="left"/>
            </w:pPr>
            <w:r>
              <w:t xml:space="preserve">+ regional referral liaisons (stipend-based, volunteer-adjacent)</w:t>
            </w:r>
          </w:p>
        </w:tc>
      </w:tr>
      <w:tr>
        <w:tc>
          <w:tcPr/>
          <w:p>
            <w:pPr>
              <w:pStyle w:val="Compact"/>
              <w:jc w:val="left"/>
            </w:pPr>
            <w:r>
              <w:t xml:space="preserve">4 (Yr11+)</w:t>
            </w:r>
          </w:p>
        </w:tc>
        <w:tc>
          <w:tcPr/>
          <w:p>
            <w:pPr>
              <w:pStyle w:val="Compact"/>
              <w:jc w:val="left"/>
            </w:pPr>
            <w:r>
              <w:t xml:space="preserve">+ per-School admissions leads (secular intake)</w:t>
            </w:r>
          </w:p>
        </w:tc>
      </w:tr>
    </w:tbl>
    <w:p>
      <w:pPr>
        <w:pStyle w:val="BodyText"/>
      </w:pPr>
      <w:r>
        <w:rPr>
          <w:bCs/>
          <w:b/>
        </w:rPr>
        <w:t xml:space="preserve">Annual Budget</w:t>
      </w:r>
    </w:p>
    <w:p>
      <w:pPr>
        <w:pStyle w:val="BodyText"/>
      </w:pPr>
      <w:r>
        <w:t xml:space="preserve">All funded from the fixed 5% OpEx allocation: Year 1 $11,237 (LMS subscription + minimal contract hours); Year 5 $64,539 (Coordinator salary + LMS + referral stipends); Year 10 $191,527 (fuller admissions/advising office). Post-2037 figures are extension-period estimates pending Board ratification.</w:t>
      </w:r>
    </w:p>
    <w:p>
      <w:pPr>
        <w:pStyle w:val="BodyText"/>
      </w:pPr>
      <w:r>
        <w:rPr>
          <w:bCs/>
          <w:b/>
        </w:rPr>
        <w:t xml:space="preserve">KPIs</w:t>
      </w:r>
    </w:p>
    <w:p>
      <w:pPr>
        <w:pStyle w:val="BodyText"/>
      </w:pPr>
      <w:r>
        <w:t xml:space="preserve">Inquiry-to-enrollment conversion rate; application-processing SLA (&lt;10 business days); Fast-Track review turnaround; retention consistent with modeled attrition (8%/yr BA &amp; MA, 5%/yr PhD, low-attrition single-cycle for Diploma/Associate/HPGD/Post-Doc); alumni re-stacking rate to next tier.</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Thin staffing causes application backlog at peak cycles</w:t>
            </w:r>
          </w:p>
        </w:tc>
        <w:tc>
          <w:tcPr/>
          <w:p>
            <w:pPr>
              <w:pStyle w:val="Compact"/>
              <w:jc w:val="left"/>
            </w:pPr>
            <w:r>
              <w:t xml:space="preserve">LMS automation + surge part-time contractors funded within OpEx ceiling</w:t>
            </w:r>
          </w:p>
        </w:tc>
      </w:tr>
      <w:tr>
        <w:tc>
          <w:tcPr/>
          <w:p>
            <w:pPr>
              <w:pStyle w:val="Compact"/>
              <w:jc w:val="left"/>
            </w:pPr>
            <w:r>
              <w:t xml:space="preserve">Poor self-service UX in low-bandwidth regions</w:t>
            </w:r>
          </w:p>
        </w:tc>
        <w:tc>
          <w:tcPr/>
          <w:p>
            <w:pPr>
              <w:pStyle w:val="Compact"/>
              <w:jc w:val="left"/>
            </w:pPr>
            <w:r>
              <w:t xml:space="preserve">Mobile-first, offline-tolerant design; WhatsApp/SMS fallback channel</w:t>
            </w:r>
          </w:p>
        </w:tc>
      </w:tr>
      <w:tr>
        <w:tc>
          <w:tcPr/>
          <w:p>
            <w:pPr>
              <w:pStyle w:val="Compact"/>
              <w:jc w:val="left"/>
            </w:pPr>
            <w:r>
              <w:t xml:space="preserve">Journey-stage drop-off undetected without dedicated advising</w:t>
            </w:r>
          </w:p>
        </w:tc>
        <w:tc>
          <w:tcPr/>
          <w:p>
            <w:pPr>
              <w:pStyle w:val="Compact"/>
              <w:jc w:val="left"/>
            </w:pPr>
            <w:r>
              <w:t xml:space="preserve">Automated progress dashboards flag inactivity for light-touch outreach</w:t>
            </w:r>
          </w:p>
        </w:tc>
      </w:tr>
    </w:tbl>
    <w:p>
      <w:pPr>
        <w:pStyle w:val="BodyText"/>
      </w:pPr>
      <w:r>
        <w:rPr>
          <w:bCs/>
          <w:b/>
        </w:rPr>
        <w:t xml:space="preserve">Timeline:</w:t>
      </w:r>
      <w:r>
        <w:t xml:space="preserve"> </w:t>
      </w:r>
      <w:r>
        <w:t xml:space="preserve">2028 portal launch → 2030 chatbot tier → 2033 Coordinator hired → 2037 pre-expansion readiness → 2038 secular-school journey tracks → 2050 full lifecycle analytics maturity.</w:t>
      </w:r>
    </w:p>
    <w:p>
      <w:pPr>
        <w:pStyle w:val="BodyText"/>
      </w:pPr>
      <w:r>
        <w:rPr>
          <w:bCs/>
          <w:b/>
        </w:rPr>
        <w:t xml:space="preserve">Governance Responsibilities:</w:t>
      </w:r>
      <w:r>
        <w:t xml:space="preserve"> </w:t>
      </w:r>
      <w:r>
        <w:t xml:space="preserve">Admissions &amp; Student Success Committee (ASSC, under DVC Academic Affairs) owns operational journey design within Senate-approved admission policy; Registrar owns official enrollment and degree records; Waqf &amp; Endowment Board adjudicates Tier4 aid within 14 days.</w:t>
      </w:r>
    </w:p>
    <w:p>
      <w:pPr>
        <w:pStyle w:val="BodyText"/>
      </w:pPr>
      <w:r>
        <w:rPr>
          <w:bCs/>
          <w:b/>
        </w:rPr>
        <w:t xml:space="preserve">Measurable Success Indicators</w:t>
      </w:r>
    </w:p>
    <w:p>
      <w:pPr>
        <w:pStyle w:val="BodyText"/>
      </w:pPr>
      <w:r>
        <w:t xml:space="preserve">By 2032: &gt;80% of routine journey volume handled without human intervention. By 2037: documented conversion and retention metrics matching Master Plan enrollment curve (3,493 students by Year 5, 11,021 by Year 10). By 2041: parallel journeys operating cleanly for both religious and secular portfolios.</w:t>
      </w:r>
    </w:p>
    <w:bookmarkEnd w:id="37"/>
    <w:bookmarkStart w:id="38" w:name="section-14-admission-policies"/>
    <w:p>
      <w:pPr>
        <w:pStyle w:val="Heading2"/>
      </w:pPr>
      <w:r>
        <w:t xml:space="preserve">Section 14: Admission Policies</w:t>
      </w:r>
    </w:p>
    <w:p>
      <w:pPr>
        <w:pStyle w:val="FirstParagraph"/>
      </w:pPr>
      <w:r>
        <w:rPr>
          <w:bCs/>
          <w:b/>
        </w:rPr>
        <w:t xml:space="preserve">Rationale</w:t>
      </w:r>
    </w:p>
    <w:p>
      <w:pPr>
        <w:pStyle w:val="BodyText"/>
      </w:pPr>
      <w:r>
        <w:t xml:space="preserve">Admission policy operationalizes</w:t>
      </w:r>
      <w:r>
        <w:t xml:space="preserve"> </w:t>
      </w:r>
      <w:r>
        <w:t xml:space="preserve">“</w:t>
      </w:r>
      <w:r>
        <w:t xml:space="preserve">covering the needy without condition</w:t>
      </w:r>
      <w:r>
        <w:t xml:space="preserve">”</w:t>
      </w:r>
      <w:r>
        <w:t xml:space="preserve"> </w:t>
      </w:r>
      <w:r>
        <w:t xml:space="preserve">while protecting academic seriousness and the integrity of the four-tier tuition system. This section fixes eligibility per ladder tier, proficiency assessment, the country-tier verification/appeal process flagged in the Master Plan’s risk register, admission cycles, and transfer credit rules.</w:t>
      </w:r>
    </w:p>
    <w:p>
      <w:pPr>
        <w:pStyle w:val="BodyText"/>
      </w:pPr>
      <w:r>
        <w:rPr>
          <w:bCs/>
          <w:b/>
        </w:rPr>
        <w:t xml:space="preserve">Eligibility by Tier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Entry Requirement</w:t>
            </w:r>
          </w:p>
        </w:tc>
      </w:tr>
      <w:tr>
        <w:tc>
          <w:tcPr/>
          <w:p>
            <w:pPr>
              <w:pStyle w:val="Compact"/>
              <w:jc w:val="left"/>
            </w:pPr>
            <w:r>
              <w:t xml:space="preserve">I Diploma</w:t>
            </w:r>
          </w:p>
        </w:tc>
        <w:tc>
          <w:tcPr/>
          <w:p>
            <w:pPr>
              <w:pStyle w:val="Compact"/>
              <w:jc w:val="left"/>
            </w:pPr>
            <w:r>
              <w:t xml:space="preserve">Secondary completion or equivalent; no prior Islamic study required</w:t>
            </w:r>
          </w:p>
        </w:tc>
      </w:tr>
      <w:tr>
        <w:tc>
          <w:tcPr/>
          <w:p>
            <w:pPr>
              <w:pStyle w:val="Compact"/>
              <w:jc w:val="left"/>
            </w:pPr>
            <w:r>
              <w:t xml:space="preserve">II Associate</w:t>
            </w:r>
          </w:p>
        </w:tc>
        <w:tc>
          <w:tcPr/>
          <w:p>
            <w:pPr>
              <w:pStyle w:val="Compact"/>
              <w:jc w:val="left"/>
            </w:pPr>
            <w:r>
              <w:t xml:space="preserve">Diploma (stacked) or equivalent; English placement benchmark</w:t>
            </w:r>
          </w:p>
        </w:tc>
      </w:tr>
      <w:tr>
        <w:tc>
          <w:tcPr/>
          <w:p>
            <w:pPr>
              <w:pStyle w:val="Compact"/>
              <w:jc w:val="left"/>
            </w:pPr>
            <w:r>
              <w:t xml:space="preserve">III BA</w:t>
            </w:r>
          </w:p>
        </w:tc>
        <w:tc>
          <w:tcPr/>
          <w:p>
            <w:pPr>
              <w:pStyle w:val="Compact"/>
              <w:jc w:val="left"/>
            </w:pPr>
            <w:r>
              <w:t xml:space="preserve">Associate (60CH) or equivalent; CEFR B2 English</w:t>
            </w:r>
          </w:p>
        </w:tc>
      </w:tr>
      <w:tr>
        <w:tc>
          <w:tcPr/>
          <w:p>
            <w:pPr>
              <w:pStyle w:val="Compact"/>
              <w:jc w:val="left"/>
            </w:pPr>
            <w:r>
              <w:t xml:space="preserve">IV HPGD (bridge)</w:t>
            </w:r>
          </w:p>
        </w:tc>
        <w:tc>
          <w:tcPr/>
          <w:p>
            <w:pPr>
              <w:pStyle w:val="Compact"/>
              <w:jc w:val="left"/>
            </w:pPr>
            <w:r>
              <w:t xml:space="preserve">Accredited secular bachelor’s degree; B2+ English; Islamic-studies-readiness diagnostic (placement, not exclusionary)</w:t>
            </w:r>
          </w:p>
        </w:tc>
      </w:tr>
      <w:tr>
        <w:tc>
          <w:tcPr/>
          <w:p>
            <w:pPr>
              <w:pStyle w:val="Compact"/>
              <w:jc w:val="left"/>
            </w:pPr>
            <w:r>
              <w:t xml:space="preserve">V MA</w:t>
            </w:r>
          </w:p>
        </w:tc>
        <w:tc>
          <w:tcPr/>
          <w:p>
            <w:pPr>
              <w:pStyle w:val="Compact"/>
              <w:jc w:val="left"/>
            </w:pPr>
            <w:r>
              <w:t xml:space="preserve">BA (120CH) or HPGD (30CH); research-readiness assessment</w:t>
            </w:r>
          </w:p>
        </w:tc>
      </w:tr>
      <w:tr>
        <w:tc>
          <w:tcPr/>
          <w:p>
            <w:pPr>
              <w:pStyle w:val="Compact"/>
              <w:jc w:val="left"/>
            </w:pPr>
            <w:r>
              <w:t xml:space="preserve">VI PhD</w:t>
            </w:r>
          </w:p>
        </w:tc>
        <w:tc>
          <w:tcPr/>
          <w:p>
            <w:pPr>
              <w:pStyle w:val="Compact"/>
              <w:jc w:val="left"/>
            </w:pPr>
            <w:r>
              <w:t xml:space="preserve">MA (45CH); scholarly readiness review; thesis-proposal defense</w:t>
            </w:r>
          </w:p>
        </w:tc>
      </w:tr>
      <w:tr>
        <w:tc>
          <w:tcPr/>
          <w:p>
            <w:pPr>
              <w:pStyle w:val="Compact"/>
              <w:jc w:val="left"/>
            </w:pPr>
            <w:r>
              <w:t xml:space="preserve">VII Post-Doc</w:t>
            </w:r>
          </w:p>
        </w:tc>
        <w:tc>
          <w:tcPr/>
          <w:p>
            <w:pPr>
              <w:pStyle w:val="Compact"/>
              <w:jc w:val="left"/>
            </w:pPr>
            <w:r>
              <w:t xml:space="preserve">PhD completion; competitive nomination, non-credit</w:t>
            </w:r>
          </w:p>
        </w:tc>
      </w:tr>
    </w:tbl>
    <w:p>
      <w:pPr>
        <w:pStyle w:val="BodyText"/>
      </w:pPr>
      <w:r>
        <w:rPr>
          <w:bCs/>
          <w:b/>
        </w:rPr>
        <w:t xml:space="preserve">English Proficiency &amp; Islamic-Studies Readiness</w:t>
      </w:r>
    </w:p>
    <w:p>
      <w:pPr>
        <w:pStyle w:val="BodyText"/>
      </w:pPr>
      <w:r>
        <w:t xml:space="preserve">Self-service online placement test or accepted external scores (IELTS/TOEFL) with a waiver pathway for demonstrated prior EMI study. Islamic-studies-readiness is diagnostic — it routes HPGD entrants into appropriate support, never a barrier to entry, consistent with the</w:t>
      </w:r>
      <w:r>
        <w:t xml:space="preserve"> </w:t>
      </w:r>
      <w:r>
        <w:t xml:space="preserve">“</w:t>
      </w:r>
      <w:r>
        <w:t xml:space="preserve">no condition</w:t>
      </w:r>
      <w:r>
        <w:t xml:space="preserve">”</w:t>
      </w:r>
      <w:r>
        <w:t xml:space="preserve"> </w:t>
      </w:r>
      <w:r>
        <w:t xml:space="preserve">mission.</w:t>
      </w:r>
    </w:p>
    <w:p>
      <w:pPr>
        <w:pStyle w:val="BodyText"/>
      </w:pPr>
      <w:r>
        <w:rPr>
          <w:bCs/>
          <w:b/>
        </w:rPr>
        <w:t xml:space="preserve">Country-Tier Verification &amp; Appeal Process</w:t>
      </w:r>
    </w:p>
    <w:p>
      <w:pPr>
        <w:pStyle w:val="BodyText"/>
      </w:pPr>
      <w:r>
        <w:t xml:space="preserve">Applicants self-declare country of residence/citizenship with documentary proof (ID/passport, residency evidence), cross-checked against the published Tier 1–4 list. Disputed or dual-domicile cases route first to the Admissions &amp; Student Success Committee (ASSC); unresolved cases escalate to a standing</w:t>
      </w:r>
      <w:r>
        <w:t xml:space="preserve"> </w:t>
      </w:r>
      <w:r>
        <w:rPr>
          <w:bCs/>
          <w:b/>
        </w:rPr>
        <w:t xml:space="preserve">Country-Tier Verification Appeals Panel</w:t>
      </w:r>
      <w:r>
        <w:t xml:space="preserve"> </w:t>
      </w:r>
      <w:r>
        <w:t xml:space="preserve">(joint ASSC + Waqf &amp; Endowment Board representation, given financial-aid stakes), with a published 10-business-day initial ruling SLA and escalation to DVC Academic Affairs if unresolved. This directly answers the tier-misclassification risk flagged in the Master Plan’s risk register.</w:t>
      </w:r>
    </w:p>
    <w:p>
      <w:pPr>
        <w:pStyle w:val="BodyText"/>
      </w:pPr>
      <w:r>
        <w:rPr>
          <w:bCs/>
          <w:b/>
        </w:rPr>
        <w:t xml:space="preserve">Admission Cycles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 group</w:t>
            </w:r>
          </w:p>
        </w:tc>
        <w:tc>
          <w:tcPr/>
          <w:p>
            <w:pPr>
              <w:pStyle w:val="Compact"/>
              <w:jc w:val="left"/>
            </w:pPr>
            <w:r>
              <w:t xml:space="preserve">Cycle</w:t>
            </w:r>
          </w:p>
        </w:tc>
      </w:tr>
      <w:tr>
        <w:tc>
          <w:tcPr/>
          <w:p>
            <w:pPr>
              <w:pStyle w:val="Compact"/>
              <w:jc w:val="left"/>
            </w:pPr>
            <w:r>
              <w:t xml:space="preserve">Diploma / Associate / HPGD</w:t>
            </w:r>
          </w:p>
        </w:tc>
        <w:tc>
          <w:tcPr/>
          <w:p>
            <w:pPr>
              <w:pStyle w:val="Compact"/>
              <w:jc w:val="left"/>
            </w:pPr>
            <w:r>
              <w:t xml:space="preserve">Rolling, multiple entry points/year (accessibility-first, self-service)</w:t>
            </w:r>
          </w:p>
        </w:tc>
      </w:tr>
      <w:tr>
        <w:tc>
          <w:tcPr/>
          <w:p>
            <w:pPr>
              <w:pStyle w:val="Compact"/>
              <w:jc w:val="left"/>
            </w:pPr>
            <w:r>
              <w:t xml:space="preserve">BA / MA / PhD</w:t>
            </w:r>
          </w:p>
        </w:tc>
        <w:tc>
          <w:tcPr/>
          <w:p>
            <w:pPr>
              <w:pStyle w:val="Compact"/>
              <w:jc w:val="left"/>
            </w:pPr>
            <w:r>
              <w:t xml:space="preserve">Cohort-based, 2–3 intakes/year (Fall/Spring, Summer added as scale permits)</w:t>
            </w:r>
          </w:p>
        </w:tc>
      </w:tr>
      <w:tr>
        <w:tc>
          <w:tcPr/>
          <w:p>
            <w:pPr>
              <w:pStyle w:val="Compact"/>
              <w:jc w:val="left"/>
            </w:pPr>
            <w:r>
              <w:t xml:space="preserve">Post-Doc</w:t>
            </w:r>
          </w:p>
        </w:tc>
        <w:tc>
          <w:tcPr/>
          <w:p>
            <w:pPr>
              <w:pStyle w:val="Compact"/>
              <w:jc w:val="left"/>
            </w:pPr>
            <w:r>
              <w:t xml:space="preserve">Rolling/invitation</w:t>
            </w:r>
          </w:p>
        </w:tc>
      </w:tr>
    </w:tbl>
    <w:p>
      <w:pPr>
        <w:pStyle w:val="BodyText"/>
      </w:pPr>
      <w:r>
        <w:rPr>
          <w:bCs/>
          <w:b/>
        </w:rPr>
        <w:t xml:space="preserve">Transfer Credit Policy</w:t>
      </w:r>
    </w:p>
    <w:p>
      <w:pPr>
        <w:pStyle w:val="BodyText"/>
      </w:pPr>
      <w:r>
        <w:t xml:space="preserve">Accredited transfer credit accepted at Associate/BA tiers per a Senate-approved articulation table, capped so at least the final 25% of program CH is completed at AMIU. Religious-core courses tied to isnād-verified competencies (Qur’ān/Hadith transmission) cannot be transfer-credited regardless of source institution — they require internal Sanad certification. Registrar administers transfer decisions; appeals go to the Curriculum &amp; Assessment Committee (Section 12).</w:t>
      </w:r>
    </w:p>
    <w:p>
      <w:pPr>
        <w:pStyle w:val="BodyText"/>
      </w:pPr>
      <w:r>
        <w:rPr>
          <w:bCs/>
          <w:b/>
        </w:rPr>
        <w:t xml:space="preserve">Implementation Phases /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2028–2029</w:t>
            </w:r>
          </w:p>
        </w:tc>
        <w:tc>
          <w:tcPr/>
          <w:p>
            <w:pPr>
              <w:pStyle w:val="Compact"/>
              <w:jc w:val="left"/>
            </w:pPr>
            <w:r>
              <w:t xml:space="preserve">Publish tier list, placement instruments, appeals SLA</w:t>
            </w:r>
          </w:p>
        </w:tc>
      </w:tr>
      <w:tr>
        <w:tc>
          <w:tcPr/>
          <w:p>
            <w:pPr>
              <w:pStyle w:val="Compact"/>
              <w:jc w:val="left"/>
            </w:pPr>
            <w:r>
              <w:t xml:space="preserve">2</w:t>
            </w:r>
          </w:p>
        </w:tc>
        <w:tc>
          <w:tcPr/>
          <w:p>
            <w:pPr>
              <w:pStyle w:val="Compact"/>
              <w:jc w:val="left"/>
            </w:pPr>
            <w:r>
              <w:t xml:space="preserve">2030–2033</w:t>
            </w:r>
          </w:p>
        </w:tc>
        <w:tc>
          <w:tcPr/>
          <w:p>
            <w:pPr>
              <w:pStyle w:val="Compact"/>
              <w:jc w:val="left"/>
            </w:pPr>
            <w:r>
              <w:t xml:space="preserve">First appeal-volume data reviewed; SLA tuned</w:t>
            </w:r>
          </w:p>
        </w:tc>
      </w:tr>
      <w:tr>
        <w:tc>
          <w:tcPr/>
          <w:p>
            <w:pPr>
              <w:pStyle w:val="Compact"/>
              <w:jc w:val="left"/>
            </w:pPr>
            <w:r>
              <w:t xml:space="preserve">3</w:t>
            </w:r>
          </w:p>
        </w:tc>
        <w:tc>
          <w:tcPr/>
          <w:p>
            <w:pPr>
              <w:pStyle w:val="Compact"/>
              <w:jc w:val="left"/>
            </w:pPr>
            <w:r>
              <w:t xml:space="preserve">2034–2037</w:t>
            </w:r>
          </w:p>
        </w:tc>
        <w:tc>
          <w:tcPr/>
          <w:p>
            <w:pPr>
              <w:pStyle w:val="Compact"/>
              <w:jc w:val="left"/>
            </w:pPr>
            <w:r>
              <w:t xml:space="preserve">Transfer-articulation table expanded ahead of scale</w:t>
            </w:r>
          </w:p>
        </w:tc>
      </w:tr>
      <w:tr>
        <w:tc>
          <w:tcPr/>
          <w:p>
            <w:pPr>
              <w:pStyle w:val="Compact"/>
              <w:jc w:val="left"/>
            </w:pPr>
            <w:r>
              <w:t xml:space="preserve">4</w:t>
            </w:r>
          </w:p>
        </w:tc>
        <w:tc>
          <w:tcPr/>
          <w:p>
            <w:pPr>
              <w:pStyle w:val="Compact"/>
              <w:jc w:val="left"/>
            </w:pPr>
            <w:r>
              <w:t xml:space="preserve">2038–2041</w:t>
            </w:r>
          </w:p>
        </w:tc>
        <w:tc>
          <w:tcPr/>
          <w:p>
            <w:pPr>
              <w:pStyle w:val="Compact"/>
              <w:jc w:val="left"/>
            </w:pPr>
            <w:r>
              <w:t xml:space="preserve">Secular-program admission standards (terminal-degree-agnostic entry) published</w:t>
            </w:r>
          </w:p>
        </w:tc>
      </w:tr>
      <w:tr>
        <w:tc>
          <w:tcPr/>
          <w:p>
            <w:pPr>
              <w:pStyle w:val="Compact"/>
              <w:jc w:val="left"/>
            </w:pPr>
            <w:r>
              <w:t xml:space="preserve">5</w:t>
            </w:r>
          </w:p>
        </w:tc>
        <w:tc>
          <w:tcPr/>
          <w:p>
            <w:pPr>
              <w:pStyle w:val="Compact"/>
              <w:jc w:val="left"/>
            </w:pPr>
            <w:r>
              <w:t xml:space="preserve">2042–2050</w:t>
            </w:r>
          </w:p>
        </w:tc>
        <w:tc>
          <w:tcPr/>
          <w:p>
            <w:pPr>
              <w:pStyle w:val="Compact"/>
              <w:jc w:val="left"/>
            </w:pPr>
            <w:r>
              <w:t xml:space="preserve">Periodic policy refresh, audit sampling for tier-declaration integrity</w:t>
            </w:r>
          </w:p>
        </w:tc>
      </w:tr>
    </w:tbl>
    <w:p>
      <w:pPr>
        <w:pStyle w:val="BodyText"/>
      </w:pPr>
      <w:r>
        <w:rPr>
          <w:bCs/>
          <w:b/>
        </w:rPr>
        <w:t xml:space="preserve">Staffing &amp; Budget</w:t>
      </w:r>
    </w:p>
    <w:p>
      <w:pPr>
        <w:pStyle w:val="BodyText"/>
      </w:pPr>
      <w:r>
        <w:t xml:space="preserve">Same OpEx-funded operational base as Section 13 ($11,237 / $64,539 / $191,527 in Yr1/5/10); the Appeals Panel operates as a standing committee with modest per-case honoraria rather than dedicated headcount through Phase 3.</w:t>
      </w:r>
    </w:p>
    <w:p>
      <w:pPr>
        <w:pStyle w:val="BodyText"/>
      </w:pPr>
      <w:r>
        <w:rPr>
          <w:bCs/>
          <w:b/>
        </w:rPr>
        <w:t xml:space="preserve">KPIs:</w:t>
      </w:r>
      <w:r>
        <w:t xml:space="preserve"> </w:t>
      </w:r>
      <w:r>
        <w:t xml:space="preserve">appeal-resolution SLA compliance (target 100% within 10 business days); tier-misclassification rate; transfer-credit processing time; cohort fill rate for BA/MA/PhD intakes.</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Gaming of tier system via false country claims</w:t>
            </w:r>
          </w:p>
        </w:tc>
        <w:tc>
          <w:tcPr/>
          <w:p>
            <w:pPr>
              <w:pStyle w:val="Compact"/>
              <w:jc w:val="left"/>
            </w:pPr>
            <w:r>
              <w:t xml:space="preserve">Documentary requirement + random audit sampling + Appeals Panel</w:t>
            </w:r>
          </w:p>
        </w:tc>
      </w:tr>
      <w:tr>
        <w:tc>
          <w:tcPr/>
          <w:p>
            <w:pPr>
              <w:pStyle w:val="Compact"/>
              <w:jc w:val="left"/>
            </w:pPr>
            <w:r>
              <w:t xml:space="preserve">Cohort bottleneck limits accessibility</w:t>
            </w:r>
          </w:p>
        </w:tc>
        <w:tc>
          <w:tcPr/>
          <w:p>
            <w:pPr>
              <w:pStyle w:val="Compact"/>
              <w:jc w:val="left"/>
            </w:pPr>
            <w:r>
              <w:t xml:space="preserve">Rolling admission preserved at Diploma/Associate/HPGD</w:t>
            </w:r>
          </w:p>
        </w:tc>
      </w:tr>
      <w:tr>
        <w:tc>
          <w:tcPr/>
          <w:p>
            <w:pPr>
              <w:pStyle w:val="Compact"/>
              <w:jc w:val="left"/>
            </w:pPr>
            <w:r>
              <w:t xml:space="preserve">Perception risk to religious-exemption status from admission disputes</w:t>
            </w:r>
          </w:p>
        </w:tc>
        <w:tc>
          <w:tcPr/>
          <w:p>
            <w:pPr>
              <w:pStyle w:val="Compact"/>
              <w:jc w:val="left"/>
            </w:pPr>
            <w:r>
              <w:t xml:space="preserve">Uniform, published, nondiscriminatory policy applied identically regardless of tuition tier</w:t>
            </w:r>
          </w:p>
        </w:tc>
      </w:tr>
    </w:tbl>
    <w:p>
      <w:pPr>
        <w:pStyle w:val="BodyText"/>
      </w:pPr>
      <w:r>
        <w:rPr>
          <w:bCs/>
          <w:b/>
        </w:rPr>
        <w:t xml:space="preserve">Governance Responsibilities:</w:t>
      </w:r>
      <w:r>
        <w:t xml:space="preserve"> </w:t>
      </w:r>
      <w:r>
        <w:t xml:space="preserve">Senate approves all admission standards and the articulation table; DVC Academic Affairs issues implementing procedures; Registrar administers verification and transfer credit; ASSC handles operational triage; Country-Tier Verification Appeals Panel adjudicates disputes; Waqf &amp; Endowment Board co-adjudicates Tier4 financial matters within its 14-day SLA.</w:t>
      </w:r>
    </w:p>
    <w:p>
      <w:pPr>
        <w:pStyle w:val="BodyText"/>
      </w:pPr>
      <w:r>
        <w:rPr>
          <w:bCs/>
          <w:b/>
        </w:rPr>
        <w:t xml:space="preserve">Measurable Success Indicators</w:t>
      </w:r>
    </w:p>
    <w:p>
      <w:pPr>
        <w:pStyle w:val="BodyText"/>
      </w:pPr>
      <w:r>
        <w:t xml:space="preserve">By 2030: appeals process fully operational with documented SLA adherence. By 2037: transfer-articulation table covering major partner-region qualifications. By 2041: secular-school admission standards live without diluting religious-tier rigor.</w:t>
      </w:r>
    </w:p>
    <w:bookmarkEnd w:id="38"/>
    <w:bookmarkStart w:id="39" w:name="section-15-faculty-recruitment-strategy"/>
    <w:p>
      <w:pPr>
        <w:pStyle w:val="Heading2"/>
      </w:pPr>
      <w:r>
        <w:t xml:space="preserve">Section 15: Faculty Recruitment Strategy</w:t>
      </w:r>
    </w:p>
    <w:p>
      <w:pPr>
        <w:pStyle w:val="FirstParagraph"/>
      </w:pPr>
      <w:r>
        <w:rPr>
          <w:bCs/>
          <w:b/>
        </w:rPr>
        <w:t xml:space="preserve">Rationale</w:t>
      </w:r>
    </w:p>
    <w:p>
      <w:pPr>
        <w:pStyle w:val="BodyText"/>
      </w:pPr>
      <w:r>
        <w:t xml:space="preserve">AMIU’s academic credibility rests on two distinct faculty pipelines: classically-trained religious scholars with verifiable isnād/ijāza chains for the six founding colleges, and terminal-degree holders for the seven secular Schools launching in Year 11. Both must be recruited within a fixed-ratio, honoraria-based compensation model that keeps the institution financially self-sufficient at low tuition.</w:t>
      </w:r>
    </w:p>
    <w:p>
      <w:pPr>
        <w:pStyle w:val="BodyText"/>
      </w:pPr>
      <w:r>
        <w:rPr>
          <w:bCs/>
          <w:b/>
        </w:rPr>
        <w:t xml:space="preserve">Global Best Practices</w:t>
      </w:r>
    </w:p>
    <w:p>
      <w:pPr>
        <w:pStyle w:val="BodyText"/>
      </w:pPr>
      <w:r>
        <w:t xml:space="preserve">Traditional ijāza-granting networks (Al-Azhar-affiliated, Umm Al-Qura-trained scholars) demonstrate that remote/diaspora scholarly engagement can preserve chain-of-transmission integrity without physical campus presence; distance-learning universities (Islamic Online University, Open University UK) demonstrate viable adjunct-heavy, honoraria/per-course compensation models at scale.</w:t>
      </w:r>
    </w:p>
    <w:p>
      <w:pPr>
        <w:pStyle w:val="BodyText"/>
      </w:pPr>
      <w:r>
        <w:rPr>
          <w:bCs/>
          <w:b/>
        </w:rPr>
        <w:t xml:space="preserve">Sourcing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Faculty type</w:t>
            </w:r>
          </w:p>
        </w:tc>
        <w:tc>
          <w:tcPr/>
          <w:p>
            <w:pPr>
              <w:pStyle w:val="Compact"/>
              <w:jc w:val="left"/>
            </w:pPr>
            <w:r>
              <w:t xml:space="preserve">Source</w:t>
            </w:r>
          </w:p>
        </w:tc>
        <w:tc>
          <w:tcPr/>
          <w:p>
            <w:pPr>
              <w:pStyle w:val="Compact"/>
              <w:jc w:val="left"/>
            </w:pPr>
            <w:r>
              <w:t xml:space="preserve">Vetting focus</w:t>
            </w:r>
          </w:p>
        </w:tc>
      </w:tr>
      <w:tr>
        <w:tc>
          <w:tcPr/>
          <w:p>
            <w:pPr>
              <w:pStyle w:val="Compact"/>
              <w:jc w:val="left"/>
            </w:pPr>
            <w:r>
              <w:t xml:space="preserve">Religious (Colleges I–VI)</w:t>
            </w:r>
          </w:p>
        </w:tc>
        <w:tc>
          <w:tcPr/>
          <w:p>
            <w:pPr>
              <w:pStyle w:val="Compact"/>
              <w:jc w:val="left"/>
            </w:pPr>
            <w:r>
              <w:t xml:space="preserve">Global scholarly networks, partner madāris, diaspora communities, DVC’s Umm Al-Qura network</w:t>
            </w:r>
          </w:p>
        </w:tc>
        <w:tc>
          <w:tcPr/>
          <w:p>
            <w:pPr>
              <w:pStyle w:val="Compact"/>
              <w:jc w:val="left"/>
            </w:pPr>
            <w:r>
              <w:t xml:space="preserve">Verified isnād/ijāza chain, teaching demonstration</w:t>
            </w:r>
          </w:p>
        </w:tc>
      </w:tr>
      <w:tr>
        <w:tc>
          <w:tcPr/>
          <w:p>
            <w:pPr>
              <w:pStyle w:val="Compact"/>
              <w:jc w:val="left"/>
            </w:pPr>
            <w:r>
              <w:t xml:space="preserve">Secular (Schools, Yr11+)</w:t>
            </w:r>
          </w:p>
        </w:tc>
        <w:tc>
          <w:tcPr/>
          <w:p>
            <w:pPr>
              <w:pStyle w:val="Compact"/>
              <w:jc w:val="left"/>
            </w:pPr>
            <w:r>
              <w:t xml:space="preserve">Standard academic recruitment channels, adjunct/affiliate postings</w:t>
            </w:r>
          </w:p>
        </w:tc>
        <w:tc>
          <w:tcPr/>
          <w:p>
            <w:pPr>
              <w:pStyle w:val="Compact"/>
              <w:jc w:val="left"/>
            </w:pPr>
            <w:r>
              <w:t xml:space="preserve">Terminal degree from accredited institution, field-appropriate credential (PhD, JD, etc.)</w:t>
            </w:r>
          </w:p>
        </w:tc>
      </w:tr>
    </w:tbl>
    <w:p>
      <w:pPr>
        <w:pStyle w:val="BodyText"/>
      </w:pPr>
      <w:r>
        <w:rPr>
          <w:bCs/>
          <w:b/>
        </w:rPr>
        <w:t xml:space="preserve">Honoraria-Based Compensation Model</w:t>
      </w:r>
    </w:p>
    <w:p>
      <w:pPr>
        <w:pStyle w:val="BodyText"/>
      </w:pPr>
      <w:r>
        <w:t xml:space="preserve">Faculty Honoraria is fixed at 40% of the Payroll allocation in every fiscal year — a ratio, not a dollar target — so the pool grows automatically as Gross Revenue grows ($224,747 Yr1 → $1,290,784 Yr5 → $3,830,549 Yr10, extension-period growth beyond Yr10 pending annual Board ratification). Per-course honoraria bands are differentiated by rank (Adjunct Scholar / Senior Scholar / Distinguished Chair) and by tier taught (higher bands for MA/PhD supervision), not by student tuition tier — preserving equal instructional quality regardless of a cohort’s pricing tier. Most appointments are part-time/remote by design, avoiding full campus-payroll overhead.</w:t>
      </w:r>
    </w:p>
    <w:p>
      <w:pPr>
        <w:pStyle w:val="BodyText"/>
      </w:pPr>
      <w:r>
        <w:rPr>
          <w:bCs/>
          <w:b/>
        </w:rPr>
        <w:t xml:space="preserve">Remote/Diaspora Scholar Engagement Model</w:t>
      </w:r>
    </w:p>
    <w:p>
      <w:pPr>
        <w:pStyle w:val="BodyText"/>
      </w:pPr>
      <w:r>
        <w:t xml:space="preserve">Instruction delivered via LMS (synchronous + asynchronous across time zones); regional teaching nodes co-located with partner mosques handle proctoring and in-person isnād/ijāza oral certification where required; periodic in-person intensives and ijāza ceremonies anchor the otherwise-virtual relationship.</w:t>
      </w:r>
    </w:p>
    <w:p>
      <w:pPr>
        <w:pStyle w:val="BodyText"/>
      </w:pPr>
      <w:r>
        <w:rPr>
          <w:bCs/>
          <w:b/>
        </w:rPr>
        <w:t xml:space="preserve">Vetting/Credentialing Process</w:t>
      </w:r>
    </w:p>
    <w:p>
      <w:pPr>
        <w:pStyle w:val="BodyText"/>
      </w:pPr>
      <w:r>
        <w:t xml:space="preserve">A Faculty Affairs &amp; Credentialing Committee (FACC) verifies isnād/ijāza chains (religious) or terminal-degree accreditation (secular), conducts reference checks and a teaching demonstration, and records madhhab/doctrinal-tradition disclosure for transparency. DVC Academic Affairs approves standard adjunct appointments under Senate-approved criteria; Senate ratifies Senior Scholar/Chair appointments.</w:t>
      </w:r>
    </w:p>
    <w:p>
      <w:pPr>
        <w:pStyle w:val="BodyText"/>
      </w:pPr>
      <w:r>
        <w:rPr>
          <w:bCs/>
          <w:b/>
        </w:rPr>
        <w:t xml:space="preserve">Madhhab &amp; Doctrinal Diversity</w:t>
      </w:r>
    </w:p>
    <w:p>
      <w:pPr>
        <w:pStyle w:val="BodyText"/>
      </w:pPr>
      <w:r>
        <w:t xml:space="preserve">As a global English-medium Sunni-mainstream institution, AMIU recruits across the four Sunni madhāhib (Ḥanafī, Mālikī, Shāfiʿī, Ḥanbalī) and mainstream Ashʿarī/Māturīdī/Athari theological traditions, proportionate to global Muslim demographic representation, under a published Faculty Diversity &amp; Doctrinal Transparency Policy ratified by Senate — avoiding sectarian exclusivism, consistent with the</w:t>
      </w:r>
      <w:r>
        <w:t xml:space="preserve"> </w:t>
      </w:r>
      <w:r>
        <w:t xml:space="preserve">“</w:t>
      </w:r>
      <w:r>
        <w:t xml:space="preserve">no condition</w:t>
      </w:r>
      <w:r>
        <w:t xml:space="preserve">”</w:t>
      </w:r>
      <w:r>
        <w:t xml:space="preserve"> </w:t>
      </w:r>
      <w:r>
        <w:t xml:space="preserve">mission.</w:t>
      </w:r>
    </w:p>
    <w:p>
      <w:pPr>
        <w:pStyle w:val="BodyText"/>
      </w:pPr>
      <w:r>
        <w:rPr>
          <w:bCs/>
          <w:b/>
        </w:rPr>
        <w:t xml:space="preserve">Implementation Phases /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1</w:t>
            </w:r>
          </w:p>
        </w:tc>
        <w:tc>
          <w:tcPr/>
          <w:p>
            <w:pPr>
              <w:pStyle w:val="Compact"/>
              <w:jc w:val="left"/>
            </w:pPr>
            <w:r>
              <w:t xml:space="preserve">2028–2030</w:t>
            </w:r>
          </w:p>
        </w:tc>
        <w:tc>
          <w:tcPr/>
          <w:p>
            <w:pPr>
              <w:pStyle w:val="Compact"/>
              <w:jc w:val="left"/>
            </w:pPr>
            <w:r>
              <w:t xml:space="preserve">Founding faculty core via DVC’s personal scholarly network; largely volunteer/low-honoraria</w:t>
            </w:r>
          </w:p>
        </w:tc>
      </w:tr>
      <w:tr>
        <w:tc>
          <w:tcPr/>
          <w:p>
            <w:pPr>
              <w:pStyle w:val="Compact"/>
              <w:jc w:val="left"/>
            </w:pPr>
            <w:r>
              <w:t xml:space="preserve">2</w:t>
            </w:r>
          </w:p>
        </w:tc>
        <w:tc>
          <w:tcPr/>
          <w:p>
            <w:pPr>
              <w:pStyle w:val="Compact"/>
              <w:jc w:val="left"/>
            </w:pPr>
            <w:r>
              <w:t xml:space="preserve">2031–2034</w:t>
            </w:r>
          </w:p>
        </w:tc>
        <w:tc>
          <w:tcPr/>
          <w:p>
            <w:pPr>
              <w:pStyle w:val="Compact"/>
              <w:jc w:val="left"/>
            </w:pPr>
            <w:r>
              <w:t xml:space="preserve">Scale adjunct pool with enrollment growth; FACC formalized</w:t>
            </w:r>
          </w:p>
        </w:tc>
      </w:tr>
      <w:tr>
        <w:tc>
          <w:tcPr/>
          <w:p>
            <w:pPr>
              <w:pStyle w:val="Compact"/>
              <w:jc w:val="left"/>
            </w:pPr>
            <w:r>
              <w:t xml:space="preserve">3</w:t>
            </w:r>
          </w:p>
        </w:tc>
        <w:tc>
          <w:tcPr/>
          <w:p>
            <w:pPr>
              <w:pStyle w:val="Compact"/>
              <w:jc w:val="left"/>
            </w:pPr>
            <w:r>
              <w:t xml:space="preserve">2035–2037</w:t>
            </w:r>
          </w:p>
        </w:tc>
        <w:tc>
          <w:tcPr/>
          <w:p>
            <w:pPr>
              <w:pStyle w:val="Compact"/>
              <w:jc w:val="left"/>
            </w:pPr>
            <w:r>
              <w:t xml:space="preserve">Build Senior Scholar/Chair tier ahead of secular expansion</w:t>
            </w:r>
          </w:p>
        </w:tc>
      </w:tr>
      <w:tr>
        <w:tc>
          <w:tcPr/>
          <w:p>
            <w:pPr>
              <w:pStyle w:val="Compact"/>
              <w:jc w:val="left"/>
            </w:pPr>
            <w:r>
              <w:t xml:space="preserve">4</w:t>
            </w:r>
          </w:p>
        </w:tc>
        <w:tc>
          <w:tcPr/>
          <w:p>
            <w:pPr>
              <w:pStyle w:val="Compact"/>
              <w:jc w:val="left"/>
            </w:pPr>
            <w:r>
              <w:t xml:space="preserve">2038–2041</w:t>
            </w:r>
          </w:p>
        </w:tc>
        <w:tc>
          <w:tcPr/>
          <w:p>
            <w:pPr>
              <w:pStyle w:val="Compact"/>
              <w:jc w:val="left"/>
            </w:pPr>
            <w:r>
              <w:t xml:space="preserve">Recruit terminal-degree faculty for 7 new Schools</w:t>
            </w:r>
          </w:p>
        </w:tc>
      </w:tr>
      <w:tr>
        <w:tc>
          <w:tcPr/>
          <w:p>
            <w:pPr>
              <w:pStyle w:val="Compact"/>
              <w:jc w:val="left"/>
            </w:pPr>
            <w:r>
              <w:t xml:space="preserve">5</w:t>
            </w:r>
          </w:p>
        </w:tc>
        <w:tc>
          <w:tcPr/>
          <w:p>
            <w:pPr>
              <w:pStyle w:val="Compact"/>
              <w:jc w:val="left"/>
            </w:pPr>
            <w:r>
              <w:t xml:space="preserve">2042–2050</w:t>
            </w:r>
          </w:p>
        </w:tc>
        <w:tc>
          <w:tcPr/>
          <w:p>
            <w:pPr>
              <w:pStyle w:val="Compact"/>
              <w:jc w:val="left"/>
            </w:pPr>
            <w:r>
              <w:t xml:space="preserve">Steady-state renewal, succession planning, Waqf-endowed chairs</w:t>
            </w:r>
          </w:p>
        </w:tc>
      </w:tr>
    </w:tbl>
    <w:p>
      <w:pPr>
        <w:pStyle w:val="BodyText"/>
      </w:pPr>
      <w:r>
        <w:rPr>
          <w:bCs/>
          <w:b/>
        </w:rPr>
        <w:t xml:space="preserve">Staffing Requirements</w:t>
      </w:r>
      <w:r>
        <w:t xml:space="preserve"> </w:t>
      </w:r>
      <w:r>
        <w:t xml:space="preserve">(recruitment function itself)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Roles</w:t>
            </w:r>
          </w:p>
        </w:tc>
      </w:tr>
      <w:tr>
        <w:tc>
          <w:tcPr/>
          <w:p>
            <w:pPr>
              <w:pStyle w:val="Compact"/>
              <w:jc w:val="left"/>
            </w:pPr>
            <w:r>
              <w:t xml:space="preserve">1 (Yr1–3)</w:t>
            </w:r>
          </w:p>
        </w:tc>
        <w:tc>
          <w:tcPr/>
          <w:p>
            <w:pPr>
              <w:pStyle w:val="Compact"/>
              <w:jc w:val="left"/>
            </w:pPr>
            <w:r>
              <w:t xml:space="preserve">DVC Academic Affairs + volunteer Faculty Affairs subcommittee</w:t>
            </w:r>
          </w:p>
        </w:tc>
      </w:tr>
      <w:tr>
        <w:tc>
          <w:tcPr/>
          <w:p>
            <w:pPr>
              <w:pStyle w:val="Compact"/>
              <w:jc w:val="left"/>
            </w:pPr>
            <w:r>
              <w:t xml:space="preserve">2 (Yr4–7)</w:t>
            </w:r>
          </w:p>
        </w:tc>
        <w:tc>
          <w:tcPr/>
          <w:p>
            <w:pPr>
              <w:pStyle w:val="Compact"/>
              <w:jc w:val="left"/>
            </w:pPr>
            <w:r>
              <w:t xml:space="preserve">+ part-time Faculty Affairs Coordinator</w:t>
            </w:r>
          </w:p>
        </w:tc>
      </w:tr>
      <w:tr>
        <w:tc>
          <w:tcPr/>
          <w:p>
            <w:pPr>
              <w:pStyle w:val="Compact"/>
              <w:jc w:val="left"/>
            </w:pPr>
            <w:r>
              <w:t xml:space="preserve">3 (Yr8–10)</w:t>
            </w:r>
          </w:p>
        </w:tc>
        <w:tc>
          <w:tcPr/>
          <w:p>
            <w:pPr>
              <w:pStyle w:val="Compact"/>
              <w:jc w:val="left"/>
            </w:pPr>
            <w:r>
              <w:t xml:space="preserve">FACC fully staffed with dedicated credentialing specialist</w:t>
            </w:r>
          </w:p>
        </w:tc>
      </w:tr>
      <w:tr>
        <w:tc>
          <w:tcPr/>
          <w:p>
            <w:pPr>
              <w:pStyle w:val="Compact"/>
              <w:jc w:val="left"/>
            </w:pPr>
            <w:r>
              <w:t xml:space="preserve">4 (Yr11+)</w:t>
            </w:r>
          </w:p>
        </w:tc>
        <w:tc>
          <w:tcPr/>
          <w:p>
            <w:pPr>
              <w:pStyle w:val="Compact"/>
              <w:jc w:val="left"/>
            </w:pPr>
            <w:r>
              <w:t xml:space="preserve">+ secular-faculty recruiter per new School</w:t>
            </w:r>
          </w:p>
        </w:tc>
      </w:tr>
    </w:tbl>
    <w:p>
      <w:pPr>
        <w:pStyle w:val="BodyText"/>
      </w:pPr>
      <w:r>
        <w:rPr>
          <w:bCs/>
          <w:b/>
        </w:rPr>
        <w:t xml:space="preserve">Annual Budget</w:t>
      </w:r>
    </w:p>
    <w:p>
      <w:pPr>
        <w:pStyle w:val="BodyText"/>
      </w:pPr>
      <w:r>
        <w:t xml:space="preserve">Honoraria pool = 40% of Payroll (scales with revenue, see above). Recruitment/vetting administration (credential verification, occasional in-person vetting travel) draws from the 5% OpEx allocation: a modest slice of $11,237 (Yr1), $64,539 (Yr5), $191,527 (Yr10).</w:t>
      </w:r>
    </w:p>
    <w:p>
      <w:pPr>
        <w:pStyle w:val="BodyText"/>
      </w:pPr>
      <w:r>
        <w:rPr>
          <w:bCs/>
          <w:b/>
        </w:rPr>
        <w:t xml:space="preserve">KPIs</w:t>
      </w:r>
    </w:p>
    <w:p>
      <w:pPr>
        <w:pStyle w:val="BodyText"/>
      </w:pPr>
      <w:r>
        <w:t xml:space="preserve">100% isnād/ijāza (or terminal-degree) verification completed before appointment; faculty:student ratio maintained per tier; madhhab-representation balance tracked annually; Honoraria budget adherence to the 40%-of-Payroll ratio; faculty retention rate.</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Shortage of classically-verified scholars willing to teach remotely at honoraria rates</w:t>
            </w:r>
          </w:p>
        </w:tc>
        <w:tc>
          <w:tcPr/>
          <w:p>
            <w:pPr>
              <w:pStyle w:val="Compact"/>
              <w:jc w:val="left"/>
            </w:pPr>
            <w:r>
              <w:t xml:space="preserve">Diaspora networks, partner-institution MOUs, prestige of ijāza-ceremony affiliation</w:t>
            </w:r>
          </w:p>
        </w:tc>
      </w:tr>
      <w:tr>
        <w:tc>
          <w:tcPr/>
          <w:p>
            <w:pPr>
              <w:pStyle w:val="Compact"/>
              <w:jc w:val="left"/>
            </w:pPr>
            <w:r>
              <w:t xml:space="preserve">Doctrinal/sectarian tension among faculty of different madhāhib</w:t>
            </w:r>
          </w:p>
        </w:tc>
        <w:tc>
          <w:tcPr/>
          <w:p>
            <w:pPr>
              <w:pStyle w:val="Compact"/>
              <w:jc w:val="left"/>
            </w:pPr>
            <w:r>
              <w:t xml:space="preserve">Published Diversity &amp; Doctrinal Transparency Policy; Senate oversight</w:t>
            </w:r>
          </w:p>
        </w:tc>
      </w:tr>
      <w:tr>
        <w:tc>
          <w:tcPr/>
          <w:p>
            <w:pPr>
              <w:pStyle w:val="Compact"/>
              <w:jc w:val="left"/>
            </w:pPr>
            <w:r>
              <w:t xml:space="preserve">Secular faculty (Yr11+) recruited away by better-paying institutions</w:t>
            </w:r>
          </w:p>
        </w:tc>
        <w:tc>
          <w:tcPr/>
          <w:p>
            <w:pPr>
              <w:pStyle w:val="Compact"/>
              <w:jc w:val="left"/>
            </w:pPr>
            <w:r>
              <w:t xml:space="preserve">Mission-driven recruiting messaging, flexible remote/part-time affiliate model</w:t>
            </w:r>
          </w:p>
        </w:tc>
      </w:tr>
    </w:tbl>
    <w:p>
      <w:pPr>
        <w:pStyle w:val="BodyText"/>
      </w:pPr>
      <w:r>
        <w:rPr>
          <w:bCs/>
          <w:b/>
        </w:rPr>
        <w:t xml:space="preserve">Governance Responsibilities:</w:t>
      </w:r>
      <w:r>
        <w:t xml:space="preserve"> </w:t>
      </w:r>
      <w:r>
        <w:t xml:space="preserve">Board of Trustees sets overall compensation philosophy and fiscal ceilings; Senate ratifies appointment standards, Senior Scholar/Chair appointments, and the Diversity &amp; Doctrinal Transparency Policy; DVC Academic Affairs (Al-Qumash) implements recruitment policy and approves standard hires; FACC conducts vetting; Registrar records faculty-of-record for degree-conferral integrity.</w:t>
      </w:r>
    </w:p>
    <w:p>
      <w:pPr>
        <w:pStyle w:val="BodyText"/>
      </w:pPr>
      <w:r>
        <w:rPr>
          <w:bCs/>
          <w:b/>
        </w:rPr>
        <w:t xml:space="preserve">Measurable Success Indicators</w:t>
      </w:r>
    </w:p>
    <w:p>
      <w:pPr>
        <w:pStyle w:val="BodyText"/>
      </w:pPr>
      <w:r>
        <w:t xml:space="preserve">By 2030: founding faculty core fully isnād-verified. By 2037: Senior Scholar/Chair tier established across all six colleges. By 2041: terminal-degree faculty fully staffed for all seven secular Schools without breaching the 40%-of-Payroll honoraria ratio.</w:t>
      </w:r>
    </w:p>
    <w:p>
      <w:r>
        <w:pict>
          <v:rect style="width:0;height:1.5pt" o:hralign="center" o:hrstd="t" o:hr="t"/>
        </w:pict>
      </w:r>
    </w:p>
    <w:bookmarkEnd w:id="39"/>
    <w:bookmarkStart w:id="40" w:name="X80c93d163a571e19a2cecbe39c679c44fa41797"/>
    <w:p>
      <w:pPr>
        <w:pStyle w:val="Heading2"/>
      </w:pPr>
      <w:r>
        <w:t xml:space="preserve">Part IV — Research, Publishing, Partnerships &amp; Accreditation (Sections 16–20)</w:t>
      </w:r>
    </w:p>
    <w:bookmarkEnd w:id="40"/>
    <w:bookmarkStart w:id="41" w:name="section-16-research-strategy"/>
    <w:p>
      <w:pPr>
        <w:pStyle w:val="Heading2"/>
      </w:pPr>
      <w:r>
        <w:t xml:space="preserve">Section 16: Research Strategy</w:t>
      </w:r>
    </w:p>
    <w:p>
      <w:pPr>
        <w:pStyle w:val="FirstParagraph"/>
      </w:pPr>
      <w:r>
        <w:rPr>
          <w:bCs/>
          <w:b/>
        </w:rPr>
        <w:t xml:space="preserve">Rationale</w:t>
      </w:r>
    </w:p>
    <w:p>
      <w:pPr>
        <w:pStyle w:val="BodyText"/>
      </w:pPr>
      <w:r>
        <w:t xml:space="preserve">AMIU’s mission commits the University to rigor without sacrificing accessibility or solvency. Research is therefore not a freestanding pillar in the founding decade — it is a</w:t>
      </w:r>
      <w:r>
        <w:t xml:space="preserve"> </w:t>
      </w:r>
      <w:r>
        <w:rPr>
          <w:iCs/>
          <w:i/>
        </w:rPr>
        <w:t xml:space="preserve">function embedded inside the existing Doctor of Philosophy tier (6 programs, Year 3/2030) and Post-Doctoral Research Fellowship tier (4 non-credit mentored tracks, Year 6/2033)</w:t>
      </w:r>
      <w:r>
        <w:t xml:space="preserve">, both of which already carry mentored-research time inside Faculty Honoraria (40% of the 20% Payroll allocation). A dedicated Research budget line does not exist in the adopted seven-category fixed allocation, and none is proposed here; instead this strategy defines how mentorship, ethics review, and dissemination operate</w:t>
      </w:r>
      <w:r>
        <w:t xml:space="preserve"> </w:t>
      </w:r>
      <w:r>
        <w:rPr>
          <w:iCs/>
          <w:i/>
        </w:rPr>
        <w:t xml:space="preserve">within</w:t>
      </w:r>
      <w:r>
        <w:t xml:space="preserve"> </w:t>
      </w:r>
      <w:r>
        <w:t xml:space="preserve">existing lines until revenue justifies a Board/Senate-approved new sub-allocation, as the risk register anticipates.</w:t>
      </w:r>
    </w:p>
    <w:p>
      <w:pPr>
        <w:pStyle w:val="BodyText"/>
      </w:pPr>
      <w:r>
        <w:rPr>
          <w:bCs/>
          <w:b/>
        </w:rPr>
        <w:t xml:space="preserve">Global Best Practices</w:t>
      </w:r>
    </w:p>
    <w:p>
      <w:pPr>
        <w:numPr>
          <w:ilvl w:val="0"/>
          <w:numId w:val="1010"/>
        </w:numPr>
        <w:pStyle w:val="Compact"/>
      </w:pPr>
      <w:r>
        <w:t xml:space="preserve">Chain-of-transmission (isnād) supervision models from classical Islamic scholarship map directly onto modern doctoral mentorship — AMIU formalizes this rather than importing a Western grant-office model.</w:t>
      </w:r>
    </w:p>
    <w:p>
      <w:pPr>
        <w:numPr>
          <w:ilvl w:val="0"/>
          <w:numId w:val="1010"/>
        </w:numPr>
        <w:pStyle w:val="Compact"/>
      </w:pPr>
      <w:r>
        <w:t xml:space="preserve">Digital-first, low-marginal-cost repositories (arXiv/SSRN-style preprint logic) let a small institution produce credible output without labs or print runs.</w:t>
      </w:r>
    </w:p>
    <w:p>
      <w:pPr>
        <w:numPr>
          <w:ilvl w:val="0"/>
          <w:numId w:val="1010"/>
        </w:numPr>
        <w:pStyle w:val="Compact"/>
      </w:pPr>
      <w:r>
        <w:t xml:space="preserve">Peer faith-based universities (e.g., international Islamic university networks) scale research administratively before scaling it financially — governance and ethics infrastructure precede budget.</w:t>
      </w:r>
    </w:p>
    <w:p>
      <w:pPr>
        <w:pStyle w:val="FirstParagraph"/>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0 – Foundational</w:t>
            </w:r>
          </w:p>
        </w:tc>
        <w:tc>
          <w:tcPr/>
          <w:p>
            <w:pPr>
              <w:pStyle w:val="Compact"/>
              <w:jc w:val="left"/>
            </w:pPr>
            <w:r>
              <w:t xml:space="preserve">Yr1–2 (2028–29)</w:t>
            </w:r>
          </w:p>
        </w:tc>
        <w:tc>
          <w:tcPr/>
          <w:p>
            <w:pPr>
              <w:pStyle w:val="Compact"/>
              <w:jc w:val="left"/>
            </w:pPr>
            <w:r>
              <w:t xml:space="preserve">Senate establishes an unpaid Research &amp; Publications Committee; drafts research-ethics and isnād-authenticity protocol; no incremental budget beyond existing Admin time.</w:t>
            </w:r>
          </w:p>
        </w:tc>
      </w:tr>
      <w:tr>
        <w:tc>
          <w:tcPr/>
          <w:p>
            <w:pPr>
              <w:pStyle w:val="Compact"/>
              <w:jc w:val="left"/>
            </w:pPr>
            <w:r>
              <w:t xml:space="preserve">1 – Ph.D. Launch</w:t>
            </w:r>
          </w:p>
        </w:tc>
        <w:tc>
          <w:tcPr/>
          <w:p>
            <w:pPr>
              <w:pStyle w:val="Compact"/>
              <w:jc w:val="left"/>
            </w:pPr>
            <w:r>
              <w:t xml:space="preserve">Yr3–5 (2030–32)</w:t>
            </w:r>
          </w:p>
        </w:tc>
        <w:tc>
          <w:tcPr/>
          <w:p>
            <w:pPr>
              <w:pStyle w:val="Compact"/>
              <w:jc w:val="left"/>
            </w:pPr>
            <w:r>
              <w:t xml:space="preserve">6 Ph.D. programs begin; dissertation supervision funded via Faculty Honoraria; Sharī’ah Advisory Board isnād-certification activated for religious-content dissertations.</w:t>
            </w:r>
          </w:p>
        </w:tc>
      </w:tr>
      <w:tr>
        <w:tc>
          <w:tcPr/>
          <w:p>
            <w:pPr>
              <w:pStyle w:val="Compact"/>
              <w:jc w:val="left"/>
            </w:pPr>
            <w:r>
              <w:t xml:space="preserve">2 – Post-Doc Launch</w:t>
            </w:r>
          </w:p>
        </w:tc>
        <w:tc>
          <w:tcPr/>
          <w:p>
            <w:pPr>
              <w:pStyle w:val="Compact"/>
              <w:jc w:val="left"/>
            </w:pPr>
            <w:r>
              <w:t xml:space="preserve">Yr6–10 (2033–37)</w:t>
            </w:r>
          </w:p>
        </w:tc>
        <w:tc>
          <w:tcPr/>
          <w:p>
            <w:pPr>
              <w:pStyle w:val="Compact"/>
              <w:jc w:val="left"/>
            </w:pPr>
            <w:r>
              <w:t xml:space="preserve">4 Post-Doc tracks begin; cross-college research agenda formalized by Senate; low-cost digital repository built on the existing LMS &amp; Tech (5%) infrastructure.</w:t>
            </w:r>
          </w:p>
        </w:tc>
      </w:tr>
      <w:tr>
        <w:tc>
          <w:tcPr/>
          <w:p>
            <w:pPr>
              <w:pStyle w:val="Compact"/>
              <w:jc w:val="left"/>
            </w:pPr>
            <w:r>
              <w:t xml:space="preserve">3 – Secular Extension</w:t>
            </w:r>
          </w:p>
        </w:tc>
        <w:tc>
          <w:tcPr/>
          <w:p>
            <w:pPr>
              <w:pStyle w:val="Compact"/>
              <w:jc w:val="left"/>
            </w:pPr>
            <w:r>
              <w:t xml:space="preserve">Yr11–20 (2038–47)</w:t>
            </w:r>
          </w:p>
        </w:tc>
        <w:tc>
          <w:tcPr/>
          <w:p>
            <w:pPr>
              <w:pStyle w:val="Compact"/>
              <w:jc w:val="left"/>
            </w:pPr>
            <w:r>
              <w:t xml:space="preserve">Post-secular-accreditation schools extend research scope beyond religious disciplines; Board/Senate evaluate a standalone Research sub-allocation once revenue clears the Year 15 (~$43.1M) mark.</w:t>
            </w:r>
          </w:p>
        </w:tc>
      </w:tr>
    </w:tbl>
    <w:p>
      <w:pPr>
        <w:pStyle w:val="BodyText"/>
      </w:pPr>
      <w:r>
        <w:rPr>
          <w:bCs/>
          <w:b/>
        </w:rPr>
        <w:t xml:space="preserve">Staffing Requirements</w:t>
      </w:r>
    </w:p>
    <w:p>
      <w:pPr>
        <w:pStyle w:val="BodyText"/>
      </w:pPr>
      <w:r>
        <w:t xml:space="preserve">Yr1–2: volunteer Senate committee, no new hire. Yr3–5: supervision absorbed by Ph.D.-tier faculty already paid under Honoraria. Yr6+: a 0.5-FTE Research Coordinator role carved from the Admin 18% Payroll sub-line. Yr11+: potential full Research Office, contingent on new Board/Senate allocation — not committed in this founding-decade budget.</w:t>
      </w:r>
    </w:p>
    <w:p>
      <w:pPr>
        <w:pStyle w:val="BodyText"/>
      </w:pPr>
      <w:r>
        <w:rPr>
          <w:bCs/>
          <w:b/>
        </w:rPr>
        <w:t xml:space="preserve">Annual Budget (tied to fixed allocation)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Funding Source</w:t>
            </w:r>
          </w:p>
        </w:tc>
        <w:tc>
          <w:tcPr/>
          <w:p>
            <w:pPr>
              <w:pStyle w:val="Compact"/>
              <w:jc w:val="left"/>
            </w:pPr>
            <w:r>
              <w:t xml:space="preserve">Notes</w:t>
            </w:r>
          </w:p>
        </w:tc>
      </w:tr>
      <w:tr>
        <w:tc>
          <w:tcPr/>
          <w:p>
            <w:pPr>
              <w:pStyle w:val="Compact"/>
              <w:jc w:val="left"/>
            </w:pPr>
            <w:r>
              <w:t xml:space="preserve">Mentored dissertation/fellowship supervision</w:t>
            </w:r>
          </w:p>
        </w:tc>
        <w:tc>
          <w:tcPr/>
          <w:p>
            <w:pPr>
              <w:pStyle w:val="Compact"/>
              <w:jc w:val="left"/>
            </w:pPr>
            <w:r>
              <w:t xml:space="preserve">Faculty Honoraria (40% of 20% Payroll)</w:t>
            </w:r>
          </w:p>
        </w:tc>
        <w:tc>
          <w:tcPr/>
          <w:p>
            <w:pPr>
              <w:pStyle w:val="Compact"/>
              <w:jc w:val="left"/>
            </w:pPr>
            <w:r>
              <w:t xml:space="preserve">Already budgeted, no incremental cost</w:t>
            </w:r>
          </w:p>
        </w:tc>
      </w:tr>
      <w:tr>
        <w:tc>
          <w:tcPr/>
          <w:p>
            <w:pPr>
              <w:pStyle w:val="Compact"/>
              <w:jc w:val="left"/>
            </w:pPr>
            <w:r>
              <w:t xml:space="preserve">Ethics/isnād review administration</w:t>
            </w:r>
          </w:p>
        </w:tc>
        <w:tc>
          <w:tcPr/>
          <w:p>
            <w:pPr>
              <w:pStyle w:val="Compact"/>
              <w:jc w:val="left"/>
            </w:pPr>
            <w:r>
              <w:t xml:space="preserve">OpEx (5%)</w:t>
            </w:r>
          </w:p>
        </w:tc>
        <w:tc>
          <w:tcPr/>
          <w:p>
            <w:pPr>
              <w:pStyle w:val="Compact"/>
              <w:jc w:val="left"/>
            </w:pPr>
            <w:r>
              <w:t xml:space="preserve">Minor — committee logistics, digital tools</w:t>
            </w:r>
          </w:p>
        </w:tc>
      </w:tr>
      <w:tr>
        <w:tc>
          <w:tcPr/>
          <w:p>
            <w:pPr>
              <w:pStyle w:val="Compact"/>
              <w:jc w:val="left"/>
            </w:pPr>
            <w:r>
              <w:t xml:space="preserve">Research dissemination events, symposia</w:t>
            </w:r>
          </w:p>
        </w:tc>
        <w:tc>
          <w:tcPr/>
          <w:p>
            <w:pPr>
              <w:pStyle w:val="Compact"/>
              <w:jc w:val="left"/>
            </w:pPr>
            <w:r>
              <w:t xml:space="preserve">Da’wah &amp; Community Outreach (5%)</w:t>
            </w:r>
          </w:p>
        </w:tc>
        <w:tc>
          <w:tcPr/>
          <w:p>
            <w:pPr>
              <w:pStyle w:val="Compact"/>
              <w:jc w:val="left"/>
            </w:pPr>
            <w:r>
              <w:t xml:space="preserve">Shared with wider outreach calendar</w:t>
            </w:r>
          </w:p>
        </w:tc>
      </w:tr>
      <w:tr>
        <w:tc>
          <w:tcPr/>
          <w:p>
            <w:pPr>
              <w:pStyle w:val="Compact"/>
              <w:jc w:val="left"/>
            </w:pPr>
            <w:r>
              <w:t xml:space="preserve">Future dedicated Research line</w:t>
            </w:r>
          </w:p>
        </w:tc>
        <w:tc>
          <w:tcPr/>
          <w:p>
            <w:pPr>
              <w:pStyle w:val="Compact"/>
              <w:jc w:val="left"/>
            </w:pPr>
            <w:r>
              <w:rPr>
                <w:iCs/>
                <w:i/>
              </w:rPr>
              <w:t xml:space="preserve">Not yet allocated</w:t>
            </w:r>
          </w:p>
        </w:tc>
        <w:tc>
          <w:tcPr/>
          <w:p>
            <w:pPr>
              <w:pStyle w:val="Compact"/>
              <w:jc w:val="left"/>
            </w:pPr>
            <w:r>
              <w:t xml:space="preserve">Requires new Board/Senate vote, flagged per risk register</w:t>
            </w:r>
          </w:p>
        </w:tc>
      </w:tr>
    </w:tbl>
    <w:p>
      <w:pPr>
        <w:pStyle w:val="BodyText"/>
      </w:pPr>
      <w:r>
        <w:rPr>
          <w:bCs/>
          <w:b/>
        </w:rPr>
        <w:t xml:space="preserve">KPIs</w:t>
      </w:r>
      <w:r>
        <w:t xml:space="preserve">: dissertations/fellowship outputs completed on schedule; isnād-certification pass rate; mentored-research load per faculty within Honoraria capacity; zero deficit maintained institution-wide.</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Research budget creep beyond fixed allocation</w:t>
            </w:r>
          </w:p>
        </w:tc>
        <w:tc>
          <w:tcPr/>
          <w:p>
            <w:pPr>
              <w:pStyle w:val="Compact"/>
              <w:jc w:val="left"/>
            </w:pPr>
            <w:r>
              <w:t xml:space="preserve">Hard cap within existing lines; new spend requires Board/Senate vote</w:t>
            </w:r>
          </w:p>
        </w:tc>
      </w:tr>
      <w:tr>
        <w:tc>
          <w:tcPr/>
          <w:p>
            <w:pPr>
              <w:pStyle w:val="Compact"/>
              <w:jc w:val="left"/>
            </w:pPr>
            <w:r>
              <w:t xml:space="preserve">Authenticity/credibility risk in religious scholarship</w:t>
            </w:r>
          </w:p>
        </w:tc>
        <w:tc>
          <w:tcPr/>
          <w:p>
            <w:pPr>
              <w:pStyle w:val="Compact"/>
              <w:jc w:val="left"/>
            </w:pPr>
            <w:r>
              <w:t xml:space="preserve">Mandatory Sharī’ah Advisory Board isnād certification pre-publication</w:t>
            </w:r>
          </w:p>
        </w:tc>
      </w:tr>
      <w:tr>
        <w:tc>
          <w:tcPr/>
          <w:p>
            <w:pPr>
              <w:pStyle w:val="Compact"/>
              <w:jc w:val="left"/>
            </w:pPr>
            <w:r>
              <w:t xml:space="preserve">Mission drift toward prestige research over accessibility</w:t>
            </w:r>
          </w:p>
        </w:tc>
        <w:tc>
          <w:tcPr/>
          <w:p>
            <w:pPr>
              <w:pStyle w:val="Compact"/>
              <w:jc w:val="left"/>
            </w:pPr>
            <w:r>
              <w:t xml:space="preserve">Senate charter ties research agenda explicitly to mission statement</w:t>
            </w:r>
          </w:p>
        </w:tc>
      </w:tr>
    </w:tbl>
    <w:p>
      <w:pPr>
        <w:pStyle w:val="BodyText"/>
      </w:pPr>
      <w:r>
        <w:rPr>
          <w:bCs/>
          <w:b/>
        </w:rPr>
        <w:t xml:space="preserve">Timeline</w:t>
      </w:r>
      <w:r>
        <w:t xml:space="preserve">: Yr1–2 committee/protocol → Yr3 Ph.D. mentorship begins → Yr6 Post-Doc mentorship begins → Yr10 repository maturity → Yr11+ secular-schools extension review.</w:t>
      </w:r>
    </w:p>
    <w:p>
      <w:pPr>
        <w:pStyle w:val="BodyText"/>
      </w:pPr>
      <w:r>
        <w:rPr>
          <w:bCs/>
          <w:b/>
        </w:rPr>
        <w:t xml:space="preserve">Governance Responsibilities</w:t>
      </w:r>
      <w:r>
        <w:t xml:space="preserve"> </w:t>
      </w:r>
      <w:r>
        <w:t xml:space="preserve">— Senate: approves research agenda, curriculum linkage, and any formal publishing series (supreme academic authority). Sharī’ah Advisory Board: certifies isnād/authenticity of religious scholarship. Board of Trustees: approves budget allocation and any future standalone Research line. Waqf &amp; Endowment Board: no direct role unless Waqf Scholarship Block funds are proposed for student research stipends, in which case fiduciary review applies.</w:t>
      </w:r>
    </w:p>
    <w:p>
      <w:pPr>
        <w:pStyle w:val="BodyText"/>
      </w:pPr>
      <w:r>
        <w:rPr>
          <w:bCs/>
          <w:b/>
        </w:rPr>
        <w:t xml:space="preserve">Measurable Success Indicators</w:t>
      </w:r>
      <w:r>
        <w:t xml:space="preserve">: first Ph.D. cohort producing isnād-certified dissertations by Year 5; first Post-Doc fellowship outputs by Year 8; research function fully self-funded within existing allocations through Year 10 with no deficit attributable to research activity.</w:t>
      </w:r>
    </w:p>
    <w:bookmarkEnd w:id="41"/>
    <w:bookmarkStart w:id="42" w:name="section-17-publishing-strategy"/>
    <w:p>
      <w:pPr>
        <w:pStyle w:val="Heading2"/>
      </w:pPr>
      <w:r>
        <w:t xml:space="preserve">Section 17: Publishing Strategy</w:t>
      </w:r>
    </w:p>
    <w:p>
      <w:pPr>
        <w:pStyle w:val="FirstParagraph"/>
      </w:pPr>
      <w:r>
        <w:rPr>
          <w:bCs/>
          <w:b/>
        </w:rPr>
        <w:t xml:space="preserve">Rationale</w:t>
      </w:r>
    </w:p>
    <w:p>
      <w:pPr>
        <w:pStyle w:val="BodyText"/>
      </w:pPr>
      <w:r>
        <w:t xml:space="preserve">Publishing converts mentored research into public, citable scholarship at near-zero marginal cost, reinforcing AMIU’s credibility with regulators, philanthropic stakeholders, and Gulf ministries well before secular accreditation begins in Year 11. Because there is no standalone Research or Publishing budget line, the model must ride entirely on open-source infrastructure (LMS &amp; Tech), existing Honoraria-funded faculty time, and Waqf-funded incentive stipends — never a commercial journal-operations budget.</w:t>
      </w:r>
    </w:p>
    <w:p>
      <w:pPr>
        <w:pStyle w:val="BodyText"/>
      </w:pPr>
      <w:r>
        <w:rPr>
          <w:bCs/>
          <w:b/>
        </w:rPr>
        <w:t xml:space="preserve">Global Best Practices</w:t>
      </w:r>
    </w:p>
    <w:p>
      <w:pPr>
        <w:numPr>
          <w:ilvl w:val="0"/>
          <w:numId w:val="1011"/>
        </w:numPr>
        <w:pStyle w:val="Compact"/>
      </w:pPr>
      <w:r>
        <w:t xml:space="preserve">Open Journal Systems (OJS)-class free software lets small institutions run peer-reviewed e-journals at effectively $0 licensing cost.</w:t>
      </w:r>
    </w:p>
    <w:p>
      <w:pPr>
        <w:numPr>
          <w:ilvl w:val="0"/>
          <w:numId w:val="1011"/>
        </w:numPr>
        <w:pStyle w:val="Compact"/>
      </w:pPr>
      <w:r>
        <w:t xml:space="preserve">DOAJ (Directory of Open Access Journals) listing is the recognized low-cost credibility marker for young open-access journals.</w:t>
      </w:r>
    </w:p>
    <w:p>
      <w:pPr>
        <w:numPr>
          <w:ilvl w:val="0"/>
          <w:numId w:val="1011"/>
        </w:numPr>
        <w:pStyle w:val="Compact"/>
      </w:pPr>
      <w:r>
        <w:t xml:space="preserve">Classical isnād verification is the direct Islamic analogue of modern peer review — AMIU formalizes both together rather than treating them as separate systems.</w:t>
      </w:r>
    </w:p>
    <w:p>
      <w:pPr>
        <w:pStyle w:val="FirstParagraph"/>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Milestone</w:t>
            </w:r>
          </w:p>
        </w:tc>
      </w:tr>
      <w:tr>
        <w:tc>
          <w:tcPr/>
          <w:p>
            <w:pPr>
              <w:pStyle w:val="Compact"/>
              <w:jc w:val="left"/>
            </w:pPr>
            <w:r>
              <w:t xml:space="preserve">Planning</w:t>
            </w:r>
          </w:p>
        </w:tc>
        <w:tc>
          <w:tcPr/>
          <w:p>
            <w:pPr>
              <w:pStyle w:val="Compact"/>
              <w:jc w:val="left"/>
            </w:pPr>
            <w:r>
              <w:t xml:space="preserve">Yr1–2 (2028–29)</w:t>
            </w:r>
          </w:p>
        </w:tc>
        <w:tc>
          <w:tcPr/>
          <w:p>
            <w:pPr>
              <w:pStyle w:val="Compact"/>
              <w:jc w:val="left"/>
            </w:pPr>
            <w:r>
              <w:t xml:space="preserve">Senate drafts journal charter, editorial policy, isnād-verification workflow.</w:t>
            </w:r>
          </w:p>
        </w:tc>
      </w:tr>
      <w:tr>
        <w:tc>
          <w:tcPr/>
          <w:p>
            <w:pPr>
              <w:pStyle w:val="Compact"/>
              <w:jc w:val="left"/>
            </w:pPr>
            <w:r>
              <w:t xml:space="preserve">Cluster 1 Launch</w:t>
            </w:r>
          </w:p>
        </w:tc>
        <w:tc>
          <w:tcPr/>
          <w:p>
            <w:pPr>
              <w:pStyle w:val="Compact"/>
              <w:jc w:val="left"/>
            </w:pPr>
            <w:r>
              <w:t xml:space="preserve">Yr3 (2030, aligned with ISO 21001)</w:t>
            </w:r>
          </w:p>
        </w:tc>
        <w:tc>
          <w:tcPr/>
          <w:p>
            <w:pPr>
              <w:pStyle w:val="Compact"/>
              <w:jc w:val="left"/>
            </w:pPr>
            <w:r>
              <w:rPr>
                <w:iCs/>
                <w:i/>
              </w:rPr>
              <w:t xml:space="preserve">Journal of Qur’ānic, Ḥadīth &amp; Theological Studies</w:t>
            </w:r>
            <w:r>
              <w:t xml:space="preserve"> </w:t>
            </w:r>
            <w:r>
              <w:t xml:space="preserve">(Colleges 1 &amp; 3) launches on OJS hosted via LMS &amp; Tech.</w:t>
            </w:r>
          </w:p>
        </w:tc>
      </w:tr>
      <w:tr>
        <w:tc>
          <w:tcPr/>
          <w:p>
            <w:pPr>
              <w:pStyle w:val="Compact"/>
              <w:jc w:val="left"/>
            </w:pPr>
            <w:r>
              <w:t xml:space="preserve">Cluster 2 &amp; 3 Launch</w:t>
            </w:r>
          </w:p>
        </w:tc>
        <w:tc>
          <w:tcPr/>
          <w:p>
            <w:pPr>
              <w:pStyle w:val="Compact"/>
              <w:jc w:val="left"/>
            </w:pPr>
            <w:r>
              <w:t xml:space="preserve">Yr4–5 (2031–32)</w:t>
            </w:r>
          </w:p>
        </w:tc>
        <w:tc>
          <w:tcPr/>
          <w:p>
            <w:pPr>
              <w:pStyle w:val="Compact"/>
              <w:jc w:val="left"/>
            </w:pPr>
            <w:r>
              <w:rPr>
                <w:iCs/>
                <w:i/>
              </w:rPr>
              <w:t xml:space="preserve">Journal of Sharī’ah, Law, Finance &amp; Waqf</w:t>
            </w:r>
            <w:r>
              <w:t xml:space="preserve"> </w:t>
            </w:r>
            <w:r>
              <w:t xml:space="preserve">(Colleges 2 &amp; 6) and</w:t>
            </w:r>
            <w:r>
              <w:t xml:space="preserve"> </w:t>
            </w:r>
            <w:r>
              <w:rPr>
                <w:iCs/>
                <w:i/>
              </w:rPr>
              <w:t xml:space="preserve">Journal of Arabic Studies &amp; Da’wah</w:t>
            </w:r>
            <w:r>
              <w:t xml:space="preserve"> </w:t>
            </w:r>
            <w:r>
              <w:t xml:space="preserve">(Colleges 4 &amp; 5) launch.</w:t>
            </w:r>
          </w:p>
        </w:tc>
      </w:tr>
      <w:tr>
        <w:tc>
          <w:tcPr/>
          <w:p>
            <w:pPr>
              <w:pStyle w:val="Compact"/>
              <w:jc w:val="left"/>
            </w:pPr>
            <w:r>
              <w:t xml:space="preserve">Scaling</w:t>
            </w:r>
          </w:p>
        </w:tc>
        <w:tc>
          <w:tcPr/>
          <w:p>
            <w:pPr>
              <w:pStyle w:val="Compact"/>
              <w:jc w:val="left"/>
            </w:pPr>
            <w:r>
              <w:t xml:space="preserve">Yr6–10 (2033–37)</w:t>
            </w:r>
          </w:p>
        </w:tc>
        <w:tc>
          <w:tcPr/>
          <w:p>
            <w:pPr>
              <w:pStyle w:val="Compact"/>
              <w:jc w:val="left"/>
            </w:pPr>
            <w:r>
              <w:t xml:space="preserve">Post-Doc Fellowship output integrated; DOAJ indexing pursued.</w:t>
            </w:r>
          </w:p>
        </w:tc>
      </w:tr>
      <w:tr>
        <w:tc>
          <w:tcPr/>
          <w:p>
            <w:pPr>
              <w:pStyle w:val="Compact"/>
              <w:jc w:val="left"/>
            </w:pPr>
            <w:r>
              <w:t xml:space="preserve">Secular Extension</w:t>
            </w:r>
          </w:p>
        </w:tc>
        <w:tc>
          <w:tcPr/>
          <w:p>
            <w:pPr>
              <w:pStyle w:val="Compact"/>
              <w:jc w:val="left"/>
            </w:pPr>
            <w:r>
              <w:t xml:space="preserve">Yr11+ (2038+)</w:t>
            </w:r>
          </w:p>
        </w:tc>
        <w:tc>
          <w:tcPr/>
          <w:p>
            <w:pPr>
              <w:pStyle w:val="Compact"/>
              <w:jc w:val="left"/>
            </w:pPr>
            <w:r>
              <w:t xml:space="preserve">Additional journals for post-accreditation secular schools; Scopus/Web of Science indexing pursued once accreditation track record exists.</w:t>
            </w:r>
          </w:p>
        </w:tc>
      </w:tr>
    </w:tbl>
    <w:p>
      <w:pPr>
        <w:pStyle w:val="BodyText"/>
      </w:pPr>
      <w:r>
        <w:rPr>
          <w:bCs/>
          <w:b/>
        </w:rPr>
        <w:t xml:space="preserve">Staffing Requirements</w:t>
      </w:r>
      <w:r>
        <w:t xml:space="preserve">: Yr1–3 volunteer Senate-appointed faculty editors (time already covered by Honoraria/teaching load). Yr6+: managing-editor duties folded into the same 0.5-FTE coordinator role funded from Admin 18% of Payroll (shared with Research Coordinator function — no duplicate hire).</w:t>
      </w:r>
    </w:p>
    <w:p>
      <w:pPr>
        <w:pStyle w:val="BodyText"/>
      </w:pPr>
      <w:r>
        <w:rPr>
          <w:bCs/>
          <w:b/>
        </w:rPr>
        <w:t xml:space="preserve">Annual Budget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Funding Source</w:t>
            </w:r>
          </w:p>
        </w:tc>
        <w:tc>
          <w:tcPr/>
          <w:p>
            <w:pPr>
              <w:pStyle w:val="Compact"/>
              <w:jc w:val="left"/>
            </w:pPr>
            <w:r>
              <w:t xml:space="preserve">Est. Cost</w:t>
            </w:r>
          </w:p>
        </w:tc>
      </w:tr>
      <w:tr>
        <w:tc>
          <w:tcPr/>
          <w:p>
            <w:pPr>
              <w:pStyle w:val="Compact"/>
              <w:jc w:val="left"/>
            </w:pPr>
            <w:r>
              <w:t xml:space="preserve">OJS hosting, digital infrastructure</w:t>
            </w:r>
          </w:p>
        </w:tc>
        <w:tc>
          <w:tcPr/>
          <w:p>
            <w:pPr>
              <w:pStyle w:val="Compact"/>
              <w:jc w:val="left"/>
            </w:pPr>
            <w:r>
              <w:t xml:space="preserve">LMS &amp; Tech (5%)</w:t>
            </w:r>
          </w:p>
        </w:tc>
        <w:tc>
          <w:tcPr/>
          <w:p>
            <w:pPr>
              <w:pStyle w:val="Compact"/>
              <w:jc w:val="left"/>
            </w:pPr>
            <w:r>
              <w:t xml:space="preserve">Marginal — shared with LMS</w:t>
            </w:r>
          </w:p>
        </w:tc>
      </w:tr>
      <w:tr>
        <w:tc>
          <w:tcPr/>
          <w:p>
            <w:pPr>
              <w:pStyle w:val="Compact"/>
              <w:jc w:val="left"/>
            </w:pPr>
            <w:r>
              <w:t xml:space="preserve">DOI registration (Crossref)</w:t>
            </w:r>
          </w:p>
        </w:tc>
        <w:tc>
          <w:tcPr/>
          <w:p>
            <w:pPr>
              <w:pStyle w:val="Compact"/>
              <w:jc w:val="left"/>
            </w:pPr>
            <w:r>
              <w:t xml:space="preserve">OpEx (5%)</w:t>
            </w:r>
          </w:p>
        </w:tc>
        <w:tc>
          <w:tcPr/>
          <w:p>
            <w:pPr>
              <w:pStyle w:val="Compact"/>
              <w:jc w:val="left"/>
            </w:pPr>
            <w:r>
              <w:t xml:space="preserve">~$1–2/article</w:t>
            </w:r>
          </w:p>
        </w:tc>
      </w:tr>
      <w:tr>
        <w:tc>
          <w:tcPr/>
          <w:p>
            <w:pPr>
              <w:pStyle w:val="Compact"/>
              <w:jc w:val="left"/>
            </w:pPr>
            <w:r>
              <w:t xml:space="preserve">Editorial stipends</w:t>
            </w:r>
          </w:p>
        </w:tc>
        <w:tc>
          <w:tcPr/>
          <w:p>
            <w:pPr>
              <w:pStyle w:val="Compact"/>
              <w:jc w:val="left"/>
            </w:pPr>
            <w:r>
              <w:t xml:space="preserve">Faculty Honoraria (40% of Payroll)</w:t>
            </w:r>
          </w:p>
        </w:tc>
        <w:tc>
          <w:tcPr/>
          <w:p>
            <w:pPr>
              <w:pStyle w:val="Compact"/>
              <w:jc w:val="left"/>
            </w:pPr>
            <w:r>
              <w:t xml:space="preserve">Already budgeted</w:t>
            </w:r>
          </w:p>
        </w:tc>
      </w:tr>
      <w:tr>
        <w:tc>
          <w:tcPr/>
          <w:p>
            <w:pPr>
              <w:pStyle w:val="Compact"/>
              <w:jc w:val="left"/>
            </w:pPr>
            <w:r>
              <w:t xml:space="preserve">Student/faculty publication incentive stipends</w:t>
            </w:r>
          </w:p>
        </w:tc>
        <w:tc>
          <w:tcPr/>
          <w:p>
            <w:pPr>
              <w:pStyle w:val="Compact"/>
              <w:jc w:val="left"/>
            </w:pPr>
            <w:r>
              <w:t xml:space="preserve">Waqf Scholarship Block (20% of Waqf 20%)</w:t>
            </w:r>
          </w:p>
        </w:tc>
        <w:tc>
          <w:tcPr/>
          <w:p>
            <w:pPr>
              <w:pStyle w:val="Compact"/>
              <w:jc w:val="left"/>
            </w:pPr>
            <w:r>
              <w:t xml:space="preserve">Tied to Merit Scholarship criteria</w:t>
            </w:r>
          </w:p>
        </w:tc>
      </w:tr>
    </w:tbl>
    <w:p>
      <w:pPr>
        <w:pStyle w:val="BodyText"/>
      </w:pPr>
      <w:r>
        <w:rPr>
          <w:bCs/>
          <w:b/>
        </w:rPr>
        <w:t xml:space="preserve">KPIs</w:t>
      </w:r>
      <w:r>
        <w:t xml:space="preserve">: articles published per journal per year; isnād-certification pass rate; time from submission to decision; DOAJ listing achieved by target year; incentive-stipend uptake among Ph.D./Post-Doc students.</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Predatory/low-credibility journal perception</w:t>
            </w:r>
          </w:p>
        </w:tc>
        <w:tc>
          <w:tcPr/>
          <w:p>
            <w:pPr>
              <w:pStyle w:val="Compact"/>
              <w:jc w:val="left"/>
            </w:pPr>
            <w:r>
              <w:t xml:space="preserve">Senate-set editorial standards + mandatory Sharī’ah Advisory Board isnād certification for religious-content articles</w:t>
            </w:r>
          </w:p>
        </w:tc>
      </w:tr>
      <w:tr>
        <w:tc>
          <w:tcPr/>
          <w:p>
            <w:pPr>
              <w:pStyle w:val="Compact"/>
              <w:jc w:val="left"/>
            </w:pPr>
            <w:r>
              <w:t xml:space="preserve">Low early submission volume</w:t>
            </w:r>
          </w:p>
        </w:tc>
        <w:tc>
          <w:tcPr/>
          <w:p>
            <w:pPr>
              <w:pStyle w:val="Compact"/>
              <w:jc w:val="left"/>
            </w:pPr>
            <w:r>
              <w:t xml:space="preserve">Publication requirement embedded in Ph.D./Post-Doc candidacy expectations</w:t>
            </w:r>
          </w:p>
        </w:tc>
      </w:tr>
      <w:tr>
        <w:tc>
          <w:tcPr/>
          <w:p>
            <w:pPr>
              <w:pStyle w:val="Compact"/>
              <w:jc w:val="left"/>
            </w:pPr>
            <w:r>
              <w:t xml:space="preserve">Waqf incentive spend exceeding fiduciary limits</w:t>
            </w:r>
          </w:p>
        </w:tc>
        <w:tc>
          <w:tcPr/>
          <w:p>
            <w:pPr>
              <w:pStyle w:val="Compact"/>
              <w:jc w:val="left"/>
            </w:pPr>
            <w:r>
              <w:t xml:space="preserve">Waqf &amp; Endowment Board review; deployment above $250,000/yr requires 2/3 Senate vote incl. ≥2 independent seats</w:t>
            </w:r>
          </w:p>
        </w:tc>
      </w:tr>
    </w:tbl>
    <w:p>
      <w:pPr>
        <w:pStyle w:val="BodyText"/>
      </w:pPr>
      <w:r>
        <w:rPr>
          <w:bCs/>
          <w:b/>
        </w:rPr>
        <w:t xml:space="preserve">Timeline</w:t>
      </w:r>
      <w:r>
        <w:t xml:space="preserve">: Yr1–2 policy → Yr3 first journal → Yr5 all three clusters live → Yr6–10 Post-Doc integration and DOAJ push → Yr11+ secular expansion.</w:t>
      </w:r>
    </w:p>
    <w:p>
      <w:pPr>
        <w:pStyle w:val="BodyText"/>
      </w:pPr>
      <w:r>
        <w:rPr>
          <w:bCs/>
          <w:b/>
        </w:rPr>
        <w:t xml:space="preserve">Governance Responsibilities</w:t>
      </w:r>
      <w:r>
        <w:t xml:space="preserve"> </w:t>
      </w:r>
      <w:r>
        <w:t xml:space="preserve">— Senate: owns editorial policy, journal charters, and formal publishing series approval (academic authority). Sharī’ah Advisory Board: certifies isnād/authenticity of every religious-discipline publication. Board of Trustees: approves any budget beyond existing lines. Waqf &amp; Endowment Board: fiduciary oversight of Scholarship Block-funded incentive stipends.</w:t>
      </w:r>
    </w:p>
    <w:p>
      <w:pPr>
        <w:pStyle w:val="BodyText"/>
      </w:pPr>
      <w:r>
        <w:rPr>
          <w:bCs/>
          <w:b/>
        </w:rPr>
        <w:t xml:space="preserve">Measurable Success Indicators</w:t>
      </w:r>
      <w:r>
        <w:t xml:space="preserve">: three functioning peer-reviewed e-journals by Year 5; first DOAJ listing by Year 8; publication-linked Merit Scholarship incentives active and self-funded within Waqf sub-lines with zero deficit impact.</w:t>
      </w:r>
    </w:p>
    <w:bookmarkEnd w:id="42"/>
    <w:bookmarkStart w:id="43" w:name="section-18-global-partnerships-strategy"/>
    <w:p>
      <w:pPr>
        <w:pStyle w:val="Heading2"/>
      </w:pPr>
      <w:r>
        <w:t xml:space="preserve">Section 18: Global Partnerships Strategy</w:t>
      </w:r>
    </w:p>
    <w:p>
      <w:pPr>
        <w:pStyle w:val="FirstParagraph"/>
      </w:pPr>
      <w:r>
        <w:rPr>
          <w:bCs/>
          <w:b/>
        </w:rPr>
        <w:t xml:space="preserve">Rationale</w:t>
      </w:r>
    </w:p>
    <w:p>
      <w:pPr>
        <w:pStyle w:val="BodyText"/>
      </w:pPr>
      <w:r>
        <w:t xml:space="preserve">AMIU’s scholarship pipeline, international expansion (Gambia, Nigeria, Gulf), and diaspora fundraising all depend on structured external relationships rather than ad hoc contact. This section sequences MOUs, articulation agreements, and donor channels to feed the Community &amp; Institutional Scholarship nomination pipeline and to support — without altering — the Gambia/Nigeria/Gulf timeline already fixed in the Master Plan.</w:t>
      </w:r>
    </w:p>
    <w:p>
      <w:pPr>
        <w:pStyle w:val="BodyText"/>
      </w:pPr>
      <w:r>
        <w:rPr>
          <w:bCs/>
          <w:b/>
        </w:rPr>
        <w:t xml:space="preserve">Global Best Practices</w:t>
      </w:r>
    </w:p>
    <w:p>
      <w:pPr>
        <w:numPr>
          <w:ilvl w:val="0"/>
          <w:numId w:val="1012"/>
        </w:numPr>
        <w:pStyle w:val="Compact"/>
      </w:pPr>
      <w:r>
        <w:t xml:space="preserve">Faith-based university networks build feeder relationships with mosques/schools years before formal accreditation, converting community trust into enrollment pipelines.</w:t>
      </w:r>
    </w:p>
    <w:p>
      <w:pPr>
        <w:numPr>
          <w:ilvl w:val="0"/>
          <w:numId w:val="1012"/>
        </w:numPr>
        <w:pStyle w:val="Compact"/>
      </w:pPr>
      <w:r>
        <w:t xml:space="preserve">Sadaqah Jāriyah (</w:t>
      </w:r>
      <w:r>
        <w:t xml:space="preserve">“</w:t>
      </w:r>
      <w:r>
        <w:t xml:space="preserve">ongoing charity</w:t>
      </w:r>
      <w:r>
        <w:t xml:space="preserve">”</w:t>
      </w:r>
      <w:r>
        <w:t xml:space="preserve">) framing is a proven Islamic-finance vehicle for sustained, low-friction diaspora donor relationships distinct from one-time gifts.</w:t>
      </w:r>
    </w:p>
    <w:p>
      <w:pPr>
        <w:numPr>
          <w:ilvl w:val="0"/>
          <w:numId w:val="1012"/>
        </w:numPr>
        <w:pStyle w:val="Compact"/>
      </w:pPr>
      <w:r>
        <w:t xml:space="preserve">Articulation agreements are typically signed only after a partner institution’s first graduating cohort demonstrates credential integrity — AMIU should not pre-commit before Ph.D. output exists.</w:t>
      </w:r>
    </w:p>
    <w:p>
      <w:pPr>
        <w:pStyle w:val="FirstParagraph"/>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Activity</w:t>
            </w:r>
          </w:p>
        </w:tc>
      </w:tr>
      <w:tr>
        <w:tc>
          <w:tcPr/>
          <w:p>
            <w:pPr>
              <w:pStyle w:val="Compact"/>
              <w:jc w:val="left"/>
            </w:pPr>
            <w:r>
              <w:t xml:space="preserve">1 – Local Roots</w:t>
            </w:r>
          </w:p>
        </w:tc>
        <w:tc>
          <w:tcPr/>
          <w:p>
            <w:pPr>
              <w:pStyle w:val="Compact"/>
              <w:jc w:val="left"/>
            </w:pPr>
            <w:r>
              <w:t xml:space="preserve">Yr1–2 (2028–29)</w:t>
            </w:r>
          </w:p>
        </w:tc>
        <w:tc>
          <w:tcPr/>
          <w:p>
            <w:pPr>
              <w:pStyle w:val="Compact"/>
              <w:jc w:val="left"/>
            </w:pPr>
            <w:r>
              <w:t xml:space="preserve">MOUs with US mosques/Islamic schools feeding the Community &amp; Institutional Scholarship nomination pipeline; diaspora outreach via Da’wah allocation.</w:t>
            </w:r>
          </w:p>
        </w:tc>
      </w:tr>
      <w:tr>
        <w:tc>
          <w:tcPr/>
          <w:p>
            <w:pPr>
              <w:pStyle w:val="Compact"/>
              <w:jc w:val="left"/>
            </w:pPr>
            <w:r>
              <w:t xml:space="preserve">2 – Gambia Support</w:t>
            </w:r>
          </w:p>
        </w:tc>
        <w:tc>
          <w:tcPr/>
          <w:p>
            <w:pPr>
              <w:pStyle w:val="Compact"/>
              <w:jc w:val="left"/>
            </w:pPr>
            <w:r>
              <w:t xml:space="preserve">Yr2–4 (2029–31)</w:t>
            </w:r>
          </w:p>
        </w:tc>
        <w:tc>
          <w:tcPr/>
          <w:p>
            <w:pPr>
              <w:pStyle w:val="Compact"/>
              <w:jc w:val="left"/>
            </w:pPr>
            <w:r>
              <w:t xml:space="preserve">Local mosque/school MOUs in The Gambia supporting NAQAA-track students; legal counsel drawn from the $50,000 Stage 3 ceiling ($5,000 sub-line).</w:t>
            </w:r>
          </w:p>
        </w:tc>
      </w:tr>
      <w:tr>
        <w:tc>
          <w:tcPr/>
          <w:p>
            <w:pPr>
              <w:pStyle w:val="Compact"/>
              <w:jc w:val="left"/>
            </w:pPr>
            <w:r>
              <w:t xml:space="preserve">3 – Academic Peer Network</w:t>
            </w:r>
          </w:p>
        </w:tc>
        <w:tc>
          <w:tcPr/>
          <w:p>
            <w:pPr>
              <w:pStyle w:val="Compact"/>
              <w:jc w:val="left"/>
            </w:pPr>
            <w:r>
              <w:t xml:space="preserve">Yr5–9 (2032–36)</w:t>
            </w:r>
          </w:p>
        </w:tc>
        <w:tc>
          <w:tcPr/>
          <w:p>
            <w:pPr>
              <w:pStyle w:val="Compact"/>
              <w:jc w:val="left"/>
            </w:pPr>
            <w:r>
              <w:t xml:space="preserve">Articulation/credit-transfer agreements with peer Islamic universities once Ph.D. tier has graduates; diaspora scholar mentorship network formalized.</w:t>
            </w:r>
          </w:p>
        </w:tc>
      </w:tr>
      <w:tr>
        <w:tc>
          <w:tcPr/>
          <w:p>
            <w:pPr>
              <w:pStyle w:val="Compact"/>
              <w:jc w:val="left"/>
            </w:pPr>
            <w:r>
              <w:t xml:space="preserve">4 – Sovereign Expansion Support</w:t>
            </w:r>
          </w:p>
        </w:tc>
        <w:tc>
          <w:tcPr/>
          <w:p>
            <w:pPr>
              <w:pStyle w:val="Compact"/>
              <w:jc w:val="left"/>
            </w:pPr>
            <w:r>
              <w:t xml:space="preserve">Yr10–13 (2037–40)</w:t>
            </w:r>
          </w:p>
        </w:tc>
        <w:tc>
          <w:tcPr/>
          <w:p>
            <w:pPr>
              <w:pStyle w:val="Compact"/>
              <w:jc w:val="left"/>
            </w:pPr>
            <w:r>
              <w:t xml:space="preserve">Relationship-building ahead of Nigeria NUC charter presentation (Yr10) and first Gulf ministry recognition agreements (Yr13 target).</w:t>
            </w:r>
          </w:p>
        </w:tc>
      </w:tr>
      <w:tr>
        <w:tc>
          <w:tcPr/>
          <w:p>
            <w:pPr>
              <w:pStyle w:val="Compact"/>
              <w:jc w:val="left"/>
            </w:pPr>
            <w:r>
              <w:t xml:space="preserve">5 – Secular Widening</w:t>
            </w:r>
          </w:p>
        </w:tc>
        <w:tc>
          <w:tcPr/>
          <w:p>
            <w:pPr>
              <w:pStyle w:val="Compact"/>
              <w:jc w:val="left"/>
            </w:pPr>
            <w:r>
              <w:t xml:space="preserve">Yr11–20 (2038–47)</w:t>
            </w:r>
          </w:p>
        </w:tc>
        <w:tc>
          <w:tcPr/>
          <w:p>
            <w:pPr>
              <w:pStyle w:val="Compact"/>
              <w:jc w:val="left"/>
            </w:pPr>
            <w:r>
              <w:t xml:space="preserve">Post-US-accreditation articulation with secular institutions.</w:t>
            </w:r>
          </w:p>
        </w:tc>
      </w:tr>
    </w:tbl>
    <w:p>
      <w:pPr>
        <w:pStyle w:val="BodyText"/>
      </w:pPr>
      <w:r>
        <w:rPr>
          <w:bCs/>
          <w:b/>
        </w:rPr>
        <w:t xml:space="preserve">Staffing Requirements</w:t>
      </w:r>
      <w:r>
        <w:t xml:space="preserve">: Yr1–2 handled by Founders (within Founders 24% of Payroll) — no new hire. Yr5+: part-time External Relations/Partnerships Coordinator from Admin 18% sub-line. Gambia-specific liaison funded strictly within the $50,000 board-approved Gambia ceiling, not from general Payroll.</w:t>
      </w:r>
    </w:p>
    <w:p>
      <w:pPr>
        <w:pStyle w:val="BodyText"/>
      </w:pPr>
      <w:r>
        <w:rPr>
          <w:bCs/>
          <w:b/>
        </w:rPr>
        <w:t xml:space="preserve">Annual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Funding Source</w:t>
            </w:r>
          </w:p>
        </w:tc>
      </w:tr>
      <w:tr>
        <w:tc>
          <w:tcPr/>
          <w:p>
            <w:pPr>
              <w:pStyle w:val="Compact"/>
              <w:jc w:val="left"/>
            </w:pPr>
            <w:r>
              <w:t xml:space="preserve">Partnership outreach materials, travel</w:t>
            </w:r>
          </w:p>
        </w:tc>
        <w:tc>
          <w:tcPr/>
          <w:p>
            <w:pPr>
              <w:pStyle w:val="Compact"/>
              <w:jc w:val="left"/>
            </w:pPr>
            <w:r>
              <w:t xml:space="preserve">Marketing (10%)</w:t>
            </w:r>
          </w:p>
        </w:tc>
      </w:tr>
      <w:tr>
        <w:tc>
          <w:tcPr/>
          <w:p>
            <w:pPr>
              <w:pStyle w:val="Compact"/>
              <w:jc w:val="left"/>
            </w:pPr>
            <w:r>
              <w:t xml:space="preserve">Mosque/school engagement events</w:t>
            </w:r>
          </w:p>
        </w:tc>
        <w:tc>
          <w:tcPr/>
          <w:p>
            <w:pPr>
              <w:pStyle w:val="Compact"/>
              <w:jc w:val="left"/>
            </w:pPr>
            <w:r>
              <w:t xml:space="preserve">Da’wah &amp; Community Outreach (5%)</w:t>
            </w:r>
          </w:p>
        </w:tc>
      </w:tr>
      <w:tr>
        <w:tc>
          <w:tcPr/>
          <w:p>
            <w:pPr>
              <w:pStyle w:val="Compact"/>
              <w:jc w:val="left"/>
            </w:pPr>
            <w:r>
              <w:t xml:space="preserve">Direct partner mosque/school support</w:t>
            </w:r>
          </w:p>
        </w:tc>
        <w:tc>
          <w:tcPr/>
          <w:p>
            <w:pPr>
              <w:pStyle w:val="Compact"/>
              <w:jc w:val="left"/>
            </w:pPr>
            <w:r>
              <w:t xml:space="preserve">Waqf sub-line: Islamic Schools/Mosque Support (25% of Waqf 20%)</w:t>
            </w:r>
          </w:p>
        </w:tc>
      </w:tr>
      <w:tr>
        <w:tc>
          <w:tcPr/>
          <w:p>
            <w:pPr>
              <w:pStyle w:val="Compact"/>
              <w:jc w:val="left"/>
            </w:pPr>
            <w:r>
              <w:t xml:space="preserve">Sadaqah Jāriyah donor channel administration</w:t>
            </w:r>
          </w:p>
        </w:tc>
        <w:tc>
          <w:tcPr/>
          <w:p>
            <w:pPr>
              <w:pStyle w:val="Compact"/>
              <w:jc w:val="left"/>
            </w:pPr>
            <w:r>
              <w:t xml:space="preserve">Waqf &amp; Endowment Board fiduciary oversight; &gt;$250,000/yr requires 2/3 Senate vote incl. ≥2 independent seats</w:t>
            </w:r>
          </w:p>
        </w:tc>
      </w:tr>
      <w:tr>
        <w:tc>
          <w:tcPr/>
          <w:p>
            <w:pPr>
              <w:pStyle w:val="Compact"/>
              <w:jc w:val="left"/>
            </w:pPr>
            <w:r>
              <w:t xml:space="preserve">Gambia legal/local MOU support</w:t>
            </w:r>
          </w:p>
        </w:tc>
        <w:tc>
          <w:tcPr/>
          <w:p>
            <w:pPr>
              <w:pStyle w:val="Compact"/>
              <w:jc w:val="left"/>
            </w:pPr>
            <w:r>
              <w:t xml:space="preserve">Gambia Stage 3 ceiling ($5,000 of $50,000)</w:t>
            </w:r>
          </w:p>
        </w:tc>
      </w:tr>
    </w:tbl>
    <w:p>
      <w:pPr>
        <w:pStyle w:val="BodyText"/>
      </w:pPr>
      <w:r>
        <w:rPr>
          <w:bCs/>
          <w:b/>
        </w:rPr>
        <w:t xml:space="preserve">KPIs</w:t>
      </w:r>
      <w:r>
        <w:t xml:space="preserve">: active MOU count; scholarship nominations sourced via partner pipeline; articulation agreements signed; diaspora donor retention rate; Sadaqah Jāriyah channel growth.</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Partner MOU non-performance</w:t>
            </w:r>
          </w:p>
        </w:tc>
        <w:tc>
          <w:tcPr/>
          <w:p>
            <w:pPr>
              <w:pStyle w:val="Compact"/>
              <w:jc w:val="left"/>
            </w:pPr>
            <w:r>
              <w:t xml:space="preserve">Annual renewal review, sunset clauses</w:t>
            </w:r>
          </w:p>
        </w:tc>
      </w:tr>
      <w:tr>
        <w:tc>
          <w:tcPr/>
          <w:p>
            <w:pPr>
              <w:pStyle w:val="Compact"/>
              <w:jc w:val="left"/>
            </w:pPr>
            <w:r>
              <w:t xml:space="preserve">Nigeria NUC / Gulf recognition delay</w:t>
            </w:r>
          </w:p>
        </w:tc>
        <w:tc>
          <w:tcPr/>
          <w:p>
            <w:pPr>
              <w:pStyle w:val="Compact"/>
              <w:jc w:val="left"/>
            </w:pPr>
            <w:r>
              <w:t xml:space="preserve">Already framed in risk register as funding target, not guarantee — partnerships continue regardless of sovereign timeline</w:t>
            </w:r>
          </w:p>
        </w:tc>
      </w:tr>
      <w:tr>
        <w:tc>
          <w:tcPr/>
          <w:p>
            <w:pPr>
              <w:pStyle w:val="Compact"/>
              <w:jc w:val="left"/>
            </w:pPr>
            <w:r>
              <w:t xml:space="preserve">Reputational exposure from unvetted religious partners</w:t>
            </w:r>
          </w:p>
        </w:tc>
        <w:tc>
          <w:tcPr/>
          <w:p>
            <w:pPr>
              <w:pStyle w:val="Compact"/>
              <w:jc w:val="left"/>
            </w:pPr>
            <w:r>
              <w:t xml:space="preserve">Sharī’ah Advisory Board vets religious legitimacy of partner institutions</w:t>
            </w:r>
          </w:p>
        </w:tc>
      </w:tr>
    </w:tbl>
    <w:p>
      <w:pPr>
        <w:pStyle w:val="BodyText"/>
      </w:pPr>
      <w:r>
        <w:rPr>
          <w:bCs/>
          <w:b/>
        </w:rPr>
        <w:t xml:space="preserve">Timeline</w:t>
      </w:r>
      <w:r>
        <w:t xml:space="preserve">: Yr1–2 local MOUs → Yr2–4 Gambia network → Yr5–9 academic peer agreements → Yr10 Nigeria engagement intensifies → Yr13 Gulf recognition target.</w:t>
      </w:r>
    </w:p>
    <w:p>
      <w:pPr>
        <w:pStyle w:val="BodyText"/>
      </w:pPr>
      <w:r>
        <w:rPr>
          <w:bCs/>
          <w:b/>
        </w:rPr>
        <w:t xml:space="preserve">Governance Responsibilities</w:t>
      </w:r>
      <w:r>
        <w:t xml:space="preserve"> </w:t>
      </w:r>
      <w:r>
        <w:t xml:space="preserve">— Board of Trustees: approves major partnership and financial commitments (strategy/finance authority). Senate: approves academic content of articulation/credit-transfer agreements. Waqf &amp; Endowment Board: fiduciary oversight of Sadaqah Jāriyah and Waqf-funded partnership sub-lines. Sharī’ah Advisory Board: certifies religious legitimacy of partner institutions.</w:t>
      </w:r>
    </w:p>
    <w:p>
      <w:pPr>
        <w:pStyle w:val="BodyText"/>
      </w:pPr>
      <w:r>
        <w:rPr>
          <w:bCs/>
          <w:b/>
        </w:rPr>
        <w:t xml:space="preserve">Measurable Success Indicators</w:t>
      </w:r>
      <w:r>
        <w:t xml:space="preserve">: 10+ active mosque/school MOUs by Year 3; first articulation agreement with a peer Islamic university by Year 8; documented diaspora Sadaqah Jāriyah channel operating within Waqf Board fiduciary limits with zero deficit impact.</w:t>
      </w:r>
    </w:p>
    <w:bookmarkEnd w:id="43"/>
    <w:bookmarkStart w:id="44" w:name="section-19-accreditation-roadmap"/>
    <w:p>
      <w:pPr>
        <w:pStyle w:val="Heading2"/>
      </w:pPr>
      <w:r>
        <w:t xml:space="preserve">Section 19: Accreditation Roadmap</w:t>
      </w:r>
    </w:p>
    <w:p>
      <w:pPr>
        <w:pStyle w:val="FirstParagraph"/>
      </w:pPr>
      <w:r>
        <w:rPr>
          <w:bCs/>
          <w:b/>
        </w:rPr>
        <w:t xml:space="preserve">Rationale</w:t>
      </w:r>
    </w:p>
    <w:p>
      <w:pPr>
        <w:pStyle w:val="BodyText"/>
      </w:pPr>
      <w:r>
        <w:t xml:space="preserve">AMIU’s accreditation sequence is deliberately staged, not accelerated: religious-exemption validity from incorporation is never contingent on external accreditation. The order — CPD, ISO 21001, Gambia NAQAA, Nigeria NUC, secular US accreditation, Gulf ministry recognition — exists because (1) ten years of audited zero-deficit operation must precede secular accreditation pursuit; (2) the Texas religious exemption is legally scoped to religious/theological instruction, so premature secular accreditation creates legal ambiguity; (3) Gulf ministry recognition is realistically accessible only to institutions with an established accreditation track record.</w:t>
      </w:r>
    </w:p>
    <w:p>
      <w:pPr>
        <w:pStyle w:val="BodyText"/>
      </w:pPr>
      <w:r>
        <w:rPr>
          <w:bCs/>
          <w:b/>
        </w:rPr>
        <w:t xml:space="preserve">Global Best Practices</w:t>
      </w:r>
      <w:r>
        <w:t xml:space="preserve">: faith-based institutions worldwide typically sequence a management-systems certification (quality credibility) before subject-specific or national accreditation; branch campuses pursue host-country accreditation independently of the parent; sovereign charter processes (legislative/ministerial) are treated as external dependencies, never guaranteed timelines.</w:t>
      </w:r>
    </w:p>
    <w:p>
      <w:pPr>
        <w:pStyle w:val="BodyText"/>
      </w:pPr>
      <w:r>
        <w:rPr>
          <w:bCs/>
          <w:b/>
        </w:rPr>
        <w:t xml:space="preserve">Full Accreditation Timeline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Cost</w:t>
            </w:r>
          </w:p>
        </w:tc>
        <w:tc>
          <w:tcPr/>
          <w:p>
            <w:pPr>
              <w:pStyle w:val="Compact"/>
              <w:jc w:val="left"/>
            </w:pPr>
            <w:r>
              <w:t xml:space="preserve">Funding Source</w:t>
            </w:r>
          </w:p>
        </w:tc>
        <w:tc>
          <w:tcPr/>
          <w:p>
            <w:pPr>
              <w:pStyle w:val="Compact"/>
              <w:jc w:val="left"/>
            </w:pPr>
            <w:r>
              <w:t xml:space="preserve">Independence</w:t>
            </w:r>
          </w:p>
        </w:tc>
      </w:tr>
      <w:tr>
        <w:tc>
          <w:tcPr/>
          <w:p>
            <w:pPr>
              <w:pStyle w:val="Compact"/>
              <w:jc w:val="left"/>
            </w:pPr>
            <w:r>
              <w:t xml:space="preserve">Yr2 (2029)</w:t>
            </w:r>
          </w:p>
        </w:tc>
        <w:tc>
          <w:tcPr/>
          <w:p>
            <w:pPr>
              <w:pStyle w:val="Compact"/>
              <w:jc w:val="left"/>
            </w:pPr>
            <w:r>
              <w:t xml:space="preserve">CPD Accreditation target</w:t>
            </w:r>
          </w:p>
        </w:tc>
        <w:tc>
          <w:tcPr/>
          <w:p>
            <w:pPr>
              <w:pStyle w:val="Compact"/>
              <w:jc w:val="left"/>
            </w:pPr>
            <w:r>
              <w:t xml:space="preserve">$4,000 initial + $1,200/yr</w:t>
            </w:r>
          </w:p>
        </w:tc>
        <w:tc>
          <w:tcPr/>
          <w:p>
            <w:pPr>
              <w:pStyle w:val="Compact"/>
              <w:jc w:val="left"/>
            </w:pPr>
            <w:r>
              <w:t xml:space="preserve">OpEx (5%)</w:t>
            </w:r>
          </w:p>
        </w:tc>
        <w:tc>
          <w:tcPr/>
          <w:p>
            <w:pPr>
              <w:pStyle w:val="Compact"/>
              <w:jc w:val="left"/>
            </w:pPr>
            <w:r>
              <w:t xml:space="preserve">N/A</w:t>
            </w:r>
          </w:p>
        </w:tc>
      </w:tr>
      <w:tr>
        <w:tc>
          <w:tcPr/>
          <w:p>
            <w:pPr>
              <w:pStyle w:val="Compact"/>
              <w:jc w:val="left"/>
            </w:pPr>
            <w:r>
              <w:t xml:space="preserve">Yr2–4 (2029–31)</w:t>
            </w:r>
          </w:p>
        </w:tc>
        <w:tc>
          <w:tcPr/>
          <w:p>
            <w:pPr>
              <w:pStyle w:val="Compact"/>
              <w:jc w:val="left"/>
            </w:pPr>
            <w:r>
              <w:t xml:space="preserve">Gambia NAQAA accreditation (Stage 3)</w:t>
            </w:r>
          </w:p>
        </w:tc>
        <w:tc>
          <w:tcPr/>
          <w:p>
            <w:pPr>
              <w:pStyle w:val="Compact"/>
              <w:jc w:val="left"/>
            </w:pPr>
            <w:r>
              <w:t xml:space="preserve">$50,000 ceiling ($10k trust/endowment capitalization, $30k application/review/site-visits, $5k local legal counsel)</w:t>
            </w:r>
          </w:p>
        </w:tc>
        <w:tc>
          <w:tcPr/>
          <w:p>
            <w:pPr>
              <w:pStyle w:val="Compact"/>
              <w:jc w:val="left"/>
            </w:pPr>
            <w:r>
              <w:t xml:space="preserve">Board-approved Gambia ceiling</w:t>
            </w:r>
          </w:p>
        </w:tc>
        <w:tc>
          <w:tcPr/>
          <w:p>
            <w:pPr>
              <w:pStyle w:val="Compact"/>
              <w:jc w:val="left"/>
            </w:pPr>
            <w:r>
              <w:t xml:space="preserve">Independent of Texas parent</w:t>
            </w:r>
          </w:p>
        </w:tc>
      </w:tr>
      <w:tr>
        <w:tc>
          <w:tcPr/>
          <w:p>
            <w:pPr>
              <w:pStyle w:val="Compact"/>
              <w:jc w:val="left"/>
            </w:pPr>
            <w:r>
              <w:t xml:space="preserve">Yr3 (2030)</w:t>
            </w:r>
          </w:p>
        </w:tc>
        <w:tc>
          <w:tcPr/>
          <w:p>
            <w:pPr>
              <w:pStyle w:val="Compact"/>
              <w:jc w:val="left"/>
            </w:pPr>
            <w:r>
              <w:t xml:space="preserve">ISO 21001 (EOMS) target</w:t>
            </w:r>
          </w:p>
        </w:tc>
        <w:tc>
          <w:tcPr/>
          <w:p>
            <w:pPr>
              <w:pStyle w:val="Compact"/>
              <w:jc w:val="left"/>
            </w:pPr>
            <w:r>
              <w:t xml:space="preserve">$12,000 initial + $3,500/yr</w:t>
            </w:r>
          </w:p>
        </w:tc>
        <w:tc>
          <w:tcPr/>
          <w:p>
            <w:pPr>
              <w:pStyle w:val="Compact"/>
              <w:jc w:val="left"/>
            </w:pPr>
            <w:r>
              <w:t xml:space="preserve">OpEx (5%)</w:t>
            </w:r>
          </w:p>
        </w:tc>
        <w:tc>
          <w:tcPr/>
          <w:p>
            <w:pPr>
              <w:pStyle w:val="Compact"/>
              <w:jc w:val="left"/>
            </w:pPr>
            <w:r>
              <w:t xml:space="preserve">N/A</w:t>
            </w:r>
          </w:p>
        </w:tc>
      </w:tr>
      <w:tr>
        <w:tc>
          <w:tcPr/>
          <w:p>
            <w:pPr>
              <w:pStyle w:val="Compact"/>
              <w:jc w:val="left"/>
            </w:pPr>
            <w:r>
              <w:t xml:space="preserve">Yr10 (2037)</w:t>
            </w:r>
          </w:p>
        </w:tc>
        <w:tc>
          <w:tcPr/>
          <w:p>
            <w:pPr>
              <w:pStyle w:val="Compact"/>
              <w:jc w:val="left"/>
            </w:pPr>
            <w:r>
              <w:t xml:space="preserve">Nigeria Mega-University: formal charter presentation to National Assembly/NUC</w:t>
            </w:r>
          </w:p>
        </w:tc>
        <w:tc>
          <w:tcPr/>
          <w:p>
            <w:pPr>
              <w:pStyle w:val="Compact"/>
              <w:jc w:val="left"/>
            </w:pPr>
            <w:r>
              <w:t xml:space="preserve">Variable, sovereign-controlled</w:t>
            </w:r>
          </w:p>
        </w:tc>
        <w:tc>
          <w:tcPr/>
          <w:p>
            <w:pPr>
              <w:pStyle w:val="Compact"/>
              <w:jc w:val="left"/>
            </w:pPr>
            <w:r>
              <w:t xml:space="preserve">Waqf Nigeria Mega-University Reserve (20% of Waqf 20%)</w:t>
            </w:r>
          </w:p>
        </w:tc>
        <w:tc>
          <w:tcPr/>
          <w:p>
            <w:pPr>
              <w:pStyle w:val="Compact"/>
              <w:jc w:val="left"/>
            </w:pPr>
            <w:r>
              <w:t xml:space="preserve">Independent of Texas parent; sovereign process outside AMIU control</w:t>
            </w:r>
          </w:p>
        </w:tc>
      </w:tr>
      <w:tr>
        <w:tc>
          <w:tcPr/>
          <w:p>
            <w:pPr>
              <w:pStyle w:val="Compact"/>
              <w:jc w:val="left"/>
            </w:pPr>
            <w:r>
              <w:t xml:space="preserve">Yr11–12 (2038–39)</w:t>
            </w:r>
          </w:p>
        </w:tc>
        <w:tc>
          <w:tcPr/>
          <w:p>
            <w:pPr>
              <w:pStyle w:val="Compact"/>
              <w:jc w:val="left"/>
            </w:pPr>
            <w:r>
              <w:t xml:space="preserve">Texas/US secular (regional/national) accreditation process begins</w:t>
            </w:r>
          </w:p>
        </w:tc>
        <w:tc>
          <w:tcPr/>
          <w:p>
            <w:pPr>
              <w:pStyle w:val="Compact"/>
              <w:jc w:val="left"/>
            </w:pPr>
            <w:r>
              <w:t xml:space="preserve">TBD, funded from retained reserve</w:t>
            </w:r>
          </w:p>
        </w:tc>
        <w:tc>
          <w:tcPr/>
          <w:p>
            <w:pPr>
              <w:pStyle w:val="Compact"/>
              <w:jc w:val="left"/>
            </w:pPr>
            <w:r>
              <w:t xml:space="preserve">OpEx / Liquidity Reserve draw, Board-approved</w:t>
            </w:r>
          </w:p>
        </w:tc>
        <w:tc>
          <w:tcPr/>
          <w:p>
            <w:pPr>
              <w:pStyle w:val="Compact"/>
              <w:jc w:val="left"/>
            </w:pPr>
            <w:r>
              <w:t xml:space="preserve">Not a survival dependency</w:t>
            </w:r>
          </w:p>
        </w:tc>
      </w:tr>
      <w:tr>
        <w:tc>
          <w:tcPr/>
          <w:p>
            <w:pPr>
              <w:pStyle w:val="Compact"/>
              <w:jc w:val="left"/>
            </w:pPr>
            <w:r>
              <w:t xml:space="preserve">Yr13 (2040)</w:t>
            </w:r>
          </w:p>
        </w:tc>
        <w:tc>
          <w:tcPr/>
          <w:p>
            <w:pPr>
              <w:pStyle w:val="Compact"/>
              <w:jc w:val="left"/>
            </w:pPr>
            <w:r>
              <w:t xml:space="preserve">First Gulf ministry recognition agreements targeted</w:t>
            </w:r>
          </w:p>
        </w:tc>
        <w:tc>
          <w:tcPr/>
          <w:p>
            <w:pPr>
              <w:pStyle w:val="Compact"/>
              <w:jc w:val="left"/>
            </w:pPr>
            <w:r>
              <w:t xml:space="preserve">Administrative, minimal direct cost</w:t>
            </w:r>
          </w:p>
        </w:tc>
        <w:tc>
          <w:tcPr/>
          <w:p>
            <w:pPr>
              <w:pStyle w:val="Compact"/>
              <w:jc w:val="left"/>
            </w:pPr>
            <w:r>
              <w:t xml:space="preserve">OpEx / Marketing (outreach)</w:t>
            </w:r>
          </w:p>
        </w:tc>
        <w:tc>
          <w:tcPr/>
          <w:p>
            <w:pPr>
              <w:pStyle w:val="Compact"/>
              <w:jc w:val="left"/>
            </w:pPr>
            <w:r>
              <w:t xml:space="preserve">Contingent on prior track record</w:t>
            </w:r>
          </w:p>
        </w:tc>
      </w:tr>
    </w:tbl>
    <w:p>
      <w:pPr>
        <w:pStyle w:val="BodyText"/>
      </w:pPr>
      <w:r>
        <w:rPr>
          <w:bCs/>
          <w:b/>
        </w:rPr>
        <w:t xml:space="preserve">Staffing Requirements</w:t>
      </w:r>
      <w:r>
        <w:t xml:space="preserve">: Yr1–2: Founders/Senate handle CPD and ISO groundwork directly. Yr3+: Admin 18% sub-line absorbs a part-time Accreditation/Compliance function. Yr10+: as Nigeria and US processes mature, this may formalize into a dedicated Accreditation Officer role, subject to future Board/Senate budget review — not committed in the founding decade.</w:t>
      </w:r>
    </w:p>
    <w:p>
      <w:pPr>
        <w:pStyle w:val="BodyText"/>
      </w:pPr>
      <w:r>
        <w:rPr>
          <w:bCs/>
          <w:b/>
        </w:rPr>
        <w:t xml:space="preserve">Annual Budget Summary</w:t>
      </w:r>
      <w:r>
        <w:t xml:space="preserve">: CPD ($1,200/yr from Yr2) + ISO 21001 ($3,500/yr from Yr3) both recur from OpEx (5%) indefinitely; Gambia NAQAA is a one-time $50,000 ceiling inside Stage 3 (Yr2–4); Nigeria and Gulf processes draw from Waqf’s Nigeria Reserve sub-line and general OpEx respectively, not from a shared pool with the Texas-side certifications.</w:t>
      </w:r>
    </w:p>
    <w:p>
      <w:pPr>
        <w:pStyle w:val="BodyText"/>
      </w:pPr>
      <w:r>
        <w:rPr>
          <w:bCs/>
          <w:b/>
        </w:rPr>
        <w:t xml:space="preserve">KPIs</w:t>
      </w:r>
      <w:r>
        <w:t xml:space="preserve">: CPD/ISO certifications achieved on target year; Gambia NAQAA candidacy status; Nigeria charter application filed by Yr10; US accreditation candidacy initiated Yr11–12; first Gulf ministry MOU by Yr13.</w:t>
      </w:r>
    </w:p>
    <w:p>
      <w:pPr>
        <w:pStyle w:val="BodyText"/>
      </w:pPr>
      <w:r>
        <w:rPr>
          <w:bCs/>
          <w:b/>
        </w:rPr>
        <w:t xml:space="preserve">Risks &amp; Mitigation</w:t>
      </w:r>
      <w:r>
        <w:t xml:space="preserve"> </w:t>
      </w:r>
      <w:r>
        <w:t xml:space="preserve">(per existing risk register):</w:t>
      </w:r>
      <w:r>
        <w:t xml:space="preserve"> </w:t>
      </w:r>
      <w:r>
        <w:t xml:space="preserve">“</w:t>
      </w:r>
      <w:r>
        <w:t xml:space="preserve">Accreditation candidacy delay beyond Year 5</w:t>
      </w:r>
      <w:r>
        <w:t xml:space="preserve">”</w:t>
      </w:r>
      <w:r>
        <w:t xml:space="preserve"> </w:t>
      </w:r>
      <w:r>
        <w:t xml:space="preserve">— programs remain religious-exemption-valid regardless; funded from retained reserve, not survival-dependent.</w:t>
      </w:r>
      <w:r>
        <w:t xml:space="preserve"> </w:t>
      </w:r>
      <w:r>
        <w:t xml:space="preserve">“</w:t>
      </w:r>
      <w:r>
        <w:t xml:space="preserve">Nigeria Mega-University delay or non-approval</w:t>
      </w:r>
      <w:r>
        <w:t xml:space="preserve">”</w:t>
      </w:r>
      <w:r>
        <w:t xml:space="preserve"> </w:t>
      </w:r>
      <w:r>
        <w:t xml:space="preserve">— framed as funding target, not guarantee. Gulf recognition delay — mitigated by not conditioning any operating budget on its arrival.</w:t>
      </w:r>
    </w:p>
    <w:p>
      <w:pPr>
        <w:pStyle w:val="BodyText"/>
      </w:pPr>
      <w:r>
        <w:rPr>
          <w:bCs/>
          <w:b/>
        </w:rPr>
        <w:t xml:space="preserve">Timeline (condensed)</w:t>
      </w:r>
      <w:r>
        <w:t xml:space="preserve">: 2029 CPD → 2029–31 Gambia NAQAA → 2030 ISO 21001 → 2037 Nigeria NUC filing → 2038–39 US secular accreditation begins → 2040 Gulf recognition target.</w:t>
      </w:r>
    </w:p>
    <w:p>
      <w:pPr>
        <w:pStyle w:val="BodyText"/>
      </w:pPr>
      <w:r>
        <w:rPr>
          <w:bCs/>
          <w:b/>
        </w:rPr>
        <w:t xml:space="preserve">Governance Responsibilities</w:t>
      </w:r>
      <w:r>
        <w:t xml:space="preserve"> </w:t>
      </w:r>
      <w:r>
        <w:t xml:space="preserve">— Board of Trustees: approves all accreditation-cost budgets and exclusive authority over which accreditation to pursue and when (strategy/finance/legal/accreditation-cost authority). Senate: supplies academic/curriculum documentation for every accreditation gate. Waqf &amp; Endowment Board: fiduciary oversight of the Nigeria Reserve sub-line. Sharī’ah Advisory Board: not a direct accreditation gatekeeper but consulted where accreditation reviewers assess religious program integrity.</w:t>
      </w:r>
    </w:p>
    <w:p>
      <w:pPr>
        <w:pStyle w:val="BodyText"/>
      </w:pPr>
      <w:r>
        <w:rPr>
          <w:bCs/>
          <w:b/>
        </w:rPr>
        <w:t xml:space="preserve">Measurable Success Indicators</w:t>
      </w:r>
      <w:r>
        <w:t xml:space="preserve">: full CPD/ISO 21001/Gambia NAQAA sequence complete by Year 4; Nigeria charter application filed on schedule Year 10; US secular accreditation candidacy opened Year 11–12 with ten consecutive audited zero-deficit years on record; first Gulf ministry agreement by Year 13.</w:t>
      </w:r>
    </w:p>
    <w:bookmarkEnd w:id="44"/>
    <w:bookmarkStart w:id="45" w:name="section-20-iso-21001-roadmap"/>
    <w:p>
      <w:pPr>
        <w:pStyle w:val="Heading2"/>
      </w:pPr>
      <w:r>
        <w:t xml:space="preserve">Section 20: ISO 21001 Roadmap</w:t>
      </w:r>
    </w:p>
    <w:p>
      <w:pPr>
        <w:pStyle w:val="FirstParagraph"/>
      </w:pPr>
      <w:r>
        <w:rPr>
          <w:bCs/>
          <w:b/>
        </w:rPr>
        <w:t xml:space="preserve">Rationale</w:t>
      </w:r>
    </w:p>
    <w:p>
      <w:pPr>
        <w:pStyle w:val="BodyText"/>
      </w:pPr>
      <w:r>
        <w:t xml:space="preserve">ISO 21001:2018 (Educational Organizations Management Systems) is the second certification in AMIU’s sequence (after CPD, Year 2) and the first to certify institutional</w:t>
      </w:r>
      <w:r>
        <w:t xml:space="preserve"> </w:t>
      </w:r>
      <w:r>
        <w:rPr>
          <w:iCs/>
          <w:i/>
        </w:rPr>
        <w:t xml:space="preserve">management quality</w:t>
      </w:r>
      <w:r>
        <w:t xml:space="preserve"> </w:t>
      </w:r>
      <w:r>
        <w:t xml:space="preserve">rather than a specific program. Targeted for Year 3 (2030) at $12,000 initial + $3,500/yr, it strengthens credibility with regulators and philanthropic stakeholders across the US, Europe, and the Gulf — directly supporting the Year 13 Gulf ministry recognition target — without requiring any deviation from the religious-exemption operating basis.</w:t>
      </w:r>
    </w:p>
    <w:p>
      <w:pPr>
        <w:pStyle w:val="BodyText"/>
      </w:pPr>
      <w:r>
        <w:rPr>
          <w:bCs/>
          <w:b/>
        </w:rPr>
        <w:t xml:space="preserve">Global Best Practices</w:t>
      </w:r>
      <w:r>
        <w:t xml:space="preserve">: ISO 21001 implementation follows the Plan-Do-Check-Act cycle common to all ISO management-system standards; certification requires an IAF (International Accreditation Forum)-accredited certification body, a two-stage external audit (documentation review, then on-site/remote verification), and annual surveillance audits with recertification every three years.</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Timing</w:t>
            </w:r>
          </w:p>
        </w:tc>
        <w:tc>
          <w:tcPr/>
          <w:p>
            <w:pPr>
              <w:pStyle w:val="Compact"/>
              <w:jc w:val="left"/>
            </w:pPr>
            <w:r>
              <w:t xml:space="preserve">Activity</w:t>
            </w:r>
          </w:p>
        </w:tc>
      </w:tr>
      <w:tr>
        <w:tc>
          <w:tcPr/>
          <w:p>
            <w:pPr>
              <w:pStyle w:val="Compact"/>
              <w:jc w:val="left"/>
            </w:pPr>
            <w:r>
              <w:t xml:space="preserve">Awareness &amp; Gap Analysis</w:t>
            </w:r>
          </w:p>
        </w:tc>
        <w:tc>
          <w:tcPr/>
          <w:p>
            <w:pPr>
              <w:pStyle w:val="Compact"/>
              <w:jc w:val="left"/>
            </w:pPr>
            <w:r>
              <w:t xml:space="preserve">Yr1–2 (2028–29)</w:t>
            </w:r>
          </w:p>
        </w:tc>
        <w:tc>
          <w:tcPr/>
          <w:p>
            <w:pPr>
              <w:pStyle w:val="Compact"/>
              <w:jc w:val="left"/>
            </w:pPr>
            <w:r>
              <w:t xml:space="preserve">Board/Senate-sponsored internal working group conducts desktop gap analysis against ISO 21001:2018 clauses; inventories existing governance/policy documents.</w:t>
            </w:r>
          </w:p>
        </w:tc>
      </w:tr>
      <w:tr>
        <w:tc>
          <w:tcPr/>
          <w:p>
            <w:pPr>
              <w:pStyle w:val="Compact"/>
              <w:jc w:val="left"/>
            </w:pPr>
            <w:r>
              <w:t xml:space="preserve">Documentation Build</w:t>
            </w:r>
          </w:p>
        </w:tc>
        <w:tc>
          <w:tcPr/>
          <w:p>
            <w:pPr>
              <w:pStyle w:val="Compact"/>
              <w:jc w:val="left"/>
            </w:pPr>
            <w:r>
              <w:t xml:space="preserve">Yr3 H1 (early 2030)</w:t>
            </w:r>
          </w:p>
        </w:tc>
        <w:tc>
          <w:tcPr/>
          <w:p>
            <w:pPr>
              <w:pStyle w:val="Compact"/>
              <w:jc w:val="left"/>
            </w:pPr>
            <w:r>
              <w:t xml:space="preserve">Quality Manual and EOMS policy drafted; processes mapped for the six colleges, Senate, Board, Waqf Board, and Sharī’ah Advisory Board; procedures documented for admissions, curriculum approval, and financial controls.</w:t>
            </w:r>
          </w:p>
        </w:tc>
      </w:tr>
      <w:tr>
        <w:tc>
          <w:tcPr/>
          <w:p>
            <w:pPr>
              <w:pStyle w:val="Compact"/>
              <w:jc w:val="left"/>
            </w:pPr>
            <w:r>
              <w:t xml:space="preserve">Internal Audit</w:t>
            </w:r>
          </w:p>
        </w:tc>
        <w:tc>
          <w:tcPr/>
          <w:p>
            <w:pPr>
              <w:pStyle w:val="Compact"/>
              <w:jc w:val="left"/>
            </w:pPr>
            <w:r>
              <w:t xml:space="preserve">Yr3 H1–H2 (2030)</w:t>
            </w:r>
          </w:p>
        </w:tc>
        <w:tc>
          <w:tcPr/>
          <w:p>
            <w:pPr>
              <w:pStyle w:val="Compact"/>
              <w:jc w:val="left"/>
            </w:pPr>
            <w:r>
              <w:t xml:space="preserve">Senate-appointed internal auditor (trained faculty/staff, low-cost external contractor if needed) conducts internal audit; Board management review of findings.</w:t>
            </w:r>
          </w:p>
        </w:tc>
      </w:tr>
      <w:tr>
        <w:tc>
          <w:tcPr/>
          <w:p>
            <w:pPr>
              <w:pStyle w:val="Compact"/>
              <w:jc w:val="left"/>
            </w:pPr>
            <w:r>
              <w:t xml:space="preserve">External Certification</w:t>
            </w:r>
          </w:p>
        </w:tc>
        <w:tc>
          <w:tcPr/>
          <w:p>
            <w:pPr>
              <w:pStyle w:val="Compact"/>
              <w:jc w:val="left"/>
            </w:pPr>
            <w:r>
              <w:t xml:space="preserve">Yr3 H2 (2030, target completion)</w:t>
            </w:r>
          </w:p>
        </w:tc>
        <w:tc>
          <w:tcPr/>
          <w:p>
            <w:pPr>
              <w:pStyle w:val="Compact"/>
              <w:jc w:val="left"/>
            </w:pPr>
            <w:r>
              <w:t xml:space="preserve">Certification body selected (IAF-accredited, competitive quote within $12,000 budget); Stage 1 (documentation) and Stage 2 (on-site/remote) audits conducted; certificate issued.</w:t>
            </w:r>
          </w:p>
        </w:tc>
      </w:tr>
      <w:tr>
        <w:tc>
          <w:tcPr/>
          <w:p>
            <w:pPr>
              <w:pStyle w:val="Compact"/>
              <w:jc w:val="left"/>
            </w:pPr>
            <w:r>
              <w:t xml:space="preserve">Surveillance Cycle</w:t>
            </w:r>
          </w:p>
        </w:tc>
        <w:tc>
          <w:tcPr/>
          <w:p>
            <w:pPr>
              <w:pStyle w:val="Compact"/>
              <w:jc w:val="left"/>
            </w:pPr>
            <w:r>
              <w:t xml:space="preserve">Yr4–20 (2031–47)</w:t>
            </w:r>
          </w:p>
        </w:tc>
        <w:tc>
          <w:tcPr/>
          <w:p>
            <w:pPr>
              <w:pStyle w:val="Compact"/>
              <w:jc w:val="left"/>
            </w:pPr>
            <w:r>
              <w:t xml:space="preserve">Annual surveillance audits (~$3,500/yr); full recertification audit every 3 years within the same annual fee envelope.</w:t>
            </w:r>
          </w:p>
        </w:tc>
      </w:tr>
    </w:tbl>
    <w:p>
      <w:pPr>
        <w:pStyle w:val="BodyText"/>
      </w:pPr>
      <w:r>
        <w:rPr>
          <w:bCs/>
          <w:b/>
        </w:rPr>
        <w:t xml:space="preserve">Staffing Requirements</w:t>
      </w:r>
      <w:r>
        <w:t xml:space="preserve">: no new FTE for initial certification — the Quality/Compliance function is assigned to the existing Admin 18% Payroll sub-line role on a part-time basis. The internal auditor is a trained existing faculty/staff member compensated via a modest OpEx stipend. From Year 6 onward this may consolidate with the Research/Accreditation Coordinator role described in Sections 16 and 19, avoiding duplicate hires.</w:t>
      </w:r>
    </w:p>
    <w:p>
      <w:pPr>
        <w:pStyle w:val="BodyText"/>
      </w:pPr>
      <w:r>
        <w:rPr>
          <w:bCs/>
          <w:b/>
        </w:rPr>
        <w:t xml:space="preserve">Annual Budget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Year</w:t>
            </w:r>
          </w:p>
        </w:tc>
        <w:tc>
          <w:tcPr/>
          <w:p>
            <w:pPr>
              <w:pStyle w:val="Compact"/>
              <w:jc w:val="left"/>
            </w:pPr>
            <w:r>
              <w:t xml:space="preserve">Cost</w:t>
            </w:r>
          </w:p>
        </w:tc>
        <w:tc>
          <w:tcPr/>
          <w:p>
            <w:pPr>
              <w:pStyle w:val="Compact"/>
              <w:jc w:val="left"/>
            </w:pPr>
            <w:r>
              <w:t xml:space="preserve">Funding Source</w:t>
            </w:r>
          </w:p>
        </w:tc>
      </w:tr>
      <w:tr>
        <w:tc>
          <w:tcPr/>
          <w:p>
            <w:pPr>
              <w:pStyle w:val="Compact"/>
              <w:jc w:val="left"/>
            </w:pPr>
            <w:r>
              <w:t xml:space="preserve">Initial certification (Stage 1 + Stage 2 audits, cert body fees)</w:t>
            </w:r>
          </w:p>
        </w:tc>
        <w:tc>
          <w:tcPr/>
          <w:p>
            <w:pPr>
              <w:pStyle w:val="Compact"/>
              <w:jc w:val="left"/>
            </w:pPr>
            <w:r>
              <w:t xml:space="preserve">Yr3 (2030)</w:t>
            </w:r>
          </w:p>
        </w:tc>
        <w:tc>
          <w:tcPr/>
          <w:p>
            <w:pPr>
              <w:pStyle w:val="Compact"/>
              <w:jc w:val="left"/>
            </w:pPr>
            <w:r>
              <w:t xml:space="preserve">$12,000 one-time</w:t>
            </w:r>
          </w:p>
        </w:tc>
        <w:tc>
          <w:tcPr/>
          <w:p>
            <w:pPr>
              <w:pStyle w:val="Compact"/>
              <w:jc w:val="left"/>
            </w:pPr>
            <w:r>
              <w:t xml:space="preserve">OpEx (5%); Board-approved reserve draw only if a single year’s OpEx is insufficient</w:t>
            </w:r>
          </w:p>
        </w:tc>
      </w:tr>
      <w:tr>
        <w:tc>
          <w:tcPr/>
          <w:p>
            <w:pPr>
              <w:pStyle w:val="Compact"/>
              <w:jc w:val="left"/>
            </w:pPr>
            <w:r>
              <w:t xml:space="preserve">Annual surveillance audit</w:t>
            </w:r>
          </w:p>
        </w:tc>
        <w:tc>
          <w:tcPr/>
          <w:p>
            <w:pPr>
              <w:pStyle w:val="Compact"/>
              <w:jc w:val="left"/>
            </w:pPr>
            <w:r>
              <w:t xml:space="preserve">Yr4+ (2031+)</w:t>
            </w:r>
          </w:p>
        </w:tc>
        <w:tc>
          <w:tcPr/>
          <w:p>
            <w:pPr>
              <w:pStyle w:val="Compact"/>
              <w:jc w:val="left"/>
            </w:pPr>
            <w:r>
              <w:t xml:space="preserve">$3,500/yr</w:t>
            </w:r>
          </w:p>
        </w:tc>
        <w:tc>
          <w:tcPr/>
          <w:p>
            <w:pPr>
              <w:pStyle w:val="Compact"/>
              <w:jc w:val="left"/>
            </w:pPr>
            <w:r>
              <w:t xml:space="preserve">OpEx (5%)</w:t>
            </w:r>
          </w:p>
        </w:tc>
      </w:tr>
      <w:tr>
        <w:tc>
          <w:tcPr/>
          <w:p>
            <w:pPr>
              <w:pStyle w:val="Compact"/>
              <w:jc w:val="left"/>
            </w:pPr>
            <w:r>
              <w:t xml:space="preserve">Internal audit training/contractor</w:t>
            </w:r>
          </w:p>
        </w:tc>
        <w:tc>
          <w:tcPr/>
          <w:p>
            <w:pPr>
              <w:pStyle w:val="Compact"/>
              <w:jc w:val="left"/>
            </w:pPr>
            <w:r>
              <w:t xml:space="preserve">Yr2–3</w:t>
            </w:r>
          </w:p>
        </w:tc>
        <w:tc>
          <w:tcPr/>
          <w:p>
            <w:pPr>
              <w:pStyle w:val="Compact"/>
              <w:jc w:val="left"/>
            </w:pPr>
            <w:r>
              <w:t xml:space="preserve">Modest, within OpEx</w:t>
            </w:r>
          </w:p>
        </w:tc>
        <w:tc>
          <w:tcPr/>
          <w:p>
            <w:pPr>
              <w:pStyle w:val="Compact"/>
              <w:jc w:val="left"/>
            </w:pPr>
            <w:r>
              <w:t xml:space="preserve">OpEx (5%)</w:t>
            </w:r>
          </w:p>
        </w:tc>
      </w:tr>
      <w:tr>
        <w:tc>
          <w:tcPr/>
          <w:p>
            <w:pPr>
              <w:pStyle w:val="Compact"/>
              <w:jc w:val="left"/>
            </w:pPr>
            <w:r>
              <w:t xml:space="preserve">Documentation tooling</w:t>
            </w:r>
          </w:p>
        </w:tc>
        <w:tc>
          <w:tcPr/>
          <w:p>
            <w:pPr>
              <w:pStyle w:val="Compact"/>
              <w:jc w:val="left"/>
            </w:pPr>
            <w:r>
              <w:t xml:space="preserve">Ongoing</w:t>
            </w:r>
          </w:p>
        </w:tc>
        <w:tc>
          <w:tcPr/>
          <w:p>
            <w:pPr>
              <w:pStyle w:val="Compact"/>
              <w:jc w:val="left"/>
            </w:pPr>
            <w:r>
              <w:t xml:space="preserve">Near-zero (shared drive/existing LMS)</w:t>
            </w:r>
          </w:p>
        </w:tc>
        <w:tc>
          <w:tcPr/>
          <w:p>
            <w:pPr>
              <w:pStyle w:val="Compact"/>
              <w:jc w:val="left"/>
            </w:pPr>
            <w:r>
              <w:t xml:space="preserve">LMS &amp; Tech (5%), incidental</w:t>
            </w:r>
          </w:p>
        </w:tc>
      </w:tr>
    </w:tbl>
    <w:p>
      <w:pPr>
        <w:pStyle w:val="BodyText"/>
      </w:pPr>
      <w:r>
        <w:t xml:space="preserve">Feasibility check: Year 1 (2028) OpEx is $11,237 (5% of $224,747 revenue) alone; by Year 3, with revenue tracking toward the Year 5 (2032) figure of $1,290,784, the 5% OpEx allocation comfortably covers the $12,000 initial fee without touching other lines.</w:t>
      </w:r>
    </w:p>
    <w:p>
      <w:pPr>
        <w:pStyle w:val="BodyText"/>
      </w:pPr>
      <w:r>
        <w:rPr>
          <w:bCs/>
          <w:b/>
        </w:rPr>
        <w:t xml:space="preserve">KPIs</w:t>
      </w:r>
      <w:r>
        <w:t xml:space="preserve">: certification achieved on schedule (2030); zero major nonconformities at Stage 2; 100% surveillance-audit pass rate; ISO 21001 status actively cited in Gulf/European philanthropic and regulatory outreach materials.</w:t>
      </w:r>
    </w:p>
    <w:p>
      <w:pPr>
        <w:pStyle w:val="BodyText"/>
      </w:pPr>
      <w:r>
        <w:rPr>
          <w:bCs/>
          <w:b/>
        </w:rPr>
        <w:t xml:space="preserve">Risks &amp;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Cost overrun beyond $12,000/$3,500</w:t>
            </w:r>
          </w:p>
        </w:tc>
        <w:tc>
          <w:tcPr/>
          <w:p>
            <w:pPr>
              <w:pStyle w:val="Compact"/>
              <w:jc w:val="left"/>
            </w:pPr>
            <w:r>
              <w:t xml:space="preserve">Hard-capped within OpEx; Board approval gate before any reserve draw</w:t>
            </w:r>
          </w:p>
        </w:tc>
      </w:tr>
      <w:tr>
        <w:tc>
          <w:tcPr/>
          <w:p>
            <w:pPr>
              <w:pStyle w:val="Compact"/>
              <w:jc w:val="left"/>
            </w:pPr>
            <w:r>
              <w:t xml:space="preserve">Documentation burden diverting Founder/Senate time</w:t>
            </w:r>
          </w:p>
        </w:tc>
        <w:tc>
          <w:tcPr/>
          <w:p>
            <w:pPr>
              <w:pStyle w:val="Compact"/>
              <w:jc w:val="left"/>
            </w:pPr>
            <w:r>
              <w:t xml:space="preserve">Gap analysis begins Yr1, spreading workload over two years before the Yr3 deadline</w:t>
            </w:r>
          </w:p>
        </w:tc>
      </w:tr>
      <w:tr>
        <w:tc>
          <w:tcPr/>
          <w:p>
            <w:pPr>
              <w:pStyle w:val="Compact"/>
              <w:jc w:val="left"/>
            </w:pPr>
            <w:r>
              <w:t xml:space="preserve">Failed Stage 2 audit</w:t>
            </w:r>
          </w:p>
        </w:tc>
        <w:tc>
          <w:tcPr/>
          <w:p>
            <w:pPr>
              <w:pStyle w:val="Compact"/>
              <w:jc w:val="left"/>
            </w:pPr>
            <w:r>
              <w:t xml:space="preserve">Buffer built into Yr3 H2 schedule; internal audit precedes external audit by a full quarter</w:t>
            </w:r>
          </w:p>
        </w:tc>
      </w:tr>
      <w:tr>
        <w:tc>
          <w:tcPr/>
          <w:p>
            <w:pPr>
              <w:pStyle w:val="Compact"/>
              <w:jc w:val="left"/>
            </w:pPr>
            <w:r>
              <w:t xml:space="preserve">Surveillance lapse causing certificate suspension</w:t>
            </w:r>
          </w:p>
        </w:tc>
        <w:tc>
          <w:tcPr/>
          <w:p>
            <w:pPr>
              <w:pStyle w:val="Compact"/>
              <w:jc w:val="left"/>
            </w:pPr>
            <w:r>
              <w:t xml:space="preserve">Admin sub-line owns a standing annual compliance calendar</w:t>
            </w:r>
          </w:p>
        </w:tc>
      </w:tr>
    </w:tbl>
    <w:p>
      <w:pPr>
        <w:pStyle w:val="BodyText"/>
      </w:pPr>
      <w:r>
        <w:rPr>
          <w:bCs/>
          <w:b/>
        </w:rPr>
        <w:t xml:space="preserve">Timeline</w:t>
      </w:r>
      <w:r>
        <w:t xml:space="preserve">: 2028–29 gap analysis → early 2030 documentation → mid-2030 internal audit → late 2030 external certification → 2031 onward annual surveillance, recertification every three years through 2047.</w:t>
      </w:r>
    </w:p>
    <w:p>
      <w:pPr>
        <w:pStyle w:val="BodyText"/>
      </w:pPr>
      <w:r>
        <w:rPr>
          <w:bCs/>
          <w:b/>
        </w:rPr>
        <w:t xml:space="preserve">Governance Responsibilities</w:t>
      </w:r>
      <w:r>
        <w:t xml:space="preserve"> </w:t>
      </w:r>
      <w:r>
        <w:t xml:space="preserve">— Board of Trustees: approves certification-body selection and full budget (accreditation-cost authority). Senate: supplies academic/curriculum process documentation since EOMS scope covers educational management. Sharī’ah Advisory Board and Waqf &amp; Endowment Board: no direct role — ISO 21001 is a secular quality-management standard distinct from religious-content or Waqf-fund review, and this distinction should be stated explicitly to avoid governance confusion.</w:t>
      </w:r>
    </w:p>
    <w:p>
      <w:pPr>
        <w:pStyle w:val="BodyText"/>
      </w:pPr>
      <w:r>
        <w:rPr>
          <w:bCs/>
          <w:b/>
        </w:rPr>
        <w:t xml:space="preserve">Measurable Success Indicators</w:t>
      </w:r>
      <w:r>
        <w:t xml:space="preserve">: ISO 21001 certificate issued in 2030 as targeted; zero certification-related deficit impact; unbroken surveillance-audit record through at least the first recertification cycle (2033); certification actively referenced in at least one Gulf-facing or philanthropic partnership document by Year 13.</w:t>
      </w:r>
    </w:p>
    <w:p>
      <w:r>
        <w:pict>
          <v:rect style="width:0;height:1.5pt" o:hralign="center" o:hrstd="t" o:hr="t"/>
        </w:pict>
      </w:r>
    </w:p>
    <w:bookmarkEnd w:id="45"/>
    <w:bookmarkStart w:id="46" w:name="X12540eab38ee48fdc98a7d47696f13286aa95e9"/>
    <w:p>
      <w:pPr>
        <w:pStyle w:val="Heading2"/>
      </w:pPr>
      <w:r>
        <w:t xml:space="preserve">Part V — Digital Infrastructure, AI &amp; Waqf Development (Sections 21–25)</w:t>
      </w:r>
    </w:p>
    <w:bookmarkEnd w:id="46"/>
    <w:bookmarkStart w:id="47" w:name="section-21-lms-ecosystem"/>
    <w:p>
      <w:pPr>
        <w:pStyle w:val="Heading2"/>
      </w:pPr>
      <w:r>
        <w:t xml:space="preserve">Section 21: LMS Ecosystem</w:t>
      </w:r>
    </w:p>
    <w:p>
      <w:pPr>
        <w:pStyle w:val="FirstParagraph"/>
      </w:pPr>
      <w:r>
        <w:rPr>
          <w:bCs/>
          <w:b/>
        </w:rPr>
        <w:t xml:space="preserve">Rationale</w:t>
      </w:r>
    </w:p>
    <w:p>
      <w:pPr>
        <w:pStyle w:val="BodyText"/>
      </w:pPr>
      <w:r>
        <w:t xml:space="preserve">AMIU’s mission — global Islamic education</w:t>
      </w:r>
      <w:r>
        <w:t xml:space="preserve"> </w:t>
      </w:r>
      <w:r>
        <w:t xml:space="preserve">“</w:t>
      </w:r>
      <w:r>
        <w:t xml:space="preserve">at the minimum possible cost</w:t>
      </w:r>
      <w:r>
        <w:t xml:space="preserve">”</w:t>
      </w:r>
      <w:r>
        <w:t xml:space="preserve"> </w:t>
      </w:r>
      <w:r>
        <w:t xml:space="preserve">— is only economically viable because the institution is digital-first. With four purchasing-power tuition tiers, a seven-tier stackable credential ladder, and a projected 347 → 11,021 student base across Years 1–10, the Learning Management System (LMS) is not a support tool but the primary delivery infrastructure, analogous to a physical campus for a conventional university. Every dollar of the fixed 5% LMS &amp; Technology Infrastructure allocation must therefore be treated as core-mission capital, not IT overhead.</w:t>
      </w:r>
    </w:p>
    <w:p>
      <w:pPr>
        <w:pStyle w:val="BodyText"/>
      </w:pPr>
      <w:r>
        <w:rPr>
          <w:bCs/>
          <w:b/>
        </w:rPr>
        <w:t xml:space="preserve">Global Best Practices</w:t>
      </w:r>
    </w:p>
    <w:p>
      <w:pPr>
        <w:pStyle w:val="BodyText"/>
      </w:pPr>
      <w:r>
        <w:t xml:space="preserve">Moodle (or a Moodle-enterprise-comparable platform such as MoodleCloud/IOMAD for multi-tenant institutions) remains the dominant open-source LMS for distributed Islamic and OER-heavy institutions because of its low licensing cost, plugin ecosystem, SCORM/xAPI compatibility, and multilingual (including RTL Arabic) support. Best-practice peers combine: (1) competency-based course architecture mapped to stackable credentials, (2) mobile-first/Progressive Web App delivery with offline caching for low-bandwidth regions, (3) redundant multi-gateway payment stacks with manual fallback, and (4) templated content-authoring pipelines that let subject-matter faculty (not developers) populate large catalogs quickly.</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Scope</w:t>
            </w:r>
          </w:p>
        </w:tc>
      </w:tr>
      <w:tr>
        <w:tc>
          <w:tcPr/>
          <w:p>
            <w:pPr>
              <w:pStyle w:val="Compact"/>
              <w:jc w:val="left"/>
            </w:pPr>
            <w:r>
              <w:t xml:space="preserve">1 — Foundation</w:t>
            </w:r>
          </w:p>
        </w:tc>
        <w:tc>
          <w:tcPr/>
          <w:p>
            <w:pPr>
              <w:pStyle w:val="Compact"/>
              <w:jc w:val="left"/>
            </w:pPr>
            <w:r>
              <w:t xml:space="preserve">2028–2029</w:t>
            </w:r>
          </w:p>
        </w:tc>
        <w:tc>
          <w:tcPr/>
          <w:p>
            <w:pPr>
              <w:pStyle w:val="Compact"/>
              <w:jc w:val="left"/>
            </w:pPr>
            <w:r>
              <w:t xml:space="preserve">Single-instance Moodle on managed cloud hosting; 2 payment gateways + bank-transfer fallback; manual content upload for initial course slate</w:t>
            </w:r>
          </w:p>
        </w:tc>
      </w:tr>
      <w:tr>
        <w:tc>
          <w:tcPr/>
          <w:p>
            <w:pPr>
              <w:pStyle w:val="Compact"/>
              <w:jc w:val="left"/>
            </w:pPr>
            <w:r>
              <w:t xml:space="preserve">2 — Stabilization</w:t>
            </w:r>
          </w:p>
        </w:tc>
        <w:tc>
          <w:tcPr/>
          <w:p>
            <w:pPr>
              <w:pStyle w:val="Compact"/>
              <w:jc w:val="left"/>
            </w:pPr>
            <w:r>
              <w:t xml:space="preserve">2030–2032</w:t>
            </w:r>
          </w:p>
        </w:tc>
        <w:tc>
          <w:tcPr/>
          <w:p>
            <w:pPr>
              <w:pStyle w:val="Compact"/>
              <w:jc w:val="left"/>
            </w:pPr>
            <w:r>
              <w:t xml:space="preserve">Mobile-first PWA; plugin ecosystem (quiz banks, gradebook automation); multi-currency automation; Gambia branch blended-learning integration</w:t>
            </w:r>
          </w:p>
        </w:tc>
      </w:tr>
      <w:tr>
        <w:tc>
          <w:tcPr/>
          <w:p>
            <w:pPr>
              <w:pStyle w:val="Compact"/>
              <w:jc w:val="left"/>
            </w:pPr>
            <w:r>
              <w:t xml:space="preserve">3 — Scale</w:t>
            </w:r>
          </w:p>
        </w:tc>
        <w:tc>
          <w:tcPr/>
          <w:p>
            <w:pPr>
              <w:pStyle w:val="Compact"/>
              <w:jc w:val="left"/>
            </w:pPr>
            <w:r>
              <w:t xml:space="preserve">2033–2037</w:t>
            </w:r>
          </w:p>
        </w:tc>
        <w:tc>
          <w:tcPr/>
          <w:p>
            <w:pPr>
              <w:pStyle w:val="Compact"/>
              <w:jc w:val="left"/>
            </w:pPr>
            <w:r>
              <w:t xml:space="preserve">Redundant/CDN-backed hosting for 11,000+ concurrent users; API bridge to SIS; regional gateway expansion per risk-register mitigation; full 71+28 catalog live</w:t>
            </w:r>
          </w:p>
        </w:tc>
      </w:tr>
      <w:tr>
        <w:tc>
          <w:tcPr/>
          <w:p>
            <w:pPr>
              <w:pStyle w:val="Compact"/>
              <w:jc w:val="left"/>
            </w:pPr>
            <w:r>
              <w:t xml:space="preserve">4 — Secular-Expansion Maturity</w:t>
            </w:r>
          </w:p>
        </w:tc>
        <w:tc>
          <w:tcPr/>
          <w:p>
            <w:pPr>
              <w:pStyle w:val="Compact"/>
              <w:jc w:val="left"/>
            </w:pPr>
            <w:r>
              <w:t xml:space="preserve">2038+</w:t>
            </w:r>
          </w:p>
        </w:tc>
        <w:tc>
          <w:tcPr/>
          <w:p>
            <w:pPr>
              <w:pStyle w:val="Compact"/>
              <w:jc w:val="left"/>
            </w:pPr>
            <w:r>
              <w:t xml:space="preserve">Multi-tenant architecture supporting Nigeria and future branches; LMS&amp;Tech budget crosses six figures, enabling dedicated DevOps capacity</w:t>
            </w:r>
          </w:p>
        </w:tc>
      </w:tr>
    </w:tbl>
    <w:p>
      <w:pPr>
        <w:pStyle w:val="BodyText"/>
      </w:pPr>
      <w:r>
        <w:rPr>
          <w:bCs/>
          <w:b/>
        </w:rPr>
        <w:t xml:space="preserve">Staffing Requirements</w:t>
      </w:r>
    </w:p>
    <w:p>
      <w:pPr>
        <w:numPr>
          <w:ilvl w:val="0"/>
          <w:numId w:val="1013"/>
        </w:numPr>
        <w:pStyle w:val="Compact"/>
      </w:pPr>
      <w:r>
        <w:t xml:space="preserve">Year 1: part-time/contract LMS Administrator (Payroll line, ~0.5 FTE)</w:t>
      </w:r>
    </w:p>
    <w:p>
      <w:pPr>
        <w:numPr>
          <w:ilvl w:val="0"/>
          <w:numId w:val="1013"/>
        </w:numPr>
        <w:pStyle w:val="Compact"/>
      </w:pPr>
      <w:r>
        <w:t xml:space="preserve">Year 3–5: full-time LMS Manager</w:t>
      </w:r>
    </w:p>
    <w:p>
      <w:pPr>
        <w:numPr>
          <w:ilvl w:val="0"/>
          <w:numId w:val="1013"/>
        </w:numPr>
        <w:pStyle w:val="Compact"/>
      </w:pPr>
      <w:r>
        <w:t xml:space="preserve">Year 6–10: LMS Manager + 1–2 junior support technicians + content-conversion coordinator (all Payroll-funded; tooling/hosting on LMS&amp;Tech line)</w:t>
      </w:r>
    </w:p>
    <w:p>
      <w:pPr>
        <w:numPr>
          <w:ilvl w:val="0"/>
          <w:numId w:val="1013"/>
        </w:numPr>
        <w:pStyle w:val="Compact"/>
      </w:pPr>
      <w:r>
        <w:t xml:space="preserve">The</w:t>
      </w:r>
      <w:r>
        <w:t xml:space="preserve"> </w:t>
      </w:r>
      <w:r>
        <w:t xml:space="preserve">“</w:t>
      </w:r>
      <w:r>
        <w:t xml:space="preserve">Director, Academic Planning &amp; LMS Infrastructure</w:t>
      </w:r>
      <w:r>
        <w:t xml:space="preserve">”</w:t>
      </w:r>
      <w:r>
        <w:t xml:space="preserve"> </w:t>
      </w:r>
      <w:r>
        <w:t xml:space="preserve">is a governance seat (Group IV Senate), not a separate salary line — it may be held by the LMS Manager or a senior academic administrator.</w:t>
      </w:r>
    </w:p>
    <w:p>
      <w:pPr>
        <w:pStyle w:val="FirstParagraph"/>
      </w:pPr>
      <w:r>
        <w:rPr>
          <w:bCs/>
          <w:b/>
        </w:rPr>
        <w:t xml:space="preserve">Annual Budget</w:t>
      </w:r>
      <w:r>
        <w:t xml:space="preserve"> </w:t>
      </w:r>
      <w:r>
        <w:t xml:space="preserve">(5% LMS &amp; Technology Infrastructure line — exact Master Plan figures)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LMS &amp; Tech Budget</w:t>
            </w:r>
          </w:p>
        </w:tc>
        <w:tc>
          <w:tcPr/>
          <w:p>
            <w:pPr>
              <w:pStyle w:val="Compact"/>
              <w:jc w:val="left"/>
            </w:pPr>
            <w:r>
              <w:t xml:space="preserve">Primary Use</w:t>
            </w:r>
          </w:p>
        </w:tc>
      </w:tr>
      <w:tr>
        <w:tc>
          <w:tcPr/>
          <w:p>
            <w:pPr>
              <w:pStyle w:val="Compact"/>
              <w:jc w:val="left"/>
            </w:pPr>
            <w:r>
              <w:t xml:space="preserve">1 (2028)</w:t>
            </w:r>
          </w:p>
        </w:tc>
        <w:tc>
          <w:tcPr/>
          <w:p>
            <w:pPr>
              <w:pStyle w:val="Compact"/>
              <w:jc w:val="left"/>
            </w:pPr>
            <w:r>
              <w:t xml:space="preserve">$11,237</w:t>
            </w:r>
          </w:p>
        </w:tc>
        <w:tc>
          <w:tcPr/>
          <w:p>
            <w:pPr>
              <w:pStyle w:val="Compact"/>
              <w:jc w:val="left"/>
            </w:pPr>
            <w:r>
              <w:t xml:space="preserve">Hosting, base plugins, gateway integration fees</w:t>
            </w:r>
          </w:p>
        </w:tc>
      </w:tr>
      <w:tr>
        <w:tc>
          <w:tcPr/>
          <w:p>
            <w:pPr>
              <w:pStyle w:val="Compact"/>
              <w:jc w:val="left"/>
            </w:pPr>
            <w:r>
              <w:t xml:space="preserve">5 (2032)</w:t>
            </w:r>
          </w:p>
        </w:tc>
        <w:tc>
          <w:tcPr/>
          <w:p>
            <w:pPr>
              <w:pStyle w:val="Compact"/>
              <w:jc w:val="left"/>
            </w:pPr>
            <w:r>
              <w:t xml:space="preserve">$64,539</w:t>
            </w:r>
          </w:p>
        </w:tc>
        <w:tc>
          <w:tcPr/>
          <w:p>
            <w:pPr>
              <w:pStyle w:val="Compact"/>
              <w:jc w:val="left"/>
            </w:pPr>
            <w:r>
              <w:t xml:space="preserve">Mobile/PWA build-out, CDN, plugin licensing</w:t>
            </w:r>
          </w:p>
        </w:tc>
      </w:tr>
      <w:tr>
        <w:tc>
          <w:tcPr/>
          <w:p>
            <w:pPr>
              <w:pStyle w:val="Compact"/>
              <w:jc w:val="left"/>
            </w:pPr>
            <w:r>
              <w:t xml:space="preserve">10 (2037)</w:t>
            </w:r>
          </w:p>
        </w:tc>
        <w:tc>
          <w:tcPr/>
          <w:p>
            <w:pPr>
              <w:pStyle w:val="Compact"/>
              <w:jc w:val="left"/>
            </w:pPr>
            <w:r>
              <w:t xml:space="preserve">$191,527/yr</w:t>
            </w:r>
          </w:p>
        </w:tc>
        <w:tc>
          <w:tcPr/>
          <w:p>
            <w:pPr>
              <w:pStyle w:val="Compact"/>
              <w:jc w:val="left"/>
            </w:pPr>
            <w:r>
              <w:t xml:space="preserve">Redundant infrastructure, API/SIS integration, catalog completion</w:t>
            </w:r>
          </w:p>
        </w:tc>
      </w:tr>
      <w:tr>
        <w:tc>
          <w:tcPr/>
          <w:p>
            <w:pPr>
              <w:pStyle w:val="Compact"/>
              <w:jc w:val="left"/>
            </w:pPr>
            <w:r>
              <w:t xml:space="preserve">10-yr cumulative</w:t>
            </w:r>
          </w:p>
        </w:tc>
        <w:tc>
          <w:tcPr/>
          <w:p>
            <w:pPr>
              <w:pStyle w:val="Compact"/>
              <w:jc w:val="left"/>
            </w:pPr>
            <w:r>
              <w:t xml:space="preserve">$833,460</w:t>
            </w:r>
          </w:p>
        </w:tc>
        <w:tc>
          <w:tcPr/>
          <w:p>
            <w:pPr>
              <w:pStyle w:val="Compact"/>
              <w:jc w:val="left"/>
            </w:pPr>
            <w:r>
              <w:t xml:space="preserve">—</w:t>
            </w:r>
          </w:p>
        </w:tc>
      </w:tr>
    </w:tbl>
    <w:p>
      <w:pPr>
        <w:pStyle w:val="BodyText"/>
      </w:pPr>
      <w:r>
        <w:t xml:space="preserve">Staffing above is drawn from the separate 20% Payroll line, not from LMS &amp; Tech, to keep the technology budget dedicated to platform/infrastructure per Master Plan intent.</w:t>
      </w:r>
    </w:p>
    <w:p>
      <w:pPr>
        <w:pStyle w:val="BodyText"/>
      </w:pPr>
      <w:r>
        <w:rPr>
          <w:bCs/>
          <w:b/>
        </w:rPr>
        <w:t xml:space="preserve">KPIs</w:t>
      </w:r>
    </w:p>
    <w:p>
      <w:pPr>
        <w:pStyle w:val="BodyText"/>
      </w:pPr>
      <w:r>
        <w:t xml:space="preserve">Platform uptime (target ≥99% by Year 5); course-completion rate by tuition tier; mobile session share (target majority in Tier 3/4 regions); payment success rate per gateway; course-authoring throughput against the 71+28 catalog target.</w:t>
      </w:r>
    </w:p>
    <w:p>
      <w:pPr>
        <w:pStyle w:val="BodyText"/>
      </w:pPr>
      <w:r>
        <w:rPr>
          <w:bCs/>
          <w:b/>
        </w:rPr>
        <w:t xml:space="preserve">Risks &amp; Mitigation</w:t>
      </w:r>
    </w:p>
    <w:p>
      <w:pPr>
        <w:pStyle w:val="BodyText"/>
      </w:pPr>
      <w:r>
        <w:t xml:space="preserve">Regional payment-gateway disruption (existing register risk, MODERATE/MEDIUM) — mitigated by redundant regional gateways plus bank-transfer fallback, already codified. Single-host failure risk in Year 1 — mitigated by managed-hosting SLA and scheduled backups. Low-bandwidth attrition in Tier 3/4 regions — mitigated by mobile-first, text/audio-prioritized content design. Vendor lock-in — mitigated by open-source core (Moodle) with data portability requirements in any hosting contract.</w:t>
      </w:r>
    </w:p>
    <w:p>
      <w:pPr>
        <w:pStyle w:val="BodyText"/>
      </w:pPr>
      <w:r>
        <w:rPr>
          <w:bCs/>
          <w:b/>
        </w:rPr>
        <w:t xml:space="preserve">Timeline</w:t>
      </w:r>
    </w:p>
    <w:p>
      <w:pPr>
        <w:pStyle w:val="BodyText"/>
      </w:pPr>
      <w:r>
        <w:t xml:space="preserve">2028: core platform live. 2030: mobile-first release. 2033: full catalog + SIS bridge. 2037: platform proven at 11,021-student scale. 2038+: multi-tenant readiness for Nigeria and secular-expansion programs.</w:t>
      </w:r>
    </w:p>
    <w:p>
      <w:pPr>
        <w:pStyle w:val="BodyText"/>
      </w:pPr>
      <w:r>
        <w:rPr>
          <w:bCs/>
          <w:b/>
        </w:rPr>
        <w:t xml:space="preserve">Governance Responsibilities</w:t>
      </w:r>
    </w:p>
    <w:p>
      <w:pPr>
        <w:pStyle w:val="BodyText"/>
      </w:pPr>
      <w:r>
        <w:t xml:space="preserve">Formal Senate authority sits with</w:t>
      </w:r>
      <w:r>
        <w:t xml:space="preserve"> </w:t>
      </w:r>
      <w:r>
        <w:rPr>
          <w:bCs/>
          <w:b/>
        </w:rPr>
        <w:t xml:space="preserve">Group IV — Institutional &amp; Digital Strategy</w:t>
      </w:r>
      <w:r>
        <w:t xml:space="preserve"> </w:t>
      </w:r>
      <w:r>
        <w:t xml:space="preserve">(Director, Academic Planning &amp; LMS Infrastructure + 3 independent elected faculty), which approves platform roadmap, major vendor contracts, and budget allocation within the fixed 5% line. The</w:t>
      </w:r>
      <w:r>
        <w:t xml:space="preserve"> </w:t>
      </w:r>
      <w:r>
        <w:rPr>
          <w:bCs/>
          <w:b/>
        </w:rPr>
        <w:t xml:space="preserve">Board of Trustees</w:t>
      </w:r>
      <w:r>
        <w:t xml:space="preserve"> </w:t>
      </w:r>
      <w:r>
        <w:t xml:space="preserve">ratifies capital commitments above delegated thresholds and any contract with multi-year financial exposure. The Waqf &amp; Endowment Board has no standing role unless Waqf funds are ever proposed for Nigeria-specific LMS extension, which would require the standard $250,000 deployment threshold vote.</w:t>
      </w:r>
    </w:p>
    <w:p>
      <w:pPr>
        <w:pStyle w:val="BodyText"/>
      </w:pPr>
      <w:r>
        <w:rPr>
          <w:bCs/>
          <w:b/>
        </w:rPr>
        <w:t xml:space="preserve">Measurable Success Indicators</w:t>
      </w:r>
    </w:p>
    <w:p>
      <w:pPr>
        <w:pStyle w:val="BodyText"/>
      </w:pPr>
      <w:r>
        <w:t xml:space="preserve">By Year 5: mobile-first platform live, ≥90% payment success rate, catalog ≥50% authored. By Year 10: 71+28 catalog fully live, 99% uptime, LMS&amp;Tech spend on track at $191,527/yr, zero unmitigated gateway-disruption incidents.</w:t>
      </w:r>
    </w:p>
    <w:bookmarkEnd w:id="47"/>
    <w:bookmarkStart w:id="48" w:name="section-22-ai-strategy"/>
    <w:p>
      <w:pPr>
        <w:pStyle w:val="Heading2"/>
      </w:pPr>
      <w:r>
        <w:t xml:space="preserve">Section 22: AI Strategy</w:t>
      </w:r>
    </w:p>
    <w:p>
      <w:pPr>
        <w:pStyle w:val="FirstParagraph"/>
      </w:pPr>
      <w:r>
        <w:rPr>
          <w:bCs/>
          <w:b/>
        </w:rPr>
        <w:t xml:space="preserve">Rationale</w:t>
      </w:r>
    </w:p>
    <w:p>
      <w:pPr>
        <w:pStyle w:val="BodyText"/>
      </w:pPr>
      <w:r>
        <w:t xml:space="preserve">AMIU’s founding-decade staffing is deliberately thin; AI tools are a force-multiplier to cover admissions, advising, and tutoring gaps without inflating Payroll. But AI must never be mistaken for religious authority — every tool touching Qur’ānic, Tajweed, or fiqh-adjacent content is assistive only and subject to a hard Sharī’ah-appropriateness review gate before deployment, mirroring the existing Commercial Engine Sharī’ah-compliance risk mitigation (Independent Sharī’ah Advisory Board review/certification, bi-annual re-certification).</w:t>
      </w:r>
    </w:p>
    <w:p>
      <w:pPr>
        <w:pStyle w:val="BodyText"/>
      </w:pPr>
      <w:r>
        <w:rPr>
          <w:bCs/>
          <w:b/>
        </w:rPr>
        <w:t xml:space="preserve">Global Best Practices</w:t>
      </w:r>
    </w:p>
    <w:p>
      <w:pPr>
        <w:pStyle w:val="BodyText"/>
      </w:pPr>
      <w:r>
        <w:t xml:space="preserve">Peer institutions use low-cost, off-the-shelf AI rather than custom research labs: LMS-embedded chatbots for FAQ/advising triage (e.g., Georgia State’s Pounce-style deployment), OCR-based document verification for admissions, third-party recitation-analysis APIs (comparable to existing Tajweed-feedback consumer apps) rather than building speech models in-house, and LLM-assisted (human-reviewed) content drafting for faculty. The common thread: usage-based API pricing scaled to a few hundred–thousand students, not fixed infrastructure spend.</w:t>
      </w:r>
    </w:p>
    <w:p>
      <w:pPr>
        <w:pStyle w:val="BodyText"/>
      </w:pPr>
      <w:r>
        <w:rPr>
          <w:bCs/>
          <w:b/>
        </w:rPr>
        <w:t xml:space="preserve">Use Cases &amp; Sharī’ah Gate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Nature</w:t>
            </w:r>
          </w:p>
        </w:tc>
        <w:tc>
          <w:tcPr/>
          <w:p>
            <w:pPr>
              <w:pStyle w:val="Compact"/>
              <w:jc w:val="left"/>
            </w:pPr>
            <w:r>
              <w:t xml:space="preserve">Sharī’ah Review Required?</w:t>
            </w:r>
          </w:p>
        </w:tc>
      </w:tr>
      <w:tr>
        <w:tc>
          <w:tcPr/>
          <w:p>
            <w:pPr>
              <w:pStyle w:val="Compact"/>
              <w:jc w:val="left"/>
            </w:pPr>
            <w:r>
              <w:t xml:space="preserve">Arabic/Qur’ānic-text-aware tutoring support</w:t>
            </w:r>
          </w:p>
        </w:tc>
        <w:tc>
          <w:tcPr/>
          <w:p>
            <w:pPr>
              <w:pStyle w:val="Compact"/>
              <w:jc w:val="left"/>
            </w:pPr>
            <w:r>
              <w:t xml:space="preserve">RAG assistant over faculty-curated corpus, human-supervised</w:t>
            </w:r>
          </w:p>
        </w:tc>
        <w:tc>
          <w:tcPr/>
          <w:p>
            <w:pPr>
              <w:pStyle w:val="Compact"/>
              <w:jc w:val="left"/>
            </w:pPr>
            <w:r>
              <w:t xml:space="preserve">Yes — mandatory pre-deployment + bi-annual re-cert</w:t>
            </w:r>
          </w:p>
        </w:tc>
      </w:tr>
      <w:tr>
        <w:tc>
          <w:tcPr/>
          <w:p>
            <w:pPr>
              <w:pStyle w:val="Compact"/>
              <w:jc w:val="left"/>
            </w:pPr>
            <w:r>
              <w:t xml:space="preserve">Automated Tajweed/recitation feedback</w:t>
            </w:r>
          </w:p>
        </w:tc>
        <w:tc>
          <w:tcPr/>
          <w:p>
            <w:pPr>
              <w:pStyle w:val="Compact"/>
              <w:jc w:val="left"/>
            </w:pPr>
            <w:r>
              <w:t xml:space="preserve">Licensed third-party speech-analysis API</w:t>
            </w:r>
          </w:p>
        </w:tc>
        <w:tc>
          <w:tcPr/>
          <w:p>
            <w:pPr>
              <w:pStyle w:val="Compact"/>
              <w:jc w:val="left"/>
            </w:pPr>
            <w:r>
              <w:t xml:space="preserve">Yes</w:t>
            </w:r>
          </w:p>
        </w:tc>
      </w:tr>
      <w:tr>
        <w:tc>
          <w:tcPr/>
          <w:p>
            <w:pPr>
              <w:pStyle w:val="Compact"/>
              <w:jc w:val="left"/>
            </w:pPr>
            <w:r>
              <w:t xml:space="preserve">Admissions document verification</w:t>
            </w:r>
          </w:p>
        </w:tc>
        <w:tc>
          <w:tcPr/>
          <w:p>
            <w:pPr>
              <w:pStyle w:val="Compact"/>
              <w:jc w:val="left"/>
            </w:pPr>
            <w:r>
              <w:t xml:space="preserve">OCR + fraud-flagging for tier eligibility</w:t>
            </w:r>
          </w:p>
        </w:tc>
        <w:tc>
          <w:tcPr/>
          <w:p>
            <w:pPr>
              <w:pStyle w:val="Compact"/>
              <w:jc w:val="left"/>
            </w:pPr>
            <w:r>
              <w:t xml:space="preserve">No (administrative, non-religious)</w:t>
            </w:r>
          </w:p>
        </w:tc>
      </w:tr>
      <w:tr>
        <w:tc>
          <w:tcPr/>
          <w:p>
            <w:pPr>
              <w:pStyle w:val="Compact"/>
              <w:jc w:val="left"/>
            </w:pPr>
            <w:r>
              <w:t xml:space="preserve">Faculty content-authoring assistance</w:t>
            </w:r>
          </w:p>
        </w:tc>
        <w:tc>
          <w:tcPr/>
          <w:p>
            <w:pPr>
              <w:pStyle w:val="Compact"/>
              <w:jc w:val="left"/>
            </w:pPr>
            <w:r>
              <w:t xml:space="preserve">LLM-drafted quiz banks/translations, faculty-reviewed</w:t>
            </w:r>
          </w:p>
        </w:tc>
        <w:tc>
          <w:tcPr/>
          <w:p>
            <w:pPr>
              <w:pStyle w:val="Compact"/>
              <w:jc w:val="left"/>
            </w:pPr>
            <w:r>
              <w:t xml:space="preserve">Yes if religious-studies content</w:t>
            </w:r>
          </w:p>
        </w:tc>
      </w:tr>
      <w:tr>
        <w:tc>
          <w:tcPr/>
          <w:p>
            <w:pPr>
              <w:pStyle w:val="Compact"/>
              <w:jc w:val="left"/>
            </w:pPr>
            <w:r>
              <w:t xml:space="preserve">Student support chatbot (FAQ/advising)</w:t>
            </w:r>
          </w:p>
        </w:tc>
        <w:tc>
          <w:tcPr/>
          <w:p>
            <w:pPr>
              <w:pStyle w:val="Compact"/>
              <w:jc w:val="left"/>
            </w:pPr>
            <w:r>
              <w:t xml:space="preserve">Off-the-shelf/free-tier chatbot, non-religious scope</w:t>
            </w:r>
          </w:p>
        </w:tc>
        <w:tc>
          <w:tcPr/>
          <w:p>
            <w:pPr>
              <w:pStyle w:val="Compact"/>
              <w:jc w:val="left"/>
            </w:pPr>
            <w:r>
              <w:t xml:space="preserve">No, unless scope expands to religious Q&amp;A</w:t>
            </w:r>
          </w:p>
        </w:tc>
      </w:tr>
    </w:tbl>
    <w:p>
      <w:pPr>
        <w:pStyle w:val="BodyText"/>
      </w:pPr>
      <w:r>
        <w:rPr>
          <w:bCs/>
          <w:b/>
        </w:rPr>
        <w:t xml:space="preserve">Implementation Phases</w:t>
      </w:r>
    </w:p>
    <w:p>
      <w:pPr>
        <w:numPr>
          <w:ilvl w:val="0"/>
          <w:numId w:val="1014"/>
        </w:numPr>
        <w:pStyle w:val="Compact"/>
      </w:pPr>
      <w:r>
        <w:rPr>
          <w:bCs/>
          <w:b/>
        </w:rPr>
        <w:t xml:space="preserve">Y1–2 (2028–29):</w:t>
      </w:r>
      <w:r>
        <w:t xml:space="preserve"> </w:t>
      </w:r>
      <w:r>
        <w:t xml:space="preserve">pilot FAQ chatbot only (administrative scope, no religious content), free/low-cost tier.</w:t>
      </w:r>
    </w:p>
    <w:p>
      <w:pPr>
        <w:numPr>
          <w:ilvl w:val="0"/>
          <w:numId w:val="1014"/>
        </w:numPr>
        <w:pStyle w:val="Compact"/>
      </w:pPr>
      <w:r>
        <w:rPr>
          <w:bCs/>
          <w:b/>
        </w:rPr>
        <w:t xml:space="preserve">Y3–5 (2030–32):</w:t>
      </w:r>
      <w:r>
        <w:t xml:space="preserve"> </w:t>
      </w:r>
      <w:r>
        <w:t xml:space="preserve">licensed Tajweed-feedback tool integration; admissions OCR pilot.</w:t>
      </w:r>
    </w:p>
    <w:p>
      <w:pPr>
        <w:numPr>
          <w:ilvl w:val="0"/>
          <w:numId w:val="1014"/>
        </w:numPr>
        <w:pStyle w:val="Compact"/>
      </w:pPr>
      <w:r>
        <w:rPr>
          <w:bCs/>
          <w:b/>
        </w:rPr>
        <w:t xml:space="preserve">Y6–10 (2033–37):</w:t>
      </w:r>
      <w:r>
        <w:t xml:space="preserve"> </w:t>
      </w:r>
      <w:r>
        <w:t xml:space="preserve">curated Qur’ānic-tutoring RAG assistant (post Sharī’ah certification); chatbot scaled institution-wide.</w:t>
      </w:r>
    </w:p>
    <w:p>
      <w:pPr>
        <w:numPr>
          <w:ilvl w:val="0"/>
          <w:numId w:val="1014"/>
        </w:numPr>
        <w:pStyle w:val="Compact"/>
      </w:pPr>
      <w:r>
        <w:rPr>
          <w:bCs/>
          <w:b/>
        </w:rPr>
        <w:t xml:space="preserve">Y11+ (2038+):</w:t>
      </w:r>
      <w:r>
        <w:t xml:space="preserve"> </w:t>
      </w:r>
      <w:r>
        <w:t xml:space="preserve">secular-expansion phase may justify a dedicated Digital Learning &amp; AI Coordinator as revenue scales toward $8.36M–$93.9M.</w:t>
      </w:r>
    </w:p>
    <w:p>
      <w:pPr>
        <w:pStyle w:val="FirstParagraph"/>
      </w:pPr>
      <w:r>
        <w:rPr>
          <w:bCs/>
          <w:b/>
        </w:rPr>
        <w:t xml:space="preserve">Staffing Requirements</w:t>
      </w:r>
    </w:p>
    <w:p>
      <w:pPr>
        <w:pStyle w:val="BodyText"/>
      </w:pPr>
      <w:r>
        <w:t xml:space="preserve">No dedicated AI hire in Years 1–5; tool configuration handled by the LMS Administrator. Years 6–10: part-time (~0.5 FTE) Digital Learning &amp; AI Coordinator, Payroll-funded. The Independent Sharī’ah Advisory Board (existing volunteer/stipend body) performs certification reviews as an extension of its current mandate — not a new governance structure.</w:t>
      </w:r>
    </w:p>
    <w:p>
      <w:pPr>
        <w:pStyle w:val="BodyText"/>
      </w:pPr>
      <w:r>
        <w:rPr>
          <w:bCs/>
          <w:b/>
        </w:rPr>
        <w:t xml:space="preserve">Annual Budget</w:t>
      </w:r>
      <w:r>
        <w:t xml:space="preserve"> </w:t>
      </w:r>
      <w:r>
        <w:t xml:space="preserve">(carved from the 5% LMS &amp; Tech line, not a separate allocation)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Total LMS &amp; Tech</w:t>
            </w:r>
          </w:p>
        </w:tc>
        <w:tc>
          <w:tcPr/>
          <w:p>
            <w:pPr>
              <w:pStyle w:val="Compact"/>
              <w:jc w:val="left"/>
            </w:pPr>
            <w:r>
              <w:t xml:space="preserve">Illustrative AI Tooling Share</w:t>
            </w:r>
          </w:p>
        </w:tc>
      </w:tr>
      <w:tr>
        <w:tc>
          <w:tcPr/>
          <w:p>
            <w:pPr>
              <w:pStyle w:val="Compact"/>
              <w:jc w:val="left"/>
            </w:pPr>
            <w:r>
              <w:t xml:space="preserve">1</w:t>
            </w:r>
          </w:p>
        </w:tc>
        <w:tc>
          <w:tcPr/>
          <w:p>
            <w:pPr>
              <w:pStyle w:val="Compact"/>
              <w:jc w:val="left"/>
            </w:pPr>
            <w:r>
              <w:t xml:space="preserve">$11,237</w:t>
            </w:r>
          </w:p>
        </w:tc>
        <w:tc>
          <w:tcPr/>
          <w:p>
            <w:pPr>
              <w:pStyle w:val="Compact"/>
              <w:jc w:val="left"/>
            </w:pPr>
            <w:r>
              <w:t xml:space="preserve">~$0–1,000 (free-tier chatbot)</w:t>
            </w:r>
          </w:p>
        </w:tc>
      </w:tr>
      <w:tr>
        <w:tc>
          <w:tcPr/>
          <w:p>
            <w:pPr>
              <w:pStyle w:val="Compact"/>
              <w:jc w:val="left"/>
            </w:pPr>
            <w:r>
              <w:t xml:space="preserve">5</w:t>
            </w:r>
          </w:p>
        </w:tc>
        <w:tc>
          <w:tcPr/>
          <w:p>
            <w:pPr>
              <w:pStyle w:val="Compact"/>
              <w:jc w:val="left"/>
            </w:pPr>
            <w:r>
              <w:t xml:space="preserve">$64,539</w:t>
            </w:r>
          </w:p>
        </w:tc>
        <w:tc>
          <w:tcPr/>
          <w:p>
            <w:pPr>
              <w:pStyle w:val="Compact"/>
              <w:jc w:val="left"/>
            </w:pPr>
            <w:r>
              <w:t xml:space="preserve">~$3,000–6,000 (Tajweed API, OCR licensing)</w:t>
            </w:r>
          </w:p>
        </w:tc>
      </w:tr>
      <w:tr>
        <w:tc>
          <w:tcPr/>
          <w:p>
            <w:pPr>
              <w:pStyle w:val="Compact"/>
              <w:jc w:val="left"/>
            </w:pPr>
            <w:r>
              <w:t xml:space="preserve">10</w:t>
            </w:r>
          </w:p>
        </w:tc>
        <w:tc>
          <w:tcPr/>
          <w:p>
            <w:pPr>
              <w:pStyle w:val="Compact"/>
              <w:jc w:val="left"/>
            </w:pPr>
            <w:r>
              <w:t xml:space="preserve">$191,527</w:t>
            </w:r>
          </w:p>
        </w:tc>
        <w:tc>
          <w:tcPr/>
          <w:p>
            <w:pPr>
              <w:pStyle w:val="Compact"/>
              <w:jc w:val="left"/>
            </w:pPr>
            <w:r>
              <w:t xml:space="preserve">~$15,000–25,000 (RAG tutoring assistant, scaled chatbot)</w:t>
            </w:r>
          </w:p>
        </w:tc>
      </w:tr>
    </w:tbl>
    <w:p>
      <w:pPr>
        <w:pStyle w:val="BodyText"/>
      </w:pPr>
      <w:r>
        <w:t xml:space="preserve">No standalone</w:t>
      </w:r>
      <w:r>
        <w:t xml:space="preserve"> </w:t>
      </w:r>
      <w:r>
        <w:t xml:space="preserve">“</w:t>
      </w:r>
      <w:r>
        <w:t xml:space="preserve">AI budget line</w:t>
      </w:r>
      <w:r>
        <w:t xml:space="preserve">”</w:t>
      </w:r>
      <w:r>
        <w:t xml:space="preserve"> </w:t>
      </w:r>
      <w:r>
        <w:t xml:space="preserve">exists outside the fixed 5% allocation; any request exceeding this share competes with core LMS hosting needs and must be prioritized by Group IV Senate.</w:t>
      </w:r>
    </w:p>
    <w:p>
      <w:pPr>
        <w:pStyle w:val="BodyText"/>
      </w:pPr>
      <w:r>
        <w:rPr>
          <w:bCs/>
          <w:b/>
        </w:rPr>
        <w:t xml:space="preserve">KPIs</w:t>
      </w:r>
    </w:p>
    <w:p>
      <w:pPr>
        <w:pStyle w:val="BodyText"/>
      </w:pPr>
      <w:r>
        <w:t xml:space="preserve">Chatbot query-resolution rate; Tajweed-tool adoption % among enrolled reciters; admissions processing-time reduction; faculty hours saved on content drafting; zero confirmed Sharī’ah-compliance violations.</w:t>
      </w:r>
    </w:p>
    <w:p>
      <w:pPr>
        <w:pStyle w:val="BodyText"/>
      </w:pPr>
      <w:r>
        <w:rPr>
          <w:bCs/>
          <w:b/>
        </w:rPr>
        <w:t xml:space="preserve">Risks &amp; Mitigation</w:t>
      </w:r>
    </w:p>
    <w:p>
      <w:pPr>
        <w:pStyle w:val="BodyText"/>
      </w:pPr>
      <w:r>
        <w:t xml:space="preserve">Theological error/hallucination in religious-content tools (HIGH impact) — mitigated by mandatory Sharī’ah Advisory Board certification, human-in-the-loop review, and an explicit prohibition on autonomous fatwa- or tafsīr-generation. Voice-data privacy in recitation tools — mitigated by data-minimization and consent policy. Vendor dependency/API price shifts — mitigated by preferring usage-based, cancellable contracts. Budget overrun against the fixed 5% line — mitigated by Group IV pre-approval of any AI spend above $2,000/yr in Years 1–5.</w:t>
      </w:r>
    </w:p>
    <w:p>
      <w:pPr>
        <w:pStyle w:val="BodyText"/>
      </w:pPr>
      <w:r>
        <w:rPr>
          <w:bCs/>
          <w:b/>
        </w:rPr>
        <w:t xml:space="preserve">Governance Responsibilities</w:t>
      </w:r>
    </w:p>
    <w:p>
      <w:pPr>
        <w:pStyle w:val="BodyText"/>
      </w:pPr>
      <w:r>
        <w:rPr>
          <w:bCs/>
          <w:b/>
        </w:rPr>
        <w:t xml:space="preserve">Group IV Senate</w:t>
      </w:r>
      <w:r>
        <w:t xml:space="preserve"> </w:t>
      </w:r>
      <w:r>
        <w:t xml:space="preserve">owns AI-in-LMS strategy and budget prioritization within the fixed 5% line. Any AI tool touching religious content requires</w:t>
      </w:r>
      <w:r>
        <w:t xml:space="preserve"> </w:t>
      </w:r>
      <w:r>
        <w:rPr>
          <w:bCs/>
          <w:b/>
        </w:rPr>
        <w:t xml:space="preserve">Independent Sharī’ah Advisory Board</w:t>
      </w:r>
      <w:r>
        <w:t xml:space="preserve"> </w:t>
      </w:r>
      <w:r>
        <w:t xml:space="preserve">certification before Group IV can authorize deployment.</w:t>
      </w:r>
      <w:r>
        <w:t xml:space="preserve"> </w:t>
      </w:r>
      <w:r>
        <w:rPr>
          <w:bCs/>
          <w:b/>
        </w:rPr>
        <w:t xml:space="preserve">Board of Trustees</w:t>
      </w:r>
      <w:r>
        <w:t xml:space="preserve"> </w:t>
      </w:r>
      <w:r>
        <w:t xml:space="preserve">is briefed on any AI vendor contract with multi-year commitment.</w:t>
      </w:r>
    </w:p>
    <w:p>
      <w:pPr>
        <w:pStyle w:val="BodyText"/>
      </w:pPr>
      <w:r>
        <w:rPr>
          <w:bCs/>
          <w:b/>
        </w:rPr>
        <w:t xml:space="preserve">Timeline</w:t>
      </w:r>
    </w:p>
    <w:p>
      <w:pPr>
        <w:pStyle w:val="BodyText"/>
      </w:pPr>
      <w:r>
        <w:t xml:space="preserve">2028: chatbot pilot. 2031: Tajweed tool live. 2034: RAG tutoring assistant certified and launched. 2037: AI use cases fully integrated across all seven tiers. 2038+: coordinator role formalized as revenue scales.</w:t>
      </w:r>
    </w:p>
    <w:p>
      <w:pPr>
        <w:pStyle w:val="BodyText"/>
      </w:pPr>
      <w:r>
        <w:rPr>
          <w:bCs/>
          <w:b/>
        </w:rPr>
        <w:t xml:space="preserve">Measurable Success Indicators</w:t>
      </w:r>
    </w:p>
    <w:p>
      <w:pPr>
        <w:pStyle w:val="BodyText"/>
      </w:pPr>
      <w:r>
        <w:t xml:space="preserve">By Year 5: two AI tools live (chatbot + Tajweed), zero Sharī’ah findings. By Year 10: three to four AI use cases operational, measurable staffing-efficiency gain (e.g., admissions turnaround cut by a defined %), 100% of religious-content AI tools re-certified on schedule.</w:t>
      </w:r>
    </w:p>
    <w:bookmarkEnd w:id="48"/>
    <w:bookmarkStart w:id="49" w:name="Xf675fcb79f16e04f81c21d8bd6336305f8330d6"/>
    <w:p>
      <w:pPr>
        <w:pStyle w:val="Heading2"/>
      </w:pPr>
      <w:r>
        <w:t xml:space="preserve">Section 23: Digital Transformation Strategy</w:t>
      </w:r>
    </w:p>
    <w:p>
      <w:pPr>
        <w:pStyle w:val="FirstParagraph"/>
      </w:pPr>
      <w:r>
        <w:rPr>
          <w:bCs/>
          <w:b/>
        </w:rPr>
        <w:t xml:space="preserve">Rationale</w:t>
      </w:r>
    </w:p>
    <w:p>
      <w:pPr>
        <w:pStyle w:val="BodyText"/>
      </w:pPr>
      <w:r>
        <w:t xml:space="preserve">AMIU is a single digital operating model, not a bundle of separate IT projects. LMS, AI, payments, registrar/SIS, and cybersecurity must function as one coherent stack so a student in a Tier 4 low-bandwidth region can enroll, pay, learn, and be advised through the same lean infrastructure that a Year-10 secular-expansion learner will use on a far larger scale. The strategy explicitly phases from a minimal Year-1 stack to a mature Year-10+/Year-11+ stack as the LMS &amp; Tech budget grows from $11,237 to $191,527/yr and beyond.</w:t>
      </w:r>
    </w:p>
    <w:p>
      <w:pPr>
        <w:pStyle w:val="BodyText"/>
      </w:pPr>
      <w:r>
        <w:rPr>
          <w:bCs/>
          <w:b/>
        </w:rPr>
        <w:t xml:space="preserve">Global Best Practices</w:t>
      </w:r>
    </w:p>
    <w:p>
      <w:pPr>
        <w:pStyle w:val="BodyText"/>
      </w:pPr>
      <w:r>
        <w:t xml:space="preserve">Composable, cloud-first SaaS stacks (avoiding capex-heavy custom builds); PCI-DSS-aligned payment handling; baseline</w:t>
      </w:r>
      <w:r>
        <w:t xml:space="preserve"> </w:t>
      </w:r>
      <w:r>
        <w:t xml:space="preserve">“</w:t>
      </w:r>
      <w:r>
        <w:t xml:space="preserve">zero-trust-lite</w:t>
      </w:r>
      <w:r>
        <w:t xml:space="preserve">”</w:t>
      </w:r>
      <w:r>
        <w:t xml:space="preserve"> </w:t>
      </w:r>
      <w:r>
        <w:t xml:space="preserve">practices (MFA, encrypted backups, least-privilege access) appropriate to institutional scale rather than enterprise security-operations centers; data-governance policies modeled on GDPR-equivalent principles for a globally distributed student population handling payment and identity data across jurisdictions.</w:t>
      </w:r>
    </w:p>
    <w:p>
      <w:pPr>
        <w:pStyle w:val="BodyText"/>
      </w:pPr>
      <w:r>
        <w:rPr>
          <w:bCs/>
          <w:b/>
        </w:rPr>
        <w:t xml:space="preserve">Core Stack Components &amp; Phasing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Y1–2 (Lean)</w:t>
            </w:r>
          </w:p>
        </w:tc>
        <w:tc>
          <w:tcPr/>
          <w:p>
            <w:pPr>
              <w:pStyle w:val="Compact"/>
              <w:jc w:val="left"/>
            </w:pPr>
            <w:r>
              <w:t xml:space="preserve">Y3–5 (Growth)</w:t>
            </w:r>
          </w:p>
        </w:tc>
        <w:tc>
          <w:tcPr/>
          <w:p>
            <w:pPr>
              <w:pStyle w:val="Compact"/>
              <w:jc w:val="left"/>
            </w:pPr>
            <w:r>
              <w:t xml:space="preserve">Y6–10 (Scale)</w:t>
            </w:r>
          </w:p>
        </w:tc>
        <w:tc>
          <w:tcPr/>
          <w:p>
            <w:pPr>
              <w:pStyle w:val="Compact"/>
              <w:jc w:val="left"/>
            </w:pPr>
            <w:r>
              <w:t xml:space="preserve">Y11+ (Secular-Expansion)</w:t>
            </w:r>
          </w:p>
        </w:tc>
      </w:tr>
      <w:tr>
        <w:tc>
          <w:tcPr/>
          <w:p>
            <w:pPr>
              <w:pStyle w:val="Compact"/>
              <w:jc w:val="left"/>
            </w:pPr>
            <w:r>
              <w:t xml:space="preserve">LMS</w:t>
            </w:r>
          </w:p>
        </w:tc>
        <w:tc>
          <w:tcPr/>
          <w:p>
            <w:pPr>
              <w:pStyle w:val="Compact"/>
              <w:jc w:val="left"/>
            </w:pPr>
            <w:r>
              <w:t xml:space="preserve">Single Moodle instance</w:t>
            </w:r>
          </w:p>
        </w:tc>
        <w:tc>
          <w:tcPr/>
          <w:p>
            <w:pPr>
              <w:pStyle w:val="Compact"/>
              <w:jc w:val="left"/>
            </w:pPr>
            <w:r>
              <w:t xml:space="preserve">Mobile/PWA + plugins</w:t>
            </w:r>
          </w:p>
        </w:tc>
        <w:tc>
          <w:tcPr/>
          <w:p>
            <w:pPr>
              <w:pStyle w:val="Compact"/>
              <w:jc w:val="left"/>
            </w:pPr>
            <w:r>
              <w:t xml:space="preserve">API-integrated, redundant hosting</w:t>
            </w:r>
          </w:p>
        </w:tc>
        <w:tc>
          <w:tcPr/>
          <w:p>
            <w:pPr>
              <w:pStyle w:val="Compact"/>
              <w:jc w:val="left"/>
            </w:pPr>
            <w:r>
              <w:t xml:space="preserve">Multi-tenant</w:t>
            </w:r>
          </w:p>
        </w:tc>
      </w:tr>
      <w:tr>
        <w:tc>
          <w:tcPr/>
          <w:p>
            <w:pPr>
              <w:pStyle w:val="Compact"/>
              <w:jc w:val="left"/>
            </w:pPr>
            <w:r>
              <w:t xml:space="preserve">SIS/Registrar</w:t>
            </w:r>
          </w:p>
        </w:tc>
        <w:tc>
          <w:tcPr/>
          <w:p>
            <w:pPr>
              <w:pStyle w:val="Compact"/>
              <w:jc w:val="left"/>
            </w:pPr>
            <w:r>
              <w:t xml:space="preserve">Spreadsheet/manual</w:t>
            </w:r>
          </w:p>
        </w:tc>
        <w:tc>
          <w:tcPr/>
          <w:p>
            <w:pPr>
              <w:pStyle w:val="Compact"/>
              <w:jc w:val="left"/>
            </w:pPr>
            <w:r>
              <w:t xml:space="preserve">Dedicated light SIS software</w:t>
            </w:r>
          </w:p>
        </w:tc>
        <w:tc>
          <w:tcPr/>
          <w:p>
            <w:pPr>
              <w:pStyle w:val="Compact"/>
              <w:jc w:val="left"/>
            </w:pPr>
            <w:r>
              <w:t xml:space="preserve">LMS-SIS API integration</w:t>
            </w:r>
          </w:p>
        </w:tc>
        <w:tc>
          <w:tcPr/>
          <w:p>
            <w:pPr>
              <w:pStyle w:val="Compact"/>
              <w:jc w:val="left"/>
            </w:pPr>
            <w:r>
              <w:t xml:space="preserve">Full SIS platform</w:t>
            </w:r>
          </w:p>
        </w:tc>
      </w:tr>
      <w:tr>
        <w:tc>
          <w:tcPr/>
          <w:p>
            <w:pPr>
              <w:pStyle w:val="Compact"/>
              <w:jc w:val="left"/>
            </w:pPr>
            <w:r>
              <w:t xml:space="preserve">Payments</w:t>
            </w:r>
          </w:p>
        </w:tc>
        <w:tc>
          <w:tcPr/>
          <w:p>
            <w:pPr>
              <w:pStyle w:val="Compact"/>
              <w:jc w:val="left"/>
            </w:pPr>
            <w:r>
              <w:t xml:space="preserve">2 gateways + bank transfer</w:t>
            </w:r>
          </w:p>
        </w:tc>
        <w:tc>
          <w:tcPr/>
          <w:p>
            <w:pPr>
              <w:pStyle w:val="Compact"/>
              <w:jc w:val="left"/>
            </w:pPr>
            <w:r>
              <w:t xml:space="preserve">Regional gateway expansion</w:t>
            </w:r>
          </w:p>
        </w:tc>
        <w:tc>
          <w:tcPr/>
          <w:p>
            <w:pPr>
              <w:pStyle w:val="Compact"/>
              <w:jc w:val="left"/>
            </w:pPr>
            <w:r>
              <w:t xml:space="preserve">Automated multi-currency reconciliation</w:t>
            </w:r>
          </w:p>
        </w:tc>
        <w:tc>
          <w:tcPr/>
          <w:p>
            <w:pPr>
              <w:pStyle w:val="Compact"/>
              <w:jc w:val="left"/>
            </w:pPr>
            <w:r>
              <w:t xml:space="preserve">Enterprise payment orchestration</w:t>
            </w:r>
          </w:p>
        </w:tc>
      </w:tr>
      <w:tr>
        <w:tc>
          <w:tcPr/>
          <w:p>
            <w:pPr>
              <w:pStyle w:val="Compact"/>
              <w:jc w:val="left"/>
            </w:pPr>
            <w:r>
              <w:t xml:space="preserve">Comms</w:t>
            </w:r>
          </w:p>
        </w:tc>
        <w:tc>
          <w:tcPr/>
          <w:p>
            <w:pPr>
              <w:pStyle w:val="Compact"/>
              <w:jc w:val="left"/>
            </w:pPr>
            <w:r>
              <w:t xml:space="preserve">Email + WhatsApp (Tier 3/4)</w:t>
            </w:r>
          </w:p>
        </w:tc>
        <w:tc>
          <w:tcPr/>
          <w:p>
            <w:pPr>
              <w:pStyle w:val="Compact"/>
              <w:jc w:val="left"/>
            </w:pPr>
            <w:r>
              <w:t xml:space="preserve">CRM/admissions tracking</w:t>
            </w:r>
          </w:p>
        </w:tc>
        <w:tc>
          <w:tcPr/>
          <w:p>
            <w:pPr>
              <w:pStyle w:val="Compact"/>
              <w:jc w:val="left"/>
            </w:pPr>
            <w:r>
              <w:t xml:space="preserve">Integrated support ticketing</w:t>
            </w:r>
          </w:p>
        </w:tc>
        <w:tc>
          <w:tcPr/>
          <w:p>
            <w:pPr>
              <w:pStyle w:val="Compact"/>
              <w:jc w:val="left"/>
            </w:pPr>
            <w:r>
              <w:t xml:space="preserve">Omnichannel support</w:t>
            </w:r>
          </w:p>
        </w:tc>
      </w:tr>
      <w:tr>
        <w:tc>
          <w:tcPr/>
          <w:p>
            <w:pPr>
              <w:pStyle w:val="Compact"/>
              <w:jc w:val="left"/>
            </w:pPr>
            <w:r>
              <w:t xml:space="preserve">Security</w:t>
            </w:r>
          </w:p>
        </w:tc>
        <w:tc>
          <w:tcPr/>
          <w:p>
            <w:pPr>
              <w:pStyle w:val="Compact"/>
              <w:jc w:val="left"/>
            </w:pPr>
            <w:r>
              <w:t xml:space="preserve">Basic MFA, SSL, backups</w:t>
            </w:r>
          </w:p>
        </w:tc>
        <w:tc>
          <w:tcPr/>
          <w:p>
            <w:pPr>
              <w:pStyle w:val="Compact"/>
              <w:jc w:val="left"/>
            </w:pPr>
            <w:r>
              <w:t xml:space="preserve">Formal data-governance policy</w:t>
            </w:r>
          </w:p>
        </w:tc>
        <w:tc>
          <w:tcPr/>
          <w:p>
            <w:pPr>
              <w:pStyle w:val="Compact"/>
              <w:jc w:val="left"/>
            </w:pPr>
            <w:r>
              <w:t xml:space="preserve">Annual third-party security audit</w:t>
            </w:r>
          </w:p>
        </w:tc>
        <w:tc>
          <w:tcPr/>
          <w:p>
            <w:pPr>
              <w:pStyle w:val="Compact"/>
              <w:jc w:val="left"/>
            </w:pPr>
            <w:r>
              <w:t xml:space="preserve">Dedicated security function</w:t>
            </w:r>
          </w:p>
        </w:tc>
      </w:tr>
    </w:tbl>
    <w:p>
      <w:pPr>
        <w:pStyle w:val="BodyText"/>
      </w:pPr>
      <w:r>
        <w:rPr>
          <w:bCs/>
          <w:b/>
        </w:rPr>
        <w:t xml:space="preserve">Staffing Requirements</w:t>
      </w:r>
    </w:p>
    <w:p>
      <w:pPr>
        <w:pStyle w:val="BodyText"/>
      </w:pPr>
      <w:r>
        <w:t xml:space="preserve">Year 1: LMS Administrator doubles as digital-operations lead (Payroll line). Year 3: dedicated Registrar/SIS Coordinator. Year 5: part-time IT/Data Governance Officer. Year 10: small Digital Operations unit — LMS Manager, SIS Coordinator, Cybersecurity/Data Governance Officer, AI/Digital Learning Coordinator — all Payroll-funded, with tools/hosting on the LMS &amp; Tech line.</w:t>
      </w:r>
    </w:p>
    <w:p>
      <w:pPr>
        <w:pStyle w:val="BodyText"/>
      </w:pPr>
      <w:r>
        <w:rPr>
          <w:bCs/>
          <w:b/>
        </w:rPr>
        <w:t xml:space="preserve">Annual Budget</w:t>
      </w:r>
    </w:p>
    <w:p>
      <w:pPr>
        <w:pStyle w:val="BodyText"/>
      </w:pPr>
      <w:r>
        <w:t xml:space="preserve">Tied to the same fixed 5% LMS &amp; Tech figures ($11,237 / $64,539 / $191,527 at Years 1/5/10; $833,460 ten-year cumulative). Cybersecurity tooling (backups, MFA, monitoring, SSL) is estimated at roughly 10–15% of the LMS &amp; Tech line in early years, growing in absolute terms with the base. Payment-gateway processing fees are netted against gross transaction revenue prior to booking, not charged against this line.</w:t>
      </w:r>
    </w:p>
    <w:p>
      <w:pPr>
        <w:pStyle w:val="BodyText"/>
      </w:pPr>
      <w:r>
        <w:rPr>
          <w:bCs/>
          <w:b/>
        </w:rPr>
        <w:t xml:space="preserve">KPIs</w:t>
      </w:r>
    </w:p>
    <w:p>
      <w:pPr>
        <w:pStyle w:val="BodyText"/>
      </w:pPr>
      <w:r>
        <w:t xml:space="preserve">System uptime; zero confirmed data-breach incidents; payment success rate; SIS-LMS data-integrity accuracy; average admissions processing time; annual security-audit pass rate (from Year 6 onward).</w:t>
      </w:r>
    </w:p>
    <w:p>
      <w:pPr>
        <w:pStyle w:val="BodyText"/>
      </w:pPr>
      <w:r>
        <w:rPr>
          <w:bCs/>
          <w:b/>
        </w:rPr>
        <w:t xml:space="preserve">Risks &amp; Mitigation</w:t>
      </w:r>
    </w:p>
    <w:p>
      <w:pPr>
        <w:pStyle w:val="BodyText"/>
      </w:pPr>
      <w:r>
        <w:t xml:space="preserve">Cybersecurity breach exposing global student PII/payment data — mitigated by encryption at rest/in transit, MFA, PCI-compliant payment vendors, and a documented incident-response plan. Regional payment-gateway disruption (existing register risk) — mitigated by redundant gateways plus bank-transfer fallback. Thin-staffing talent scarcity — mitigated by outsourcing hosting/security-monitoring to managed providers in Years 1–7 rather than building in-house capacity prematurely. Technical debt/vendor lock-in as the stack matures — mitigated by preferring open standards (LTI, SCORM/xAPI, open APIs).</w:t>
      </w:r>
    </w:p>
    <w:p>
      <w:pPr>
        <w:pStyle w:val="BodyText"/>
      </w:pPr>
      <w:r>
        <w:rPr>
          <w:bCs/>
          <w:b/>
        </w:rPr>
        <w:t xml:space="preserve">Timeline</w:t>
      </w:r>
    </w:p>
    <w:p>
      <w:pPr>
        <w:pStyle w:val="BodyText"/>
      </w:pPr>
      <w:r>
        <w:t xml:space="preserve">2028: lean MVP stack live. 2030: dedicated SIS + regional gateway expansion. 2032: formal data-governance policy adopted. 2033: first third-party security audit. 2037: fully integrated, redundant Year-10 stack. 2038+: secular-expansion architecture build-out begins.</w:t>
      </w:r>
    </w:p>
    <w:p>
      <w:pPr>
        <w:pStyle w:val="BodyText"/>
      </w:pPr>
      <w:r>
        <w:rPr>
          <w:bCs/>
          <w:b/>
        </w:rPr>
        <w:t xml:space="preserve">Governance Responsibilities</w:t>
      </w:r>
    </w:p>
    <w:p>
      <w:pPr>
        <w:pStyle w:val="BodyText"/>
      </w:pPr>
      <w:r>
        <w:rPr>
          <w:bCs/>
          <w:b/>
        </w:rPr>
        <w:t xml:space="preserve">Group IV Senate</w:t>
      </w:r>
      <w:r>
        <w:t xml:space="preserve"> </w:t>
      </w:r>
      <w:r>
        <w:t xml:space="preserve">holds formal authority over the overall digital strategy and system-integration roadmap.</w:t>
      </w:r>
      <w:r>
        <w:t xml:space="preserve"> </w:t>
      </w:r>
      <w:r>
        <w:rPr>
          <w:bCs/>
          <w:b/>
        </w:rPr>
        <w:t xml:space="preserve">Board of Trustees</w:t>
      </w:r>
      <w:r>
        <w:t xml:space="preserve"> </w:t>
      </w:r>
      <w:r>
        <w:t xml:space="preserve">ratifies major system contracts and the institutional data-governance/cybersecurity policy. Data-governance policy execution is monitored operationally by the Digital Operations unit and reported to Group IV annually. The</w:t>
      </w:r>
      <w:r>
        <w:t xml:space="preserve"> </w:t>
      </w:r>
      <w:r>
        <w:rPr>
          <w:bCs/>
          <w:b/>
        </w:rPr>
        <w:t xml:space="preserve">Waqf &amp; Endowment Board</w:t>
      </w:r>
      <w:r>
        <w:t xml:space="preserve"> </w:t>
      </w:r>
      <w:r>
        <w:t xml:space="preserve">engages only if Waqf funds are proposed for Nigeria-specific digital infrastructure, subject to the standard $250,000 two-thirds/two-independent-seat deployment threshold.</w:t>
      </w:r>
    </w:p>
    <w:p>
      <w:pPr>
        <w:pStyle w:val="BodyText"/>
      </w:pPr>
      <w:r>
        <w:rPr>
          <w:bCs/>
          <w:b/>
        </w:rPr>
        <w:t xml:space="preserve">Measurable Success Indicators</w:t>
      </w:r>
    </w:p>
    <w:p>
      <w:pPr>
        <w:pStyle w:val="BodyText"/>
      </w:pPr>
      <w:r>
        <w:t xml:space="preserve">By Year 5: dedicated SIS live, formal data-governance policy adopted, zero breach incidents to date. By Year 10: full LMS-SIS-payments integration, annual security audits passing, Digital Operations unit fully staffed within Payroll budget, stack proven at 11,021-student scale ahead of secular-expansion phase.</w:t>
      </w:r>
    </w:p>
    <w:bookmarkEnd w:id="49"/>
    <w:bookmarkStart w:id="50" w:name="section-24-library-strategy"/>
    <w:p>
      <w:pPr>
        <w:pStyle w:val="Heading2"/>
      </w:pPr>
      <w:r>
        <w:t xml:space="preserve">Section 24: Library Strategy</w:t>
      </w:r>
    </w:p>
    <w:p>
      <w:pPr>
        <w:pStyle w:val="FirstParagraph"/>
      </w:pPr>
      <w:r>
        <w:rPr>
          <w:bCs/>
          <w:b/>
        </w:rPr>
        <w:t xml:space="preserve">Rationale</w:t>
      </w:r>
    </w:p>
    <w:p>
      <w:pPr>
        <w:pStyle w:val="BodyText"/>
      </w:pPr>
      <w:r>
        <w:t xml:space="preserve">Consistent with AMIU’s digital-first model, the founding-decade library is a curated digital collection, not a physical building — the only physical library contemplated in the Master Plan is the Nigeria Mega-University’s</w:t>
      </w:r>
      <w:r>
        <w:t xml:space="preserve"> </w:t>
      </w:r>
      <w:r>
        <w:t xml:space="preserve">“</w:t>
      </w:r>
      <w:r>
        <w:t xml:space="preserve">central library,</w:t>
      </w:r>
      <w:r>
        <w:t xml:space="preserve">”</w:t>
      </w:r>
      <w:r>
        <w:t xml:space="preserve"> </w:t>
      </w:r>
      <w:r>
        <w:t xml:space="preserve">targeted alongside the Year-10 (2037) charter application. Until then, library strategy must deliver rigorous research and primary-source access (Qur’ān, hadith corpora, Islamic jurisprudence, academic journals) at near-zero marginal cost.</w:t>
      </w:r>
    </w:p>
    <w:p>
      <w:pPr>
        <w:pStyle w:val="BodyText"/>
      </w:pPr>
      <w:r>
        <w:rPr>
          <w:bCs/>
          <w:b/>
        </w:rPr>
        <w:t xml:space="preserve">Global Best Practices</w:t>
      </w:r>
    </w:p>
    <w:p>
      <w:pPr>
        <w:pStyle w:val="BodyText"/>
      </w:pPr>
      <w:r>
        <w:t xml:space="preserve">Peer digital-first Islamic institutions rely on open-access Islamic-studies repositories (e.g., large public-domain hadith/tafsīr digital libraries, Internet Archive Islamic collections, open institutional repositories) supplemented by modest, targeted licensed-database subscriptions rather than broad expensive journal bundles; consortium/shared licensing lowers per-institution cost; digital library access is embedded directly into the LMS via LTI-style integration; content is delivered in low-bandwidth-friendly formats (text-first, compressed PDF/ePub) for Tier 3/4 regions.</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1</w:t>
            </w:r>
          </w:p>
        </w:tc>
        <w:tc>
          <w:tcPr/>
          <w:p>
            <w:pPr>
              <w:pStyle w:val="Compact"/>
              <w:jc w:val="left"/>
            </w:pPr>
            <w:r>
              <w:t xml:space="preserve">2028–29</w:t>
            </w:r>
          </w:p>
        </w:tc>
        <w:tc>
          <w:tcPr/>
          <w:p>
            <w:pPr>
              <w:pStyle w:val="Compact"/>
              <w:jc w:val="left"/>
            </w:pPr>
            <w:r>
              <w:t xml:space="preserve">Curate open-access Islamic-studies digital collection; minimal licensed-database spend</w:t>
            </w:r>
          </w:p>
        </w:tc>
      </w:tr>
      <w:tr>
        <w:tc>
          <w:tcPr/>
          <w:p>
            <w:pPr>
              <w:pStyle w:val="Compact"/>
              <w:jc w:val="left"/>
            </w:pPr>
            <w:r>
              <w:t xml:space="preserve">2</w:t>
            </w:r>
          </w:p>
        </w:tc>
        <w:tc>
          <w:tcPr/>
          <w:p>
            <w:pPr>
              <w:pStyle w:val="Compact"/>
              <w:jc w:val="left"/>
            </w:pPr>
            <w:r>
              <w:t xml:space="preserve">2030–32</w:t>
            </w:r>
          </w:p>
        </w:tc>
        <w:tc>
          <w:tcPr/>
          <w:p>
            <w:pPr>
              <w:pStyle w:val="Compact"/>
              <w:jc w:val="left"/>
            </w:pPr>
            <w:r>
              <w:t xml:space="preserve">Modest expansion of licensed subscriptions (regional/Arabic-language databases); LMS integration</w:t>
            </w:r>
          </w:p>
        </w:tc>
      </w:tr>
      <w:tr>
        <w:tc>
          <w:tcPr/>
          <w:p>
            <w:pPr>
              <w:pStyle w:val="Compact"/>
              <w:jc w:val="left"/>
            </w:pPr>
            <w:r>
              <w:t xml:space="preserve">3</w:t>
            </w:r>
          </w:p>
        </w:tc>
        <w:tc>
          <w:tcPr/>
          <w:p>
            <w:pPr>
              <w:pStyle w:val="Compact"/>
              <w:jc w:val="left"/>
            </w:pPr>
            <w:r>
              <w:t xml:space="preserve">2033–36</w:t>
            </w:r>
          </w:p>
        </w:tc>
        <w:tc>
          <w:tcPr/>
          <w:p>
            <w:pPr>
              <w:pStyle w:val="Compact"/>
              <w:jc w:val="left"/>
            </w:pPr>
            <w:r>
              <w:t xml:space="preserve">Institutional repository for faculty publications; digitization of AMIU’s own curriculum materials</w:t>
            </w:r>
          </w:p>
        </w:tc>
      </w:tr>
      <w:tr>
        <w:tc>
          <w:tcPr/>
          <w:p>
            <w:pPr>
              <w:pStyle w:val="Compact"/>
              <w:jc w:val="left"/>
            </w:pPr>
            <w:r>
              <w:t xml:space="preserve">4</w:t>
            </w:r>
          </w:p>
        </w:tc>
        <w:tc>
          <w:tcPr/>
          <w:p>
            <w:pPr>
              <w:pStyle w:val="Compact"/>
              <w:jc w:val="left"/>
            </w:pPr>
            <w:r>
              <w:t xml:space="preserve">2037+</w:t>
            </w:r>
          </w:p>
        </w:tc>
        <w:tc>
          <w:tcPr/>
          <w:p>
            <w:pPr>
              <w:pStyle w:val="Compact"/>
              <w:jc w:val="left"/>
            </w:pPr>
            <w:r>
              <w:t xml:space="preserve">Nigeria Mega-University central physical library planning, contingent on charter/NUC approval — scoped and funded separately from this digital budget</w:t>
            </w:r>
          </w:p>
        </w:tc>
      </w:tr>
    </w:tbl>
    <w:p>
      <w:pPr>
        <w:pStyle w:val="BodyText"/>
      </w:pPr>
      <w:r>
        <w:rPr>
          <w:bCs/>
          <w:b/>
        </w:rPr>
        <w:t xml:space="preserve">Staffing Requirements</w:t>
      </w:r>
    </w:p>
    <w:p>
      <w:pPr>
        <w:pStyle w:val="BodyText"/>
      </w:pPr>
      <w:r>
        <w:t xml:space="preserve">Years 1–4: no dedicated librarian FTE; the University Librarian Senate seat is held by a qualified faculty member/scholar on a modest stipend (Payroll line, minimal hours). Year 5: part-time (~0.5 FTE) Digital Librarian. Year 10: Digital Librarian plus a library assistant. Physical-library staffing for Nigeria is out of scope for this founding-decade budget and would be planned once the Nigeria charter is secured.</w:t>
      </w:r>
    </w:p>
    <w:p>
      <w:pPr>
        <w:pStyle w:val="BodyText"/>
      </w:pPr>
      <w:r>
        <w:rPr>
          <w:bCs/>
          <w:b/>
        </w:rPr>
        <w:t xml:space="preserve">Annual Budget</w:t>
      </w:r>
    </w:p>
    <w:p>
      <w:pPr>
        <w:pStyle w:val="BodyText"/>
      </w:pPr>
      <w:r>
        <w:t xml:space="preserve">Library digital collections/subscriptions are funded as a sub-allocation within the 5% LMS &amp; Tech line (library systems are, functionally, part of digital infrastructure).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Total LMS &amp; Tech</w:t>
            </w:r>
          </w:p>
        </w:tc>
        <w:tc>
          <w:tcPr/>
          <w:p>
            <w:pPr>
              <w:pStyle w:val="Compact"/>
              <w:jc w:val="left"/>
            </w:pPr>
            <w:r>
              <w:t xml:space="preserve">Illustrative Library Sub-Share (~10%)</w:t>
            </w:r>
          </w:p>
        </w:tc>
      </w:tr>
      <w:tr>
        <w:tc>
          <w:tcPr/>
          <w:p>
            <w:pPr>
              <w:pStyle w:val="Compact"/>
              <w:jc w:val="left"/>
            </w:pPr>
            <w:r>
              <w:t xml:space="preserve">1</w:t>
            </w:r>
          </w:p>
        </w:tc>
        <w:tc>
          <w:tcPr/>
          <w:p>
            <w:pPr>
              <w:pStyle w:val="Compact"/>
              <w:jc w:val="left"/>
            </w:pPr>
            <w:r>
              <w:t xml:space="preserve">$11,237</w:t>
            </w:r>
          </w:p>
        </w:tc>
        <w:tc>
          <w:tcPr/>
          <w:p>
            <w:pPr>
              <w:pStyle w:val="Compact"/>
              <w:jc w:val="left"/>
            </w:pPr>
            <w:r>
              <w:t xml:space="preserve">~$1,100</w:t>
            </w:r>
          </w:p>
        </w:tc>
      </w:tr>
      <w:tr>
        <w:tc>
          <w:tcPr/>
          <w:p>
            <w:pPr>
              <w:pStyle w:val="Compact"/>
              <w:jc w:val="left"/>
            </w:pPr>
            <w:r>
              <w:t xml:space="preserve">5</w:t>
            </w:r>
          </w:p>
        </w:tc>
        <w:tc>
          <w:tcPr/>
          <w:p>
            <w:pPr>
              <w:pStyle w:val="Compact"/>
              <w:jc w:val="left"/>
            </w:pPr>
            <w:r>
              <w:t xml:space="preserve">$64,539</w:t>
            </w:r>
          </w:p>
        </w:tc>
        <w:tc>
          <w:tcPr/>
          <w:p>
            <w:pPr>
              <w:pStyle w:val="Compact"/>
              <w:jc w:val="left"/>
            </w:pPr>
            <w:r>
              <w:t xml:space="preserve">~$6,450</w:t>
            </w:r>
          </w:p>
        </w:tc>
      </w:tr>
      <w:tr>
        <w:tc>
          <w:tcPr/>
          <w:p>
            <w:pPr>
              <w:pStyle w:val="Compact"/>
              <w:jc w:val="left"/>
            </w:pPr>
            <w:r>
              <w:t xml:space="preserve">10</w:t>
            </w:r>
          </w:p>
        </w:tc>
        <w:tc>
          <w:tcPr/>
          <w:p>
            <w:pPr>
              <w:pStyle w:val="Compact"/>
              <w:jc w:val="left"/>
            </w:pPr>
            <w:r>
              <w:t xml:space="preserve">$191,527</w:t>
            </w:r>
          </w:p>
        </w:tc>
        <w:tc>
          <w:tcPr/>
          <w:p>
            <w:pPr>
              <w:pStyle w:val="Compact"/>
              <w:jc w:val="left"/>
            </w:pPr>
            <w:r>
              <w:t xml:space="preserve">~$19,150</w:t>
            </w:r>
          </w:p>
        </w:tc>
      </w:tr>
    </w:tbl>
    <w:p>
      <w:pPr>
        <w:pStyle w:val="BodyText"/>
      </w:pPr>
      <w:r>
        <w:t xml:space="preserve">The Nigeria central physical library’s capital cost is</w:t>
      </w:r>
      <w:r>
        <w:t xml:space="preserve"> </w:t>
      </w:r>
      <w:r>
        <w:rPr>
          <w:bCs/>
          <w:b/>
        </w:rPr>
        <w:t xml:space="preserve">not</w:t>
      </w:r>
      <w:r>
        <w:t xml:space="preserve"> </w:t>
      </w:r>
      <w:r>
        <w:t xml:space="preserve">part of this budget; it would be scoped separately under Nigeria Mega-University capital planning, drawing on the Nigeria Mega-University Reserve sub-line ($333,383 ten-year cumulative) plus future dedicated fundraising, contingent on sovereign charter approval.</w:t>
      </w:r>
    </w:p>
    <w:p>
      <w:pPr>
        <w:pStyle w:val="BodyText"/>
      </w:pPr>
      <w:r>
        <w:rPr>
          <w:bCs/>
          <w:b/>
        </w:rPr>
        <w:t xml:space="preserve">KPIs</w:t>
      </w:r>
    </w:p>
    <w:p>
      <w:pPr>
        <w:pStyle w:val="BodyText"/>
      </w:pPr>
      <w:r>
        <w:t xml:space="preserve">Digital catalog size (titles/volumes); monthly active library usage per student; subscription cost-per-active-user; faculty repository submission count; student research-skills assessment scores.</w:t>
      </w:r>
    </w:p>
    <w:p>
      <w:pPr>
        <w:pStyle w:val="BodyText"/>
      </w:pPr>
      <w:r>
        <w:rPr>
          <w:bCs/>
          <w:b/>
        </w:rPr>
        <w:t xml:space="preserve">Risks &amp; Mitigation</w:t>
      </w:r>
    </w:p>
    <w:p>
      <w:pPr>
        <w:pStyle w:val="BodyText"/>
      </w:pPr>
      <w:r>
        <w:t xml:space="preserve">Licensing cost creep against a thin budget — mitigated by an open-access-first acquisition policy and consortium negotiation before any paid subscription. Arabic-script digitization/OCR quality issues — mitigated by prioritizing vendor-digitized sources over in-house OCR in early years. Low-bandwidth access barriers — mitigated by text-first, compressed formats. Nigeria physical library timing depends on sovereign NUC/National Assembly processes outside AMIU’s control (existing register risk) — mitigated by treating the Year-10 target as milestone-contingent while the digital collection continues uninterrupted regardless of charter timing.</w:t>
      </w:r>
    </w:p>
    <w:p>
      <w:pPr>
        <w:pStyle w:val="BodyText"/>
      </w:pPr>
      <w:r>
        <w:rPr>
          <w:bCs/>
          <w:b/>
        </w:rPr>
        <w:t xml:space="preserve">Timeline</w:t>
      </w:r>
    </w:p>
    <w:p>
      <w:pPr>
        <w:pStyle w:val="BodyText"/>
      </w:pPr>
      <w:r>
        <w:t xml:space="preserve">2028: open-access core collection live. 2030: first licensed subscriptions. 2033: institutional repository launched. 2037: Nigeria central-library planning begins (charter-contingent).</w:t>
      </w:r>
    </w:p>
    <w:p>
      <w:pPr>
        <w:pStyle w:val="BodyText"/>
      </w:pPr>
      <w:r>
        <w:rPr>
          <w:bCs/>
          <w:b/>
        </w:rPr>
        <w:t xml:space="preserve">Governance Responsibilities</w:t>
      </w:r>
    </w:p>
    <w:p>
      <w:pPr>
        <w:pStyle w:val="BodyText"/>
      </w:pPr>
      <w:r>
        <w:t xml:space="preserve">The</w:t>
      </w:r>
      <w:r>
        <w:t xml:space="preserve"> </w:t>
      </w:r>
      <w:r>
        <w:rPr>
          <w:bCs/>
          <w:b/>
        </w:rPr>
        <w:t xml:space="preserve">University Librarian</w:t>
      </w:r>
      <w:r>
        <w:t xml:space="preserve"> </w:t>
      </w:r>
      <w:r>
        <w:t xml:space="preserve">(Group II independent Senate seat) holds formal Senate authority over</w:t>
      </w:r>
      <w:r>
        <w:t xml:space="preserve"> </w:t>
      </w:r>
      <w:r>
        <w:t xml:space="preserve">“</w:t>
      </w:r>
      <w:r>
        <w:t xml:space="preserve">digital and physical library systems.</w:t>
      </w:r>
      <w:r>
        <w:t xml:space="preserve">”</w:t>
      </w:r>
      <w:r>
        <w:t xml:space="preserve"> </w:t>
      </w:r>
      <w:r>
        <w:rPr>
          <w:bCs/>
          <w:b/>
        </w:rPr>
        <w:t xml:space="preserve">Group IV Senate</w:t>
      </w:r>
      <w:r>
        <w:t xml:space="preserve"> </w:t>
      </w:r>
      <w:r>
        <w:t xml:space="preserve">coordinates on LMS-library technical integration.</w:t>
      </w:r>
      <w:r>
        <w:t xml:space="preserve"> </w:t>
      </w:r>
      <w:r>
        <w:rPr>
          <w:bCs/>
          <w:b/>
        </w:rPr>
        <w:t xml:space="preserve">Board of Trustees</w:t>
      </w:r>
      <w:r>
        <w:t xml:space="preserve"> </w:t>
      </w:r>
      <w:r>
        <w:t xml:space="preserve">ratifies major capital library decisions, including any future Nigeria central-library capital budget, and licensing contracts above delegated thresholds. The</w:t>
      </w:r>
      <w:r>
        <w:t xml:space="preserve"> </w:t>
      </w:r>
      <w:r>
        <w:rPr>
          <w:bCs/>
          <w:b/>
        </w:rPr>
        <w:t xml:space="preserve">Waqf &amp; Endowment Board</w:t>
      </w:r>
      <w:r>
        <w:t xml:space="preserve"> </w:t>
      </w:r>
      <w:r>
        <w:t xml:space="preserve">is engaged only if Waqf funds are proposed for the Nigeria physical library, subject to the $250,000 two-thirds/two-independent-seat threshold and Sharī’ah-compliant-investment constraints.</w:t>
      </w:r>
    </w:p>
    <w:p>
      <w:pPr>
        <w:pStyle w:val="BodyText"/>
      </w:pPr>
      <w:r>
        <w:rPr>
          <w:bCs/>
          <w:b/>
        </w:rPr>
        <w:t xml:space="preserve">Measurable Success Indicators</w:t>
      </w:r>
    </w:p>
    <w:p>
      <w:pPr>
        <w:pStyle w:val="BodyText"/>
      </w:pPr>
      <w:r>
        <w:t xml:space="preserve">By Year 5: digital catalog operational and LMS-integrated, part-time Digital Librarian in place. By Year 10: institutional repository active, library sub-budget tracking at ~$19,150/yr, Nigeria central-library plan initiated in step with charter (not before).</w:t>
      </w:r>
    </w:p>
    <w:bookmarkEnd w:id="50"/>
    <w:bookmarkStart w:id="51" w:name="section-25-waqf-development-strategy"/>
    <w:p>
      <w:pPr>
        <w:pStyle w:val="Heading2"/>
      </w:pPr>
      <w:r>
        <w:t xml:space="preserve">Section 25: Waqf Development Strategy</w:t>
      </w:r>
    </w:p>
    <w:p>
      <w:pPr>
        <w:pStyle w:val="FirstParagraph"/>
      </w:pPr>
      <w:r>
        <w:rPr>
          <w:bCs/>
          <w:b/>
        </w:rPr>
        <w:t xml:space="preserve">Rationale</w:t>
      </w:r>
    </w:p>
    <w:p>
      <w:pPr>
        <w:pStyle w:val="BodyText"/>
      </w:pPr>
      <w:r>
        <w:t xml:space="preserve">The Waqf &amp; Stakeholder Reserve is both a mission instrument (</w:t>
      </w:r>
      <w:r>
        <w:t xml:space="preserve">“</w:t>
      </w:r>
      <w:r>
        <w:t xml:space="preserve">covering the needy without condition</w:t>
      </w:r>
      <w:r>
        <w:t xml:space="preserve">”</w:t>
      </w:r>
      <w:r>
        <w:t xml:space="preserve">) and the seed of a genuine long-horizon Islamic endowment. This strategy operates strictly within the fixed, non-negotiable 20%-of-Gross-Revenue mechanic already adopted in the Master Plan; no new sub-category or altered percentage split is proposed here. Any future change to the mechanic itself would require a formal Senate-ratified amendment to the Master Plan’s fixed allocation framework — explicitly out of scope for this Blueprint.</w:t>
      </w:r>
    </w:p>
    <w:p>
      <w:pPr>
        <w:pStyle w:val="BodyText"/>
      </w:pPr>
      <w:r>
        <w:rPr>
          <w:bCs/>
          <w:b/>
        </w:rPr>
        <w:t xml:space="preserve">Fixed Mechanics (recap, unchanged)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Value</w:t>
            </w:r>
          </w:p>
        </w:tc>
      </w:tr>
      <w:tr>
        <w:tc>
          <w:tcPr/>
          <w:p>
            <w:pPr>
              <w:pStyle w:val="Compact"/>
              <w:jc w:val="left"/>
            </w:pPr>
            <w:r>
              <w:t xml:space="preserve">Waqf &amp; Stakeholder Reserve</w:t>
            </w:r>
          </w:p>
        </w:tc>
        <w:tc>
          <w:tcPr/>
          <w:p>
            <w:pPr>
              <w:pStyle w:val="Compact"/>
              <w:jc w:val="left"/>
            </w:pPr>
            <w:r>
              <w:t xml:space="preserve">20% of Gross Revenue, every year, fixed</w:t>
            </w:r>
          </w:p>
        </w:tc>
      </w:tr>
      <w:tr>
        <w:tc>
          <w:tcPr/>
          <w:p>
            <w:pPr>
              <w:pStyle w:val="Compact"/>
              <w:jc w:val="left"/>
            </w:pPr>
            <w:r>
              <w:t xml:space="preserve">Distributed (annually spent)</w:t>
            </w:r>
          </w:p>
        </w:tc>
        <w:tc>
          <w:tcPr/>
          <w:p>
            <w:pPr>
              <w:pStyle w:val="Compact"/>
              <w:jc w:val="left"/>
            </w:pPr>
            <w:r>
              <w:t xml:space="preserve">50% of the 20% line</w:t>
            </w:r>
          </w:p>
        </w:tc>
      </w:tr>
      <w:tr>
        <w:tc>
          <w:tcPr/>
          <w:p>
            <w:pPr>
              <w:pStyle w:val="Compact"/>
              <w:jc w:val="left"/>
            </w:pPr>
            <w:r>
              <w:t xml:space="preserve">Retained (AMIU Strategic Business Reserve)</w:t>
            </w:r>
          </w:p>
        </w:tc>
        <w:tc>
          <w:tcPr/>
          <w:p>
            <w:pPr>
              <w:pStyle w:val="Compact"/>
              <w:jc w:val="left"/>
            </w:pPr>
            <w:r>
              <w:t xml:space="preserve">50% of the 20% line, Sharī’ah-compliant investment only</w:t>
            </w:r>
          </w:p>
        </w:tc>
      </w:tr>
      <w:tr>
        <w:tc>
          <w:tcPr/>
          <w:p>
            <w:pPr>
              <w:pStyle w:val="Compact"/>
              <w:jc w:val="left"/>
            </w:pPr>
            <w:r>
              <w:t xml:space="preserve">Distributed sub-split</w:t>
            </w:r>
          </w:p>
        </w:tc>
        <w:tc>
          <w:tcPr/>
          <w:p>
            <w:pPr>
              <w:pStyle w:val="Compact"/>
              <w:jc w:val="left"/>
            </w:pPr>
            <w:r>
              <w:t xml:space="preserve">25% Islamic Schools/Mosque Support, 25% Widows &amp; Orphans, 20% Waqf Scholarship Block, 20% Nigeria Mega-University Reserve, 10% Emergency Relief</w:t>
            </w:r>
          </w:p>
        </w:tc>
      </w:tr>
      <w:tr>
        <w:tc>
          <w:tcPr/>
          <w:p>
            <w:pPr>
              <w:pStyle w:val="Compact"/>
              <w:jc w:val="left"/>
            </w:pPr>
            <w:r>
              <w:t xml:space="preserve">Ten-year cumulative (distributed sub-lines)</w:t>
            </w:r>
          </w:p>
        </w:tc>
        <w:tc>
          <w:tcPr/>
          <w:p>
            <w:pPr>
              <w:pStyle w:val="Compact"/>
              <w:jc w:val="left"/>
            </w:pPr>
            <w:r>
              <w:t xml:space="preserve">$416,729 / $416,729 / $333,383 / $333,383 / $166,692 respectively</w:t>
            </w:r>
          </w:p>
        </w:tc>
      </w:tr>
      <w:tr>
        <w:tc>
          <w:tcPr/>
          <w:p>
            <w:pPr>
              <w:pStyle w:val="Compact"/>
              <w:jc w:val="left"/>
            </w:pPr>
            <w:r>
              <w:t xml:space="preserve">Strategic Business Reserve, Year-10 cumulative balance</w:t>
            </w:r>
          </w:p>
        </w:tc>
        <w:tc>
          <w:tcPr/>
          <w:p>
            <w:pPr>
              <w:pStyle w:val="Compact"/>
              <w:jc w:val="left"/>
            </w:pPr>
            <w:r>
              <w:t xml:space="preserve">$1,240,527</w:t>
            </w:r>
          </w:p>
        </w:tc>
      </w:tr>
      <w:tr>
        <w:tc>
          <w:tcPr/>
          <w:p>
            <w:pPr>
              <w:pStyle w:val="Compact"/>
              <w:jc w:val="left"/>
            </w:pPr>
            <w:r>
              <w:t xml:space="preserve">Deployment threshold</w:t>
            </w:r>
          </w:p>
        </w:tc>
        <w:tc>
          <w:tcPr/>
          <w:p>
            <w:pPr>
              <w:pStyle w:val="Compact"/>
              <w:jc w:val="left"/>
            </w:pPr>
            <w:r>
              <w:t xml:space="preserve">Any deployment above $250,000/yr requires two-thirds Senate vote, including at least 2 of the 4 fully independent seats</w:t>
            </w:r>
          </w:p>
        </w:tc>
      </w:tr>
    </w:tbl>
    <w:p>
      <w:pPr>
        <w:pStyle w:val="BodyText"/>
      </w:pPr>
      <w:r>
        <w:rPr>
          <w:bCs/>
          <w:b/>
        </w:rPr>
        <w:t xml:space="preserve">Global Best Practices</w:t>
      </w:r>
    </w:p>
    <w:p>
      <w:pPr>
        <w:pStyle w:val="BodyText"/>
      </w:pPr>
      <w:r>
        <w:t xml:space="preserve">Classical waqf principle: preserve corpus, spend only designated returns/distributions. Modern Islamic endowment governance diversifies into Sharī’ah-compliant instruments — sukuk, Islamic equity funds, ijāra-based real assets — never interest-bearing debt or conventional insurance, consistent with AMIU’s existing Sharī’ah-compliance risk mitigation for the Commercial Engine. Leading waqf-linked universities publish annual impact reporting and use an independent Sharī’ah Advisory Board to certify investment instruments, mirroring AMIU’s existing bi-annual re-certification practice.</w:t>
      </w:r>
    </w:p>
    <w:p>
      <w:pPr>
        <w:pStyle w:val="BodyText"/>
      </w:pPr>
      <w:r>
        <w:rPr>
          <w:bCs/>
          <w:b/>
        </w:rPr>
        <w:t xml:space="preserve">Implementation Phases (2028–2050)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Milestone</w:t>
            </w:r>
          </w:p>
        </w:tc>
      </w:tr>
      <w:tr>
        <w:tc>
          <w:tcPr/>
          <w:p>
            <w:pPr>
              <w:pStyle w:val="Compact"/>
              <w:jc w:val="left"/>
            </w:pPr>
            <w:r>
              <w:t xml:space="preserve">1 — Establishment</w:t>
            </w:r>
          </w:p>
        </w:tc>
        <w:tc>
          <w:tcPr/>
          <w:p>
            <w:pPr>
              <w:pStyle w:val="Compact"/>
              <w:jc w:val="left"/>
            </w:pPr>
            <w:r>
              <w:t xml:space="preserve">2028–29</w:t>
            </w:r>
          </w:p>
        </w:tc>
        <w:tc>
          <w:tcPr/>
          <w:p>
            <w:pPr>
              <w:pStyle w:val="Compact"/>
              <w:jc w:val="left"/>
            </w:pPr>
            <w:r>
              <w:t xml:space="preserve">Reserve mechanics operationalized; seed Strategic Business Reserve in conservative, low-risk Sharī’ah-compliant instruments given small initial balances</w:t>
            </w:r>
          </w:p>
        </w:tc>
      </w:tr>
      <w:tr>
        <w:tc>
          <w:tcPr/>
          <w:p>
            <w:pPr>
              <w:pStyle w:val="Compact"/>
              <w:jc w:val="left"/>
            </w:pPr>
            <w:r>
              <w:t xml:space="preserve">2 — Formalization</w:t>
            </w:r>
          </w:p>
        </w:tc>
        <w:tc>
          <w:tcPr/>
          <w:p>
            <w:pPr>
              <w:pStyle w:val="Compact"/>
              <w:jc w:val="left"/>
            </w:pPr>
            <w:r>
              <w:t xml:space="preserve">2030–32</w:t>
            </w:r>
          </w:p>
        </w:tc>
        <w:tc>
          <w:tcPr/>
          <w:p>
            <w:pPr>
              <w:pStyle w:val="Compact"/>
              <w:jc w:val="left"/>
            </w:pPr>
            <w:r>
              <w:t xml:space="preserve">Waqf &amp; Endowment Board adopts formal Investment Policy Statement; begins modest diversification as balance grows</w:t>
            </w:r>
          </w:p>
        </w:tc>
      </w:tr>
      <w:tr>
        <w:tc>
          <w:tcPr/>
          <w:p>
            <w:pPr>
              <w:pStyle w:val="Compact"/>
              <w:jc w:val="left"/>
            </w:pPr>
            <w:r>
              <w:t xml:space="preserve">3 — Scale-Up</w:t>
            </w:r>
          </w:p>
        </w:tc>
        <w:tc>
          <w:tcPr/>
          <w:p>
            <w:pPr>
              <w:pStyle w:val="Compact"/>
              <w:jc w:val="left"/>
            </w:pPr>
            <w:r>
              <w:t xml:space="preserve">2033–37</w:t>
            </w:r>
          </w:p>
        </w:tc>
        <w:tc>
          <w:tcPr/>
          <w:p>
            <w:pPr>
              <w:pStyle w:val="Compact"/>
              <w:jc w:val="left"/>
            </w:pPr>
            <w:r>
              <w:t xml:space="preserve">Nigeria Mega-University Reserve sub-line builds toward Year-10 charter application; Strategic Business Reserve reaches $1,240,527 cumulative</w:t>
            </w:r>
          </w:p>
        </w:tc>
      </w:tr>
      <w:tr>
        <w:tc>
          <w:tcPr/>
          <w:p>
            <w:pPr>
              <w:pStyle w:val="Compact"/>
              <w:jc w:val="left"/>
            </w:pPr>
            <w:r>
              <w:t xml:space="preserve">4 — Endowment Maturation</w:t>
            </w:r>
          </w:p>
        </w:tc>
        <w:tc>
          <w:tcPr/>
          <w:p>
            <w:pPr>
              <w:pStyle w:val="Compact"/>
              <w:jc w:val="left"/>
            </w:pPr>
            <w:r>
              <w:t xml:space="preserve">2038–47</w:t>
            </w:r>
          </w:p>
        </w:tc>
        <w:tc>
          <w:tcPr/>
          <w:p>
            <w:pPr>
              <w:pStyle w:val="Compact"/>
              <w:jc w:val="left"/>
            </w:pPr>
            <w:r>
              <w:t xml:space="preserve">Secular-expansion revenue ($8.36M Y11 → $93.9M Y20) drives proportional Waqf growth; professional Sharī’ah-compliant asset management introduced; possible formal Waqf trust/foundation structuring</w:t>
            </w:r>
          </w:p>
        </w:tc>
      </w:tr>
      <w:tr>
        <w:tc>
          <w:tcPr/>
          <w:p>
            <w:pPr>
              <w:pStyle w:val="Compact"/>
              <w:jc w:val="left"/>
            </w:pPr>
            <w:r>
              <w:t xml:space="preserve">5 — Perpetual Endowment</w:t>
            </w:r>
          </w:p>
        </w:tc>
        <w:tc>
          <w:tcPr/>
          <w:p>
            <w:pPr>
              <w:pStyle w:val="Compact"/>
              <w:jc w:val="left"/>
            </w:pPr>
            <w:r>
              <w:t xml:space="preserve">2048–2050</w:t>
            </w:r>
          </w:p>
        </w:tc>
        <w:tc>
          <w:tcPr/>
          <w:p>
            <w:pPr>
              <w:pStyle w:val="Compact"/>
              <w:jc w:val="left"/>
            </w:pPr>
            <w:r>
              <w:t xml:space="preserve">Reserve operates as a mature, long-horizon Islamic endowment supporting scholarships, Nigeria and future branch campuses, the mosque/school network, and global emergency relief</w:t>
            </w:r>
          </w:p>
        </w:tc>
      </w:tr>
    </w:tbl>
    <w:p>
      <w:pPr>
        <w:pStyle w:val="BodyText"/>
      </w:pPr>
      <w:r>
        <w:rPr>
          <w:bCs/>
          <w:b/>
        </w:rPr>
        <w:t xml:space="preserve">Staffing Requirements</w:t>
      </w:r>
    </w:p>
    <w:p>
      <w:pPr>
        <w:pStyle w:val="BodyText"/>
      </w:pPr>
      <w:r>
        <w:t xml:space="preserve">Years 1–5: no dedicated Waqf staff; the Board is a volunteer fiduciary body, supported by existing Payroll-funded administrative staff for meeting/reporting logistics. Years 6–10: part-time (~0.5 FTE) Waqf Operations Officer (Payroll line) to support Board reporting and compliance. Year 11+: scale toward a full Waqf/Endowment Office as distributed sub-lines and the retained reserve grow into the millions under secular-expansion revenue.</w:t>
      </w:r>
    </w:p>
    <w:p>
      <w:pPr>
        <w:pStyle w:val="BodyText"/>
      </w:pPr>
      <w:r>
        <w:rPr>
          <w:bCs/>
          <w:b/>
        </w:rPr>
        <w:t xml:space="preserve">Annual Budget</w:t>
      </w:r>
    </w:p>
    <w:p>
      <w:pPr>
        <w:pStyle w:val="BodyText"/>
      </w:pPr>
      <w:r>
        <w:t xml:space="preserve">The Waqf line is 20% of Gross Revenue: approximately $44,951 in Year 1 (2028), ~$258,157 in Year 5, ~$766,110 in Year 10 — consistent with the Master Plan’s ten-year cumulative Waqf flow of roughly $3.33M (20% of $16,669,190), reconciling with the stated distributed sub-line total (~$1.67M) plus the reported $1,240,527 Strategic Business Reserve cumulative balance. Administrative cost of running the Waqf &amp; Endowment Board itself is funded from the Payroll/OpEx lines, never from the Waqf corpus, preserving the full 20% for mission distribution and investment and avoiding the commingling concerns already flagged in the risk register.</w:t>
      </w:r>
    </w:p>
    <w:p>
      <w:pPr>
        <w:pStyle w:val="BodyText"/>
      </w:pPr>
      <w:r>
        <w:rPr>
          <w:bCs/>
          <w:b/>
        </w:rPr>
        <w:t xml:space="preserve">KPIs</w:t>
      </w:r>
    </w:p>
    <w:p>
      <w:pPr>
        <w:pStyle w:val="BodyText"/>
      </w:pPr>
      <w:r>
        <w:t xml:space="preserve">Beneficiaries served (schools/mosques, widows/orphans, scholarship recipients); Strategic Business Reserve annual Sharī’ah-compliant return rate; reserve balance trajectory versus the $1,240,527 Year-10 benchmark; 100% compliance rate on the &gt;$250,000 deployment-vote threshold; zero Sharī’ah non-compliance findings.</w:t>
      </w:r>
    </w:p>
    <w:p>
      <w:pPr>
        <w:pStyle w:val="BodyText"/>
      </w:pPr>
      <w:r>
        <w:rPr>
          <w:bCs/>
          <w:b/>
        </w:rPr>
        <w:t xml:space="preserve">Risks &amp; Mitigation</w:t>
      </w:r>
    </w:p>
    <w:p>
      <w:pPr>
        <w:pStyle w:val="BodyText"/>
      </w:pPr>
      <w:r>
        <w:t xml:space="preserve">Sharī’ah-compliance risk in retained-reserve investment (existing register pattern, LOW likelihood/HIGH impact) — mitigated by Independent Sharī’ah Advisory Board bi-annual re-certification of all instruments. Concentration risk while the reserve is small — mitigated by conservative, low-risk Islamic instruments until scale supports diversification. Ad hoc/undisciplined deployment — mitigated by the fixed $250,000 two-thirds/two-independent-seat vote threshold. Nigeria Mega-University Reserve dependent on sovereign Nigerian accreditation processes outside AMIU’s control (existing register risk) — mitigated by ring-fencing the sub-line regardless of charter timing, with Senate-vote redeployment to scholarship/emergency lines possible if the Nigeria timeline slips. Nonprofit/for-profit commingling scrutiny (existing register risk) — mitigated by strict account segregation from any Commercial Engine activity and arm’s-length documentation for any shared services.</w:t>
      </w:r>
    </w:p>
    <w:p>
      <w:pPr>
        <w:pStyle w:val="BodyText"/>
      </w:pPr>
      <w:r>
        <w:rPr>
          <w:bCs/>
          <w:b/>
        </w:rPr>
        <w:t xml:space="preserve">Timeline</w:t>
      </w:r>
    </w:p>
    <w:p>
      <w:pPr>
        <w:pStyle w:val="BodyText"/>
      </w:pPr>
      <w:r>
        <w:t xml:space="preserve">2028: mechanics live, Board seeded. 2032: Investment Policy Statement formalized. 2037: Reserve at $1,240,527 cumulative; Nigeria charter application filed. 2042: Waqf flow scaling with $43.1M revenue base. 2047: Waqf flow scaling with $93.9M revenue base. 2050: mature perpetual endowment structure in place.</w:t>
      </w:r>
    </w:p>
    <w:p>
      <w:pPr>
        <w:pStyle w:val="BodyText"/>
      </w:pPr>
      <w:r>
        <w:rPr>
          <w:bCs/>
          <w:b/>
        </w:rPr>
        <w:t xml:space="preserve">Governance Responsibilities</w:t>
      </w:r>
    </w:p>
    <w:p>
      <w:pPr>
        <w:pStyle w:val="BodyText"/>
      </w:pPr>
      <w:r>
        <w:rPr>
          <w:bCs/>
          <w:b/>
        </w:rPr>
        <w:t xml:space="preserve">Waqf &amp; Endowment Board</w:t>
      </w:r>
      <w:r>
        <w:t xml:space="preserve"> </w:t>
      </w:r>
      <w:r>
        <w:t xml:space="preserve">holds fiduciary responsibility over the Reserve, restricted to Sharī’ah-compliant instruments only. Deployments above $250,000/yr require a two-thirds Senate vote including at least two of the four fully independent seats.</w:t>
      </w:r>
      <w:r>
        <w:t xml:space="preserve"> </w:t>
      </w:r>
      <w:r>
        <w:rPr>
          <w:bCs/>
          <w:b/>
        </w:rPr>
        <w:t xml:space="preserve">Board of Trustees</w:t>
      </w:r>
      <w:r>
        <w:t xml:space="preserve"> </w:t>
      </w:r>
      <w:r>
        <w:t xml:space="preserve">ratifies the Investment Policy Statement and retains ultimate fiduciary oversight of institutional finances. Any amendment to the fixed 20% mechanic, the 25/25/20/20/10 sub-split, or the 50/50 distribution/retention split is explicitly reserved for a future Senate-ratified Master Plan amendment, not this Blueprint.</w:t>
      </w:r>
    </w:p>
    <w:p>
      <w:pPr>
        <w:pStyle w:val="BodyText"/>
      </w:pPr>
      <w:r>
        <w:rPr>
          <w:bCs/>
          <w:b/>
        </w:rPr>
        <w:t xml:space="preserve">Measurable Success Indicators</w:t>
      </w:r>
    </w:p>
    <w:p>
      <w:pPr>
        <w:pStyle w:val="BodyText"/>
      </w:pPr>
      <w:r>
        <w:t xml:space="preserve">By Year 10 (2037): Strategic Business Reserve at $1,240,527 cumulative, all five distributed sub-lines fully funded on schedule, zero governance-threshold violations. By 2050: Waqf Reserve functioning as a diversified, professionally managed, perpetual Sharī’ah-compliant endowment materially exceeding founding-decade scale, directly funding scholarships, mosque/school networks, and campus expansion across multiple countries.</w:t>
      </w:r>
    </w:p>
    <w:p>
      <w:r>
        <w:pict>
          <v:rect style="width:0;height:1.5pt" o:hralign="center" o:hrstd="t" o:hr="t"/>
        </w:pict>
      </w:r>
    </w:p>
    <w:bookmarkEnd w:id="51"/>
    <w:bookmarkStart w:id="52" w:name="X9e5baf88a7eb7645e3787c3b7fcadbbd2b01cfc"/>
    <w:p>
      <w:pPr>
        <w:pStyle w:val="Heading2"/>
      </w:pPr>
      <w:r>
        <w:t xml:space="preserve">Part VI — Financial Growth, Marketing &amp; Branding (Sections 26–30)</w:t>
      </w:r>
    </w:p>
    <w:bookmarkEnd w:id="52"/>
    <w:bookmarkStart w:id="53" w:name="section-26-scholarship-strategy"/>
    <w:p>
      <w:pPr>
        <w:pStyle w:val="Heading2"/>
      </w:pPr>
      <w:r>
        <w:t xml:space="preserve">Section 26: Scholarship Strategy</w:t>
      </w:r>
    </w:p>
    <w:p>
      <w:pPr>
        <w:pStyle w:val="FirstParagraph"/>
      </w:pPr>
      <w:r>
        <w:rPr>
          <w:bCs/>
          <w:b/>
        </w:rPr>
        <w:t xml:space="preserve">Rationale</w:t>
      </w:r>
    </w:p>
    <w:p>
      <w:pPr>
        <w:pStyle w:val="BodyText"/>
      </w:pPr>
      <w:r>
        <w:t xml:space="preserve">AMIU’s mission commits it to spreading Islamic education</w:t>
      </w:r>
      <w:r>
        <w:t xml:space="preserve"> </w:t>
      </w:r>
      <w:r>
        <w:t xml:space="preserve">“</w:t>
      </w:r>
      <w:r>
        <w:t xml:space="preserve">at the minimum possible cost, covering the needy without condition</w:t>
      </w:r>
      <w:r>
        <w:t xml:space="preserve">”</w:t>
      </w:r>
      <w:r>
        <w:t xml:space="preserve"> </w:t>
      </w:r>
      <w:r>
        <w:t xml:space="preserve">while</w:t>
      </w:r>
      <w:r>
        <w:t xml:space="preserve"> </w:t>
      </w:r>
      <w:r>
        <w:t xml:space="preserve">“</w:t>
      </w:r>
      <w:r>
        <w:t xml:space="preserve">never sacrific[ing] financial self-sufficiency for good intentions.</w:t>
      </w:r>
      <w:r>
        <w:t xml:space="preserve">”</w:t>
      </w:r>
      <w:r>
        <w:t xml:space="preserve"> </w:t>
      </w:r>
      <w:r>
        <w:t xml:space="preserve">Scholarships are therefore not a compliance afterthought but a designed growth, retention, and da’wah instrument: they operationalize the public promise that</w:t>
      </w:r>
      <w:r>
        <w:t xml:space="preserve"> </w:t>
      </w:r>
      <w:r>
        <w:t xml:space="preserve">“</w:t>
      </w:r>
      <w:r>
        <w:t xml:space="preserve">financial capacity shall never be a barrier to knowledge</w:t>
      </w:r>
      <w:r>
        <w:t xml:space="preserve">”</w:t>
      </w:r>
      <w:r>
        <w:t xml:space="preserve"> </w:t>
      </w:r>
      <w:r>
        <w:t xml:space="preserve">while remaining fully funded through the adopted revenue architecture — never through unbudgeted goodwill.</w:t>
      </w:r>
    </w:p>
    <w:p>
      <w:pPr>
        <w:pStyle w:val="BodyText"/>
      </w:pPr>
      <w:r>
        <w:rPr>
          <w:bCs/>
          <w:b/>
        </w:rPr>
        <w:t xml:space="preserve">Global Best Practices</w:t>
      </w:r>
    </w:p>
    <w:p>
      <w:pPr>
        <w:pStyle w:val="BodyText"/>
      </w:pPr>
      <w:r>
        <w:t xml:space="preserve">Classical Islamic waqf-funded madrasah education (free tuition financed by endowment income, not current cash) is the direct model for AMIU’s Waqf Scholarship Block. Modern parallels include cash-waqf certificate programs (Malaysia, Turkey, Indonesia) that let small donors fund perpetual named scholarships, and U.S. 501(c)(3) practice requiring published, nondiscriminatory selection criteria for any means-tested or merit aid to preserve tax-exempt status.</w:t>
      </w:r>
    </w:p>
    <w:p>
      <w:pPr>
        <w:pStyle w:val="BodyText"/>
      </w:pPr>
      <w:r>
        <w:rPr>
          <w:bCs/>
          <w:b/>
        </w:rPr>
        <w:t xml:space="preserve">Architecture (Five Standing Instruments)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Mechanism</w:t>
            </w:r>
          </w:p>
        </w:tc>
        <w:tc>
          <w:tcPr/>
          <w:p>
            <w:pPr>
              <w:pStyle w:val="Compact"/>
              <w:jc w:val="left"/>
            </w:pPr>
            <w:r>
              <w:t xml:space="preserve">Funding Source</w:t>
            </w:r>
          </w:p>
        </w:tc>
      </w:tr>
      <w:tr>
        <w:tc>
          <w:tcPr/>
          <w:p>
            <w:pPr>
              <w:pStyle w:val="Compact"/>
              <w:jc w:val="left"/>
            </w:pPr>
            <w:r>
              <w:t xml:space="preserve">Waqf Scholarship Block</w:t>
            </w:r>
          </w:p>
        </w:tc>
        <w:tc>
          <w:tcPr/>
          <w:p>
            <w:pPr>
              <w:pStyle w:val="Compact"/>
              <w:jc w:val="left"/>
            </w:pPr>
            <w:r>
              <w:t xml:space="preserve">Discretionary awards drawn annually from distributed Waqf income</w:t>
            </w:r>
          </w:p>
        </w:tc>
        <w:tc>
          <w:tcPr/>
          <w:p>
            <w:pPr>
              <w:pStyle w:val="Compact"/>
              <w:jc w:val="left"/>
            </w:pPr>
            <w:r>
              <w:t xml:space="preserve">Waqf &amp; Stakeholder Reserve (20% of gross revenue)</w:t>
            </w:r>
          </w:p>
        </w:tc>
      </w:tr>
      <w:tr>
        <w:tc>
          <w:tcPr/>
          <w:p>
            <w:pPr>
              <w:pStyle w:val="Compact"/>
              <w:jc w:val="left"/>
            </w:pPr>
            <w:r>
              <w:t xml:space="preserve">Merit / Hifz Scholarships</w:t>
            </w:r>
          </w:p>
        </w:tc>
        <w:tc>
          <w:tcPr/>
          <w:p>
            <w:pPr>
              <w:pStyle w:val="Compact"/>
              <w:jc w:val="left"/>
            </w:pPr>
            <w:r>
              <w:t xml:space="preserve">Published academic and Qur’an-memorization criteria, Senate-approved</w:t>
            </w:r>
          </w:p>
        </w:tc>
        <w:tc>
          <w:tcPr/>
          <w:p>
            <w:pPr>
              <w:pStyle w:val="Compact"/>
              <w:jc w:val="left"/>
            </w:pPr>
            <w:r>
              <w:t xml:space="preserve">Waqf &amp; Stakeholder Reserve</w:t>
            </w:r>
          </w:p>
        </w:tc>
      </w:tr>
      <w:tr>
        <w:tc>
          <w:tcPr/>
          <w:p>
            <w:pPr>
              <w:pStyle w:val="Compact"/>
              <w:jc w:val="left"/>
            </w:pPr>
            <w:r>
              <w:t xml:space="preserve">Tier-4 Built-in Waivers</w:t>
            </w:r>
          </w:p>
        </w:tc>
        <w:tc>
          <w:tcPr/>
          <w:p>
            <w:pPr>
              <w:pStyle w:val="Compact"/>
              <w:jc w:val="left"/>
            </w:pPr>
            <w:r>
              <w:t xml:space="preserve">Structural, not discretionary — embedded in the Sponsored/conflict-affected tuition tier</w:t>
            </w:r>
          </w:p>
        </w:tc>
        <w:tc>
          <w:tcPr/>
          <w:p>
            <w:pPr>
              <w:pStyle w:val="Compact"/>
              <w:jc w:val="left"/>
            </w:pPr>
            <w:r>
              <w:t xml:space="preserve">Tuition pricing architecture (revenue-side, Board-set)</w:t>
            </w:r>
          </w:p>
        </w:tc>
      </w:tr>
      <w:tr>
        <w:tc>
          <w:tcPr/>
          <w:p>
            <w:pPr>
              <w:pStyle w:val="Compact"/>
              <w:jc w:val="left"/>
            </w:pPr>
            <w:r>
              <w:t xml:space="preserve">Community &amp; Institutional Nominated Seats</w:t>
            </w:r>
          </w:p>
        </w:tc>
        <w:tc>
          <w:tcPr/>
          <w:p>
            <w:pPr>
              <w:pStyle w:val="Compact"/>
              <w:jc w:val="left"/>
            </w:pPr>
            <w:r>
              <w:t xml:space="preserve">Partner mosques/organizations nominate 1–2 students/year</w:t>
            </w:r>
          </w:p>
        </w:tc>
        <w:tc>
          <w:tcPr/>
          <w:p>
            <w:pPr>
              <w:pStyle w:val="Compact"/>
              <w:jc w:val="left"/>
            </w:pPr>
            <w:r>
              <w:t xml:space="preserve">Waqf &amp; Stakeholder Reserve (administrative overlay, no incremental cost)</w:t>
            </w:r>
          </w:p>
        </w:tc>
      </w:tr>
      <w:tr>
        <w:tc>
          <w:tcPr/>
          <w:p>
            <w:pPr>
              <w:pStyle w:val="Compact"/>
              <w:jc w:val="left"/>
            </w:pPr>
            <w:r>
              <w:t xml:space="preserve">Named Sadaqah Jāriyah Scholarships</w:t>
            </w:r>
          </w:p>
        </w:tc>
        <w:tc>
          <w:tcPr/>
          <w:p>
            <w:pPr>
              <w:pStyle w:val="Compact"/>
              <w:jc w:val="left"/>
            </w:pPr>
            <w:r>
              <w:t xml:space="preserve">Donor-endowed, permanently named, publicly reported</w:t>
            </w:r>
          </w:p>
        </w:tc>
        <w:tc>
          <w:tcPr/>
          <w:p>
            <w:pPr>
              <w:pStyle w:val="Compact"/>
              <w:jc w:val="left"/>
            </w:pPr>
            <w:r>
              <w:t xml:space="preserve">Philanthropic inflow to Waqf &amp; Stakeholder Reserve (additive to tuition revenue)</w:t>
            </w:r>
          </w:p>
        </w:tc>
      </w:tr>
    </w:tbl>
    <w:p>
      <w:pPr>
        <w:pStyle w:val="BodyText"/>
      </w:pPr>
      <w:r>
        <w:rPr>
          <w:bCs/>
          <w:b/>
        </w:rPr>
        <w:t xml:space="preserve">Implementation Phases</w:t>
      </w:r>
    </w:p>
    <w:p>
      <w:pPr>
        <w:numPr>
          <w:ilvl w:val="0"/>
          <w:numId w:val="1015"/>
        </w:numPr>
        <w:pStyle w:val="Compact"/>
      </w:pPr>
      <w:r>
        <w:rPr>
          <w:bCs/>
          <w:b/>
        </w:rPr>
        <w:t xml:space="preserve">Phase 1 (2028–2029):</w:t>
      </w:r>
      <w:r>
        <w:t xml:space="preserve"> </w:t>
      </w:r>
      <w:r>
        <w:t xml:space="preserve">Tier-4 waivers operative from Day 1 (already embedded in tuition tiers). Waqf Scholarship Block runs informally, Board/Waqf Board-approved case-by-case.</w:t>
      </w:r>
    </w:p>
    <w:p>
      <w:pPr>
        <w:numPr>
          <w:ilvl w:val="0"/>
          <w:numId w:val="1015"/>
        </w:numPr>
        <w:pStyle w:val="Compact"/>
      </w:pPr>
      <w:r>
        <w:rPr>
          <w:bCs/>
          <w:b/>
        </w:rPr>
        <w:t xml:space="preserve">Phase 2 (2030–2032):</w:t>
      </w:r>
      <w:r>
        <w:t xml:space="preserve"> </w:t>
      </w:r>
      <w:r>
        <w:t xml:space="preserve">Publish formal Merit/Hifz criteria; launch first 3–5 Named Sadaqah Jāriyah scholarships tied to the Growth Scenario’s Year-5 enrollment base (3,493 students).</w:t>
      </w:r>
    </w:p>
    <w:p>
      <w:pPr>
        <w:numPr>
          <w:ilvl w:val="0"/>
          <w:numId w:val="1015"/>
        </w:numPr>
        <w:pStyle w:val="Compact"/>
      </w:pPr>
      <w:r>
        <w:rPr>
          <w:bCs/>
          <w:b/>
        </w:rPr>
        <w:t xml:space="preserve">Phase 3 (2033–2037):</w:t>
      </w:r>
      <w:r>
        <w:t xml:space="preserve"> </w:t>
      </w:r>
      <w:r>
        <w:t xml:space="preserve">Formalize Community &amp; Institutional Nominated Seats with Gambia and early Nigeria-facing mosque partners; scale named endowments in step with Waqf Reserve maturity ahead of the Year-10 Nigeria charter push.</w:t>
      </w:r>
    </w:p>
    <w:p>
      <w:pPr>
        <w:numPr>
          <w:ilvl w:val="0"/>
          <w:numId w:val="1015"/>
        </w:numPr>
        <w:pStyle w:val="Compact"/>
      </w:pPr>
      <w:r>
        <w:rPr>
          <w:bCs/>
          <w:b/>
        </w:rPr>
        <w:t xml:space="preserve">Phase 4 (2038–2050):</w:t>
      </w:r>
      <w:r>
        <w:t xml:space="preserve"> </w:t>
      </w:r>
      <w:r>
        <w:t xml:space="preserve">Transition toward principal-protected perpetual endowment funds (true waqf) as the reserve base compounds through the 20-year, $90–150M trajectory, reducing dependence on current-year distribution.</w:t>
      </w:r>
    </w:p>
    <w:p>
      <w:pPr>
        <w:pStyle w:val="FirstParagraph"/>
      </w:pPr>
      <w:r>
        <w:rPr>
          <w:bCs/>
          <w:b/>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Role</w:t>
            </w:r>
          </w:p>
        </w:tc>
        <w:tc>
          <w:tcPr/>
          <w:p>
            <w:pPr>
              <w:pStyle w:val="Compact"/>
              <w:jc w:val="left"/>
            </w:pPr>
            <w:r>
              <w:t xml:space="preserve">FTE</w:t>
            </w:r>
          </w:p>
        </w:tc>
        <w:tc>
          <w:tcPr/>
          <w:p>
            <w:pPr>
              <w:pStyle w:val="Compact"/>
              <w:jc w:val="left"/>
            </w:pPr>
            <w:r>
              <w:t xml:space="preserve">Funding</w:t>
            </w:r>
          </w:p>
        </w:tc>
      </w:tr>
      <w:tr>
        <w:tc>
          <w:tcPr/>
          <w:p>
            <w:pPr>
              <w:pStyle w:val="Compact"/>
              <w:jc w:val="left"/>
            </w:pPr>
            <w:r>
              <w:t xml:space="preserve">1</w:t>
            </w:r>
          </w:p>
        </w:tc>
        <w:tc>
          <w:tcPr/>
          <w:p>
            <w:pPr>
              <w:pStyle w:val="Compact"/>
              <w:jc w:val="left"/>
            </w:pPr>
            <w:r>
              <w:t xml:space="preserve">Scholarship duties held by Registrar/Admissions</w:t>
            </w:r>
          </w:p>
        </w:tc>
        <w:tc>
          <w:tcPr/>
          <w:p>
            <w:pPr>
              <w:pStyle w:val="Compact"/>
              <w:jc w:val="left"/>
            </w:pPr>
            <w:r>
              <w:t xml:space="preserve">0 dedicated</w:t>
            </w:r>
          </w:p>
        </w:tc>
        <w:tc>
          <w:tcPr/>
          <w:p>
            <w:pPr>
              <w:pStyle w:val="Compact"/>
              <w:jc w:val="left"/>
            </w:pPr>
            <w:r>
              <w:t xml:space="preserve">Payroll — Core Admin Staff (18%)</w:t>
            </w:r>
          </w:p>
        </w:tc>
      </w:tr>
      <w:tr>
        <w:tc>
          <w:tcPr/>
          <w:p>
            <w:pPr>
              <w:pStyle w:val="Compact"/>
              <w:jc w:val="left"/>
            </w:pPr>
            <w:r>
              <w:t xml:space="preserve">3–5</w:t>
            </w:r>
          </w:p>
        </w:tc>
        <w:tc>
          <w:tcPr/>
          <w:p>
            <w:pPr>
              <w:pStyle w:val="Compact"/>
              <w:jc w:val="left"/>
            </w:pPr>
            <w:r>
              <w:t xml:space="preserve">Scholarship &amp; Financial Aid Officer</w:t>
            </w:r>
          </w:p>
        </w:tc>
        <w:tc>
          <w:tcPr/>
          <w:p>
            <w:pPr>
              <w:pStyle w:val="Compact"/>
              <w:jc w:val="left"/>
            </w:pPr>
            <w:r>
              <w:t xml:space="preserve">0.5</w:t>
            </w:r>
          </w:p>
        </w:tc>
        <w:tc>
          <w:tcPr/>
          <w:p>
            <w:pPr>
              <w:pStyle w:val="Compact"/>
              <w:jc w:val="left"/>
            </w:pPr>
            <w:r>
              <w:t xml:space="preserve">Payroll — Core Admin Staff</w:t>
            </w:r>
          </w:p>
        </w:tc>
      </w:tr>
      <w:tr>
        <w:tc>
          <w:tcPr/>
          <w:p>
            <w:pPr>
              <w:pStyle w:val="Compact"/>
              <w:jc w:val="left"/>
            </w:pPr>
            <w:r>
              <w:t xml:space="preserve">10</w:t>
            </w:r>
          </w:p>
        </w:tc>
        <w:tc>
          <w:tcPr/>
          <w:p>
            <w:pPr>
              <w:pStyle w:val="Compact"/>
              <w:jc w:val="left"/>
            </w:pPr>
            <w:r>
              <w:t xml:space="preserve">Scholarship Officer + Waqf Donor Relations Coordinator</w:t>
            </w:r>
          </w:p>
        </w:tc>
        <w:tc>
          <w:tcPr/>
          <w:p>
            <w:pPr>
              <w:pStyle w:val="Compact"/>
              <w:jc w:val="left"/>
            </w:pPr>
            <w:r>
              <w:t xml:space="preserve">1.5</w:t>
            </w:r>
          </w:p>
        </w:tc>
        <w:tc>
          <w:tcPr/>
          <w:p>
            <w:pPr>
              <w:pStyle w:val="Compact"/>
              <w:jc w:val="left"/>
            </w:pPr>
            <w:r>
              <w:t xml:space="preserve">Payroll — Core Admin Staff (18% of $766,110 Yr10 payroll pool)</w:t>
            </w:r>
          </w:p>
        </w:tc>
      </w:tr>
    </w:tbl>
    <w:p>
      <w:pPr>
        <w:pStyle w:val="BodyText"/>
      </w:pPr>
      <w:r>
        <w:rPr>
          <w:bCs/>
          <w:b/>
        </w:rPr>
        <w:t xml:space="preserve">Annual Budget (illustrative Waqf &amp; Stakeholder Reserve pool, 20% of gross revenue)</w:t>
      </w:r>
    </w:p>
    <w:p>
      <w:pPr>
        <w:pStyle w:val="BodyText"/>
      </w:pPr>
      <w:r>
        <w:t xml:space="preserve">Year 1: $44,949 · Year 5: $258,157 · Year 10: $766,110 (10-year cumulative $3,333,838). The Waqf &amp; Endowment Board designates a Board-approved share of this pool to the Scholarship Block each year (illustratively 15–25%, rising as named-endowment income supplements distribution); the remainder funds the Nigeria Reserve sub-line and general endowment growth. Tier-4 waivers are not a cash line at all — they are structural revenue reductions already priced into the Growth Scenario figures.</w:t>
      </w:r>
    </w:p>
    <w:p>
      <w:pPr>
        <w:pStyle w:val="BodyText"/>
      </w:pPr>
      <w:r>
        <w:rPr>
          <w:bCs/>
          <w:b/>
        </w:rPr>
        <w:t xml:space="preserve">KPIs:</w:t>
      </w:r>
      <w:r>
        <w:t xml:space="preserve"> </w:t>
      </w:r>
      <w:r>
        <w:t xml:space="preserve">% of enrolled students on any aid instrument; Tier-4 share of total enrollment vs. plan; number of active Named Sadaqah Jāriyah scholarships; aided-student retention/graduation rate vs. cohort average; cost-per-named-scholarship-funded.</w:t>
      </w:r>
    </w:p>
    <w:p>
      <w:pPr>
        <w:pStyle w:val="BodyText"/>
      </w:pPr>
      <w:r>
        <w:rPr>
          <w:bCs/>
          <w:b/>
        </w:rPr>
        <w:t xml:space="preserve">Risks &amp; Mitigation:</w:t>
      </w:r>
      <w:r>
        <w:t xml:space="preserve"> </w:t>
      </w:r>
      <w:r>
        <w:t xml:space="preserve">(1) Donor concentration on a handful of named funds — mitigated by broad small-dollar cash-waqf-style campaigns. (2) Adverse selection diluting tuition revenue — mitigated by the fixed-percentage allocation ceiling on the Waqf Block, never drawing beyond distributed reserve. (3) IRS/501(c)(3) nondiscrimination exposure — mitigated by Senate-published, race/national-origin-neutral criteria and Waqf &amp; Endowment Board documentation. (4) Mission drift toward</w:t>
      </w:r>
      <w:r>
        <w:t xml:space="preserve"> </w:t>
      </w:r>
      <w:r>
        <w:t xml:space="preserve">“</w:t>
      </w:r>
      <w:r>
        <w:t xml:space="preserve">aid-only</w:t>
      </w:r>
      <w:r>
        <w:t xml:space="preserve">”</w:t>
      </w:r>
      <w:r>
        <w:t xml:space="preserve"> </w:t>
      </w:r>
      <w:r>
        <w:t xml:space="preserve">institution — mitigated by the built-in 15% upfront-payment discount and tier pricing continuing to carry the bulk of revenue.</w:t>
      </w:r>
    </w:p>
    <w:p>
      <w:pPr>
        <w:pStyle w:val="BodyText"/>
      </w:pPr>
      <w:r>
        <w:rPr>
          <w:bCs/>
          <w:b/>
        </w:rPr>
        <w:t xml:space="preserve">Timeline:</w:t>
      </w:r>
      <w:r>
        <w:t xml:space="preserve"> </w:t>
      </w:r>
      <w:r>
        <w:t xml:space="preserve">2028 Tier-4 live → 2030 Merit/Hifz published, first named funds → 2033 nominated-seats program → 2037 endowment scaling parallel to Nigeria charter → 2042+ perpetual-fund transition underway.</w:t>
      </w:r>
    </w:p>
    <w:p>
      <w:pPr>
        <w:pStyle w:val="BodyText"/>
      </w:pPr>
      <w:r>
        <w:rPr>
          <w:bCs/>
          <w:b/>
        </w:rPr>
        <w:t xml:space="preserve">Governance:</w:t>
      </w:r>
      <w:r>
        <w:t xml:space="preserve"> </w:t>
      </w:r>
      <w:r>
        <w:t xml:space="preserve">Board of Trustees retains exclusive authority over any tuition-tier discount percentage; Waqf &amp; Endowment Board governs Scholarship Block distributions and named-fund stewardship; DVC Admin &amp; Finance administers disbursement, compliance, and reporting; Senate sets and certifies Merit/Hifz academic criteria.</w:t>
      </w:r>
    </w:p>
    <w:p>
      <w:pPr>
        <w:pStyle w:val="BodyText"/>
      </w:pPr>
      <w:r>
        <w:rPr>
          <w:bCs/>
          <w:b/>
        </w:rPr>
        <w:t xml:space="preserve">Measurable Success Indicators:</w:t>
      </w:r>
      <w:r>
        <w:t xml:space="preserve"> </w:t>
      </w:r>
      <w:r>
        <w:t xml:space="preserve">By Year 5, ≥5 active named scholarships and Tier-4 enrollment tracking the Growth Scenario’s tier mix; by Year 10, a dedicated Scholarship Officer in place, Waqf Scholarship Block fully formalized, and aided-student retention at or above institutional average.</w:t>
      </w:r>
    </w:p>
    <w:bookmarkEnd w:id="53"/>
    <w:bookmarkStart w:id="54" w:name="Xc358c59d7c43ef7226959388f99f4c9db570d9e"/>
    <w:p>
      <w:pPr>
        <w:pStyle w:val="Heading2"/>
      </w:pPr>
      <w:r>
        <w:t xml:space="preserve">Section 27: Revenue Diversification Strategy</w:t>
      </w:r>
    </w:p>
    <w:p>
      <w:pPr>
        <w:pStyle w:val="FirstParagraph"/>
      </w:pPr>
      <w:r>
        <w:rPr>
          <w:bCs/>
          <w:b/>
        </w:rPr>
        <w:t xml:space="preserve">Rationale</w:t>
      </w:r>
    </w:p>
    <w:p>
      <w:pPr>
        <w:pStyle w:val="BodyText"/>
      </w:pPr>
      <w:r>
        <w:t xml:space="preserve">AMIU (the University) is, by design and by the permanent firewall separating it from AMIU Global Services LLC (the Commercial Engine), 100% tuition-funded. Diversification therefore cannot mean new capital sources — it means reducing single-point dependency</w:t>
      </w:r>
      <w:r>
        <w:t xml:space="preserve"> </w:t>
      </w:r>
      <w:r>
        <w:rPr>
          <w:iCs/>
          <w:i/>
        </w:rPr>
        <w:t xml:space="preserve">within</w:t>
      </w:r>
      <w:r>
        <w:t xml:space="preserve"> </w:t>
      </w:r>
      <w:r>
        <w:t xml:space="preserve">the tuition-funded model: growing tuition volume across tiers, capturing philanthropic Sadaqah Jāriyah inflows, and adding low-cost ancillary revenue that reinforces rather than competes with the core academic mission.</w:t>
      </w:r>
    </w:p>
    <w:p>
      <w:pPr>
        <w:pStyle w:val="BodyText"/>
      </w:pPr>
      <w:r>
        <w:rPr>
          <w:bCs/>
          <w:b/>
        </w:rPr>
        <w:t xml:space="preserve">Explicitly Out of Scope</w:t>
      </w:r>
    </w:p>
    <w:p>
      <w:pPr>
        <w:pStyle w:val="BodyText"/>
      </w:pPr>
      <w:r>
        <w:t xml:space="preserve">The Commercial Engine (agribusiness/cashew-export Gate A, real-estate Gate B) is independently capitalized by investor subscriptions under separate offering documents, exists for founders/investors, and is barred —</w:t>
      </w:r>
      <w:r>
        <w:t xml:space="preserve"> </w:t>
      </w:r>
      <w:r>
        <w:t xml:space="preserve">“</w:t>
      </w:r>
      <w:r>
        <w:t xml:space="preserve">absolute, permanent, non-negotiable</w:t>
      </w:r>
      <w:r>
        <w:t xml:space="preserve">”</w:t>
      </w:r>
      <w:r>
        <w:t xml:space="preserve"> </w:t>
      </w:r>
      <w:r>
        <w:t xml:space="preserve">— from ever funding or receiving University tuition revenue. It is not a diversification lever for AMIU and is excluded from this section entirely beyond this notice.</w:t>
      </w:r>
    </w:p>
    <w:p>
      <w:pPr>
        <w:pStyle w:val="BodyText"/>
      </w:pPr>
      <w:r>
        <w:rPr>
          <w:bCs/>
          <w:b/>
        </w:rPr>
        <w:t xml:space="preserve">Global Best Practices</w:t>
      </w:r>
    </w:p>
    <w:p>
      <w:pPr>
        <w:pStyle w:val="BodyText"/>
      </w:pPr>
      <w:r>
        <w:t xml:space="preserve">U.S. nonprofit higher education relies heavily on auxiliary/continuing-education (CPD) revenue as a high-margin, low-capital diversification layer. Islamic finance offers the cash-waqf/endowment-certificate model as a philanthropic-inflow mechanism distinct from operating revenue. Both fit AMIU’s firewalled, mission-bound structure without requiring new legal vehicles.</w:t>
      </w:r>
    </w:p>
    <w:p>
      <w:pPr>
        <w:pStyle w:val="BodyText"/>
      </w:pPr>
      <w:r>
        <w:rPr>
          <w:bCs/>
          <w:b/>
        </w:rPr>
        <w:t xml:space="preserve">Legitimate Diversification Avenues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Avenue</w:t>
            </w:r>
          </w:p>
        </w:tc>
        <w:tc>
          <w:tcPr/>
          <w:p>
            <w:pPr>
              <w:pStyle w:val="Compact"/>
              <w:jc w:val="left"/>
            </w:pPr>
            <w:r>
              <w:t xml:space="preserve">Mechanism</w:t>
            </w:r>
          </w:p>
        </w:tc>
        <w:tc>
          <w:tcPr/>
          <w:p>
            <w:pPr>
              <w:pStyle w:val="Compact"/>
              <w:jc w:val="left"/>
            </w:pPr>
            <w:r>
              <w:t xml:space="preserve">Allocation Category</w:t>
            </w:r>
          </w:p>
        </w:tc>
      </w:tr>
      <w:tr>
        <w:tc>
          <w:tcPr/>
          <w:p>
            <w:pPr>
              <w:pStyle w:val="Compact"/>
              <w:jc w:val="left"/>
            </w:pPr>
            <w:r>
              <w:t xml:space="preserve">Tiered tuition volume growth</w:t>
            </w:r>
          </w:p>
        </w:tc>
        <w:tc>
          <w:tcPr/>
          <w:p>
            <w:pPr>
              <w:pStyle w:val="Compact"/>
              <w:jc w:val="left"/>
            </w:pPr>
            <w:r>
              <w:t xml:space="preserve">Core driver: 347 (Yr1) → 3,493 (Yr5) → 11,021 (Yr10) students across 4 tiers</w:t>
            </w:r>
          </w:p>
        </w:tc>
        <w:tc>
          <w:tcPr/>
          <w:p>
            <w:pPr>
              <w:pStyle w:val="Compact"/>
              <w:jc w:val="left"/>
            </w:pPr>
            <w:r>
              <w:t xml:space="preserve">Gross Revenue base</w:t>
            </w:r>
          </w:p>
        </w:tc>
      </w:tr>
      <w:tr>
        <w:tc>
          <w:tcPr/>
          <w:p>
            <w:pPr>
              <w:pStyle w:val="Compact"/>
              <w:jc w:val="left"/>
            </w:pPr>
            <w:r>
              <w:t xml:space="preserve">Sadaqah Jāriyah / philanthropic Waqf inflows</w:t>
            </w:r>
          </w:p>
        </w:tc>
        <w:tc>
          <w:tcPr/>
          <w:p>
            <w:pPr>
              <w:pStyle w:val="Compact"/>
              <w:jc w:val="left"/>
            </w:pPr>
            <w:r>
              <w:t xml:space="preserve">Donor gifts additive to tuition, not tuition itself</w:t>
            </w:r>
          </w:p>
        </w:tc>
        <w:tc>
          <w:tcPr/>
          <w:p>
            <w:pPr>
              <w:pStyle w:val="Compact"/>
              <w:jc w:val="left"/>
            </w:pPr>
            <w:r>
              <w:t xml:space="preserve">Waqf &amp; Stakeholder Reserve (20%)</w:t>
            </w:r>
          </w:p>
        </w:tc>
      </w:tr>
      <w:tr>
        <w:tc>
          <w:tcPr/>
          <w:p>
            <w:pPr>
              <w:pStyle w:val="Compact"/>
              <w:jc w:val="left"/>
            </w:pPr>
            <w:r>
              <w:t xml:space="preserve">CPD / short-course / digital-certificate revenue</w:t>
            </w:r>
          </w:p>
        </w:tc>
        <w:tc>
          <w:tcPr/>
          <w:p>
            <w:pPr>
              <w:pStyle w:val="Compact"/>
              <w:jc w:val="left"/>
            </w:pPr>
            <w:r>
              <w:t xml:space="preserve">Low-cost, LMS-delivered, non-degree offerings for working professionals and community learners</w:t>
            </w:r>
          </w:p>
        </w:tc>
        <w:tc>
          <w:tcPr/>
          <w:p>
            <w:pPr>
              <w:pStyle w:val="Compact"/>
              <w:jc w:val="left"/>
            </w:pPr>
            <w:r>
              <w:t xml:space="preserve">LMS &amp; Technology Infrastructure (5%) for delivery; Payroll/Core Admin for coordination</w:t>
            </w:r>
          </w:p>
        </w:tc>
      </w:tr>
      <w:tr>
        <w:tc>
          <w:tcPr/>
          <w:p>
            <w:pPr>
              <w:pStyle w:val="Compact"/>
              <w:jc w:val="left"/>
            </w:pPr>
            <w:r>
              <w:t xml:space="preserve">Liquidity-Reserve-funded resilience initiatives</w:t>
            </w:r>
          </w:p>
        </w:tc>
        <w:tc>
          <w:tcPr/>
          <w:p>
            <w:pPr>
              <w:pStyle w:val="Compact"/>
              <w:jc w:val="left"/>
            </w:pPr>
            <w:r>
              <w:t xml:space="preserve">Reserve-funded forward investment (campus expansion, accreditation costs), not new revenue but risk buffer enabling growth</w:t>
            </w:r>
          </w:p>
        </w:tc>
        <w:tc>
          <w:tcPr/>
          <w:p>
            <w:pPr>
              <w:pStyle w:val="Compact"/>
              <w:jc w:val="left"/>
            </w:pPr>
            <w:r>
              <w:t xml:space="preserve">Liquidity Reserve (35%)</w:t>
            </w:r>
          </w:p>
        </w:tc>
      </w:tr>
    </w:tbl>
    <w:p>
      <w:pPr>
        <w:pStyle w:val="BodyText"/>
      </w:pPr>
      <w:r>
        <w:rPr>
          <w:bCs/>
          <w:b/>
        </w:rPr>
        <w:t xml:space="preserve">Implementation Phases</w:t>
      </w:r>
    </w:p>
    <w:p>
      <w:pPr>
        <w:numPr>
          <w:ilvl w:val="0"/>
          <w:numId w:val="1016"/>
        </w:numPr>
        <w:pStyle w:val="Compact"/>
      </w:pPr>
      <w:r>
        <w:rPr>
          <w:bCs/>
          <w:b/>
        </w:rPr>
        <w:t xml:space="preserve">Phase 1 (2028–2029):</w:t>
      </w:r>
      <w:r>
        <w:t xml:space="preserve"> </w:t>
      </w:r>
      <w:r>
        <w:t xml:space="preserve">Tuition-volume growth is the sole active lever; informal small-dollar Sadaqah appeals begin.</w:t>
      </w:r>
    </w:p>
    <w:p>
      <w:pPr>
        <w:numPr>
          <w:ilvl w:val="0"/>
          <w:numId w:val="1016"/>
        </w:numPr>
        <w:pStyle w:val="Compact"/>
      </w:pPr>
      <w:r>
        <w:rPr>
          <w:bCs/>
          <w:b/>
        </w:rPr>
        <w:t xml:space="preserve">Phase 2 (2030–2032):</w:t>
      </w:r>
      <w:r>
        <w:t xml:space="preserve"> </w:t>
      </w:r>
      <w:r>
        <w:t xml:space="preserve">Launch a CPD catalog (5–10 short Islamic-studies, Arabic, and professional-development courses) on the existing LMS; formalize the first structured Sadaqah Jāriyah campaign (feeding Section 26’s named scholarships).</w:t>
      </w:r>
    </w:p>
    <w:p>
      <w:pPr>
        <w:numPr>
          <w:ilvl w:val="0"/>
          <w:numId w:val="1016"/>
        </w:numPr>
        <w:pStyle w:val="Compact"/>
      </w:pPr>
      <w:r>
        <w:rPr>
          <w:bCs/>
          <w:b/>
        </w:rPr>
        <w:t xml:space="preserve">Phase 3 (2033–2037):</w:t>
      </w:r>
      <w:r>
        <w:t xml:space="preserve"> </w:t>
      </w:r>
      <w:r>
        <w:t xml:space="preserve">Scale CPD enrollment alongside Tier-3 growth markets; Nigeria Reserve sub-line philanthropy grows ahead of the Year-10 charter push.</w:t>
      </w:r>
    </w:p>
    <w:p>
      <w:pPr>
        <w:numPr>
          <w:ilvl w:val="0"/>
          <w:numId w:val="1016"/>
        </w:numPr>
        <w:pStyle w:val="Compact"/>
      </w:pPr>
      <w:r>
        <w:rPr>
          <w:bCs/>
          <w:b/>
        </w:rPr>
        <w:t xml:space="preserve">Phase 4 (2038–2050):</w:t>
      </w:r>
      <w:r>
        <w:t xml:space="preserve"> </w:t>
      </w:r>
      <w:r>
        <w:t xml:space="preserve">Post-secular-accreditation surge (Year 11–12) broadens the CPD audience; diversification avenues mature but remain supplementary — tuition stays the core per canon.</w:t>
      </w:r>
    </w:p>
    <w:p>
      <w:pPr>
        <w:pStyle w:val="FirstParagraph"/>
      </w:pPr>
      <w:r>
        <w:rPr>
          <w:bCs/>
          <w:b/>
        </w:rPr>
        <w:t xml:space="preserve">Staffing</w:t>
      </w:r>
    </w:p>
    <w:p>
      <w:pPr>
        <w:pStyle w:val="BodyText"/>
      </w:pPr>
      <w:r>
        <w:t xml:space="preserve">CPD Program Coordinator (0.5 FTE from Year 3, scaling to 1.0 FTE by Year 10) and a Development/Waqf Fundraising Officer (0.5 FTE from Year 5) — both funded via Payroll’s Core Admin Staff sub-line (18% of the 20% Payroll allocation: $8,091 Yr1 pool, $137,900 Yr10 pool, shared across all Core Admin roles).</w:t>
      </w:r>
    </w:p>
    <w:p>
      <w:pPr>
        <w:pStyle w:val="BodyText"/>
      </w:pPr>
      <w:r>
        <w:rPr>
          <w:bCs/>
          <w:b/>
        </w:rPr>
        <w:t xml:space="preserve">Annual Budget</w:t>
      </w:r>
    </w:p>
    <w:p>
      <w:pPr>
        <w:pStyle w:val="BodyText"/>
      </w:pPr>
      <w:r>
        <w:t xml:space="preserve">CPD content development and LMS hosting draw from LMS &amp; Technology Infrastructure (5%): Year 1 $11,237, Year 5 $64,539, Year 10 $191,527. Donor-campaign costs for Sadaqah Jāriyah appeals fold into Da’wah &amp; Community Outreach (5%), the same figures per year, since donor engagement overlaps with community outreach. No new allocation bucket is created — diversification is deliberately funded from existing lean lines, consistent with the fixed seven-category model.</w:t>
      </w:r>
    </w:p>
    <w:p>
      <w:pPr>
        <w:pStyle w:val="BodyText"/>
      </w:pPr>
      <w:r>
        <w:rPr>
          <w:bCs/>
          <w:b/>
        </w:rPr>
        <w:t xml:space="preserve">KPIs:</w:t>
      </w:r>
      <w:r>
        <w:t xml:space="preserve"> </w:t>
      </w:r>
      <w:r>
        <w:t xml:space="preserve">CPD revenue as % of total revenue (target modest, 1–3% by Year 10 — additive, not core); Sadaqah Jāriyah dollars raised per year; donor count and repeat-donor rate; Waqf Reserve growth vs. the $3,333,838 ten-year plan.</w:t>
      </w:r>
    </w:p>
    <w:p>
      <w:pPr>
        <w:pStyle w:val="BodyText"/>
      </w:pPr>
      <w:r>
        <w:rPr>
          <w:bCs/>
          <w:b/>
        </w:rPr>
        <w:t xml:space="preserve">Risks &amp; Mitigation:</w:t>
      </w:r>
      <w:r>
        <w:t xml:space="preserve"> </w:t>
      </w:r>
      <w:r>
        <w:t xml:space="preserve">Mission dilution if CPD behaves like a for-profit venture — mitigated by Board oversight and mission-bound course selection. Reputational confusion with the Commercial Engine — mitigated by strict firewall disclosure language on all fundraising and CPD materials. Donor fatigue in resource-constrained Muslim communities — mitigated by modest ask sizes and Sadaqah Jāriyah framed as ongoing reward, not one-time extraction. Overreliance risk — explicitly bounded: diversification stays supplementary to the tuition core.</w:t>
      </w:r>
    </w:p>
    <w:p>
      <w:pPr>
        <w:pStyle w:val="BodyText"/>
      </w:pPr>
      <w:r>
        <w:rPr>
          <w:bCs/>
          <w:b/>
        </w:rPr>
        <w:t xml:space="preserve">Timeline:</w:t>
      </w:r>
      <w:r>
        <w:t xml:space="preserve"> </w:t>
      </w:r>
      <w:r>
        <w:t xml:space="preserve">2028 tuition-only → 2030 CPD pilot + first Sadaqah campaign → 2033 CPD scaling → 2038+ diversification mature but proportionally minor.</w:t>
      </w:r>
    </w:p>
    <w:p>
      <w:pPr>
        <w:pStyle w:val="BodyText"/>
      </w:pPr>
      <w:r>
        <w:rPr>
          <w:bCs/>
          <w:b/>
        </w:rPr>
        <w:t xml:space="preserve">Governance:</w:t>
      </w:r>
      <w:r>
        <w:t xml:space="preserve"> </w:t>
      </w:r>
      <w:r>
        <w:t xml:space="preserve">Board of Trustees retains exclusive tuition/fee-setting authority governing volume-growth pricing decisions; Waqf &amp; Endowment Board governs all philanthropic inflows; DVC Admin &amp; Finance owns CPD P&amp;L and LMS/Operating budget execution; the Commercial Engine remains entirely outside AMIU governance, reinforcing the firewall boundary.</w:t>
      </w:r>
    </w:p>
    <w:p>
      <w:pPr>
        <w:pStyle w:val="BodyText"/>
      </w:pPr>
      <w:r>
        <w:rPr>
          <w:bCs/>
          <w:b/>
        </w:rPr>
        <w:t xml:space="preserve">Measurable Success Indicators:</w:t>
      </w:r>
      <w:r>
        <w:t xml:space="preserve"> </w:t>
      </w:r>
      <w:r>
        <w:t xml:space="preserve">By Year 5, an active CPD catalog and first named Sadaqah Jāriyah funds; by Year 10, diversified inflows measurably reducing single-year tuition-shock exposure while tuition remains &gt;95% of gross revenue.</w:t>
      </w:r>
    </w:p>
    <w:bookmarkEnd w:id="54"/>
    <w:bookmarkStart w:id="55" w:name="section-28-marketing-strategy"/>
    <w:p>
      <w:pPr>
        <w:pStyle w:val="Heading2"/>
      </w:pPr>
      <w:r>
        <w:t xml:space="preserve">Section 28: Marketing Strategy</w:t>
      </w:r>
    </w:p>
    <w:p>
      <w:pPr>
        <w:pStyle w:val="FirstParagraph"/>
      </w:pPr>
      <w:r>
        <w:rPr>
          <w:bCs/>
          <w:b/>
        </w:rPr>
        <w:t xml:space="preserve">Rationale</w:t>
      </w:r>
    </w:p>
    <w:p>
      <w:pPr>
        <w:pStyle w:val="BodyText"/>
      </w:pPr>
      <w:r>
        <w:t xml:space="preserve">The entire global Marketing &amp; Student Acquisition budget is $22,475 in Year 1, rising to $383,055/year by Year 10 — a bootstrapping, near-zero-CAC constraint that mandates grassroots, referral-driven acquisition over paid advertising. This is a strength, not a limitation: it mirrors how existing large-scale Islamic online education has actually grown — through mosque networks, community trust, and word-of-mouth — rather than brand-agency campaigns.</w:t>
      </w:r>
    </w:p>
    <w:p>
      <w:pPr>
        <w:pStyle w:val="BodyText"/>
      </w:pPr>
      <w:r>
        <w:rPr>
          <w:bCs/>
          <w:b/>
        </w:rPr>
        <w:t xml:space="preserve">Global Best Practices</w:t>
      </w:r>
    </w:p>
    <w:p>
      <w:pPr>
        <w:pStyle w:val="BodyText"/>
      </w:pPr>
      <w:r>
        <w:t xml:space="preserve">Low-CAC growth models rely on ambassador/referral programs, WhatsApp and Facebook community groups, and mosque-partnership networks — proven channels in online Islamic education and diaspora community organizing. EdTech funnel discipline (inquiry → advising → enrollment → referral) applies directly, using lightweight CRM tooling rather than expensive marketing automation suites.</w:t>
      </w:r>
    </w:p>
    <w:p>
      <w:pPr>
        <w:pStyle w:val="BodyText"/>
      </w:pPr>
      <w:r>
        <w:rPr>
          <w:bCs/>
          <w:b/>
        </w:rPr>
        <w:t xml:space="preserve">Country-Tier Messaging &amp; Channels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Emphasis</w:t>
            </w:r>
          </w:p>
        </w:tc>
        <w:tc>
          <w:tcPr/>
          <w:p>
            <w:pPr>
              <w:pStyle w:val="Compact"/>
              <w:jc w:val="left"/>
            </w:pPr>
            <w:r>
              <w:t xml:space="preserve">Primary Channels</w:t>
            </w:r>
          </w:p>
        </w:tc>
      </w:tr>
      <w:tr>
        <w:tc>
          <w:tcPr/>
          <w:p>
            <w:pPr>
              <w:pStyle w:val="Compact"/>
              <w:jc w:val="left"/>
            </w:pPr>
            <w:r>
              <w:t xml:space="preserve">Tier 1 (Premium)</w:t>
            </w:r>
          </w:p>
        </w:tc>
        <w:tc>
          <w:tcPr/>
          <w:p>
            <w:pPr>
              <w:pStyle w:val="Compact"/>
              <w:jc w:val="left"/>
            </w:pPr>
            <w:r>
              <w:t xml:space="preserve">Rigor, credential trajectory, global recognition</w:t>
            </w:r>
          </w:p>
        </w:tc>
        <w:tc>
          <w:tcPr/>
          <w:p>
            <w:pPr>
              <w:pStyle w:val="Compact"/>
              <w:jc w:val="left"/>
            </w:pPr>
            <w:r>
              <w:t xml:space="preserve">LinkedIn, diaspora mosque boards, email, alumni networks</w:t>
            </w:r>
          </w:p>
        </w:tc>
      </w:tr>
      <w:tr>
        <w:tc>
          <w:tcPr/>
          <w:p>
            <w:pPr>
              <w:pStyle w:val="Compact"/>
              <w:jc w:val="left"/>
            </w:pPr>
            <w:r>
              <w:t xml:space="preserve">Tier 2 (Standard)</w:t>
            </w:r>
          </w:p>
        </w:tc>
        <w:tc>
          <w:tcPr/>
          <w:p>
            <w:pPr>
              <w:pStyle w:val="Compact"/>
              <w:jc w:val="left"/>
            </w:pPr>
            <w:r>
              <w:t xml:space="preserve">Balanced value + accessibility</w:t>
            </w:r>
          </w:p>
        </w:tc>
        <w:tc>
          <w:tcPr/>
          <w:p>
            <w:pPr>
              <w:pStyle w:val="Compact"/>
              <w:jc w:val="left"/>
            </w:pPr>
            <w:r>
              <w:t xml:space="preserve">Social media, community referral</w:t>
            </w:r>
          </w:p>
        </w:tc>
      </w:tr>
      <w:tr>
        <w:tc>
          <w:tcPr/>
          <w:p>
            <w:pPr>
              <w:pStyle w:val="Compact"/>
              <w:jc w:val="left"/>
            </w:pPr>
            <w:r>
              <w:t xml:space="preserve">Tier 3 (Accessible: Nigeria/Pakistan/Bangladesh/India/Indonesia)</w:t>
            </w:r>
          </w:p>
        </w:tc>
        <w:tc>
          <w:tcPr/>
          <w:p>
            <w:pPr>
              <w:pStyle w:val="Compact"/>
              <w:jc w:val="left"/>
            </w:pPr>
            <w:r>
              <w:t xml:space="preserve">Affordability, stackable ladder, scholarship</w:t>
            </w:r>
          </w:p>
        </w:tc>
        <w:tc>
          <w:tcPr/>
          <w:p>
            <w:pPr>
              <w:pStyle w:val="Compact"/>
              <w:jc w:val="left"/>
            </w:pPr>
            <w:r>
              <w:t xml:space="preserve">WhatsApp/Facebook groups, local ambassadors, mosque partners, local-language content</w:t>
            </w:r>
          </w:p>
        </w:tc>
      </w:tr>
      <w:tr>
        <w:tc>
          <w:tcPr/>
          <w:p>
            <w:pPr>
              <w:pStyle w:val="Compact"/>
              <w:jc w:val="left"/>
            </w:pPr>
            <w:r>
              <w:t xml:space="preserve">Tier 4 (Sponsored/conflict-affected)</w:t>
            </w:r>
          </w:p>
        </w:tc>
        <w:tc>
          <w:tcPr/>
          <w:p>
            <w:pPr>
              <w:pStyle w:val="Compact"/>
              <w:jc w:val="left"/>
            </w:pPr>
            <w:r>
              <w:t xml:space="preserve">Zero/near-zero barrier</w:t>
            </w:r>
          </w:p>
        </w:tc>
        <w:tc>
          <w:tcPr/>
          <w:p>
            <w:pPr>
              <w:pStyle w:val="Compact"/>
              <w:jc w:val="left"/>
            </w:pPr>
            <w:r>
              <w:t xml:space="preserve">NGO/relief-partner channels, community leaders — never paid ads</w:t>
            </w:r>
          </w:p>
        </w:tc>
      </w:tr>
    </w:tbl>
    <w:p>
      <w:pPr>
        <w:pStyle w:val="BodyText"/>
      </w:pPr>
      <w:r>
        <w:rPr>
          <w:bCs/>
          <w:b/>
        </w:rPr>
        <w:t xml:space="preserve">Conversion Funnel:</w:t>
      </w:r>
      <w:r>
        <w:t xml:space="preserve"> </w:t>
      </w:r>
      <w:r>
        <w:t xml:space="preserve">Awareness (mosque referral, community content) → Inquiry (WhatsApp/web form) → Advising (admissions counselor call, tier placement, scholarship match) → Application → Enrollment → the enrolled student becomes the next ambassador, closing the loop at near-zero marginal cost.</w:t>
      </w:r>
    </w:p>
    <w:p>
      <w:pPr>
        <w:pStyle w:val="BodyText"/>
      </w:pPr>
      <w:r>
        <w:rPr>
          <w:bCs/>
          <w:b/>
        </w:rPr>
        <w:t xml:space="preserve">Implementation Phases</w:t>
      </w:r>
    </w:p>
    <w:p>
      <w:pPr>
        <w:numPr>
          <w:ilvl w:val="0"/>
          <w:numId w:val="1017"/>
        </w:numPr>
        <w:pStyle w:val="Compact"/>
      </w:pPr>
      <w:r>
        <w:rPr>
          <w:bCs/>
          <w:b/>
        </w:rPr>
        <w:t xml:space="preserve">Phase 1 (2028, $22,475):</w:t>
      </w:r>
      <w:r>
        <w:t xml:space="preserve"> </w:t>
      </w:r>
      <w:r>
        <w:t xml:space="preserve">Pure grassroots — founder-led mosque visits, WhatsApp/Facebook community groups, free organic content, small referral micro-stipends; no paid advertising.</w:t>
      </w:r>
    </w:p>
    <w:p>
      <w:pPr>
        <w:numPr>
          <w:ilvl w:val="0"/>
          <w:numId w:val="1017"/>
        </w:numPr>
        <w:pStyle w:val="Compact"/>
      </w:pPr>
      <w:r>
        <w:rPr>
          <w:bCs/>
          <w:b/>
        </w:rPr>
        <w:t xml:space="preserve">Phase 2 (2029–2032, scaling to $129,078 by Yr5):</w:t>
      </w:r>
      <w:r>
        <w:t xml:space="preserve"> </w:t>
      </w:r>
      <w:r>
        <w:t xml:space="preserve">Formalize a regional ambassador stipend program, add multilingual content (Arabic, English, Urdu, Bahasa, Hausa), introduce a lightweight CRM, light paid social boosting.</w:t>
      </w:r>
    </w:p>
    <w:p>
      <w:pPr>
        <w:numPr>
          <w:ilvl w:val="0"/>
          <w:numId w:val="1017"/>
        </w:numPr>
        <w:pStyle w:val="Compact"/>
      </w:pPr>
      <w:r>
        <w:rPr>
          <w:bCs/>
          <w:b/>
        </w:rPr>
        <w:t xml:space="preserve">Phase 3 (2033–2037, scaling to $383,055 by Yr10):</w:t>
      </w:r>
      <w:r>
        <w:t xml:space="preserve"> </w:t>
      </w:r>
      <w:r>
        <w:t xml:space="preserve">Country-tier segmented campaigns, expanded ambassador network, in-house video/content production, small education-fair presence in Tier 1/2 markets.</w:t>
      </w:r>
    </w:p>
    <w:p>
      <w:pPr>
        <w:numPr>
          <w:ilvl w:val="0"/>
          <w:numId w:val="1017"/>
        </w:numPr>
        <w:pStyle w:val="Compact"/>
      </w:pPr>
      <w:r>
        <w:rPr>
          <w:bCs/>
          <w:b/>
        </w:rPr>
        <w:t xml:space="preserve">Phase 4 (2038+):</w:t>
      </w:r>
      <w:r>
        <w:t xml:space="preserve"> </w:t>
      </w:r>
      <w:r>
        <w:t xml:space="preserve">Marketing scales with the 20-year revenue trajectory but stays fixed at 10% of a much larger base.</w:t>
      </w:r>
    </w:p>
    <w:p>
      <w:pPr>
        <w:pStyle w:val="FirstParagraph"/>
      </w:pPr>
      <w:r>
        <w:rPr>
          <w:bCs/>
          <w:b/>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Role</w:t>
            </w:r>
          </w:p>
        </w:tc>
        <w:tc>
          <w:tcPr/>
          <w:p>
            <w:pPr>
              <w:pStyle w:val="Compact"/>
              <w:jc w:val="left"/>
            </w:pPr>
            <w:r>
              <w:t xml:space="preserve">FTE</w:t>
            </w:r>
          </w:p>
        </w:tc>
        <w:tc>
          <w:tcPr/>
          <w:p>
            <w:pPr>
              <w:pStyle w:val="Compact"/>
              <w:jc w:val="left"/>
            </w:pPr>
            <w:r>
              <w:t xml:space="preserve">Funding</w:t>
            </w:r>
          </w:p>
        </w:tc>
      </w:tr>
      <w:tr>
        <w:tc>
          <w:tcPr/>
          <w:p>
            <w:pPr>
              <w:pStyle w:val="Compact"/>
              <w:jc w:val="left"/>
            </w:pPr>
            <w:r>
              <w:t xml:space="preserve">1</w:t>
            </w:r>
          </w:p>
        </w:tc>
        <w:tc>
          <w:tcPr/>
          <w:p>
            <w:pPr>
              <w:pStyle w:val="Compact"/>
              <w:jc w:val="left"/>
            </w:pPr>
            <w:r>
              <w:t xml:space="preserve">Founders + volunteer ambassadors</w:t>
            </w:r>
          </w:p>
        </w:tc>
        <w:tc>
          <w:tcPr/>
          <w:p>
            <w:pPr>
              <w:pStyle w:val="Compact"/>
              <w:jc w:val="left"/>
            </w:pPr>
            <w:r>
              <w:t xml:space="preserve">0 dedicated FTE</w:t>
            </w:r>
          </w:p>
        </w:tc>
        <w:tc>
          <w:tcPr/>
          <w:p>
            <w:pPr>
              <w:pStyle w:val="Compact"/>
              <w:jc w:val="left"/>
            </w:pPr>
            <w:r>
              <w:t xml:space="preserve">Marketing 10% line (stipends only)</w:t>
            </w:r>
          </w:p>
        </w:tc>
      </w:tr>
      <w:tr>
        <w:tc>
          <w:tcPr/>
          <w:p>
            <w:pPr>
              <w:pStyle w:val="Compact"/>
              <w:jc w:val="left"/>
            </w:pPr>
            <w:r>
              <w:t xml:space="preserve">3–5</w:t>
            </w:r>
          </w:p>
        </w:tc>
        <w:tc>
          <w:tcPr/>
          <w:p>
            <w:pPr>
              <w:pStyle w:val="Compact"/>
              <w:jc w:val="left"/>
            </w:pPr>
            <w:r>
              <w:t xml:space="preserve">Marketing &amp; Admissions Outreach Coordinator</w:t>
            </w:r>
          </w:p>
        </w:tc>
        <w:tc>
          <w:tcPr/>
          <w:p>
            <w:pPr>
              <w:pStyle w:val="Compact"/>
              <w:jc w:val="left"/>
            </w:pPr>
            <w:r>
              <w:t xml:space="preserve">0.5–1.0</w:t>
            </w:r>
          </w:p>
        </w:tc>
        <w:tc>
          <w:tcPr/>
          <w:p>
            <w:pPr>
              <w:pStyle w:val="Compact"/>
              <w:jc w:val="left"/>
            </w:pPr>
            <w:r>
              <w:t xml:space="preserve">Payroll — Core Admin Staff sub-line</w:t>
            </w:r>
          </w:p>
        </w:tc>
      </w:tr>
      <w:tr>
        <w:tc>
          <w:tcPr/>
          <w:p>
            <w:pPr>
              <w:pStyle w:val="Compact"/>
              <w:jc w:val="left"/>
            </w:pPr>
            <w:r>
              <w:t xml:space="preserve">10</w:t>
            </w:r>
          </w:p>
        </w:tc>
        <w:tc>
          <w:tcPr/>
          <w:p>
            <w:pPr>
              <w:pStyle w:val="Compact"/>
              <w:jc w:val="left"/>
            </w:pPr>
            <w:r>
              <w:t xml:space="preserve">Regional marketing/admissions liaisons (one per major tier region)</w:t>
            </w:r>
          </w:p>
        </w:tc>
        <w:tc>
          <w:tcPr/>
          <w:p>
            <w:pPr>
              <w:pStyle w:val="Compact"/>
              <w:jc w:val="left"/>
            </w:pPr>
            <w:r>
              <w:t xml:space="preserve">2–3</w:t>
            </w:r>
          </w:p>
        </w:tc>
        <w:tc>
          <w:tcPr/>
          <w:p>
            <w:pPr>
              <w:pStyle w:val="Compact"/>
              <w:jc w:val="left"/>
            </w:pPr>
            <w:r>
              <w:t xml:space="preserve">Payroll — Core Admin Staff sub-line</w:t>
            </w:r>
          </w:p>
        </w:tc>
      </w:tr>
    </w:tbl>
    <w:p>
      <w:pPr>
        <w:pStyle w:val="BodyText"/>
      </w:pPr>
      <w:r>
        <w:t xml:space="preserve">Coordinator/liaison salaries are deliberately funded from Payroll (Core Admin, 18%), not the Marketing line, so the Marketing budget itself is preserved for stipends, tools, and content.</w:t>
      </w:r>
    </w:p>
    <w:p>
      <w:pPr>
        <w:pStyle w:val="BodyText"/>
      </w:pPr>
      <w:r>
        <w:rPr>
          <w:bCs/>
          <w:b/>
        </w:rPr>
        <w:t xml:space="preserve">Annual Budget:</w:t>
      </w:r>
      <w:r>
        <w:t xml:space="preserve"> </w:t>
      </w:r>
      <w:r>
        <w:t xml:space="preserve">Year 1 $22,475 (ambassador micro-stipends, basic digital/social tools, local print materials, contingency); Year 5 $129,078 (expanded ambassador network, modest paid social, content production, regional travel); Year 10 $383,055 (multi-region campaigns, content studio, larger referral incentive pool, CRM/analytics tooling).</w:t>
      </w:r>
    </w:p>
    <w:p>
      <w:pPr>
        <w:pStyle w:val="BodyText"/>
      </w:pPr>
      <w:r>
        <w:rPr>
          <w:bCs/>
          <w:b/>
        </w:rPr>
        <w:t xml:space="preserve">KPIs:</w:t>
      </w:r>
      <w:r>
        <w:t xml:space="preserve"> </w:t>
      </w:r>
      <w:r>
        <w:t xml:space="preserve">Cost per enrolled student (target declining CAC); inquiry-to-enrollment conversion rate; % of new students from referral/ambassador channels (target majority); lead tier-mix vs. the Growth Scenario’s enrollment assumptions.</w:t>
      </w:r>
    </w:p>
    <w:p>
      <w:pPr>
        <w:pStyle w:val="BodyText"/>
      </w:pPr>
      <w:r>
        <w:rPr>
          <w:bCs/>
          <w:b/>
        </w:rPr>
        <w:t xml:space="preserve">Risks &amp; Mitigation:</w:t>
      </w:r>
      <w:r>
        <w:t xml:space="preserve"> </w:t>
      </w:r>
      <w:r>
        <w:t xml:space="preserve">Budget too thin for paid channels — mitigated by referral-first design assuming near-zero CAC. Message inconsistency across volunteer ambassadors — mitigated by an ambassador toolkit tied to the Section 29 brand guide. Measurement difficulty in informal channels — mitigated by unique referral codes and CRM adoption from Year 2. Ambassador overpromising on scholarships — mitigated by mandatory training and Board-approved messaging only.</w:t>
      </w:r>
    </w:p>
    <w:p>
      <w:pPr>
        <w:pStyle w:val="BodyText"/>
      </w:pPr>
      <w:r>
        <w:rPr>
          <w:bCs/>
          <w:b/>
        </w:rPr>
        <w:t xml:space="preserve">Timeline:</w:t>
      </w:r>
      <w:r>
        <w:t xml:space="preserve"> </w:t>
      </w:r>
      <w:r>
        <w:t xml:space="preserve">2028 grassroots launch → 2030 ambassador formalization + CRM → 2032 multilingual scale-up → 2037 regionalized campaigns → 2038+ proportional scaling with revenue growth.</w:t>
      </w:r>
    </w:p>
    <w:p>
      <w:pPr>
        <w:pStyle w:val="BodyText"/>
      </w:pPr>
      <w:r>
        <w:rPr>
          <w:bCs/>
          <w:b/>
        </w:rPr>
        <w:t xml:space="preserve">Governance:</w:t>
      </w:r>
      <w:r>
        <w:t xml:space="preserve"> </w:t>
      </w:r>
      <w:r>
        <w:t xml:space="preserve">DVC Admin &amp; Finance owns marketing budget execution and CAC reporting; Board of Trustees approves the fixed 10% allocation and reviews tier-messaging to ensure consistency with Board-approved tuition pricing; Waqf &amp; Endowment Board is consulted where marketing content promotes Sadaqah Jāriyah giving.</w:t>
      </w:r>
    </w:p>
    <w:p>
      <w:pPr>
        <w:pStyle w:val="BodyText"/>
      </w:pPr>
      <w:r>
        <w:rPr>
          <w:bCs/>
          <w:b/>
        </w:rPr>
        <w:t xml:space="preserve">Measurable Success Indicators:</w:t>
      </w:r>
      <w:r>
        <w:t xml:space="preserve"> </w:t>
      </w:r>
      <w:r>
        <w:t xml:space="preserve">By Year 5, referral/ambassador channels driving the majority of new enrollments at CAC well under $40/student; by Year 10, tier-segmented campaigns operating within $383,055 while sustaining enrollment growth toward 11,021 students.</w:t>
      </w:r>
    </w:p>
    <w:bookmarkEnd w:id="55"/>
    <w:bookmarkStart w:id="56" w:name="section-29-branding-strategy"/>
    <w:p>
      <w:pPr>
        <w:pStyle w:val="Heading2"/>
      </w:pPr>
      <w:r>
        <w:t xml:space="preserve">Section 29: Branding Strategy</w:t>
      </w:r>
    </w:p>
    <w:p>
      <w:pPr>
        <w:pStyle w:val="FirstParagraph"/>
      </w:pPr>
      <w:r>
        <w:rPr>
          <w:bCs/>
          <w:b/>
        </w:rPr>
        <w:t xml:space="preserve">Rationale</w:t>
      </w:r>
    </w:p>
    <w:p>
      <w:pPr>
        <w:pStyle w:val="BodyText"/>
      </w:pPr>
      <w:r>
        <w:t xml:space="preserve">AMIU’s brand assets — the name, tagline (</w:t>
      </w:r>
      <w:r>
        <w:t xml:space="preserve">“</w:t>
      </w:r>
      <w:r>
        <w:t xml:space="preserve">Spreading Islamic Education Worldwide, at Every Pace</w:t>
      </w:r>
      <w:r>
        <w:t xml:space="preserve">”</w:t>
      </w:r>
      <w:r>
        <w:t xml:space="preserve">), the ISLAMIC seven-value message architecture, the domain, and the filed USPTO trademark — are already adopted and constitute the institution’s core strategic asset. As AMIU scales across geography (Gambia, Nigeria, Gulf), tuition tiers, and eventually a secular-school pathway (Year 11+), the brand must extend consistently without dilution or the appearance of unequal quality.</w:t>
      </w:r>
    </w:p>
    <w:p>
      <w:pPr>
        <w:pStyle w:val="BodyText"/>
      </w:pPr>
      <w:r>
        <w:rPr>
          <w:bCs/>
          <w:b/>
        </w:rPr>
        <w:t xml:space="preserve">Global Best Practices</w:t>
      </w:r>
    </w:p>
    <w:p>
      <w:pPr>
        <w:pStyle w:val="BodyText"/>
      </w:pPr>
      <w:r>
        <w:t xml:space="preserve">A</w:t>
      </w:r>
      <w:r>
        <w:t xml:space="preserve"> </w:t>
      </w:r>
      <w:r>
        <w:t xml:space="preserve">“</w:t>
      </w:r>
      <w:r>
        <w:t xml:space="preserve">branded house</w:t>
      </w:r>
      <w:r>
        <w:t xml:space="preserve">”</w:t>
      </w:r>
      <w:r>
        <w:t xml:space="preserve"> </w:t>
      </w:r>
      <w:r>
        <w:t xml:space="preserve">architecture — one master brand with disciplined sub-brand lockups (as opposed to disconnected local brands) — preserves trademark value and donor/student trust as institutions internationalize. Faith-based and mission-driven universities typically govern brand through a centrally maintained style guide with Board-level sign-off on any core-asset change (name, tagline, mark).</w:t>
      </w:r>
    </w:p>
    <w:p>
      <w:pPr>
        <w:pStyle w:val="BodyText"/>
      </w:pPr>
      <w:r>
        <w:rPr>
          <w:bCs/>
          <w:b/>
        </w:rPr>
        <w:t xml:space="preserve">Visual Identity Guidelines</w:t>
      </w:r>
    </w:p>
    <w:p>
      <w:pPr>
        <w:numPr>
          <w:ilvl w:val="0"/>
          <w:numId w:val="1018"/>
        </w:numPr>
        <w:pStyle w:val="Compact"/>
      </w:pPr>
      <w:r>
        <w:rPr>
          <w:bCs/>
          <w:b/>
        </w:rPr>
        <w:t xml:space="preserve">Architecture:</w:t>
      </w:r>
      <w:r>
        <w:t xml:space="preserve"> </w:t>
      </w:r>
      <w:r>
        <w:t xml:space="preserve">AMIU as master brand; regional entities use disciplined sub-brand lockups (e.g.,</w:t>
      </w:r>
      <w:r>
        <w:t xml:space="preserve"> </w:t>
      </w:r>
      <w:r>
        <w:t xml:space="preserve">“</w:t>
      </w:r>
      <w:r>
        <w:t xml:space="preserve">AMIU – Gambia Branch Campus,</w:t>
      </w:r>
      <w:r>
        <w:t xml:space="preserve">”</w:t>
      </w:r>
      <w:r>
        <w:t xml:space="preserve"> </w:t>
      </w:r>
      <w:r>
        <w:t xml:space="preserve">“</w:t>
      </w:r>
      <w:r>
        <w:t xml:space="preserve">AMIU – Nigeria,</w:t>
      </w:r>
      <w:r>
        <w:t xml:space="preserve">”</w:t>
      </w:r>
      <w:r>
        <w:t xml:space="preserve"> </w:t>
      </w:r>
      <w:r>
        <w:t xml:space="preserve">“</w:t>
      </w:r>
      <w:r>
        <w:t xml:space="preserve">AMIU – Gulf Programs</w:t>
      </w:r>
      <w:r>
        <w:t xml:space="preserve">”</w:t>
      </w:r>
      <w:r>
        <w:t xml:space="preserve">) — never independent branding.</w:t>
      </w:r>
    </w:p>
    <w:p>
      <w:pPr>
        <w:numPr>
          <w:ilvl w:val="0"/>
          <w:numId w:val="1018"/>
        </w:numPr>
        <w:pStyle w:val="Compact"/>
      </w:pPr>
      <w:r>
        <w:rPr>
          <w:bCs/>
          <w:b/>
        </w:rPr>
        <w:t xml:space="preserve">Core Elements:</w:t>
      </w:r>
      <w:r>
        <w:t xml:space="preserve"> </w:t>
      </w:r>
      <w:r>
        <w:t xml:space="preserve">Wordmark + tagline lockup; a palette and typography system finalized in the Phase 1 style guide, paired for both Latin and Arabic-script legibility.</w:t>
      </w:r>
    </w:p>
    <w:p>
      <w:pPr>
        <w:numPr>
          <w:ilvl w:val="0"/>
          <w:numId w:val="1018"/>
        </w:numPr>
        <w:pStyle w:val="Compact"/>
      </w:pPr>
      <w:r>
        <w:rPr>
          <w:bCs/>
          <w:b/>
        </w:rPr>
        <w:t xml:space="preserve">Values Motif:</w:t>
      </w:r>
      <w:r>
        <w:t xml:space="preserve"> </w:t>
      </w:r>
      <w:r>
        <w:t xml:space="preserve">The seven ISLAMIC values (Illumination, Sanad, Love, Access, Morality, Inquiry, Calling) recur as a visual/icon system across scholarship materials, marketing collateral, and campus signage — reinforcing mission over geography.</w:t>
      </w:r>
    </w:p>
    <w:p>
      <w:pPr>
        <w:pStyle w:val="FirstParagraph"/>
      </w:pPr>
      <w:r>
        <w:rPr>
          <w:bCs/>
          <w:b/>
        </w:rPr>
        <w:t xml:space="preserve">Tier Differentiation Without Appearing to Price-Discriminate</w:t>
      </w:r>
    </w:p>
    <w:p>
      <w:pPr>
        <w:pStyle w:val="BodyText"/>
      </w:pPr>
      <w:r>
        <w:t xml:space="preserve">All tiers receive identical academic quality, credentials, and brand presentation — the only visible difference is transparently named as a</w:t>
      </w:r>
      <w:r>
        <w:t xml:space="preserve"> </w:t>
      </w:r>
      <w:r>
        <w:t xml:space="preserve">“</w:t>
      </w:r>
      <w:r>
        <w:t xml:space="preserve">Partial Regional Scholarship,</w:t>
      </w:r>
      <w:r>
        <w:t xml:space="preserve">”</w:t>
      </w:r>
      <w:r>
        <w:t xml:space="preserve"> </w:t>
      </w:r>
      <w:r>
        <w:t xml:space="preserve">never as a lesser product. Marketing messaging (Section 28) is uniform in academic-standard language across tiers, varying only in channel and tone, so the brand communicates</w:t>
      </w:r>
      <w:r>
        <w:t xml:space="preserve"> </w:t>
      </w:r>
      <w:r>
        <w:t xml:space="preserve">“</w:t>
      </w:r>
      <w:r>
        <w:t xml:space="preserve">one university, one credential ladder, adaptive pricing.</w:t>
      </w:r>
      <w:r>
        <w:t xml:space="preserve">”</w:t>
      </w:r>
    </w:p>
    <w:p>
      <w:pPr>
        <w:pStyle w:val="BodyText"/>
      </w:pPr>
      <w:r>
        <w:rPr>
          <w:bCs/>
          <w:b/>
        </w:rPr>
        <w:t xml:space="preserve">Implementation Phases</w:t>
      </w:r>
    </w:p>
    <w:p>
      <w:pPr>
        <w:numPr>
          <w:ilvl w:val="0"/>
          <w:numId w:val="1019"/>
        </w:numPr>
        <w:pStyle w:val="Compact"/>
      </w:pPr>
      <w:r>
        <w:rPr>
          <w:bCs/>
          <w:b/>
        </w:rPr>
        <w:t xml:space="preserve">Phase 1 (2028):</w:t>
      </w:r>
      <w:r>
        <w:t xml:space="preserve"> </w:t>
      </w:r>
      <w:r>
        <w:t xml:space="preserve">Formalize Brand Style Guide v1 and an ambassador/marketing toolkit building on already-adopted core assets.</w:t>
      </w:r>
    </w:p>
    <w:p>
      <w:pPr>
        <w:numPr>
          <w:ilvl w:val="0"/>
          <w:numId w:val="1019"/>
        </w:numPr>
        <w:pStyle w:val="Compact"/>
      </w:pPr>
      <w:r>
        <w:rPr>
          <w:bCs/>
          <w:b/>
        </w:rPr>
        <w:t xml:space="preserve">Phase 2 (2029–2032):</w:t>
      </w:r>
      <w:r>
        <w:t xml:space="preserve"> </w:t>
      </w:r>
      <w:r>
        <w:t xml:space="preserve">Develop the Gambia Branch Campus sub-brand lockup.</w:t>
      </w:r>
    </w:p>
    <w:p>
      <w:pPr>
        <w:numPr>
          <w:ilvl w:val="0"/>
          <w:numId w:val="1019"/>
        </w:numPr>
        <w:pStyle w:val="Compact"/>
      </w:pPr>
      <w:r>
        <w:rPr>
          <w:bCs/>
          <w:b/>
        </w:rPr>
        <w:t xml:space="preserve">Phase 3 (2033–2037):</w:t>
      </w:r>
      <w:r>
        <w:t xml:space="preserve"> </w:t>
      </w:r>
      <w:r>
        <w:t xml:space="preserve">Nigeria Mega-University sub-brand; multilingual adaptation (Hausa, French for West Africa; Arabic for Gulf-facing outreach).</w:t>
      </w:r>
    </w:p>
    <w:p>
      <w:pPr>
        <w:numPr>
          <w:ilvl w:val="0"/>
          <w:numId w:val="1019"/>
        </w:numPr>
        <w:pStyle w:val="Compact"/>
      </w:pPr>
      <w:r>
        <w:rPr>
          <w:bCs/>
          <w:b/>
        </w:rPr>
        <w:t xml:space="preserve">Phase 4 (2038–2050):</w:t>
      </w:r>
      <w:r>
        <w:t xml:space="preserve"> </w:t>
      </w:r>
      <w:r>
        <w:t xml:space="preserve">Gulf-facing formal identity for ministry recognition; a deliberate Board-level decision point (flagged, not yet resolved) on how the Year 11+ secular-school pathway relates to the AMIU master brand; 20-year brand-equity review.</w:t>
      </w:r>
    </w:p>
    <w:p>
      <w:pPr>
        <w:pStyle w:val="FirstParagraph"/>
      </w:pPr>
      <w:r>
        <w:rPr>
          <w:bCs/>
          <w:b/>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Role</w:t>
            </w:r>
          </w:p>
        </w:tc>
        <w:tc>
          <w:tcPr/>
          <w:p>
            <w:pPr>
              <w:pStyle w:val="Compact"/>
              <w:jc w:val="left"/>
            </w:pPr>
            <w:r>
              <w:t xml:space="preserve">FTE</w:t>
            </w:r>
          </w:p>
        </w:tc>
        <w:tc>
          <w:tcPr/>
          <w:p>
            <w:pPr>
              <w:pStyle w:val="Compact"/>
              <w:jc w:val="left"/>
            </w:pPr>
            <w:r>
              <w:t xml:space="preserve">Funding</w:t>
            </w:r>
          </w:p>
        </w:tc>
      </w:tr>
      <w:tr>
        <w:tc>
          <w:tcPr/>
          <w:p>
            <w:pPr>
              <w:pStyle w:val="Compact"/>
              <w:jc w:val="left"/>
            </w:pPr>
            <w:r>
              <w:t xml:space="preserve">1</w:t>
            </w:r>
          </w:p>
        </w:tc>
        <w:tc>
          <w:tcPr/>
          <w:p>
            <w:pPr>
              <w:pStyle w:val="Compact"/>
              <w:jc w:val="left"/>
            </w:pPr>
            <w:r>
              <w:t xml:space="preserve">Brand/comms duties held by Founders/DVC Admin &amp; Finance</w:t>
            </w:r>
          </w:p>
        </w:tc>
        <w:tc>
          <w:tcPr/>
          <w:p>
            <w:pPr>
              <w:pStyle w:val="Compact"/>
              <w:jc w:val="left"/>
            </w:pPr>
            <w:r>
              <w:t xml:space="preserve">0 dedicated</w:t>
            </w:r>
          </w:p>
        </w:tc>
        <w:tc>
          <w:tcPr/>
          <w:p>
            <w:pPr>
              <w:pStyle w:val="Compact"/>
              <w:jc w:val="left"/>
            </w:pPr>
            <w:r>
              <w:t xml:space="preserve">Payroll — Core Admin Staff (nominal)</w:t>
            </w:r>
          </w:p>
        </w:tc>
      </w:tr>
      <w:tr>
        <w:tc>
          <w:tcPr/>
          <w:p>
            <w:pPr>
              <w:pStyle w:val="Compact"/>
              <w:jc w:val="left"/>
            </w:pPr>
            <w:r>
              <w:t xml:space="preserve">5</w:t>
            </w:r>
          </w:p>
        </w:tc>
        <w:tc>
          <w:tcPr/>
          <w:p>
            <w:pPr>
              <w:pStyle w:val="Compact"/>
              <w:jc w:val="left"/>
            </w:pPr>
            <w:r>
              <w:t xml:space="preserve">Brand &amp; Communications Officer</w:t>
            </w:r>
          </w:p>
        </w:tc>
        <w:tc>
          <w:tcPr/>
          <w:p>
            <w:pPr>
              <w:pStyle w:val="Compact"/>
              <w:jc w:val="left"/>
            </w:pPr>
            <w:r>
              <w:t xml:space="preserve">0.5</w:t>
            </w:r>
          </w:p>
        </w:tc>
        <w:tc>
          <w:tcPr/>
          <w:p>
            <w:pPr>
              <w:pStyle w:val="Compact"/>
              <w:jc w:val="left"/>
            </w:pPr>
            <w:r>
              <w:t xml:space="preserve">Payroll — Core Admin Staff</w:t>
            </w:r>
          </w:p>
        </w:tc>
      </w:tr>
      <w:tr>
        <w:tc>
          <w:tcPr/>
          <w:p>
            <w:pPr>
              <w:pStyle w:val="Compact"/>
              <w:jc w:val="left"/>
            </w:pPr>
            <w:r>
              <w:t xml:space="preserve">10</w:t>
            </w:r>
          </w:p>
        </w:tc>
        <w:tc>
          <w:tcPr/>
          <w:p>
            <w:pPr>
              <w:pStyle w:val="Compact"/>
              <w:jc w:val="left"/>
            </w:pPr>
            <w:r>
              <w:t xml:space="preserve">Brand/Communications Officer + regional brand liaisons (part-time)</w:t>
            </w:r>
          </w:p>
        </w:tc>
        <w:tc>
          <w:tcPr/>
          <w:p>
            <w:pPr>
              <w:pStyle w:val="Compact"/>
              <w:jc w:val="left"/>
            </w:pPr>
            <w:r>
              <w:t xml:space="preserve">1.0 +</w:t>
            </w:r>
          </w:p>
        </w:tc>
        <w:tc>
          <w:tcPr/>
          <w:p>
            <w:pPr>
              <w:pStyle w:val="Compact"/>
              <w:jc w:val="left"/>
            </w:pPr>
            <w:r>
              <w:t xml:space="preserve">Payroll — Core Admin Staff (18% of $766,110 Yr10 pool)</w:t>
            </w:r>
          </w:p>
        </w:tc>
      </w:tr>
    </w:tbl>
    <w:p>
      <w:pPr>
        <w:pStyle w:val="BodyText"/>
      </w:pPr>
      <w:r>
        <w:rPr>
          <w:bCs/>
          <w:b/>
        </w:rPr>
        <w:t xml:space="preserve">Annual Budget</w:t>
      </w:r>
    </w:p>
    <w:p>
      <w:pPr>
        <w:pStyle w:val="BodyText"/>
      </w:pPr>
      <w:r>
        <w:t xml:space="preserve">Branding is not a standalone allocation category. Trademark maintenance and brand-adjacent legal costs draw from Operating Expenses (5%): Year 1 $11,237, Year 5 $64,539, Year 10 $191,527. Brand collateral production (templates, style guide design) is jointly funded from Operating Expenses and the Marketing 10% line, since collateral directly supports acquisition. This is intentional — branding stays folded into existing lean lines rather than becoming an eighth bucket.</w:t>
      </w:r>
    </w:p>
    <w:p>
      <w:pPr>
        <w:pStyle w:val="BodyText"/>
      </w:pPr>
      <w:r>
        <w:rPr>
          <w:bCs/>
          <w:b/>
        </w:rPr>
        <w:t xml:space="preserve">KPIs:</w:t>
      </w:r>
      <w:r>
        <w:t xml:space="preserve"> </w:t>
      </w:r>
      <w:r>
        <w:t xml:space="preserve">Trademark good-standing status; brand-consistency audit score across regions; qualitative brand-recognition survey results in target mosque-network communities (from Year 5); sub-brand rollout adherence rate.</w:t>
      </w:r>
    </w:p>
    <w:p>
      <w:pPr>
        <w:pStyle w:val="BodyText"/>
      </w:pPr>
      <w:r>
        <w:rPr>
          <w:bCs/>
          <w:b/>
        </w:rPr>
        <w:t xml:space="preserve">Risks &amp; Mitigation:</w:t>
      </w:r>
      <w:r>
        <w:t xml:space="preserve"> </w:t>
      </w:r>
      <w:r>
        <w:t xml:space="preserve">Brand dilution as branches multiply — mitigated by strict sub-brand lockup rules and Board sign-off. Perceived tier unfairness — mitigated by unified quality messaging and transparent scholarship naming (Section 26). Trademark infringement risk in Nigeria/Gulf markets — mitigated by local trademark filing consideration funded from Operating Expenses as expansion proceeds. Founder-dependent brand voice — mitigated by the style guide and the Year-5 dedicated FTE.</w:t>
      </w:r>
    </w:p>
    <w:p>
      <w:pPr>
        <w:pStyle w:val="BodyText"/>
      </w:pPr>
      <w:r>
        <w:rPr>
          <w:bCs/>
          <w:b/>
        </w:rPr>
        <w:t xml:space="preserve">Timeline:</w:t>
      </w:r>
      <w:r>
        <w:t xml:space="preserve"> </w:t>
      </w:r>
      <w:r>
        <w:t xml:space="preserve">2028 style guide v1 → 2030 Gambia sub-brand → 2037 Nigeria sub-brand → 2040 Gulf-facing identity → 2038–41 secular-school brand decision point.</w:t>
      </w:r>
    </w:p>
    <w:p>
      <w:pPr>
        <w:pStyle w:val="BodyText"/>
      </w:pPr>
      <w:r>
        <w:rPr>
          <w:bCs/>
          <w:b/>
        </w:rPr>
        <w:t xml:space="preserve">Governance:</w:t>
      </w:r>
      <w:r>
        <w:t xml:space="preserve"> </w:t>
      </w:r>
      <w:r>
        <w:t xml:space="preserve">Board of Trustees owns the brand as a strategic/legal asset (trademark, name, tagline changes require Board approval); DVC Admin &amp; Finance manages day-to-day brand enforcement; Waqf &amp; Endowment Board governs donor-recognition branding (named scholarships must conform to the style guide); Senate advises on academic-identity elements (credential-ladder naming, seven-tier presentation).</w:t>
      </w:r>
    </w:p>
    <w:p>
      <w:pPr>
        <w:pStyle w:val="BodyText"/>
      </w:pPr>
      <w:r>
        <w:rPr>
          <w:bCs/>
          <w:b/>
        </w:rPr>
        <w:t xml:space="preserve">Measurable Success Indicators:</w:t>
      </w:r>
      <w:r>
        <w:t xml:space="preserve"> </w:t>
      </w:r>
      <w:r>
        <w:t xml:space="preserve">By Year 5, a published style guide governing all regional materials; by Year 10, full sub-brand compliance across Gambia and Nigeria with trademark protection extended into at least one additional jurisdiction.</w:t>
      </w:r>
    </w:p>
    <w:bookmarkEnd w:id="56"/>
    <w:bookmarkStart w:id="57" w:name="Xc71a5d8b17f477b0394a8d7d7a1ca970b989841"/>
    <w:p>
      <w:pPr>
        <w:pStyle w:val="Heading2"/>
      </w:pPr>
      <w:r>
        <w:t xml:space="preserve">Section 30: International Expansion Strategy</w:t>
      </w:r>
    </w:p>
    <w:p>
      <w:pPr>
        <w:pStyle w:val="FirstParagraph"/>
      </w:pPr>
      <w:r>
        <w:rPr>
          <w:bCs/>
          <w:b/>
        </w:rPr>
        <w:t xml:space="preserve">Rationale</w:t>
      </w:r>
    </w:p>
    <w:p>
      <w:pPr>
        <w:pStyle w:val="BodyText"/>
      </w:pPr>
      <w:r>
        <w:t xml:space="preserve">AMIU’s mission demands worldwide reach</w:t>
      </w:r>
      <w:r>
        <w:t xml:space="preserve"> </w:t>
      </w:r>
      <w:r>
        <w:t xml:space="preserve">“</w:t>
      </w:r>
      <w:r>
        <w:t xml:space="preserve">at the minimum possible cost</w:t>
      </w:r>
      <w:r>
        <w:t xml:space="preserve">”</w:t>
      </w:r>
      <w:r>
        <w:t xml:space="preserve"> </w:t>
      </w:r>
      <w:r>
        <w:t xml:space="preserve">— a constraint that makes digital-first delivery the primary expansion vector and physical campuses the exception, reserved only where regulatory legitimacy or strategic necessity requires local presence. The four-tier tuition model already reaches Tier-3 markets (Nigeria, Pakistan, Bangladesh, India, Indonesia) with zero campus infrastructure; physical expansion (Gambia, eventually Nigeria) is additive, not foundational.</w:t>
      </w:r>
    </w:p>
    <w:p>
      <w:pPr>
        <w:pStyle w:val="BodyText"/>
      </w:pPr>
      <w:r>
        <w:rPr>
          <w:bCs/>
          <w:b/>
        </w:rPr>
        <w:t xml:space="preserve">Global Best Practices</w:t>
      </w:r>
    </w:p>
    <w:p>
      <w:pPr>
        <w:pStyle w:val="BodyText"/>
      </w:pPr>
      <w:r>
        <w:t xml:space="preserve">Transnational/branch-campus literature consistently shows high capital and regulatory risk relative to digital/distance models; a</w:t>
      </w:r>
      <w:r>
        <w:t xml:space="preserve"> </w:t>
      </w:r>
      <w:r>
        <w:t xml:space="preserve">“</w:t>
      </w:r>
      <w:r>
        <w:t xml:space="preserve">recognition-before-presence</w:t>
      </w:r>
      <w:r>
        <w:t xml:space="preserve">”</w:t>
      </w:r>
      <w:r>
        <w:t xml:space="preserve"> </w:t>
      </w:r>
      <w:r>
        <w:t xml:space="preserve">approach (securing Gulf ministry recognition without a Gulf campus) reduces sunk-cost exposure while preserving market access. Phased</w:t>
      </w:r>
      <w:r>
        <w:t xml:space="preserve"> </w:t>
      </w:r>
      <w:r>
        <w:t xml:space="preserve">“</w:t>
      </w:r>
      <w:r>
        <w:t xml:space="preserve">test–market–then–commit</w:t>
      </w:r>
      <w:r>
        <w:t xml:space="preserve">”</w:t>
      </w:r>
      <w:r>
        <w:t xml:space="preserve"> </w:t>
      </w:r>
      <w:r>
        <w:t xml:space="preserve">sequencing, as used by established distance-education universities, matches AMIU’s capital-constrained, $0-deficit mandate.</w:t>
      </w:r>
    </w:p>
    <w:p>
      <w:pPr>
        <w:pStyle w:val="BodyText"/>
      </w:pPr>
      <w:r>
        <w:rPr>
          <w:bCs/>
          <w:b/>
        </w:rPr>
        <w:t xml:space="preserve">Sequenced Geography (exact canon sequence)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Initiative</w:t>
            </w:r>
          </w:p>
        </w:tc>
        <w:tc>
          <w:tcPr/>
          <w:p>
            <w:pPr>
              <w:pStyle w:val="Compact"/>
              <w:jc w:val="left"/>
            </w:pPr>
            <w:r>
              <w:t xml:space="preserve">Timing</w:t>
            </w:r>
          </w:p>
        </w:tc>
        <w:tc>
          <w:tcPr/>
          <w:p>
            <w:pPr>
              <w:pStyle w:val="Compact"/>
              <w:jc w:val="left"/>
            </w:pPr>
            <w:r>
              <w:t xml:space="preserve">Mechanism</w:t>
            </w:r>
          </w:p>
        </w:tc>
        <w:tc>
          <w:tcPr/>
          <w:p>
            <w:pPr>
              <w:pStyle w:val="Compact"/>
              <w:jc w:val="left"/>
            </w:pPr>
            <w:r>
              <w:t xml:space="preserve">Funding</w:t>
            </w:r>
          </w:p>
        </w:tc>
      </w:tr>
      <w:tr>
        <w:tc>
          <w:tcPr/>
          <w:p>
            <w:pPr>
              <w:pStyle w:val="Compact"/>
              <w:jc w:val="left"/>
            </w:pPr>
            <w:r>
              <w:t xml:space="preserve">Digital four-tier global reach</w:t>
            </w:r>
          </w:p>
        </w:tc>
        <w:tc>
          <w:tcPr/>
          <w:p>
            <w:pPr>
              <w:pStyle w:val="Compact"/>
              <w:jc w:val="left"/>
            </w:pPr>
            <w:r>
              <w:t xml:space="preserve">Ongoing from Year 1 (2028)</w:t>
            </w:r>
          </w:p>
        </w:tc>
        <w:tc>
          <w:tcPr/>
          <w:p>
            <w:pPr>
              <w:pStyle w:val="Compact"/>
              <w:jc w:val="left"/>
            </w:pPr>
            <w:r>
              <w:t xml:space="preserve">Core tuition model, no campus required</w:t>
            </w:r>
          </w:p>
        </w:tc>
        <w:tc>
          <w:tcPr/>
          <w:p>
            <w:pPr>
              <w:pStyle w:val="Compact"/>
              <w:jc w:val="left"/>
            </w:pPr>
            <w:r>
              <w:t xml:space="preserve">Gross tuition revenue</w:t>
            </w:r>
          </w:p>
        </w:tc>
      </w:tr>
      <w:tr>
        <w:tc>
          <w:tcPr/>
          <w:p>
            <w:pPr>
              <w:pStyle w:val="Compact"/>
              <w:jc w:val="left"/>
            </w:pPr>
            <w:r>
              <w:t xml:space="preserve">Gambia Branch Campus</w:t>
            </w:r>
          </w:p>
        </w:tc>
        <w:tc>
          <w:tcPr/>
          <w:p>
            <w:pPr>
              <w:pStyle w:val="Compact"/>
              <w:jc w:val="left"/>
            </w:pPr>
            <w:r>
              <w:t xml:space="preserve">Stage 3, Years 2–4 (2029–2031)</w:t>
            </w:r>
          </w:p>
        </w:tc>
        <w:tc>
          <w:tcPr/>
          <w:p>
            <w:pPr>
              <w:pStyle w:val="Compact"/>
              <w:jc w:val="left"/>
            </w:pPr>
            <w:r>
              <w:t xml:space="preserve">$50,000 Board-approved ceiling; independent NAQAA accreditation pursuit</w:t>
            </w:r>
          </w:p>
        </w:tc>
        <w:tc>
          <w:tcPr/>
          <w:p>
            <w:pPr>
              <w:pStyle w:val="Compact"/>
              <w:jc w:val="left"/>
            </w:pPr>
            <w:r>
              <w:t xml:space="preserve">Liquidity Reserve (35%)</w:t>
            </w:r>
          </w:p>
        </w:tc>
      </w:tr>
      <w:tr>
        <w:tc>
          <w:tcPr/>
          <w:p>
            <w:pPr>
              <w:pStyle w:val="Compact"/>
              <w:jc w:val="left"/>
            </w:pPr>
            <w:r>
              <w:t xml:space="preserve">Nigeria Mega-University Initiative</w:t>
            </w:r>
          </w:p>
        </w:tc>
        <w:tc>
          <w:tcPr/>
          <w:p>
            <w:pPr>
              <w:pStyle w:val="Compact"/>
              <w:jc w:val="left"/>
            </w:pPr>
            <w:r>
              <w:t xml:space="preserve">Target Year 10 (2037) charter application to National Assembly/NUC</w:t>
            </w:r>
          </w:p>
        </w:tc>
        <w:tc>
          <w:tcPr/>
          <w:p>
            <w:pPr>
              <w:pStyle w:val="Compact"/>
              <w:jc w:val="left"/>
            </w:pPr>
            <w:r>
              <w:t xml:space="preserve">Physical charter for public legitimacy in largest Tier-3 market</w:t>
            </w:r>
          </w:p>
        </w:tc>
        <w:tc>
          <w:tcPr/>
          <w:p>
            <w:pPr>
              <w:pStyle w:val="Compact"/>
              <w:jc w:val="left"/>
            </w:pPr>
            <w:r>
              <w:t xml:space="preserve">Waqf Nigeria Reserve sub-line ($333,383 10-yr cumulative, within Waqf &amp; Stakeholder Reserve 20%)</w:t>
            </w:r>
          </w:p>
        </w:tc>
      </w:tr>
      <w:tr>
        <w:tc>
          <w:tcPr/>
          <w:p>
            <w:pPr>
              <w:pStyle w:val="Compact"/>
              <w:jc w:val="left"/>
            </w:pPr>
            <w:r>
              <w:t xml:space="preserve">First Gulf ministry recognition</w:t>
            </w:r>
          </w:p>
        </w:tc>
        <w:tc>
          <w:tcPr/>
          <w:p>
            <w:pPr>
              <w:pStyle w:val="Compact"/>
              <w:jc w:val="left"/>
            </w:pPr>
            <w:r>
              <w:t xml:space="preserve">Target Year 13 (2040)</w:t>
            </w:r>
          </w:p>
        </w:tc>
        <w:tc>
          <w:tcPr/>
          <w:p>
            <w:pPr>
              <w:pStyle w:val="Compact"/>
              <w:jc w:val="left"/>
            </w:pPr>
            <w:r>
              <w:t xml:space="preserve">Recognition agreement, not a physical campus</w:t>
            </w:r>
          </w:p>
        </w:tc>
        <w:tc>
          <w:tcPr/>
          <w:p>
            <w:pPr>
              <w:pStyle w:val="Compact"/>
              <w:jc w:val="left"/>
            </w:pPr>
            <w:r>
              <w:t xml:space="preserve">Liquidity Reserve — accreditation costs</w:t>
            </w:r>
          </w:p>
        </w:tc>
      </w:tr>
    </w:tbl>
    <w:p>
      <w:pPr>
        <w:pStyle w:val="BodyText"/>
      </w:pPr>
      <w:r>
        <w:rPr>
          <w:bCs/>
          <w:b/>
        </w:rPr>
        <w:t xml:space="preserve">Implementation Phases</w:t>
      </w:r>
    </w:p>
    <w:p>
      <w:pPr>
        <w:numPr>
          <w:ilvl w:val="0"/>
          <w:numId w:val="1020"/>
        </w:numPr>
        <w:pStyle w:val="Compact"/>
      </w:pPr>
      <w:r>
        <w:rPr>
          <w:bCs/>
          <w:b/>
        </w:rPr>
        <w:t xml:space="preserve">Phase 1 (2028–2029):</w:t>
      </w:r>
      <w:r>
        <w:t xml:space="preserve"> </w:t>
      </w:r>
      <w:r>
        <w:t xml:space="preserve">Digital global reach established across all four tiers; Gambia site planning begins.</w:t>
      </w:r>
    </w:p>
    <w:p>
      <w:pPr>
        <w:numPr>
          <w:ilvl w:val="0"/>
          <w:numId w:val="1020"/>
        </w:numPr>
        <w:pStyle w:val="Compact"/>
      </w:pPr>
      <w:r>
        <w:rPr>
          <w:bCs/>
          <w:b/>
        </w:rPr>
        <w:t xml:space="preserve">Phase 2 (2029–2031, Stage 3):</w:t>
      </w:r>
      <w:r>
        <w:t xml:space="preserve"> </w:t>
      </w:r>
      <w:r>
        <w:t xml:space="preserve">Gambia Branch Campus built out within the hard $50,000 ceiling; NAQAA accreditation process pursued independently of the Texas religious-exemption status.</w:t>
      </w:r>
    </w:p>
    <w:p>
      <w:pPr>
        <w:numPr>
          <w:ilvl w:val="0"/>
          <w:numId w:val="1020"/>
        </w:numPr>
        <w:pStyle w:val="Compact"/>
      </w:pPr>
      <w:r>
        <w:rPr>
          <w:bCs/>
          <w:b/>
        </w:rPr>
        <w:t xml:space="preserve">Phase 3 (2032–2037):</w:t>
      </w:r>
      <w:r>
        <w:t xml:space="preserve"> </w:t>
      </w:r>
      <w:r>
        <w:t xml:space="preserve">Consolidate Gambia operations; grow Tier-3 digital enrollment as the demand base for the Nigeria charter; submit the Nigeria charter application to the National Assembly/NUC in Year 10.</w:t>
      </w:r>
    </w:p>
    <w:p>
      <w:pPr>
        <w:numPr>
          <w:ilvl w:val="0"/>
          <w:numId w:val="1020"/>
        </w:numPr>
        <w:pStyle w:val="Compact"/>
      </w:pPr>
      <w:r>
        <w:rPr>
          <w:bCs/>
          <w:b/>
        </w:rPr>
        <w:t xml:space="preserve">Phase 4 (2038–2050):</w:t>
      </w:r>
      <w:r>
        <w:t xml:space="preserve"> </w:t>
      </w:r>
      <w:r>
        <w:t xml:space="preserve">Year 11–12 Texas secular accreditation launch broadens reach through a parallel, non-Islamic-specific pathway; Year 13 first Gulf ministry recognition agreement secured; continued digital scaling toward the $90–150M twenty-year institutional economy, with physical footprint remaining a minority of total delivery capacity throughout.</w:t>
      </w:r>
    </w:p>
    <w:p>
      <w:pPr>
        <w:pStyle w:val="FirstParagraph"/>
      </w:pPr>
      <w:r>
        <w:rPr>
          <w:bCs/>
          <w:b/>
        </w:rPr>
        <w:t xml:space="preserve">Staffing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Initiative</w:t>
            </w:r>
          </w:p>
        </w:tc>
        <w:tc>
          <w:tcPr/>
          <w:p>
            <w:pPr>
              <w:pStyle w:val="Compact"/>
              <w:jc w:val="left"/>
            </w:pPr>
            <w:r>
              <w:t xml:space="preserve">Role</w:t>
            </w:r>
          </w:p>
        </w:tc>
        <w:tc>
          <w:tcPr/>
          <w:p>
            <w:pPr>
              <w:pStyle w:val="Compact"/>
              <w:jc w:val="left"/>
            </w:pPr>
            <w:r>
              <w:t xml:space="preserve">Timing</w:t>
            </w:r>
          </w:p>
        </w:tc>
        <w:tc>
          <w:tcPr/>
          <w:p>
            <w:pPr>
              <w:pStyle w:val="Compact"/>
              <w:jc w:val="left"/>
            </w:pPr>
            <w:r>
              <w:t xml:space="preserve">Funding</w:t>
            </w:r>
          </w:p>
        </w:tc>
      </w:tr>
      <w:tr>
        <w:tc>
          <w:tcPr/>
          <w:p>
            <w:pPr>
              <w:pStyle w:val="Compact"/>
              <w:jc w:val="left"/>
            </w:pPr>
            <w:r>
              <w:t xml:space="preserve">Gambia</w:t>
            </w:r>
          </w:p>
        </w:tc>
        <w:tc>
          <w:tcPr/>
          <w:p>
            <w:pPr>
              <w:pStyle w:val="Compact"/>
              <w:jc w:val="left"/>
            </w:pPr>
            <w:r>
              <w:t xml:space="preserve">Campus Director/Registrar (1 FTE) + 1–2 local admin hires</w:t>
            </w:r>
          </w:p>
        </w:tc>
        <w:tc>
          <w:tcPr/>
          <w:p>
            <w:pPr>
              <w:pStyle w:val="Compact"/>
              <w:jc w:val="left"/>
            </w:pPr>
            <w:r>
              <w:t xml:space="preserve">From Year 2</w:t>
            </w:r>
          </w:p>
        </w:tc>
        <w:tc>
          <w:tcPr/>
          <w:p>
            <w:pPr>
              <w:pStyle w:val="Compact"/>
              <w:jc w:val="left"/>
            </w:pPr>
            <w:r>
              <w:t xml:space="preserve">Payroll — Founders’ Compensation / Core Admin Staff</w:t>
            </w:r>
          </w:p>
        </w:tc>
      </w:tr>
      <w:tr>
        <w:tc>
          <w:tcPr/>
          <w:p>
            <w:pPr>
              <w:pStyle w:val="Compact"/>
              <w:jc w:val="left"/>
            </w:pPr>
            <w:r>
              <w:t xml:space="preserve">Nigeria</w:t>
            </w:r>
          </w:p>
        </w:tc>
        <w:tc>
          <w:tcPr/>
          <w:p>
            <w:pPr>
              <w:pStyle w:val="Compact"/>
              <w:jc w:val="left"/>
            </w:pPr>
            <w:r>
              <w:t xml:space="preserve">Charter Liaison/Government Relations Officer (part-time)</w:t>
            </w:r>
          </w:p>
        </w:tc>
        <w:tc>
          <w:tcPr/>
          <w:p>
            <w:pPr>
              <w:pStyle w:val="Compact"/>
              <w:jc w:val="left"/>
            </w:pPr>
            <w:r>
              <w:t xml:space="preserve">Years 7–10</w:t>
            </w:r>
          </w:p>
        </w:tc>
        <w:tc>
          <w:tcPr/>
          <w:p>
            <w:pPr>
              <w:pStyle w:val="Compact"/>
              <w:jc w:val="left"/>
            </w:pPr>
            <w:r>
              <w:t xml:space="preserve">Waqf Nigeria Reserve sub-line administrative allowance</w:t>
            </w:r>
          </w:p>
        </w:tc>
      </w:tr>
      <w:tr>
        <w:tc>
          <w:tcPr/>
          <w:p>
            <w:pPr>
              <w:pStyle w:val="Compact"/>
              <w:jc w:val="left"/>
            </w:pPr>
            <w:r>
              <w:t xml:space="preserve">Gulf</w:t>
            </w:r>
          </w:p>
        </w:tc>
        <w:tc>
          <w:tcPr/>
          <w:p>
            <w:pPr>
              <w:pStyle w:val="Compact"/>
              <w:jc w:val="left"/>
            </w:pPr>
            <w:r>
              <w:t xml:space="preserve">Ministry Relations Officer (part-time contract)</w:t>
            </w:r>
          </w:p>
        </w:tc>
        <w:tc>
          <w:tcPr/>
          <w:p>
            <w:pPr>
              <w:pStyle w:val="Compact"/>
              <w:jc w:val="left"/>
            </w:pPr>
            <w:r>
              <w:t xml:space="preserve">Years 11–13</w:t>
            </w:r>
          </w:p>
        </w:tc>
        <w:tc>
          <w:tcPr/>
          <w:p>
            <w:pPr>
              <w:pStyle w:val="Compact"/>
              <w:jc w:val="left"/>
            </w:pPr>
            <w:r>
              <w:t xml:space="preserve">Liquidity Reserve — accreditation costs</w:t>
            </w:r>
          </w:p>
        </w:tc>
      </w:tr>
    </w:tbl>
    <w:p>
      <w:pPr>
        <w:pStyle w:val="BodyText"/>
      </w:pPr>
      <w:r>
        <w:rPr>
          <w:bCs/>
          <w:b/>
        </w:rPr>
        <w:t xml:space="preserve">Annual Budget</w:t>
      </w:r>
    </w:p>
    <w:p>
      <w:pPr>
        <w:pStyle w:val="BodyText"/>
      </w:pPr>
      <w:r>
        <w:t xml:space="preserve">Gambia’s $50,000 ceiling is a hard, Board-approved cap drawn from the Liquidity Reserve, which accumulates $78,661 in Year 1 alone (35% of $224,747) — comfortably covering the ceiling within the first one to two years of reserve build-up, well inside the Years 2–4 window. Nigeria draws exclusively from its ring-fenced $333,383 ten-year Waqf sub-line, covering charter, legal, and government-relations costs without touching general tuition revenue. Gulf recognition costs draw from the Liquidity Reserve’s</w:t>
      </w:r>
      <w:r>
        <w:t xml:space="preserve"> </w:t>
      </w:r>
      <w:r>
        <w:t xml:space="preserve">“</w:t>
      </w:r>
      <w:r>
        <w:t xml:space="preserve">accreditation costs</w:t>
      </w:r>
      <w:r>
        <w:t xml:space="preserve">”</w:t>
      </w:r>
      <w:r>
        <w:t xml:space="preserve"> </w:t>
      </w:r>
      <w:r>
        <w:t xml:space="preserve">purpose from Year 11 onward, by which point the reserve’s ten-year cumulative base ($5,834,215) plus continued 35% draws on the much larger post-secular-accreditation revenue base make this affordable.</w:t>
      </w:r>
    </w:p>
    <w:p>
      <w:pPr>
        <w:pStyle w:val="BodyText"/>
      </w:pPr>
      <w:r>
        <w:rPr>
          <w:bCs/>
          <w:b/>
        </w:rPr>
        <w:t xml:space="preserve">KPIs:</w:t>
      </w:r>
      <w:r>
        <w:t xml:space="preserve"> </w:t>
      </w:r>
      <w:r>
        <w:t xml:space="preserve">Gambia enrollment and NAQAA milestone completion within Years 2–4; on-time Nigeria charter submission in Year 10 (binary milestone); count of signed Gulf recognition agreements from Year 13; ratio of digital (no-campus) to physical-campus enrollment, expected to remain digital-majority throughout, confirming the digital-first thesis.</w:t>
      </w:r>
    </w:p>
    <w:p>
      <w:pPr>
        <w:pStyle w:val="BodyText"/>
      </w:pPr>
      <w:r>
        <w:rPr>
          <w:bCs/>
          <w:b/>
        </w:rPr>
        <w:t xml:space="preserve">Risks &amp; Mitigation:</w:t>
      </w:r>
      <w:r>
        <w:t xml:space="preserve"> </w:t>
      </w:r>
      <w:r>
        <w:t xml:space="preserve">Gambia budget overrun — mitigated by the hard $50,000 Board ceiling and phased drawdown. NAQAA/NUC/Gulf ministry regulatory delay or rejection — mitigated by the recognition-before-presence approach, which keeps the digital model’s growth independent of any single jurisdiction’s regulatory timeline. Political/currency risk in Gambia, Nigeria, and Gulf jurisdictions — mitigated by reserve-funding (not revenue-dependent) and the Nigeria sub-line’s ring-fencing. Secular-accreditation surge diverting focus from the Islamic core mission — mitigated by Senate oversight of academic identity across all pathways.</w:t>
      </w:r>
    </w:p>
    <w:p>
      <w:pPr>
        <w:pStyle w:val="BodyText"/>
      </w:pPr>
      <w:r>
        <w:rPr>
          <w:bCs/>
          <w:b/>
        </w:rPr>
        <w:t xml:space="preserve">Timeline:</w:t>
      </w:r>
      <w:r>
        <w:t xml:space="preserve"> </w:t>
      </w:r>
      <w:r>
        <w:t xml:space="preserve">2028 digital reach live → 2029–2031 Gambia build-out and NAQAA pursuit → 2037 Nigeria charter submitted → 2038–39 Texas secular accreditation → 2040 first Gulf recognition → 2047 twenty-year, $90–150M institutional economy target.</w:t>
      </w:r>
    </w:p>
    <w:p>
      <w:pPr>
        <w:pStyle w:val="BodyText"/>
      </w:pPr>
      <w:r>
        <w:rPr>
          <w:bCs/>
          <w:b/>
        </w:rPr>
        <w:t xml:space="preserve">Governance:</w:t>
      </w:r>
      <w:r>
        <w:t xml:space="preserve"> </w:t>
      </w:r>
      <w:r>
        <w:t xml:space="preserve">Board of Trustees approves all campus/charter capital ceilings (already exercised for Gambia’s $50,000) and any tuition-tier implications of new markets; Waqf &amp; Endowment Board governs the Nigeria Reserve sub-line; DVC Admin &amp; Finance executes Liquidity Reserve draws for Gambia and Gulf accreditation costs and reports budget variance; Senate advises on cross-jurisdictional academic and accreditation-standard consistency.</w:t>
      </w:r>
    </w:p>
    <w:p>
      <w:pPr>
        <w:pStyle w:val="BodyText"/>
      </w:pPr>
      <w:r>
        <w:rPr>
          <w:bCs/>
          <w:b/>
        </w:rPr>
        <w:t xml:space="preserve">Measurable Success Indicators:</w:t>
      </w:r>
      <w:r>
        <w:t xml:space="preserve"> </w:t>
      </w:r>
      <w:r>
        <w:t xml:space="preserve">By Year 4, Gambia campus operational with NAQAA milestone progress on record; by Year 10, Nigeria charter application formally submitted; by Year 13, at least one signed Gulf ministry recognition agreement; throughout, digital-first delivery remaining the dominant channel by enrollment share.</w:t>
      </w:r>
    </w:p>
    <w:p>
      <w:r>
        <w:pict>
          <v:rect style="width:0;height:1.5pt" o:hralign="center" o:hrstd="t" o:hr="t"/>
        </w:pict>
      </w:r>
    </w:p>
    <w:bookmarkEnd w:id="57"/>
    <w:bookmarkStart w:id="58" w:name="X75dc18bf976f35f55ee076ba6076d320ab109e8"/>
    <w:p>
      <w:pPr>
        <w:pStyle w:val="Heading2"/>
      </w:pPr>
      <w:r>
        <w:t xml:space="preserve">Part VII — Regional Campuses &amp; Student Lifecycle (Sections 31–35)</w:t>
      </w:r>
    </w:p>
    <w:bookmarkEnd w:id="58"/>
    <w:bookmarkStart w:id="59" w:name="section-31-nigeria-campus-strategy"/>
    <w:p>
      <w:pPr>
        <w:pStyle w:val="Heading2"/>
      </w:pPr>
      <w:r>
        <w:t xml:space="preserve">Section 31: Nigeria Campus Strategy</w:t>
      </w:r>
    </w:p>
    <w:p>
      <w:pPr>
        <w:pStyle w:val="FirstParagraph"/>
      </w:pPr>
      <w:r>
        <w:rPr>
          <w:bCs/>
          <w:b/>
        </w:rPr>
        <w:t xml:space="preserve">Rationale</w:t>
      </w:r>
    </w:p>
    <w:p>
      <w:pPr>
        <w:pStyle w:val="BodyText"/>
      </w:pPr>
      <w:r>
        <w:t xml:space="preserve">The Nigeria Mega-University Initiative operationalizes AMIU’s mission —</w:t>
      </w:r>
      <w:r>
        <w:t xml:space="preserve"> </w:t>
      </w:r>
      <w:r>
        <w:t xml:space="preserve">“</w:t>
      </w:r>
      <w:r>
        <w:t xml:space="preserve">spreading Islamic education… at the minimum possible cost</w:t>
      </w:r>
      <w:r>
        <w:t xml:space="preserve">”</w:t>
      </w:r>
      <w:r>
        <w:t xml:space="preserve"> </w:t>
      </w:r>
      <w:r>
        <w:t xml:space="preserve">— at institutional scale in the world’s largest Muslim-majority population outside the Arab world. It is deliberately structured as a</w:t>
      </w:r>
      <w:r>
        <w:t xml:space="preserve"> </w:t>
      </w:r>
      <w:r>
        <w:rPr>
          <w:iCs/>
          <w:i/>
        </w:rPr>
        <w:t xml:space="preserve">funding target, not a guarantee</w:t>
      </w:r>
      <w:r>
        <w:t xml:space="preserve">: a physical campus with residential colleges, a central library, and six faculties mirroring AMIU’s Texas colleges (Qur’ānic &amp; Hadith Sciences; Sharī’ah &amp; Islamic Law; Islamic Theology &amp; Philosophy; Arabic Language &amp; Linguistics; Da’wah, Islamic Communication &amp; Chaplaincy; Islamic Finance, Economics &amp; Waqf Administration), pursuing its own accreditation independent of the Texas parent’s Commercial Engine and solvency.</w:t>
      </w:r>
    </w:p>
    <w:p>
      <w:pPr>
        <w:pStyle w:val="BodyText"/>
      </w:pPr>
      <w:r>
        <w:rPr>
          <w:bCs/>
          <w:b/>
        </w:rPr>
        <w:t xml:space="preserve">Global Best Practices</w:t>
      </w:r>
    </w:p>
    <w:p>
      <w:pPr>
        <w:pStyle w:val="BodyText"/>
      </w:pPr>
      <w:r>
        <w:t xml:space="preserve">Diaspora-funded university build-outs (e.g., faith-based endowment campuses in Sub-Saharan Africa) succeed when they (1) decouple capital accumulation from regulatory approval timing, (2) commission independent feasibility/land-tenure studies before any statutory filing, and (3) build local statutory relationships years ahead of formal charter submission rather than treating government engagement as a single event.</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0 — Groundwork</w:t>
            </w:r>
          </w:p>
        </w:tc>
        <w:tc>
          <w:tcPr/>
          <w:p>
            <w:pPr>
              <w:pStyle w:val="Compact"/>
              <w:jc w:val="left"/>
            </w:pPr>
            <w:r>
              <w:t xml:space="preserve">2028–2030</w:t>
            </w:r>
          </w:p>
        </w:tc>
        <w:tc>
          <w:tcPr/>
          <w:p>
            <w:pPr>
              <w:pStyle w:val="Compact"/>
              <w:jc w:val="left"/>
            </w:pPr>
            <w:r>
              <w:t xml:space="preserve">Desk research, Nigerian diaspora/community consultation, no physical footprint or committed spend</w:t>
            </w:r>
          </w:p>
        </w:tc>
      </w:tr>
      <w:tr>
        <w:tc>
          <w:tcPr/>
          <w:p>
            <w:pPr>
              <w:pStyle w:val="Compact"/>
              <w:jc w:val="left"/>
            </w:pPr>
            <w:r>
              <w:t xml:space="preserve">1 — Feasibility</w:t>
            </w:r>
          </w:p>
        </w:tc>
        <w:tc>
          <w:tcPr/>
          <w:p>
            <w:pPr>
              <w:pStyle w:val="Compact"/>
              <w:jc w:val="left"/>
            </w:pPr>
            <w:r>
              <w:t xml:space="preserve">2031–2033</w:t>
            </w:r>
          </w:p>
        </w:tc>
        <w:tc>
          <w:tcPr/>
          <w:p>
            <w:pPr>
              <w:pStyle w:val="Compact"/>
              <w:jc w:val="left"/>
            </w:pPr>
            <w:r>
              <w:t xml:space="preserve">Commissioned site/feasibility study, informal contact with state-level education authorities, Nigerian legal-entity scoping (CAC registration groundwork)</w:t>
            </w:r>
          </w:p>
        </w:tc>
      </w:tr>
      <w:tr>
        <w:tc>
          <w:tcPr/>
          <w:p>
            <w:pPr>
              <w:pStyle w:val="Compact"/>
              <w:jc w:val="left"/>
            </w:pPr>
            <w:r>
              <w:t xml:space="preserve">2 — Statutory Sequencing</w:t>
            </w:r>
          </w:p>
        </w:tc>
        <w:tc>
          <w:tcPr/>
          <w:p>
            <w:pPr>
              <w:pStyle w:val="Compact"/>
              <w:jc w:val="left"/>
            </w:pPr>
            <w:r>
              <w:t xml:space="preserve">2034–2036</w:t>
            </w:r>
          </w:p>
        </w:tc>
        <w:tc>
          <w:tcPr/>
          <w:p>
            <w:pPr>
              <w:pStyle w:val="Compact"/>
              <w:jc w:val="left"/>
            </w:pPr>
            <w:r>
              <w:t xml:space="preserve">Preliminary NUC consultations, National Assembly liaison relationship-building, site option agreement(s), local advisory council formed</w:t>
            </w:r>
          </w:p>
        </w:tc>
      </w:tr>
      <w:tr>
        <w:tc>
          <w:tcPr/>
          <w:p>
            <w:pPr>
              <w:pStyle w:val="Compact"/>
              <w:jc w:val="left"/>
            </w:pPr>
            <w:r>
              <w:t xml:space="preserve">3 — Charter Application</w:t>
            </w:r>
          </w:p>
        </w:tc>
        <w:tc>
          <w:tcPr/>
          <w:p>
            <w:pPr>
              <w:pStyle w:val="Compact"/>
              <w:jc w:val="left"/>
            </w:pPr>
            <w:r>
              <w:rPr>
                <w:bCs/>
                <w:b/>
              </w:rPr>
              <w:t xml:space="preserve">Year 10 / 2037</w:t>
            </w:r>
          </w:p>
        </w:tc>
        <w:tc>
          <w:tcPr/>
          <w:p>
            <w:pPr>
              <w:pStyle w:val="Compact"/>
              <w:jc w:val="left"/>
            </w:pPr>
            <w:r>
              <w:t xml:space="preserve">Formal presentation and charter application to Nigeria’s National Assembly and NUC (sovereign processes outside AMIU control)</w:t>
            </w:r>
          </w:p>
        </w:tc>
      </w:tr>
      <w:tr>
        <w:tc>
          <w:tcPr/>
          <w:p>
            <w:pPr>
              <w:pStyle w:val="Compact"/>
              <w:jc w:val="left"/>
            </w:pPr>
            <w:r>
              <w:t xml:space="preserve">4 — Contingent Build-Out</w:t>
            </w:r>
          </w:p>
        </w:tc>
        <w:tc>
          <w:tcPr/>
          <w:p>
            <w:pPr>
              <w:pStyle w:val="Compact"/>
              <w:jc w:val="left"/>
            </w:pPr>
            <w:r>
              <w:t xml:space="preserve">2038+ (Year 11+)</w:t>
            </w:r>
          </w:p>
        </w:tc>
        <w:tc>
          <w:tcPr/>
          <w:p>
            <w:pPr>
              <w:pStyle w:val="Compact"/>
              <w:jc w:val="left"/>
            </w:pPr>
            <w:r>
              <w:t xml:space="preserve">Residential colleges, central library, faculty hiring —</w:t>
            </w:r>
            <w:r>
              <w:t xml:space="preserve"> </w:t>
            </w:r>
            <w:r>
              <w:rPr>
                <w:bCs/>
                <w:b/>
              </w:rPr>
              <w:t xml:space="preserve">only</w:t>
            </w:r>
            <w:r>
              <w:t xml:space="preserve"> </w:t>
            </w:r>
            <w:r>
              <w:t xml:space="preserve">upon charter approval; scope and budget subject to fresh Board approval, not pre-committed</w:t>
            </w:r>
          </w:p>
        </w:tc>
      </w:tr>
    </w:tbl>
    <w:p>
      <w:pPr>
        <w:pStyle w:val="BodyText"/>
      </w:pPr>
      <w:r>
        <w:rPr>
          <w:bCs/>
          <w:b/>
        </w:rPr>
        <w:t xml:space="preserve">Staffing Requirements</w:t>
      </w:r>
    </w:p>
    <w:p>
      <w:pPr>
        <w:pStyle w:val="BodyText"/>
      </w:pPr>
      <w:r>
        <w:t xml:space="preserve">Years 1–9: no dedicated headcount; a part-time/contract Nigeria Project Coordinator (Nigeria-based, contract fee funded from the Reserve, not the Texas Core Admin Staff sub-line) engaged from Phase 1 onward for local liaison and feasibility logistics. Year 10: coordination scales to support charter-application logistics (legal counsel, travel, document preparation). Post-charter staffing (registrar, faculty deans, librarian, residential-college wardens) is explicitly deferred to a future Board-approved staffing plan contingent on approval — not funded today.</w:t>
      </w:r>
    </w:p>
    <w:p>
      <w:pPr>
        <w:pStyle w:val="BodyText"/>
      </w:pPr>
      <w:r>
        <w:rPr>
          <w:bCs/>
          <w:b/>
        </w:rPr>
        <w:t xml:space="preserve">Annual Budget</w:t>
      </w:r>
    </w:p>
    <w:p>
      <w:pPr>
        <w:pStyle w:val="BodyText"/>
      </w:pPr>
      <w:r>
        <w:t xml:space="preserve">Funded exclusively from the</w:t>
      </w:r>
      <w:r>
        <w:t xml:space="preserve"> </w:t>
      </w:r>
      <w:r>
        <w:rPr>
          <w:bCs/>
          <w:b/>
        </w:rPr>
        <w:t xml:space="preserve">Nigeria Mega-University Reserve</w:t>
      </w:r>
      <w:r>
        <w:t xml:space="preserve">: a fixed 20% sub-line of the 50%-distributed half of the 20%-of-Gross-Revenue Waqf &amp; Stakeholder Reserve (i.e., 2% of Gross Revenue). Year 1 draw ≈ $4,495; Year 10 draw ≈ $76,611; ten-year cumulative</w:t>
      </w:r>
      <w:r>
        <w:t xml:space="preserve"> </w:t>
      </w:r>
      <w:r>
        <w:rPr>
          <w:bCs/>
          <w:b/>
        </w:rPr>
        <w:t xml:space="preserve">$333,383</w:t>
      </w:r>
      <w:r>
        <w:t xml:space="preserve"> </w:t>
      </w:r>
      <w:r>
        <w:t xml:space="preserve">(2028–2037), covering feasibility studies, legal/regulatory fees, coordinator fees, and travel only — no construction capital is committed pre-charter. In the Year 11–20 secular-expansion phase the sub-line grows substantially with the $8M–$94M revenue base (illustratively ≈$167,200/yr at Year 11 revenue, ≈$1.88M/yr at Year 20 revenue), providing the eventual capital base for contingent build-out.</w:t>
      </w:r>
    </w:p>
    <w:p>
      <w:pPr>
        <w:pStyle w:val="BodyText"/>
      </w:pPr>
      <w:r>
        <w:rPr>
          <w:bCs/>
          <w:b/>
        </w:rPr>
        <w:t xml:space="preserve">KPIs</w:t>
      </w:r>
    </w:p>
    <w:p>
      <w:pPr>
        <w:pStyle w:val="BodyText"/>
      </w:pPr>
      <w:r>
        <w:t xml:space="preserve">Feasibility study completed (Year 3); CAC entity registered (Year 5); ≥3 documented NUC pre-consultation meetings (by Year 8); site option agreement(s) signed (Year 8); charter application formally submitted (Year 10); Reserve balance tracked against $333,383 cumulative target.</w:t>
      </w:r>
    </w:p>
    <w:p>
      <w:pPr>
        <w:pStyle w:val="BodyText"/>
      </w:pPr>
      <w:r>
        <w:rPr>
          <w:bCs/>
          <w:b/>
        </w:rPr>
        <w:t xml:space="preserve">Risks &amp; Mitigation</w:t>
      </w:r>
    </w:p>
    <w:p>
      <w:pPr>
        <w:pStyle w:val="BodyText"/>
      </w:pPr>
      <w:r>
        <w:t xml:space="preserve">Per the adopted risk register:</w:t>
      </w:r>
      <w:r>
        <w:t xml:space="preserve"> </w:t>
      </w:r>
      <w:r>
        <w:t xml:space="preserve">“</w:t>
      </w:r>
      <w:r>
        <w:t xml:space="preserve">Nigeria Mega-University delay or non-approval — MODERATE/MEDIUM.</w:t>
      </w:r>
      <w:r>
        <w:t xml:space="preserve">”</w:t>
      </w:r>
      <w:r>
        <w:t xml:space="preserve"> </w:t>
      </w:r>
      <w:r>
        <w:t xml:space="preserve">Mitigation: framed as funding target not guarantee; Reserve accumulates regardless of approval timing; delay/rejection does not affect AMIU Texas solvency (fully firewalled from Commercial Engine). Secondary risk: local political/regulatory turnover — mitigated by multi-year relationship-building rather than single-point engagement.</w:t>
      </w:r>
    </w:p>
    <w:p>
      <w:pPr>
        <w:pStyle w:val="BodyText"/>
      </w:pPr>
      <w:r>
        <w:rPr>
          <w:bCs/>
          <w:b/>
        </w:rPr>
        <w:t xml:space="preserve">Timeline</w:t>
      </w:r>
    </w:p>
    <w:p>
      <w:pPr>
        <w:pStyle w:val="BodyText"/>
      </w:pPr>
      <w:r>
        <w:t xml:space="preserve">2028–2030 groundwork → 2031–2033 feasibility → 2034–2036 statutory sequencing →</w:t>
      </w:r>
      <w:r>
        <w:t xml:space="preserve"> </w:t>
      </w:r>
      <w:r>
        <w:rPr>
          <w:bCs/>
          <w:b/>
        </w:rPr>
        <w:t xml:space="preserve">2037 charter application</w:t>
      </w:r>
      <w:r>
        <w:t xml:space="preserve"> </w:t>
      </w:r>
      <w:r>
        <w:t xml:space="preserve">→ 2038+ contingent build-out.</w:t>
      </w:r>
    </w:p>
    <w:p>
      <w:pPr>
        <w:pStyle w:val="BodyText"/>
      </w:pPr>
      <w:r>
        <w:rPr>
          <w:bCs/>
          <w:b/>
        </w:rPr>
        <w:t xml:space="preserve">Governance Responsibilities</w:t>
      </w:r>
    </w:p>
    <w:p>
      <w:pPr>
        <w:numPr>
          <w:ilvl w:val="0"/>
          <w:numId w:val="1021"/>
        </w:numPr>
        <w:pStyle w:val="Compact"/>
      </w:pPr>
      <w:r>
        <w:rPr>
          <w:bCs/>
          <w:b/>
        </w:rPr>
        <w:t xml:space="preserve">Board of Trustees</w:t>
      </w:r>
      <w:r>
        <w:t xml:space="preserve">: strategic ownership, approves all Reserve draws and any future capital-commitment decision post-charter.</w:t>
      </w:r>
    </w:p>
    <w:p>
      <w:pPr>
        <w:numPr>
          <w:ilvl w:val="0"/>
          <w:numId w:val="1021"/>
        </w:numPr>
        <w:pStyle w:val="Compact"/>
      </w:pPr>
      <w:r>
        <w:rPr>
          <w:bCs/>
          <w:b/>
        </w:rPr>
        <w:t xml:space="preserve">Waqf &amp; Endowment Board</w:t>
      </w:r>
      <w:r>
        <w:t xml:space="preserve">: fiduciary authority over Reserve disbursement; draws remain well under the $250,000/yr threshold through Year 10 (avg. ~$33,338/yr), but Year 11–20 sub-line draws (e.g., ~$1.88M/yr by Year 20) will require the 2/3 Senate vote including ≥2 independent seats once that threshold is crossed.</w:t>
      </w:r>
    </w:p>
    <w:p>
      <w:pPr>
        <w:numPr>
          <w:ilvl w:val="0"/>
          <w:numId w:val="1021"/>
        </w:numPr>
        <w:pStyle w:val="Compact"/>
      </w:pPr>
      <w:r>
        <w:rPr>
          <w:bCs/>
          <w:b/>
        </w:rPr>
        <w:t xml:space="preserve">University Senate</w:t>
      </w:r>
      <w:r>
        <w:t xml:space="preserve">: academic authority over curriculum mirroring for the six Nigerian faculties, exercised only if/when charter is granted.</w:t>
      </w:r>
    </w:p>
    <w:p>
      <w:pPr>
        <w:pStyle w:val="FirstParagraph"/>
      </w:pPr>
      <w:r>
        <w:rPr>
          <w:bCs/>
          <w:b/>
        </w:rPr>
        <w:t xml:space="preserve">Measurable Success Indicators</w:t>
      </w:r>
    </w:p>
    <w:p>
      <w:pPr>
        <w:pStyle w:val="BodyText"/>
      </w:pPr>
      <w:r>
        <w:t xml:space="preserve">Charter application submitted on schedule (Year 10); zero Reserve overdraw; feasibility and statutory milestones met without diverting funds from Texas operations; Reserve fully funded to $333,383 cumulative by 2037 regardless of political outcome.</w:t>
      </w:r>
    </w:p>
    <w:bookmarkEnd w:id="59"/>
    <w:bookmarkStart w:id="60" w:name="section-32-gulf-cooperation-strategy"/>
    <w:p>
      <w:pPr>
        <w:pStyle w:val="Heading2"/>
      </w:pPr>
      <w:r>
        <w:t xml:space="preserve">Section 32: Gulf Cooperation Strategy</w:t>
      </w:r>
    </w:p>
    <w:p>
      <w:pPr>
        <w:pStyle w:val="FirstParagraph"/>
      </w:pPr>
      <w:r>
        <w:rPr>
          <w:bCs/>
          <w:b/>
        </w:rPr>
        <w:t xml:space="preserve">Rationale</w:t>
      </w:r>
    </w:p>
    <w:p>
      <w:pPr>
        <w:pStyle w:val="BodyText"/>
      </w:pPr>
      <w:r>
        <w:t xml:space="preserve">Gulf &amp; Middle East countries (Qatar, UAE, Saudi Arabia, Kuwait, Bahrain, Oman, Israel) occupy Tier 1</w:t>
      </w:r>
      <w:r>
        <w:t xml:space="preserve"> </w:t>
      </w:r>
      <w:r>
        <w:t xml:space="preserve">“</w:t>
      </w:r>
      <w:r>
        <w:t xml:space="preserve">Very Developed — Premium Rate</w:t>
      </w:r>
      <w:r>
        <w:t xml:space="preserve">”</w:t>
      </w:r>
      <w:r>
        <w:t xml:space="preserve"> </w:t>
      </w:r>
      <w:r>
        <w:t xml:space="preserve">and are the adopted</w:t>
      </w:r>
      <w:r>
        <w:t xml:space="preserve"> </w:t>
      </w:r>
      <w:r>
        <w:t xml:space="preserve">“</w:t>
      </w:r>
      <w:r>
        <w:t xml:space="preserve">primary cross-subsidy engine funding Partial Regional Scholarships for Tiers 2–4.</w:t>
      </w:r>
      <w:r>
        <w:t xml:space="preserve">”</w:t>
      </w:r>
      <w:r>
        <w:t xml:space="preserve"> </w:t>
      </w:r>
      <w:r>
        <w:t xml:space="preserve">Growing Gulf enrolment and Gulf-origin philanthropy directly expands the pool available for need-based access elsewhere — the strategy is therefore a</w:t>
      </w:r>
      <w:r>
        <w:t xml:space="preserve"> </w:t>
      </w:r>
      <w:r>
        <w:rPr>
          <w:iCs/>
          <w:i/>
        </w:rPr>
        <w:t xml:space="preserve">revenue and donor-relationship</w:t>
      </w:r>
      <w:r>
        <w:t xml:space="preserve"> </w:t>
      </w:r>
      <w:r>
        <w:t xml:space="preserve">strategy first, and a</w:t>
      </w:r>
      <w:r>
        <w:t xml:space="preserve"> </w:t>
      </w:r>
      <w:r>
        <w:rPr>
          <w:iCs/>
          <w:i/>
        </w:rPr>
        <w:t xml:space="preserve">recognition-seeking</w:t>
      </w:r>
      <w:r>
        <w:t xml:space="preserve"> </w:t>
      </w:r>
      <w:r>
        <w:t xml:space="preserve">strategy second, sequenced deliberately behind Texas secular accreditation (targeted complete Year 12/2039).</w:t>
      </w:r>
    </w:p>
    <w:p>
      <w:pPr>
        <w:pStyle w:val="BodyText"/>
      </w:pPr>
      <w:r>
        <w:rPr>
          <w:bCs/>
          <w:b/>
        </w:rPr>
        <w:t xml:space="preserve">Global Best Practices</w:t>
      </w:r>
    </w:p>
    <w:p>
      <w:pPr>
        <w:pStyle w:val="BodyText"/>
      </w:pPr>
      <w:r>
        <w:t xml:space="preserve">Successful diaspora/premium-market recruitment by distance-capable religious and professional universities relies on: Arabic/English bilingual digital content, mosque and Islamic-school network partnerships (not paid agents, which raise accreditation-recognition friction), ambassador/referral-based trust-building, and treating ministry recognition as a multi-year relationship built on demonstrated track record — never a first-contact ask.</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1 — Digital Presence</w:t>
            </w:r>
          </w:p>
        </w:tc>
        <w:tc>
          <w:tcPr/>
          <w:p>
            <w:pPr>
              <w:pStyle w:val="Compact"/>
              <w:jc w:val="left"/>
            </w:pPr>
            <w:r>
              <w:t xml:space="preserve">2028–2031</w:t>
            </w:r>
          </w:p>
        </w:tc>
        <w:tc>
          <w:tcPr/>
          <w:p>
            <w:pPr>
              <w:pStyle w:val="Compact"/>
              <w:jc w:val="left"/>
            </w:pPr>
            <w:r>
              <w:t xml:space="preserve">Arabic-English bilingual marketing, Gulf-targeted social/digital campaigns, mosque community engagement (informal)</w:t>
            </w:r>
          </w:p>
        </w:tc>
      </w:tr>
      <w:tr>
        <w:tc>
          <w:tcPr/>
          <w:p>
            <w:pPr>
              <w:pStyle w:val="Compact"/>
              <w:jc w:val="left"/>
            </w:pPr>
            <w:r>
              <w:t xml:space="preserve">2 — Relationship Building</w:t>
            </w:r>
          </w:p>
        </w:tc>
        <w:tc>
          <w:tcPr/>
          <w:p>
            <w:pPr>
              <w:pStyle w:val="Compact"/>
              <w:jc w:val="left"/>
            </w:pPr>
            <w:r>
              <w:t xml:space="preserve">2032–2035</w:t>
            </w:r>
          </w:p>
        </w:tc>
        <w:tc>
          <w:tcPr/>
          <w:p>
            <w:pPr>
              <w:pStyle w:val="Compact"/>
              <w:jc w:val="left"/>
            </w:pPr>
            <w:r>
              <w:t xml:space="preserve">Gulf student ambassador program, informal contact with individual scholars/mosques, early donor cultivation conversations</w:t>
            </w:r>
          </w:p>
        </w:tc>
      </w:tr>
      <w:tr>
        <w:tc>
          <w:tcPr/>
          <w:p>
            <w:pPr>
              <w:pStyle w:val="Compact"/>
              <w:jc w:val="left"/>
            </w:pPr>
            <w:r>
              <w:t xml:space="preserve">3 — Pre-Recognition Groundwork</w:t>
            </w:r>
          </w:p>
        </w:tc>
        <w:tc>
          <w:tcPr/>
          <w:p>
            <w:pPr>
              <w:pStyle w:val="Compact"/>
              <w:jc w:val="left"/>
            </w:pPr>
            <w:r>
              <w:t xml:space="preserve">2036–2039</w:t>
            </w:r>
          </w:p>
        </w:tc>
        <w:tc>
          <w:tcPr/>
          <w:p>
            <w:pPr>
              <w:pStyle w:val="Compact"/>
              <w:jc w:val="left"/>
            </w:pPr>
            <w:r>
              <w:t xml:space="preserve">Formal MOUs with Gulf mosque/Islamic-school networks; delegation visits; positioning built on completed Texas secular accreditation (Year 12/2039)</w:t>
            </w:r>
          </w:p>
        </w:tc>
      </w:tr>
      <w:tr>
        <w:tc>
          <w:tcPr/>
          <w:p>
            <w:pPr>
              <w:pStyle w:val="Compact"/>
              <w:jc w:val="left"/>
            </w:pPr>
            <w:r>
              <w:t xml:space="preserve">4 — Ministry Recognition</w:t>
            </w:r>
          </w:p>
        </w:tc>
        <w:tc>
          <w:tcPr/>
          <w:p>
            <w:pPr>
              <w:pStyle w:val="Compact"/>
              <w:jc w:val="left"/>
            </w:pPr>
            <w:r>
              <w:rPr>
                <w:bCs/>
                <w:b/>
              </w:rPr>
              <w:t xml:space="preserve">Year 13 / 2040</w:t>
            </w:r>
          </w:p>
        </w:tc>
        <w:tc>
          <w:tcPr/>
          <w:p>
            <w:pPr>
              <w:pStyle w:val="Compact"/>
              <w:jc w:val="left"/>
            </w:pPr>
            <w:r>
              <w:t xml:space="preserve">First Gulf ministry recognition/accreditation agreement(s) targeted</w:t>
            </w:r>
          </w:p>
        </w:tc>
      </w:tr>
      <w:tr>
        <w:tc>
          <w:tcPr/>
          <w:p>
            <w:pPr>
              <w:pStyle w:val="Compact"/>
              <w:jc w:val="left"/>
            </w:pPr>
            <w:r>
              <w:t xml:space="preserve">5 — Scaled Cross-Subsidy</w:t>
            </w:r>
          </w:p>
        </w:tc>
        <w:tc>
          <w:tcPr/>
          <w:p>
            <w:pPr>
              <w:pStyle w:val="Compact"/>
              <w:jc w:val="left"/>
            </w:pPr>
            <w:r>
              <w:t xml:space="preserve">2041+</w:t>
            </w:r>
          </w:p>
        </w:tc>
        <w:tc>
          <w:tcPr/>
          <w:p>
            <w:pPr>
              <w:pStyle w:val="Compact"/>
              <w:jc w:val="left"/>
            </w:pPr>
            <w:r>
              <w:t xml:space="preserve">Deepen Gulf enrolment share and recognition-enabled pathways as track record compounds</w:t>
            </w:r>
          </w:p>
        </w:tc>
      </w:tr>
    </w:tbl>
    <w:p>
      <w:pPr>
        <w:pStyle w:val="BodyText"/>
      </w:pPr>
      <w:r>
        <w:rPr>
          <w:bCs/>
          <w:b/>
        </w:rPr>
        <w:t xml:space="preserve">Staffing Requirements</w:t>
      </w:r>
    </w:p>
    <w:p>
      <w:pPr>
        <w:pStyle w:val="BodyText"/>
      </w:pPr>
      <w:r>
        <w:t xml:space="preserve">Years 1–9: no dedicated Gulf office; Gulf-market digital marketing handled by a contracted bilingual specialist funded from the fixed Marketing allocation; admissions processing folded into the Core Admin Staff sub-line. Years 10–12: specialist role scales to near-full-time as Gulf enrolment share grows. A dedicated Gulf Relations function (for ministry diplomacy) is a Year 13+ decision requiring explicit Board approval, not pre-funded.</w:t>
      </w:r>
    </w:p>
    <w:p>
      <w:pPr>
        <w:pStyle w:val="BodyText"/>
      </w:pPr>
      <w:r>
        <w:rPr>
          <w:bCs/>
          <w:b/>
        </w:rPr>
        <w:t xml:space="preserve">Annual Budget</w:t>
      </w:r>
    </w:p>
    <w:p>
      <w:pPr>
        <w:pStyle w:val="BodyText"/>
      </w:pPr>
      <w:r>
        <w:t xml:space="preserve">Drawn from the fixed</w:t>
      </w:r>
      <w:r>
        <w:t xml:space="preserve"> </w:t>
      </w:r>
      <w:r>
        <w:rPr>
          <w:bCs/>
          <w:b/>
        </w:rPr>
        <w:t xml:space="preserve">10% Marketing allocation</w:t>
      </w:r>
      <w:r>
        <w:t xml:space="preserve"> </w:t>
      </w:r>
      <w:r>
        <w:t xml:space="preserve">(Gulf campaigns are a Board-approved portion of this line, not a separate budget): Year 1 ceiling $22,475; Year 5 $129,078; Year 10 $383,055 total Marketing spend institution-wide, of which Gulf-focused digital campaigns take a growing but bounded share. Gulf donor cultivation flows into the</w:t>
      </w:r>
      <w:r>
        <w:t xml:space="preserve"> </w:t>
      </w:r>
      <w:r>
        <w:rPr>
          <w:bCs/>
          <w:b/>
        </w:rPr>
        <w:t xml:space="preserve">Waqf &amp; Stakeholder Reserve</w:t>
      </w:r>
      <w:r>
        <w:t xml:space="preserve"> </w:t>
      </w:r>
      <w:r>
        <w:t xml:space="preserve">via named Sadaqah Jāriyah scholarships — additive philanthropic gifts, not drawn from fixed allocations, subject to Waqf &amp; Endowment Board stewardship.</w:t>
      </w:r>
    </w:p>
    <w:p>
      <w:pPr>
        <w:pStyle w:val="BodyText"/>
      </w:pPr>
      <w:r>
        <w:rPr>
          <w:bCs/>
          <w:b/>
        </w:rPr>
        <w:t xml:space="preserve">KPIs</w:t>
      </w:r>
    </w:p>
    <w:p>
      <w:pPr>
        <w:pStyle w:val="BodyText"/>
      </w:pPr>
      <w:r>
        <w:t xml:space="preserve">Gulf-origin enrolment as % of Tier 1 total; Gulf revenue contribution to Tier 2–4 cross-subsidy pool; number of mosque/Islamic-school MOUs signed; count and value of Gulf-origin Sadaqah Jāriyah gifts; ministry engagement meetings logged; first recognition agreement secured Year 13.</w:t>
      </w:r>
    </w:p>
    <w:p>
      <w:pPr>
        <w:pStyle w:val="BodyText"/>
      </w:pPr>
      <w:r>
        <w:rPr>
          <w:bCs/>
          <w:b/>
        </w:rPr>
        <w:t xml:space="preserve">Risks &amp; Mitigation</w:t>
      </w:r>
    </w:p>
    <w:p>
      <w:pPr>
        <w:pStyle w:val="BodyText"/>
      </w:pPr>
      <w:r>
        <w:t xml:space="preserve">Geopolitical/travel disruption in any single Gulf state — mitigated by targeting seven countries, not one. Competition from established Gulf-region universities — mitigated by AMIU’s stackable low-cost ladder as a differentiator. Recognition delay — mitigated identically to the Nigeria model: cross-subsidy tuition revenue and admissions operate independent of ministry recognition; delay does not threaten solvency.</w:t>
      </w:r>
    </w:p>
    <w:p>
      <w:pPr>
        <w:pStyle w:val="BodyText"/>
      </w:pPr>
      <w:r>
        <w:rPr>
          <w:bCs/>
          <w:b/>
        </w:rPr>
        <w:t xml:space="preserve">Timeline</w:t>
      </w:r>
    </w:p>
    <w:p>
      <w:pPr>
        <w:pStyle w:val="BodyText"/>
      </w:pPr>
      <w:r>
        <w:t xml:space="preserve">2028–2031 digital presence → 2032–2035 relationship building → 2036–2039 pre-recognition groundwork (post Year-12 Texas secular accreditation) →</w:t>
      </w:r>
      <w:r>
        <w:t xml:space="preserve"> </w:t>
      </w:r>
      <w:r>
        <w:rPr>
          <w:bCs/>
          <w:b/>
        </w:rPr>
        <w:t xml:space="preserve">2040 first ministry recognition</w:t>
      </w:r>
      <w:r>
        <w:t xml:space="preserve"> </w:t>
      </w:r>
      <w:r>
        <w:t xml:space="preserve">→ 2041+ scaled cross-subsidy.</w:t>
      </w:r>
    </w:p>
    <w:p>
      <w:pPr>
        <w:pStyle w:val="BodyText"/>
      </w:pPr>
      <w:r>
        <w:rPr>
          <w:bCs/>
          <w:b/>
        </w:rPr>
        <w:t xml:space="preserve">Governance Responsibilities</w:t>
      </w:r>
    </w:p>
    <w:p>
      <w:pPr>
        <w:numPr>
          <w:ilvl w:val="0"/>
          <w:numId w:val="1022"/>
        </w:numPr>
        <w:pStyle w:val="Compact"/>
      </w:pPr>
      <w:r>
        <w:rPr>
          <w:bCs/>
          <w:b/>
        </w:rPr>
        <w:t xml:space="preserve">Board of Trustees</w:t>
      </w:r>
      <w:r>
        <w:t xml:space="preserve">: exclusive tuition-setting authority (sets/maintains Tier 1 premium pricing), Commercial Engine oversight of Gulf marketing spend, approves any future Gulf Relations staffing.</w:t>
      </w:r>
    </w:p>
    <w:p>
      <w:pPr>
        <w:numPr>
          <w:ilvl w:val="0"/>
          <w:numId w:val="1022"/>
        </w:numPr>
        <w:pStyle w:val="Compact"/>
      </w:pPr>
      <w:r>
        <w:rPr>
          <w:bCs/>
          <w:b/>
        </w:rPr>
        <w:t xml:space="preserve">Waqf &amp; Endowment Board</w:t>
      </w:r>
      <w:r>
        <w:t xml:space="preserve">: fiduciary authority over Gulf-origin Waqf/Sadaqah Jāriyah gifts; 2/3 Senate vote with ≥2 independent seats required once any single deployment exceeds $250,000/yr.</w:t>
      </w:r>
    </w:p>
    <w:p>
      <w:pPr>
        <w:numPr>
          <w:ilvl w:val="0"/>
          <w:numId w:val="1022"/>
        </w:numPr>
        <w:pStyle w:val="Compact"/>
      </w:pPr>
      <w:r>
        <w:rPr>
          <w:bCs/>
          <w:b/>
        </w:rPr>
        <w:t xml:space="preserve">University Senate</w:t>
      </w:r>
      <w:r>
        <w:t xml:space="preserve">: reviews academic-partnership implications of any Gulf ministry recognition agreement before adoption.</w:t>
      </w:r>
    </w:p>
    <w:p>
      <w:pPr>
        <w:pStyle w:val="FirstParagraph"/>
      </w:pPr>
      <w:r>
        <w:rPr>
          <w:bCs/>
          <w:b/>
        </w:rPr>
        <w:t xml:space="preserve">Measurable Success Indicators</w:t>
      </w:r>
    </w:p>
    <w:p>
      <w:pPr>
        <w:pStyle w:val="BodyText"/>
      </w:pPr>
      <w:r>
        <w:t xml:space="preserve">Sustained or growing Tier 1 revenue share funding Tier 2–4 scholarships; first ministry recognition agreement by 2040; Gulf donor pipeline demonstrably additive to (not substituting for) the fixed Waqf allocation.</w:t>
      </w:r>
    </w:p>
    <w:bookmarkEnd w:id="60"/>
    <w:bookmarkStart w:id="61" w:name="section-33-student-support-framework"/>
    <w:p>
      <w:pPr>
        <w:pStyle w:val="Heading2"/>
      </w:pPr>
      <w:r>
        <w:t xml:space="preserve">Section 33: Student Support Framework</w:t>
      </w:r>
    </w:p>
    <w:p>
      <w:pPr>
        <w:pStyle w:val="FirstParagraph"/>
      </w:pPr>
      <w:r>
        <w:rPr>
          <w:bCs/>
          <w:b/>
        </w:rPr>
        <w:t xml:space="preserve">Rationale</w:t>
      </w:r>
    </w:p>
    <w:p>
      <w:pPr>
        <w:pStyle w:val="BodyText"/>
      </w:pPr>
      <w:r>
        <w:t xml:space="preserve">AMIU’s mission demands access</w:t>
      </w:r>
      <w:r>
        <w:t xml:space="preserve"> </w:t>
      </w:r>
      <w:r>
        <w:t xml:space="preserve">“</w:t>
      </w:r>
      <w:r>
        <w:t xml:space="preserve">without condition</w:t>
      </w:r>
      <w:r>
        <w:t xml:space="preserve">”</w:t>
      </w:r>
      <w:r>
        <w:t xml:space="preserve"> </w:t>
      </w:r>
      <w:r>
        <w:t xml:space="preserve">while never sacrificing rigor — but the fixed Payroll structure leaves no standalone Student Affairs budget: the Core Admin Staff sub-line (18% of the 20% Payroll allocation) is the</w:t>
      </w:r>
      <w:r>
        <w:t xml:space="preserve"> </w:t>
      </w:r>
      <w:r>
        <w:rPr>
          <w:iCs/>
          <w:i/>
        </w:rPr>
        <w:t xml:space="preserve">entire</w:t>
      </w:r>
      <w:r>
        <w:t xml:space="preserve"> </w:t>
      </w:r>
      <w:r>
        <w:t xml:space="preserve">institution-wide non-academic administrative budget. Support must therefore be digital-first, self-service by design, and leverage existing capacity (the Da’wah, Islamic Communication &amp; Chaplaincy college’s pastoral expertise) rather than assume dedicated offices that the model cannot yet afford.</w:t>
      </w:r>
    </w:p>
    <w:p>
      <w:pPr>
        <w:pStyle w:val="BodyText"/>
      </w:pPr>
      <w:r>
        <w:rPr>
          <w:bCs/>
          <w:b/>
        </w:rPr>
        <w:t xml:space="preserve">Global Best Practices</w:t>
      </w:r>
    </w:p>
    <w:p>
      <w:pPr>
        <w:pStyle w:val="BodyText"/>
      </w:pPr>
      <w:r>
        <w:t xml:space="preserve">Scalable distance/online universities (competency-based and open models) achieve high student-support ratios through tiered self-service: knowledge-base/LMS-embedded advising, peer-mentor networks, and async triage — reserving human staff time for genuine escalations. Seminary and religious-education institutions additionally draw on faculty-led pastoral care as a built-in, low-marginal-cost function.</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1 — Digital Foundation</w:t>
            </w:r>
          </w:p>
        </w:tc>
        <w:tc>
          <w:tcPr/>
          <w:p>
            <w:pPr>
              <w:pStyle w:val="Compact"/>
              <w:jc w:val="left"/>
            </w:pPr>
            <w:r>
              <w:t xml:space="preserve">2028–2030</w:t>
            </w:r>
          </w:p>
        </w:tc>
        <w:tc>
          <w:tcPr/>
          <w:p>
            <w:pPr>
              <w:pStyle w:val="Compact"/>
              <w:jc w:val="left"/>
            </w:pPr>
            <w:r>
              <w:t xml:space="preserve">LMS self-service advising portal, FAQ/knowledge base, async email support (Core Admin Staff), volunteer chaplaincy-faculty pastoral care</w:t>
            </w:r>
          </w:p>
        </w:tc>
      </w:tr>
      <w:tr>
        <w:tc>
          <w:tcPr/>
          <w:p>
            <w:pPr>
              <w:pStyle w:val="Compact"/>
              <w:jc w:val="left"/>
            </w:pPr>
            <w:r>
              <w:t xml:space="preserve">2 — Structured Peer Support</w:t>
            </w:r>
          </w:p>
        </w:tc>
        <w:tc>
          <w:tcPr/>
          <w:p>
            <w:pPr>
              <w:pStyle w:val="Compact"/>
              <w:jc w:val="left"/>
            </w:pPr>
            <w:r>
              <w:t xml:space="preserve">2031–2033</w:t>
            </w:r>
          </w:p>
        </w:tc>
        <w:tc>
          <w:tcPr/>
          <w:p>
            <w:pPr>
              <w:pStyle w:val="Compact"/>
              <w:jc w:val="left"/>
            </w:pPr>
            <w:r>
              <w:t xml:space="preserve">Peer-mentor program (senior students/early alumni volunteers), scheduled group advising webinars, documented case-by-case accommodation process</w:t>
            </w:r>
          </w:p>
        </w:tc>
      </w:tr>
      <w:tr>
        <w:tc>
          <w:tcPr/>
          <w:p>
            <w:pPr>
              <w:pStyle w:val="Compact"/>
              <w:jc w:val="left"/>
            </w:pPr>
            <w:r>
              <w:t xml:space="preserve">3 — Formalized Escalation</w:t>
            </w:r>
          </w:p>
        </w:tc>
        <w:tc>
          <w:tcPr/>
          <w:p>
            <w:pPr>
              <w:pStyle w:val="Compact"/>
              <w:jc w:val="left"/>
            </w:pPr>
            <w:r>
              <w:t xml:space="preserve">2034–2037</w:t>
            </w:r>
          </w:p>
        </w:tc>
        <w:tc>
          <w:tcPr/>
          <w:p>
            <w:pPr>
              <w:pStyle w:val="Compact"/>
              <w:jc w:val="left"/>
            </w:pPr>
            <w:r>
              <w:t xml:space="preserve">Hardship-to-Waqf-Scholarship-Block SOP fully formalized (existing 14-day adjudication standard); first fractional Student Support Coordinator role within Admin sub-line</w:t>
            </w:r>
          </w:p>
        </w:tc>
      </w:tr>
      <w:tr>
        <w:tc>
          <w:tcPr/>
          <w:p>
            <w:pPr>
              <w:pStyle w:val="Compact"/>
              <w:jc w:val="left"/>
            </w:pPr>
            <w:r>
              <w:t xml:space="preserve">4 — Dedicated Function</w:t>
            </w:r>
          </w:p>
        </w:tc>
        <w:tc>
          <w:tcPr/>
          <w:p>
            <w:pPr>
              <w:pStyle w:val="Compact"/>
              <w:jc w:val="left"/>
            </w:pPr>
            <w:r>
              <w:t xml:space="preserve">2038+ (Year 11+)</w:t>
            </w:r>
          </w:p>
        </w:tc>
        <w:tc>
          <w:tcPr/>
          <w:p>
            <w:pPr>
              <w:pStyle w:val="Compact"/>
              <w:jc w:val="left"/>
            </w:pPr>
            <w:r>
              <w:t xml:space="preserve">Board proposal for a dedicated, multi-function Student Support office, contingent on secular-expansion revenue scale</w:t>
            </w:r>
          </w:p>
        </w:tc>
      </w:tr>
    </w:tbl>
    <w:p>
      <w:pPr>
        <w:pStyle w:val="BodyText"/>
      </w:pPr>
      <w:r>
        <w:rPr>
          <w:bCs/>
          <w:b/>
        </w:rPr>
        <w:t xml:space="preserve">Staffing Requirements</w:t>
      </w:r>
    </w:p>
    <w:p>
      <w:pPr>
        <w:pStyle w:val="BodyText"/>
      </w:pPr>
      <w:r>
        <w:t xml:space="preserve">Years 1–5: zero dedicated headcount — folded into Core Admin Staff duties plus volunteer Da’wah &amp; Chaplaincy college faculty. Years 6–9: a fractional (e.g., 0.25–0.5 FTE) coordinator role emerges as the Admin sub-line grows. Year 10: Admin sub-line reaches $137,900 institution-wide, enabling a modest blended coordinator role alongside HR/Finance/IT/Admissions duties — still not a dedicated office. Year 11+: dedicated hire is an explicit future Board staffing decision, not automatic.</w:t>
      </w:r>
    </w:p>
    <w:p>
      <w:pPr>
        <w:pStyle w:val="BodyText"/>
      </w:pPr>
      <w:r>
        <w:rPr>
          <w:bCs/>
          <w:b/>
        </w:rPr>
        <w:t xml:space="preserve">Annual Budget</w:t>
      </w:r>
    </w:p>
    <w:p>
      <w:pPr>
        <w:pStyle w:val="BodyText"/>
      </w:pPr>
      <w:r>
        <w:t xml:space="preserve">Entirely bounded by the</w:t>
      </w:r>
      <w:r>
        <w:t xml:space="preserve"> </w:t>
      </w:r>
      <w:r>
        <w:rPr>
          <w:bCs/>
          <w:b/>
        </w:rPr>
        <w:t xml:space="preserve">Core Admin Staff sub-line</w:t>
      </w:r>
      <w:r>
        <w:t xml:space="preserve"> </w:t>
      </w:r>
      <w:r>
        <w:t xml:space="preserve">(18% of the 20% Payroll allocation): Year 1 ≈ $8,090; Year 5 ≈ $46,468; Year 10 ≈ $137,900 — shared across HR, Finance, IT, Admissions,</w:t>
      </w:r>
      <w:r>
        <w:t xml:space="preserve"> </w:t>
      </w:r>
      <w:r>
        <w:rPr>
          <w:iCs/>
          <w:i/>
        </w:rPr>
        <w:t xml:space="preserve">and</w:t>
      </w:r>
      <w:r>
        <w:t xml:space="preserve"> </w:t>
      </w:r>
      <w:r>
        <w:t xml:space="preserve">whatever student-support function exists. No separate line item; any expansion beyond this ceiling requires an explicit Board-approved budget change.</w:t>
      </w:r>
    </w:p>
    <w:p>
      <w:pPr>
        <w:pStyle w:val="BodyText"/>
      </w:pPr>
      <w:r>
        <w:rPr>
          <w:bCs/>
          <w:b/>
        </w:rPr>
        <w:t xml:space="preserve">KPIs</w:t>
      </w:r>
    </w:p>
    <w:p>
      <w:pPr>
        <w:pStyle w:val="BodyText"/>
      </w:pPr>
      <w:r>
        <w:t xml:space="preserve">LMS advising-portal usage rate; email/ticket response-time SLA (target: under 72 hours); hardship referrals resolved within the Waqf Scholarship Block’s 14-day adjudication window; accommodation requests processed; periodic student-satisfaction pulse survey participation.</w:t>
      </w:r>
    </w:p>
    <w:p>
      <w:pPr>
        <w:pStyle w:val="BodyText"/>
      </w:pPr>
      <w:r>
        <w:rPr>
          <w:bCs/>
          <w:b/>
        </w:rPr>
        <w:t xml:space="preserve">Risks &amp; Mitigation</w:t>
      </w:r>
    </w:p>
    <w:p>
      <w:pPr>
        <w:pStyle w:val="BodyText"/>
      </w:pPr>
      <w:r>
        <w:t xml:space="preserve">Understaffing/burnout on volunteer chaplaincy faculty — mitigated by rotation and cap on volunteer hours. Inequitable access for low-connectivity students — mitigated with offline/print-friendly LMS materials. Premature promises of full-service support — mitigated by publishing the phased roadmap transparently to students so expectations match actual capacity at each phase.</w:t>
      </w:r>
    </w:p>
    <w:p>
      <w:pPr>
        <w:pStyle w:val="BodyText"/>
      </w:pPr>
      <w:r>
        <w:rPr>
          <w:bCs/>
          <w:b/>
        </w:rPr>
        <w:t xml:space="preserve">Timeline</w:t>
      </w:r>
    </w:p>
    <w:p>
      <w:pPr>
        <w:pStyle w:val="BodyText"/>
      </w:pPr>
      <w:r>
        <w:t xml:space="preserve">2028–2030 digital foundation → 2031–2033 peer support → 2034–2037 formalized escalation → 2038+ dedicated function (Board-contingent).</w:t>
      </w:r>
    </w:p>
    <w:p>
      <w:pPr>
        <w:pStyle w:val="BodyText"/>
      </w:pPr>
      <w:r>
        <w:rPr>
          <w:bCs/>
          <w:b/>
        </w:rPr>
        <w:t xml:space="preserve">Governance Responsibilities</w:t>
      </w:r>
    </w:p>
    <w:p>
      <w:pPr>
        <w:numPr>
          <w:ilvl w:val="0"/>
          <w:numId w:val="1023"/>
        </w:numPr>
        <w:pStyle w:val="Compact"/>
      </w:pPr>
      <w:r>
        <w:rPr>
          <w:bCs/>
          <w:b/>
        </w:rPr>
        <w:t xml:space="preserve">University Senate</w:t>
      </w:r>
      <w:r>
        <w:t xml:space="preserve">: owns academic advising policy and accommodation academic standards.</w:t>
      </w:r>
    </w:p>
    <w:p>
      <w:pPr>
        <w:numPr>
          <w:ilvl w:val="0"/>
          <w:numId w:val="1023"/>
        </w:numPr>
        <w:pStyle w:val="Compact"/>
      </w:pPr>
      <w:r>
        <w:rPr>
          <w:bCs/>
          <w:b/>
        </w:rPr>
        <w:t xml:space="preserve">Waqf &amp; Endowment Board</w:t>
      </w:r>
      <w:r>
        <w:t xml:space="preserve">: fiduciary oversight of hardship-fund disbursement via the Waqf Scholarship Block; 2/3 Senate vote with ≥2 independent seats for any deployment exceeding $250,000/yr.</w:t>
      </w:r>
    </w:p>
    <w:p>
      <w:pPr>
        <w:numPr>
          <w:ilvl w:val="0"/>
          <w:numId w:val="1023"/>
        </w:numPr>
        <w:pStyle w:val="Compact"/>
      </w:pPr>
      <w:r>
        <w:rPr>
          <w:bCs/>
          <w:b/>
        </w:rPr>
        <w:t xml:space="preserve">Board of Trustees</w:t>
      </w:r>
      <w:r>
        <w:t xml:space="preserve">: approves any staffing/budget expansion beyond the fixed Admin sub-line.</w:t>
      </w:r>
    </w:p>
    <w:p>
      <w:pPr>
        <w:pStyle w:val="FirstParagraph"/>
      </w:pPr>
      <w:r>
        <w:rPr>
          <w:bCs/>
          <w:b/>
        </w:rPr>
        <w:t xml:space="preserve">Measurable Success Indicators</w:t>
      </w:r>
    </w:p>
    <w:p>
      <w:pPr>
        <w:pStyle w:val="BodyText"/>
      </w:pPr>
      <w:r>
        <w:t xml:space="preserve">100% of hardship escalations resolved within the 14-day standard; advising-portal adoption trending upward year-over-year; no Admin sub-line overrun; Year 10+ Board decision point reached with clear data to justify (or defer) dedicated staffing.</w:t>
      </w:r>
    </w:p>
    <w:bookmarkEnd w:id="61"/>
    <w:bookmarkStart w:id="62" w:name="section-34-alumni-framework"/>
    <w:p>
      <w:pPr>
        <w:pStyle w:val="Heading2"/>
      </w:pPr>
      <w:r>
        <w:t xml:space="preserve">Section 34: Alumni Framework</w:t>
      </w:r>
    </w:p>
    <w:p>
      <w:pPr>
        <w:pStyle w:val="FirstParagraph"/>
      </w:pPr>
      <w:r>
        <w:rPr>
          <w:bCs/>
          <w:b/>
        </w:rPr>
        <w:t xml:space="preserve">Rationale</w:t>
      </w:r>
    </w:p>
    <w:p>
      <w:pPr>
        <w:pStyle w:val="BodyText"/>
      </w:pPr>
      <w:r>
        <w:t xml:space="preserve">Because Diploma and Associate credentials are single-cycle, AMIU produces its first graduating cohorts within Year 1–2 (2028–2029) — an unusually early opportunity to build alumni identity. Alumni matter structurally: they feed the Marketing referral funnel, the mosque-nomination pipeline for Community &amp; Institutional Scholarships (up to 3 fully-sponsored seats/year per partner), and long-run Waqf/Sadaqah Jāriyah giving — all without requiring dedicated staff in the founding decade.</w:t>
      </w:r>
    </w:p>
    <w:p>
      <w:pPr>
        <w:pStyle w:val="BodyText"/>
      </w:pPr>
      <w:r>
        <w:rPr>
          <w:bCs/>
          <w:b/>
        </w:rPr>
        <w:t xml:space="preserve">Global Best Practices</w:t>
      </w:r>
    </w:p>
    <w:p>
      <w:pPr>
        <w:pStyle w:val="BodyText"/>
      </w:pPr>
      <w:r>
        <w:t xml:space="preserve">Low-cost alumni engagement at scale (used by large distance-learning and diaspora-serving institutions) favors free/existing tools over dedicated CRM platforms: LMS-linked alumni spaces, WhatsApp broadcast/community groups, volunteer regional</w:t>
      </w:r>
      <w:r>
        <w:t xml:space="preserve"> </w:t>
      </w:r>
      <w:r>
        <w:t xml:space="preserve">“</w:t>
      </w:r>
      <w:r>
        <w:t xml:space="preserve">class ambassadors,</w:t>
      </w:r>
      <w:r>
        <w:t xml:space="preserve">”</w:t>
      </w:r>
      <w:r>
        <w:t xml:space="preserve"> </w:t>
      </w:r>
      <w:r>
        <w:t xml:space="preserve">and automatic opt-in at graduation rather than post-hoc recruitment.</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1 — Identity Formation</w:t>
            </w:r>
          </w:p>
        </w:tc>
        <w:tc>
          <w:tcPr/>
          <w:p>
            <w:pPr>
              <w:pStyle w:val="Compact"/>
              <w:jc w:val="left"/>
            </w:pPr>
            <w:r>
              <w:t xml:space="preserve">2028–2029</w:t>
            </w:r>
          </w:p>
        </w:tc>
        <w:tc>
          <w:tcPr/>
          <w:p>
            <w:pPr>
              <w:pStyle w:val="Compact"/>
              <w:jc w:val="left"/>
            </w:pPr>
            <w:r>
              <w:t xml:space="preserve">First Diploma/Associate completers auto-enrolled into LMS-linked alumni space + WhatsApp group; managed as a part-time task within Marketing/Admin, no new spend</w:t>
            </w:r>
          </w:p>
        </w:tc>
      </w:tr>
      <w:tr>
        <w:tc>
          <w:tcPr/>
          <w:p>
            <w:pPr>
              <w:pStyle w:val="Compact"/>
              <w:jc w:val="left"/>
            </w:pPr>
            <w:r>
              <w:t xml:space="preserve">2 — Ambassador Network</w:t>
            </w:r>
          </w:p>
        </w:tc>
        <w:tc>
          <w:tcPr/>
          <w:p>
            <w:pPr>
              <w:pStyle w:val="Compact"/>
              <w:jc w:val="left"/>
            </w:pPr>
            <w:r>
              <w:t xml:space="preserve">2030–2032</w:t>
            </w:r>
          </w:p>
        </w:tc>
        <w:tc>
          <w:tcPr/>
          <w:p>
            <w:pPr>
              <w:pStyle w:val="Compact"/>
              <w:jc w:val="left"/>
            </w:pPr>
            <w:r>
              <w:t xml:space="preserve">Volunteer regional alumni reps; referral-incentive ambassador program tied to Marketing funnel; alumni-to-mosque nomination linkage for Community &amp; Institutional Scholarships</w:t>
            </w:r>
          </w:p>
        </w:tc>
      </w:tr>
      <w:tr>
        <w:tc>
          <w:tcPr/>
          <w:p>
            <w:pPr>
              <w:pStyle w:val="Compact"/>
              <w:jc w:val="left"/>
            </w:pPr>
            <w:r>
              <w:t xml:space="preserve">3 — Structured Engagement</w:t>
            </w:r>
          </w:p>
        </w:tc>
        <w:tc>
          <w:tcPr/>
          <w:p>
            <w:pPr>
              <w:pStyle w:val="Compact"/>
              <w:jc w:val="left"/>
            </w:pPr>
            <w:r>
              <w:t xml:space="preserve">2033–2036</w:t>
            </w:r>
          </w:p>
        </w:tc>
        <w:tc>
          <w:tcPr/>
          <w:p>
            <w:pPr>
              <w:pStyle w:val="Compact"/>
              <w:jc w:val="left"/>
            </w:pPr>
            <w:r>
              <w:t xml:space="preserve">Annual virtual alumni gathering; alumni giving campaign into the Sadaqah Jāriyah channel; lightweight alumni database integrated into the LMS</w:t>
            </w:r>
          </w:p>
        </w:tc>
      </w:tr>
      <w:tr>
        <w:tc>
          <w:tcPr/>
          <w:p>
            <w:pPr>
              <w:pStyle w:val="Compact"/>
              <w:jc w:val="left"/>
            </w:pPr>
            <w:r>
              <w:t xml:space="preserve">4 — First Paid Role</w:t>
            </w:r>
          </w:p>
        </w:tc>
        <w:tc>
          <w:tcPr/>
          <w:p>
            <w:pPr>
              <w:pStyle w:val="Compact"/>
              <w:jc w:val="left"/>
            </w:pPr>
            <w:r>
              <w:t xml:space="preserve">2037–2040 (Year 10+)</w:t>
            </w:r>
          </w:p>
        </w:tc>
        <w:tc>
          <w:tcPr/>
          <w:p>
            <w:pPr>
              <w:pStyle w:val="Compact"/>
              <w:jc w:val="left"/>
            </w:pPr>
            <w:r>
              <w:t xml:space="preserve">Fractional Alumni Coordinator role within the Admin sub-line; alumni segmentation begins to reflect Nigeria-campus and Gulf-recognition cohorts</w:t>
            </w:r>
          </w:p>
        </w:tc>
      </w:tr>
      <w:tr>
        <w:tc>
          <w:tcPr/>
          <w:p>
            <w:pPr>
              <w:pStyle w:val="Compact"/>
              <w:jc w:val="left"/>
            </w:pPr>
            <w:r>
              <w:t xml:space="preserve">5 — Dedicated Function</w:t>
            </w:r>
          </w:p>
        </w:tc>
        <w:tc>
          <w:tcPr/>
          <w:p>
            <w:pPr>
              <w:pStyle w:val="Compact"/>
              <w:jc w:val="left"/>
            </w:pPr>
            <w:r>
              <w:t xml:space="preserve">2041+ (Year 11+)</w:t>
            </w:r>
          </w:p>
        </w:tc>
        <w:tc>
          <w:tcPr/>
          <w:p>
            <w:pPr>
              <w:pStyle w:val="Compact"/>
              <w:jc w:val="left"/>
            </w:pPr>
            <w:r>
              <w:t xml:space="preserve">Dedicated Alumni Relations function as secular-expansion revenue scale allows</w:t>
            </w:r>
          </w:p>
        </w:tc>
      </w:tr>
    </w:tbl>
    <w:p>
      <w:pPr>
        <w:pStyle w:val="BodyText"/>
      </w:pPr>
      <w:r>
        <w:rPr>
          <w:bCs/>
          <w:b/>
        </w:rPr>
        <w:t xml:space="preserve">Staffing Requirements</w:t>
      </w:r>
    </w:p>
    <w:p>
      <w:pPr>
        <w:pStyle w:val="BodyText"/>
      </w:pPr>
      <w:r>
        <w:t xml:space="preserve">Years 1–9: entirely volunteer/community-led (class ambassadors, faculty coordination) — no incremental headcount. Year 10: first fractional paid Alumni Coordinator role, shared within the $137,900 Admin sub-line ceiling. Year 11+: a standalone office is a future Board decision, explicitly not funded today (no standalone Alumni Relations office exists in current fixed line items).</w:t>
      </w:r>
    </w:p>
    <w:p>
      <w:pPr>
        <w:pStyle w:val="BodyText"/>
      </w:pPr>
      <w:r>
        <w:rPr>
          <w:bCs/>
          <w:b/>
        </w:rPr>
        <w:t xml:space="preserve">Annual Budget</w:t>
      </w:r>
    </w:p>
    <w:p>
      <w:pPr>
        <w:pStyle w:val="BodyText"/>
      </w:pPr>
      <w:r>
        <w:t xml:space="preserve">Near-zero incremental cost Years 1–5: LMS and WhatsApp are existing/free tools; staff time absorbed by Core Admin Staff and Marketing. Referral/ambassador incentives are drawn from the fixed</w:t>
      </w:r>
      <w:r>
        <w:t xml:space="preserve"> </w:t>
      </w:r>
      <w:r>
        <w:rPr>
          <w:bCs/>
          <w:b/>
        </w:rPr>
        <w:t xml:space="preserve">10% Marketing allocation</w:t>
      </w:r>
      <w:r>
        <w:t xml:space="preserve"> </w:t>
      </w:r>
      <w:r>
        <w:t xml:space="preserve">(not a separate line) — bounded by the same Year 1 ($22,475) to Year 10 ($383,055) Marketing ceilings cited in Section 32. Alumni giving flows into the Waqf &amp; Stakeholder Reserve’s Sadaqah Jāriyah channel as additive philanthropy.</w:t>
      </w:r>
    </w:p>
    <w:p>
      <w:pPr>
        <w:pStyle w:val="BodyText"/>
      </w:pPr>
      <w:r>
        <w:rPr>
          <w:bCs/>
          <w:b/>
        </w:rPr>
        <w:t xml:space="preserve">KPIs</w:t>
      </w:r>
    </w:p>
    <w:p>
      <w:pPr>
        <w:pStyle w:val="BodyText"/>
      </w:pPr>
      <w:r>
        <w:t xml:space="preserve">% of each graduating cohort joining the alumni community; alumni-referral-driven new enrolments; alumni giving participation rate; mosque nominations sourced through alumni ambassadors; number of active regional alumni chapters/reps.</w:t>
      </w:r>
    </w:p>
    <w:p>
      <w:pPr>
        <w:pStyle w:val="BodyText"/>
      </w:pPr>
      <w:r>
        <w:rPr>
          <w:bCs/>
          <w:b/>
        </w:rPr>
        <w:t xml:space="preserve">Risks &amp; Mitigation</w:t>
      </w:r>
    </w:p>
    <w:p>
      <w:pPr>
        <w:pStyle w:val="BodyText"/>
      </w:pPr>
      <w:r>
        <w:t xml:space="preserve">Early-cohort disengagement (small numbers, no track record) — mitigated by automatic LMS/WhatsApp opt-in at graduation rather than opt-in recruitment. CRM/data sprawl — mitigated by a single lightweight tool integrated into the existing LMS rather than a separate platform. Volunteer-ambassador burnout — mitigated by modest referral incentives funded from Marketing.</w:t>
      </w:r>
    </w:p>
    <w:p>
      <w:pPr>
        <w:pStyle w:val="BodyText"/>
      </w:pPr>
      <w:r>
        <w:rPr>
          <w:bCs/>
          <w:b/>
        </w:rPr>
        <w:t xml:space="preserve">Timeline</w:t>
      </w:r>
    </w:p>
    <w:p>
      <w:pPr>
        <w:pStyle w:val="BodyText"/>
      </w:pPr>
      <w:r>
        <w:t xml:space="preserve">2028–2029 identity formation → 2030–2032 ambassador network → 2033–2036 structured engagement → 2037–2040 first paid role → 2041+ dedicated function.</w:t>
      </w:r>
    </w:p>
    <w:p>
      <w:pPr>
        <w:pStyle w:val="BodyText"/>
      </w:pPr>
      <w:r>
        <w:rPr>
          <w:bCs/>
          <w:b/>
        </w:rPr>
        <w:t xml:space="preserve">Governance Responsibilities</w:t>
      </w:r>
    </w:p>
    <w:p>
      <w:pPr>
        <w:numPr>
          <w:ilvl w:val="0"/>
          <w:numId w:val="1024"/>
        </w:numPr>
        <w:pStyle w:val="Compact"/>
      </w:pPr>
      <w:r>
        <w:rPr>
          <w:bCs/>
          <w:b/>
        </w:rPr>
        <w:t xml:space="preserve">Board of Trustees</w:t>
      </w:r>
      <w:r>
        <w:t xml:space="preserve">: oversees Marketing/Commercial Engine budget funding referral incentives and any future Alumni Relations staffing.</w:t>
      </w:r>
    </w:p>
    <w:p>
      <w:pPr>
        <w:numPr>
          <w:ilvl w:val="0"/>
          <w:numId w:val="1024"/>
        </w:numPr>
        <w:pStyle w:val="Compact"/>
      </w:pPr>
      <w:r>
        <w:rPr>
          <w:bCs/>
          <w:b/>
        </w:rPr>
        <w:t xml:space="preserve">Waqf &amp; Endowment Board</w:t>
      </w:r>
      <w:r>
        <w:t xml:space="preserve">: fiduciary oversight of the Sadaqah Jāriyah alumni-giving channel.</w:t>
      </w:r>
    </w:p>
    <w:p>
      <w:pPr>
        <w:numPr>
          <w:ilvl w:val="0"/>
          <w:numId w:val="1024"/>
        </w:numPr>
        <w:pStyle w:val="Compact"/>
      </w:pPr>
      <w:r>
        <w:rPr>
          <w:bCs/>
          <w:b/>
        </w:rPr>
        <w:t xml:space="preserve">University Senate</w:t>
      </w:r>
      <w:r>
        <w:t xml:space="preserve">: no direct authority but consulted on academic-credibility signaling of alumni outcomes.</w:t>
      </w:r>
    </w:p>
    <w:p>
      <w:pPr>
        <w:pStyle w:val="FirstParagraph"/>
      </w:pPr>
      <w:r>
        <w:rPr>
          <w:bCs/>
          <w:b/>
        </w:rPr>
        <w:t xml:space="preserve">Measurable Success Indicators</w:t>
      </w:r>
    </w:p>
    <w:p>
      <w:pPr>
        <w:pStyle w:val="BodyText"/>
      </w:pPr>
      <w:r>
        <w:t xml:space="preserve">Alumni community established from Cohort 1 (2028–2029) onward; measurable referral and mosque-nomination flow attributable to alumni by Year 5; first paid coordinator role justified by Year 10 engagement data, not assumption.</w:t>
      </w:r>
    </w:p>
    <w:bookmarkEnd w:id="62"/>
    <w:bookmarkStart w:id="63" w:name="section-35-career-development-framework"/>
    <w:p>
      <w:pPr>
        <w:pStyle w:val="Heading2"/>
      </w:pPr>
      <w:r>
        <w:t xml:space="preserve">Section 35: Career Development Framework</w:t>
      </w:r>
    </w:p>
    <w:p>
      <w:pPr>
        <w:pStyle w:val="FirstParagraph"/>
      </w:pPr>
      <w:r>
        <w:rPr>
          <w:bCs/>
          <w:b/>
        </w:rPr>
        <w:t xml:space="preserve">Rationale</w:t>
      </w:r>
    </w:p>
    <w:p>
      <w:pPr>
        <w:pStyle w:val="BodyText"/>
      </w:pPr>
      <w:r>
        <w:t xml:space="preserve">AMIU’s founding-decade graduates are products of a religious-education curriculum; realistic placement pathways run through imam/chaplaincy roles, Islamic school teaching, mosque/da’wah organization employment, Islamic finance sector entry (via the Islamic Finance, Economics &amp; Waqf Administration college), and — centrally — further study up the stackable seven-tier credential ladder itself. This differs fundamentally from a corporate career-services model and must be resourced accordingly until the Year 11+ secular schools (Business, CS, Law, Health, Engineering, Education, Social Sciences) introduce mainstream-labor-market placement needs.</w:t>
      </w:r>
    </w:p>
    <w:p>
      <w:pPr>
        <w:pStyle w:val="BodyText"/>
      </w:pPr>
      <w:r>
        <w:rPr>
          <w:bCs/>
          <w:b/>
        </w:rPr>
        <w:t xml:space="preserve">Global Best Practices</w:t>
      </w:r>
    </w:p>
    <w:p>
      <w:pPr>
        <w:pStyle w:val="BodyText"/>
      </w:pPr>
      <w:r>
        <w:t xml:space="preserve">Seminaries and religious-education institutions place graduates primarily through mosque/employer-network referral and faculty relationships rather than corporate-style career centers; embedding career-readiness content directly into curriculum (rather than a separate service) is standard for lean distance-learning institutions.</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1 — Embedded &amp; Informal</w:t>
            </w:r>
          </w:p>
        </w:tc>
        <w:tc>
          <w:tcPr/>
          <w:p>
            <w:pPr>
              <w:pStyle w:val="Compact"/>
              <w:jc w:val="left"/>
            </w:pPr>
            <w:r>
              <w:t xml:space="preserve">2028–2030</w:t>
            </w:r>
          </w:p>
        </w:tc>
        <w:tc>
          <w:tcPr/>
          <w:p>
            <w:pPr>
              <w:pStyle w:val="Compact"/>
              <w:jc w:val="left"/>
            </w:pPr>
            <w:r>
              <w:t xml:space="preserve">Career-readiness content embedded in curriculum; informal mosque/employer-network referral; free LMS job-postings board</w:t>
            </w:r>
          </w:p>
        </w:tc>
      </w:tr>
      <w:tr>
        <w:tc>
          <w:tcPr/>
          <w:p>
            <w:pPr>
              <w:pStyle w:val="Compact"/>
              <w:jc w:val="left"/>
            </w:pPr>
            <w:r>
              <w:t xml:space="preserve">2 — Partnership Formalization</w:t>
            </w:r>
          </w:p>
        </w:tc>
        <w:tc>
          <w:tcPr/>
          <w:p>
            <w:pPr>
              <w:pStyle w:val="Compact"/>
              <w:jc w:val="left"/>
            </w:pPr>
            <w:r>
              <w:t xml:space="preserve">2031–2033</w:t>
            </w:r>
          </w:p>
        </w:tc>
        <w:tc>
          <w:tcPr/>
          <w:p>
            <w:pPr>
              <w:pStyle w:val="Compact"/>
              <w:jc w:val="left"/>
            </w:pPr>
            <w:r>
              <w:t xml:space="preserve">MOUs with mosque associations, Islamic schools, Islamic finance institutions — faculty/Admin relationship-building, no new spend</w:t>
            </w:r>
          </w:p>
        </w:tc>
      </w:tr>
      <w:tr>
        <w:tc>
          <w:tcPr/>
          <w:p>
            <w:pPr>
              <w:pStyle w:val="Compact"/>
              <w:jc w:val="left"/>
            </w:pPr>
            <w:r>
              <w:t xml:space="preserve">3 — Fractional Liaison</w:t>
            </w:r>
          </w:p>
        </w:tc>
        <w:tc>
          <w:tcPr/>
          <w:p>
            <w:pPr>
              <w:pStyle w:val="Compact"/>
              <w:jc w:val="left"/>
            </w:pPr>
            <w:r>
              <w:t xml:space="preserve">2034–2037 (Year 10)</w:t>
            </w:r>
          </w:p>
        </w:tc>
        <w:tc>
          <w:tcPr/>
          <w:p>
            <w:pPr>
              <w:pStyle w:val="Compact"/>
              <w:jc w:val="left"/>
            </w:pPr>
            <w:r>
              <w:t xml:space="preserve">Fractional Career Liaison role within the Admin sub-line; structured</w:t>
            </w:r>
            <w:r>
              <w:t xml:space="preserve"> </w:t>
            </w:r>
            <w:r>
              <w:t xml:space="preserve">“</w:t>
            </w:r>
            <w:r>
              <w:t xml:space="preserve">further study up the ladder</w:t>
            </w:r>
            <w:r>
              <w:t xml:space="preserve">”</w:t>
            </w:r>
            <w:r>
              <w:t xml:space="preserve"> </w:t>
            </w:r>
            <w:r>
              <w:t xml:space="preserve">advising; outcome tracking begins</w:t>
            </w:r>
          </w:p>
        </w:tc>
      </w:tr>
      <w:tr>
        <w:tc>
          <w:tcPr/>
          <w:p>
            <w:pPr>
              <w:pStyle w:val="Compact"/>
              <w:jc w:val="left"/>
            </w:pPr>
            <w:r>
              <w:t xml:space="preserve">4 — Dual-Track Expansion</w:t>
            </w:r>
          </w:p>
        </w:tc>
        <w:tc>
          <w:tcPr/>
          <w:p>
            <w:pPr>
              <w:pStyle w:val="Compact"/>
              <w:jc w:val="left"/>
            </w:pPr>
            <w:r>
              <w:t xml:space="preserve">2038–2040 (Year 11–13)</w:t>
            </w:r>
          </w:p>
        </w:tc>
        <w:tc>
          <w:tcPr/>
          <w:p>
            <w:pPr>
              <w:pStyle w:val="Compact"/>
              <w:jc w:val="left"/>
            </w:pPr>
            <w:r>
              <w:t xml:space="preserve">As secular schools launch, mainstream-labor-market placement needs emerge — new employer-relations function is an explicit future Board-approved budget decision, not automatically funded</w:t>
            </w:r>
          </w:p>
        </w:tc>
      </w:tr>
      <w:tr>
        <w:tc>
          <w:tcPr/>
          <w:p>
            <w:pPr>
              <w:pStyle w:val="Compact"/>
              <w:jc w:val="left"/>
            </w:pPr>
            <w:r>
              <w:t xml:space="preserve">5 — Dedicated Dual Office</w:t>
            </w:r>
          </w:p>
        </w:tc>
        <w:tc>
          <w:tcPr/>
          <w:p>
            <w:pPr>
              <w:pStyle w:val="Compact"/>
              <w:jc w:val="left"/>
            </w:pPr>
            <w:r>
              <w:t xml:space="preserve">2041+</w:t>
            </w:r>
          </w:p>
        </w:tc>
        <w:tc>
          <w:tcPr/>
          <w:p>
            <w:pPr>
              <w:pStyle w:val="Compact"/>
              <w:jc w:val="left"/>
            </w:pPr>
            <w:r>
              <w:t xml:space="preserve">Career Development office split between religious-vocation placement and secular/professional placement tracks</w:t>
            </w:r>
          </w:p>
        </w:tc>
      </w:tr>
    </w:tbl>
    <w:p>
      <w:pPr>
        <w:pStyle w:val="BodyText"/>
      </w:pPr>
      <w:r>
        <w:rPr>
          <w:bCs/>
          <w:b/>
        </w:rPr>
        <w:t xml:space="preserve">Staffing Requirements</w:t>
      </w:r>
    </w:p>
    <w:p>
      <w:pPr>
        <w:pStyle w:val="BodyText"/>
      </w:pPr>
      <w:r>
        <w:t xml:space="preserve">Years 1–9: zero dedicated headcount; embedded curriculum content plus faculty/Admin relationship-building. Year 10: fractional Career Liaison role, shared within the Admin sub-line. Year 11+: illustrative capacity grows with the payroll base — Year 11 Admin sub-line ≈ $301,000 (18% of $1.672M Payroll at $8.36M revenue), Year 20 ≈ $3.38M (18% of $18.78M Payroll at $93.9M revenue) — enabling real capacity, but each expansion step still requires explicit Board approval, not automatic scaling.</w:t>
      </w:r>
    </w:p>
    <w:p>
      <w:pPr>
        <w:pStyle w:val="BodyText"/>
      </w:pPr>
      <w:r>
        <w:rPr>
          <w:bCs/>
          <w:b/>
        </w:rPr>
        <w:t xml:space="preserve">Annual Budget</w:t>
      </w:r>
    </w:p>
    <w:p>
      <w:pPr>
        <w:pStyle w:val="BodyText"/>
      </w:pPr>
      <w:r>
        <w:t xml:space="preserve">Bounded entirely by the</w:t>
      </w:r>
      <w:r>
        <w:t xml:space="preserve"> </w:t>
      </w:r>
      <w:r>
        <w:rPr>
          <w:bCs/>
          <w:b/>
        </w:rPr>
        <w:t xml:space="preserve">Core Admin Staff sub-line</w:t>
      </w:r>
      <w:r>
        <w:t xml:space="preserve"> </w:t>
      </w:r>
      <w:r>
        <w:t xml:space="preserve">through Year 10 ($137,900 ceiling, shared with HR/Finance/IT/Admissions and other support functions). Secular-phase expansion (Year 11+) draws on the larger Payroll base but remains a future Board staffing/budget decision, not a pre-committed line.</w:t>
      </w:r>
    </w:p>
    <w:p>
      <w:pPr>
        <w:pStyle w:val="BodyText"/>
      </w:pPr>
      <w:r>
        <w:rPr>
          <w:bCs/>
          <w:b/>
        </w:rPr>
        <w:t xml:space="preserve">KPIs</w:t>
      </w:r>
    </w:p>
    <w:p>
      <w:pPr>
        <w:pStyle w:val="BodyText"/>
      </w:pPr>
      <w:r>
        <w:t xml:space="preserve">Placement rate within 6/12 months, tracked separately for religious-vocation vs. secular tracks; count of mosque/employer/Islamic-finance MOUs; further-study conversion rate up the credential ladder; Waqf Administration college graduate placements in Islamic finance; post-Year-11 secular placement rate as that data becomes available.</w:t>
      </w:r>
    </w:p>
    <w:p>
      <w:pPr>
        <w:pStyle w:val="BodyText"/>
      </w:pPr>
      <w:r>
        <w:rPr>
          <w:bCs/>
          <w:b/>
        </w:rPr>
        <w:t xml:space="preserve">Risks &amp; Mitigation</w:t>
      </w:r>
    </w:p>
    <w:p>
      <w:pPr>
        <w:pStyle w:val="BodyText"/>
      </w:pPr>
      <w:r>
        <w:t xml:space="preserve">Limited labor-market data for religious-vocation roles — mitigated by direct outcome surveys of graduates rather than reliance on external labor statistics. Thin secular-market employer relationships at each new school’s launch — mitigated by beginning employer-partnership building</w:t>
      </w:r>
      <w:r>
        <w:t xml:space="preserve"> </w:t>
      </w:r>
      <w:r>
        <w:rPr>
          <w:iCs/>
          <w:i/>
        </w:rPr>
        <w:t xml:space="preserve">before</w:t>
      </w:r>
      <w:r>
        <w:t xml:space="preserve"> </w:t>
      </w:r>
      <w:r>
        <w:t xml:space="preserve">each secular school’s first cohort graduates, and by leveraging the alumni network (Section 34) as an early referral source.</w:t>
      </w:r>
    </w:p>
    <w:p>
      <w:pPr>
        <w:pStyle w:val="BodyText"/>
      </w:pPr>
      <w:r>
        <w:rPr>
          <w:bCs/>
          <w:b/>
        </w:rPr>
        <w:t xml:space="preserve">Timeline</w:t>
      </w:r>
    </w:p>
    <w:p>
      <w:pPr>
        <w:pStyle w:val="BodyText"/>
      </w:pPr>
      <w:r>
        <w:t xml:space="preserve">2028–2030 embedded/informal → 2031–2033 partnership formalization → 2034–2037 fractional liaison → 2038–2040 dual-track expansion → 2041+ dedicated dual office.</w:t>
      </w:r>
    </w:p>
    <w:p>
      <w:pPr>
        <w:pStyle w:val="BodyText"/>
      </w:pPr>
      <w:r>
        <w:rPr>
          <w:bCs/>
          <w:b/>
        </w:rPr>
        <w:t xml:space="preserve">Governance Responsibilities</w:t>
      </w:r>
    </w:p>
    <w:p>
      <w:pPr>
        <w:numPr>
          <w:ilvl w:val="0"/>
          <w:numId w:val="1025"/>
        </w:numPr>
        <w:pStyle w:val="Compact"/>
      </w:pPr>
      <w:r>
        <w:rPr>
          <w:bCs/>
          <w:b/>
        </w:rPr>
        <w:t xml:space="preserve">University Senate</w:t>
      </w:r>
      <w:r>
        <w:t xml:space="preserve">: curriculum integration of career-readiness content and further-study advising standards.</w:t>
      </w:r>
    </w:p>
    <w:p>
      <w:pPr>
        <w:numPr>
          <w:ilvl w:val="0"/>
          <w:numId w:val="1025"/>
        </w:numPr>
        <w:pStyle w:val="Compact"/>
      </w:pPr>
      <w:r>
        <w:rPr>
          <w:bCs/>
          <w:b/>
        </w:rPr>
        <w:t xml:space="preserve">Board of Trustees</w:t>
      </w:r>
      <w:r>
        <w:t xml:space="preserve">: approves any secular-phase career-office budget/staffing expansion (Year 11+ decision).</w:t>
      </w:r>
    </w:p>
    <w:p>
      <w:pPr>
        <w:numPr>
          <w:ilvl w:val="0"/>
          <w:numId w:val="1025"/>
        </w:numPr>
        <w:pStyle w:val="Compact"/>
      </w:pPr>
      <w:r>
        <w:rPr>
          <w:bCs/>
          <w:b/>
        </w:rPr>
        <w:t xml:space="preserve">Waqf &amp; Endowment Board</w:t>
      </w:r>
      <w:r>
        <w:t xml:space="preserve">: relevant only where scholarship-linked placement support intersects Tier 4/Waqf-sponsored graduates.</w:t>
      </w:r>
    </w:p>
    <w:p>
      <w:pPr>
        <w:pStyle w:val="FirstParagraph"/>
      </w:pPr>
      <w:r>
        <w:rPr>
          <w:bCs/>
          <w:b/>
        </w:rPr>
        <w:t xml:space="preserve">Measurable Success Indicators</w:t>
      </w:r>
    </w:p>
    <w:p>
      <w:pPr>
        <w:pStyle w:val="BodyText"/>
      </w:pPr>
      <w:r>
        <w:t xml:space="preserve">Documented placement outcomes from Cohort 1 onward; MOU network growth year-over-year; further-study conversion demonstrably reinforcing the stackable-ladder mission; secular-track placement infrastructure stood up in step with, not ahead of, Year 11+ revenue realities.</w:t>
      </w:r>
    </w:p>
    <w:p>
      <w:r>
        <w:pict>
          <v:rect style="width:0;height:1.5pt" o:hralign="center" o:hrstd="t" o:hr="t"/>
        </w:pict>
      </w:r>
    </w:p>
    <w:bookmarkEnd w:id="63"/>
    <w:bookmarkStart w:id="64" w:name="X90fa841244f8788faf5adc20520b5dfb03ea95f"/>
    <w:p>
      <w:pPr>
        <w:pStyle w:val="Heading2"/>
      </w:pPr>
      <w:r>
        <w:t xml:space="preserve">Part VIII — Risk, Compliance, Sustainability &amp; the 20-Year Roadmap (Sections 36–40)</w:t>
      </w:r>
    </w:p>
    <w:bookmarkEnd w:id="64"/>
    <w:bookmarkStart w:id="65" w:name="section-36-risk-management-framework"/>
    <w:p>
      <w:pPr>
        <w:pStyle w:val="Heading2"/>
      </w:pPr>
      <w:r>
        <w:t xml:space="preserve">Section 36: Risk Management Framework</w:t>
      </w:r>
    </w:p>
    <w:p>
      <w:pPr>
        <w:pStyle w:val="FirstParagraph"/>
      </w:pPr>
      <w:r>
        <w:rPr>
          <w:bCs/>
          <w:b/>
        </w:rPr>
        <w:t xml:space="preserve">Rationale</w:t>
      </w:r>
    </w:p>
    <w:p>
      <w:pPr>
        <w:pStyle w:val="BodyText"/>
      </w:pPr>
      <w:r>
        <w:t xml:space="preserve">AMIU’s Ten-Year Master Plan (AMIU-MP-001) adopted a 14-risk register as a condition of its zero-deficit financial architecture: every fixed-percentage allocation line is only as credible as the institution’s ability to see trouble coming and respond before it becomes solvency-threatening. Because the University is contractually barred from ever using tuition revenue to backstop the separate Commercial Engine (AMIU Global Services LLC), and because payroll and program costs are variable percentages of actual receipts rather than fixed obligations, AMIU’s structural risk profile is unusually resilient for a founding-decade nonprofit — but that resilience is only real if the risk register is actively managed, not filed away. Section 36 establishes the operating model that keeps the 14 adopted risks under continuous review, defines how new risks are identified and added as the institution grows into secular accreditation, Nigeria, and the Gulf, and scopes staffing/budget realistically to what a bootstrapping religious-exempt university can actually afford in its first ten years.</w:t>
      </w:r>
    </w:p>
    <w:p>
      <w:pPr>
        <w:pStyle w:val="BodyText"/>
      </w:pPr>
      <w:r>
        <w:rPr>
          <w:bCs/>
          <w:b/>
        </w:rPr>
        <w:t xml:space="preserve">Global Best Practices</w:t>
      </w:r>
    </w:p>
    <w:p>
      <w:pPr>
        <w:numPr>
          <w:ilvl w:val="0"/>
          <w:numId w:val="1026"/>
        </w:numPr>
        <w:pStyle w:val="Compact"/>
      </w:pPr>
      <w:r>
        <w:t xml:space="preserve">COSO Enterprise Risk Management framework (risk appetite statements, likelihood/impact scoring, board-level ownership) adapted for a two-entity nonprofit/commercial firewall structure.</w:t>
      </w:r>
    </w:p>
    <w:p>
      <w:pPr>
        <w:numPr>
          <w:ilvl w:val="0"/>
          <w:numId w:val="1026"/>
        </w:numPr>
        <w:pStyle w:val="Compact"/>
      </w:pPr>
      <w:r>
        <w:t xml:space="preserve">Higher-education sector norms: risk registers owned by an Audit &amp; Risk Committee of the Board (not by Administration), with the internal-audit function reporting independently to the Board — already AMIU’s adopted governance design.</w:t>
      </w:r>
    </w:p>
    <w:p>
      <w:pPr>
        <w:numPr>
          <w:ilvl w:val="0"/>
          <w:numId w:val="1026"/>
        </w:numPr>
        <w:pStyle w:val="Compact"/>
      </w:pPr>
      <w:r>
        <w:t xml:space="preserve">Faith-based institutional practice: a standing Sharī’ah Advisory Board with veto/certification authority over any risk mitigation touching investment structures, consistent with AMIU’s Independent Sharī’ah Advisory Board.</w:t>
      </w:r>
    </w:p>
    <w:p>
      <w:pPr>
        <w:numPr>
          <w:ilvl w:val="0"/>
          <w:numId w:val="1026"/>
        </w:numPr>
        <w:pStyle w:val="Compact"/>
      </w:pPr>
      <w:r>
        <w:t xml:space="preserve">Proportionate risk resourcing: small institutions embed risk oversight in existing part-time trustee committees until revenue scale genuinely justifies dedicated staff — the model this section follows explicitly, rejecting premature C-suite risk roles.</w:t>
      </w:r>
    </w:p>
    <w:p>
      <w:pPr>
        <w:pStyle w:val="FirstParagraph"/>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I — Founding Oversight</w:t>
            </w:r>
          </w:p>
        </w:tc>
        <w:tc>
          <w:tcPr/>
          <w:p>
            <w:pPr>
              <w:pStyle w:val="Compact"/>
              <w:jc w:val="left"/>
            </w:pPr>
            <w:r>
              <w:t xml:space="preserve">2028–2029 (Yr 1–2)</w:t>
            </w:r>
          </w:p>
        </w:tc>
        <w:tc>
          <w:tcPr/>
          <w:p>
            <w:pPr>
              <w:pStyle w:val="Compact"/>
              <w:jc w:val="left"/>
            </w:pPr>
            <w:r>
              <w:t xml:space="preserve">Register formalized; Audit &amp; Risk Committee seated; external CPA engaged</w:t>
            </w:r>
          </w:p>
        </w:tc>
      </w:tr>
      <w:tr>
        <w:tc>
          <w:tcPr/>
          <w:p>
            <w:pPr>
              <w:pStyle w:val="Compact"/>
              <w:jc w:val="left"/>
            </w:pPr>
            <w:r>
              <w:t xml:space="preserve">II — Embedded Coordination</w:t>
            </w:r>
          </w:p>
        </w:tc>
        <w:tc>
          <w:tcPr/>
          <w:p>
            <w:pPr>
              <w:pStyle w:val="Compact"/>
              <w:jc w:val="left"/>
            </w:pPr>
            <w:r>
              <w:t xml:space="preserve">2030–2032 (Yr 3–5)</w:t>
            </w:r>
          </w:p>
        </w:tc>
        <w:tc>
          <w:tcPr/>
          <w:p>
            <w:pPr>
              <w:pStyle w:val="Compact"/>
              <w:jc w:val="left"/>
            </w:pPr>
            <w:r>
              <w:t xml:space="preserve">Fractional risk/compliance coordination folded into Core Admin Staff; Gambia-specific risk lines active</w:t>
            </w:r>
          </w:p>
        </w:tc>
      </w:tr>
      <w:tr>
        <w:tc>
          <w:tcPr/>
          <w:p>
            <w:pPr>
              <w:pStyle w:val="Compact"/>
              <w:jc w:val="left"/>
            </w:pPr>
            <w:r>
              <w:t xml:space="preserve">III — Systematic Monitoring</w:t>
            </w:r>
          </w:p>
        </w:tc>
        <w:tc>
          <w:tcPr/>
          <w:p>
            <w:pPr>
              <w:pStyle w:val="Compact"/>
              <w:jc w:val="left"/>
            </w:pPr>
            <w:r>
              <w:t xml:space="preserve">2033–2037 (Yr 6–10)</w:t>
            </w:r>
          </w:p>
        </w:tc>
        <w:tc>
          <w:tcPr/>
          <w:p>
            <w:pPr>
              <w:pStyle w:val="Compact"/>
              <w:jc w:val="left"/>
            </w:pPr>
            <w:r>
              <w:t xml:space="preserve">Full-time coordinator; quarterly heat-map reporting to Board; register closes founding decade at 14+ risks reviewed</w:t>
            </w:r>
          </w:p>
        </w:tc>
      </w:tr>
      <w:tr>
        <w:tc>
          <w:tcPr/>
          <w:p>
            <w:pPr>
              <w:pStyle w:val="Compact"/>
              <w:jc w:val="left"/>
            </w:pPr>
            <w:r>
              <w:t xml:space="preserve">IV — Secular-Era Expansion</w:t>
            </w:r>
          </w:p>
        </w:tc>
        <w:tc>
          <w:tcPr/>
          <w:p>
            <w:pPr>
              <w:pStyle w:val="Compact"/>
              <w:jc w:val="left"/>
            </w:pPr>
            <w:r>
              <w:t xml:space="preserve">2038+ (Yr 11+)</w:t>
            </w:r>
          </w:p>
        </w:tc>
        <w:tc>
          <w:tcPr/>
          <w:p>
            <w:pPr>
              <w:pStyle w:val="Compact"/>
              <w:jc w:val="left"/>
            </w:pPr>
            <w:r>
              <w:t xml:space="preserve">New risk categories (licensure, NUC, Gulf recognition) added; dedicated Director-level role considered</w:t>
            </w:r>
          </w:p>
        </w:tc>
      </w:tr>
    </w:tbl>
    <w:p>
      <w:pPr>
        <w:pStyle w:val="BodyText"/>
      </w:pPr>
      <w:r>
        <w:rPr>
          <w:bCs/>
          <w:b/>
        </w:rPr>
        <w:t xml:space="preserve">Staffing Requirements</w:t>
      </w:r>
    </w:p>
    <w:p>
      <w:pPr>
        <w:pStyle w:val="BodyText"/>
      </w:pPr>
      <w:r>
        <w:t xml:space="preserve">No Chief Risk Officer exists in the founding decade. Risk ownership sits with the</w:t>
      </w:r>
      <w:r>
        <w:t xml:space="preserve"> </w:t>
      </w:r>
      <w:r>
        <w:rPr>
          <w:bCs/>
          <w:b/>
        </w:rPr>
        <w:t xml:space="preserve">Board Audit &amp; Risk Committee</w:t>
      </w:r>
      <w:r>
        <w:t xml:space="preserve"> </w:t>
      </w:r>
      <w:r>
        <w:t xml:space="preserve">(3 trustees, part-time, unpaid or covered under existing Senate/Founders’ stipend lines — no incremental cost) plus an</w:t>
      </w:r>
      <w:r>
        <w:t xml:space="preserve"> </w:t>
      </w:r>
      <w:r>
        <w:rPr>
          <w:bCs/>
          <w:b/>
        </w:rPr>
        <w:t xml:space="preserve">independent external auditor</w:t>
      </w:r>
      <w:r>
        <w:t xml:space="preserve"> </w:t>
      </w:r>
      <w:r>
        <w:t xml:space="preserve">engaged annually. From Year 3 (2030), a</w:t>
      </w:r>
      <w:r>
        <w:t xml:space="preserve"> </w:t>
      </w:r>
      <w:r>
        <w:rPr>
          <w:bCs/>
          <w:b/>
        </w:rPr>
        <w:t xml:space="preserve">0.25–0.5 FTE Risk &amp; Compliance Coordinator</w:t>
      </w:r>
      <w:r>
        <w:t xml:space="preserve"> </w:t>
      </w:r>
      <w:r>
        <w:t xml:space="preserve">is folded into the existing Core Admin Staff line (18% of Payroll — HR, Finance, IT, Admissions) rather than created as a new budget category. This scales to 1.0 FTE by Year 6–9 as Core Admin Staff payroll grows with revenue. A dedicated</w:t>
      </w:r>
      <w:r>
        <w:t xml:space="preserve"> </w:t>
      </w:r>
      <w:r>
        <w:rPr>
          <w:bCs/>
          <w:b/>
        </w:rPr>
        <w:t xml:space="preserve">Director of Risk &amp; Compliance</w:t>
      </w:r>
      <w:r>
        <w:t xml:space="preserve"> </w:t>
      </w:r>
      <w:r>
        <w:t xml:space="preserve">is only contemplated from Year 10+ (2037+), coinciding with the Year-11 secular-program launch (Section 40), and would be funded from the by-then-substantial OpEx and Core Admin lines, not a new allocation category.</w:t>
      </w:r>
    </w:p>
    <w:p>
      <w:pPr>
        <w:pStyle w:val="BodyText"/>
      </w:pPr>
      <w:r>
        <w:rPr>
          <w:bCs/>
          <w:b/>
        </w:rPr>
        <w:t xml:space="preserve">Annual Budget</w:t>
      </w:r>
    </w:p>
    <w:p>
      <w:pPr>
        <w:pStyle w:val="BodyText"/>
      </w:pPr>
      <w:r>
        <w:t xml:space="preserve">Risk management draws from two existing lines, never a new one: the 5% Operating Expenses allocation (legal compliance/general overhead — $11,237 in Year 1, growing to $191,527 by Year 10) covers routine register maintenance, external audit fees, and coordinator time once embedded in Core Admin Staff (18% of the 20% Payroll line). One-off resilience costs — e.g., a legal opinion ahead of any firewall-adjacent decision, or crisis response — draw from the 35% Liquidity Reserve at Board Audit &amp; Risk Committee direction, consistent with that reserve’s stated purpose of funding resilience, expansion, and accreditation costs. No risk-management line item may exceed what its funding category can afford in the cited year.</w:t>
      </w:r>
    </w:p>
    <w:p>
      <w:pPr>
        <w:pStyle w:val="BodyText"/>
      </w:pPr>
      <w:r>
        <w:rPr>
          <w:bCs/>
          <w:b/>
        </w:rPr>
        <w:t xml:space="preserve">Risk Register — 14 Adopted Risks (from AMIU-MP-001)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Likelihood/Impact</w:t>
            </w:r>
          </w:p>
        </w:tc>
        <w:tc>
          <w:tcPr/>
          <w:p>
            <w:pPr>
              <w:pStyle w:val="Compact"/>
              <w:jc w:val="left"/>
            </w:pPr>
            <w:r>
              <w:t xml:space="preserve">Primary Mitigation</w:t>
            </w:r>
          </w:p>
        </w:tc>
      </w:tr>
      <w:tr>
        <w:tc>
          <w:tcPr/>
          <w:p>
            <w:pPr>
              <w:pStyle w:val="Compact"/>
              <w:jc w:val="left"/>
            </w:pPr>
            <w:r>
              <w:t xml:space="preserve">1</w:t>
            </w:r>
          </w:p>
        </w:tc>
        <w:tc>
          <w:tcPr/>
          <w:p>
            <w:pPr>
              <w:pStyle w:val="Compact"/>
              <w:jc w:val="left"/>
            </w:pPr>
            <w:r>
              <w:t xml:space="preserve">Commercial Engine project underperforms/fails Gate clearance</w:t>
            </w:r>
          </w:p>
        </w:tc>
        <w:tc>
          <w:tcPr/>
          <w:p>
            <w:pPr>
              <w:pStyle w:val="Compact"/>
              <w:jc w:val="left"/>
            </w:pPr>
            <w:r>
              <w:t xml:space="preserve">Moderate/Low</w:t>
            </w:r>
          </w:p>
        </w:tc>
        <w:tc>
          <w:tcPr/>
          <w:p>
            <w:pPr>
              <w:pStyle w:val="Compact"/>
              <w:jc w:val="left"/>
            </w:pPr>
            <w:r>
              <w:t xml:space="preserve">Gate A/B/C due-diligence clearance required before capital deployment</w:t>
            </w:r>
          </w:p>
        </w:tc>
      </w:tr>
      <w:tr>
        <w:tc>
          <w:tcPr/>
          <w:p>
            <w:pPr>
              <w:pStyle w:val="Compact"/>
              <w:jc w:val="left"/>
            </w:pPr>
            <w:r>
              <w:t xml:space="preserve">2</w:t>
            </w:r>
          </w:p>
        </w:tc>
        <w:tc>
          <w:tcPr/>
          <w:p>
            <w:pPr>
              <w:pStyle w:val="Compact"/>
              <w:jc w:val="left"/>
            </w:pPr>
            <w:r>
              <w:t xml:space="preserve">Credibility risk in a future CE offering</w:t>
            </w:r>
          </w:p>
        </w:tc>
        <w:tc>
          <w:tcPr/>
          <w:p>
            <w:pPr>
              <w:pStyle w:val="Compact"/>
              <w:jc w:val="left"/>
            </w:pPr>
            <w:r>
              <w:t xml:space="preserve">Moderate/Medium</w:t>
            </w:r>
          </w:p>
        </w:tc>
        <w:tc>
          <w:tcPr/>
          <w:p>
            <w:pPr>
              <w:pStyle w:val="Compact"/>
              <w:jc w:val="left"/>
            </w:pPr>
            <w:r>
              <w:t xml:space="preserve">Offering documents, disclosure discipline, arm’s-length firewall</w:t>
            </w:r>
          </w:p>
        </w:tc>
      </w:tr>
      <w:tr>
        <w:tc>
          <w:tcPr/>
          <w:p>
            <w:pPr>
              <w:pStyle w:val="Compact"/>
              <w:jc w:val="left"/>
            </w:pPr>
            <w:r>
              <w:t xml:space="preserve">3</w:t>
            </w:r>
          </w:p>
        </w:tc>
        <w:tc>
          <w:tcPr/>
          <w:p>
            <w:pPr>
              <w:pStyle w:val="Compact"/>
              <w:jc w:val="left"/>
            </w:pPr>
            <w:r>
              <w:t xml:space="preserve">Sharī’ah-compliance risk in the CE</w:t>
            </w:r>
          </w:p>
        </w:tc>
        <w:tc>
          <w:tcPr/>
          <w:p>
            <w:pPr>
              <w:pStyle w:val="Compact"/>
              <w:jc w:val="left"/>
            </w:pPr>
            <w:r>
              <w:t xml:space="preserve">Low/High</w:t>
            </w:r>
          </w:p>
        </w:tc>
        <w:tc>
          <w:tcPr/>
          <w:p>
            <w:pPr>
              <w:pStyle w:val="Compact"/>
              <w:jc w:val="left"/>
            </w:pPr>
            <w:r>
              <w:t xml:space="preserve">Independent Sharī’ah Advisory Board bi-annual re-certification</w:t>
            </w:r>
          </w:p>
        </w:tc>
      </w:tr>
      <w:tr>
        <w:tc>
          <w:tcPr/>
          <w:p>
            <w:pPr>
              <w:pStyle w:val="Compact"/>
              <w:jc w:val="left"/>
            </w:pPr>
            <w:r>
              <w:t xml:space="preserve">4</w:t>
            </w:r>
          </w:p>
        </w:tc>
        <w:tc>
          <w:tcPr/>
          <w:p>
            <w:pPr>
              <w:pStyle w:val="Compact"/>
              <w:jc w:val="left"/>
            </w:pPr>
            <w:r>
              <w:t xml:space="preserve">Waqf Strategic Business Reserve deployment governance</w:t>
            </w:r>
          </w:p>
        </w:tc>
        <w:tc>
          <w:tcPr/>
          <w:p>
            <w:pPr>
              <w:pStyle w:val="Compact"/>
              <w:jc w:val="left"/>
            </w:pPr>
            <w:r>
              <w:t xml:space="preserve">Low/Medium</w:t>
            </w:r>
          </w:p>
        </w:tc>
        <w:tc>
          <w:tcPr/>
          <w:p>
            <w:pPr>
              <w:pStyle w:val="Compact"/>
              <w:jc w:val="left"/>
            </w:pPr>
            <w:r>
              <w:t xml:space="preserve">2/3 Senate vote + 2 independent seats above $250,000/yr</w:t>
            </w:r>
          </w:p>
        </w:tc>
      </w:tr>
      <w:tr>
        <w:tc>
          <w:tcPr/>
          <w:p>
            <w:pPr>
              <w:pStyle w:val="Compact"/>
              <w:jc w:val="left"/>
            </w:pPr>
            <w:r>
              <w:t xml:space="preserve">5</w:t>
            </w:r>
          </w:p>
        </w:tc>
        <w:tc>
          <w:tcPr/>
          <w:p>
            <w:pPr>
              <w:pStyle w:val="Compact"/>
              <w:jc w:val="left"/>
            </w:pPr>
            <w:r>
              <w:t xml:space="preserve">Founder/Senate self-compensation governance</w:t>
            </w:r>
          </w:p>
        </w:tc>
        <w:tc>
          <w:tcPr/>
          <w:p>
            <w:pPr>
              <w:pStyle w:val="Compact"/>
              <w:jc w:val="left"/>
            </w:pPr>
            <w:r>
              <w:t xml:space="preserve">Low/Medium</w:t>
            </w:r>
          </w:p>
        </w:tc>
        <w:tc>
          <w:tcPr/>
          <w:p>
            <w:pPr>
              <w:pStyle w:val="Compact"/>
              <w:jc w:val="left"/>
            </w:pPr>
            <w:r>
              <w:t xml:space="preserve">All 4 independent Senate seats’ affirmative approval, published annually</w:t>
            </w:r>
          </w:p>
        </w:tc>
      </w:tr>
      <w:tr>
        <w:tc>
          <w:tcPr/>
          <w:p>
            <w:pPr>
              <w:pStyle w:val="Compact"/>
              <w:jc w:val="left"/>
            </w:pPr>
            <w:r>
              <w:t xml:space="preserve">6</w:t>
            </w:r>
          </w:p>
        </w:tc>
        <w:tc>
          <w:tcPr/>
          <w:p>
            <w:pPr>
              <w:pStyle w:val="Compact"/>
              <w:jc w:val="left"/>
            </w:pPr>
            <w:r>
              <w:t xml:space="preserve">Nigeria Mega-University delay/non-approval</w:t>
            </w:r>
          </w:p>
        </w:tc>
        <w:tc>
          <w:tcPr/>
          <w:p>
            <w:pPr>
              <w:pStyle w:val="Compact"/>
              <w:jc w:val="left"/>
            </w:pPr>
            <w:r>
              <w:t xml:space="preserve">Moderate/Medium</w:t>
            </w:r>
          </w:p>
        </w:tc>
        <w:tc>
          <w:tcPr/>
          <w:p>
            <w:pPr>
              <w:pStyle w:val="Compact"/>
              <w:jc w:val="left"/>
            </w:pPr>
            <w:r>
              <w:t xml:space="preserve">Framed as funding target, not guarantee; doesn’t affect solvency</w:t>
            </w:r>
          </w:p>
        </w:tc>
      </w:tr>
      <w:tr>
        <w:tc>
          <w:tcPr/>
          <w:p>
            <w:pPr>
              <w:pStyle w:val="Compact"/>
              <w:jc w:val="left"/>
            </w:pPr>
            <w:r>
              <w:t xml:space="preserve">7</w:t>
            </w:r>
          </w:p>
        </w:tc>
        <w:tc>
          <w:tcPr/>
          <w:p>
            <w:pPr>
              <w:pStyle w:val="Compact"/>
              <w:jc w:val="left"/>
            </w:pPr>
            <w:r>
              <w:t xml:space="preserve">Faculty attrition/burnout during founding growth</w:t>
            </w:r>
          </w:p>
        </w:tc>
        <w:tc>
          <w:tcPr/>
          <w:p>
            <w:pPr>
              <w:pStyle w:val="Compact"/>
              <w:jc w:val="left"/>
            </w:pPr>
            <w:r>
              <w:t xml:space="preserve">Moderate/Medium</w:t>
            </w:r>
          </w:p>
        </w:tc>
        <w:tc>
          <w:tcPr/>
          <w:p>
            <w:pPr>
              <w:pStyle w:val="Compact"/>
              <w:jc w:val="left"/>
            </w:pPr>
            <w:r>
              <w:t xml:space="preserve">Faculty Honoraria contractually 40% of Payroll, no ceiling, scales with revenue</w:t>
            </w:r>
          </w:p>
        </w:tc>
      </w:tr>
      <w:tr>
        <w:tc>
          <w:tcPr/>
          <w:p>
            <w:pPr>
              <w:pStyle w:val="Compact"/>
              <w:jc w:val="left"/>
            </w:pPr>
            <w:r>
              <w:t xml:space="preserve">8</w:t>
            </w:r>
          </w:p>
        </w:tc>
        <w:tc>
          <w:tcPr/>
          <w:p>
            <w:pPr>
              <w:pStyle w:val="Compact"/>
              <w:jc w:val="left"/>
            </w:pPr>
            <w:r>
              <w:t xml:space="preserve">Nonprofit/for-profit commingling scrutiny (IRS)</w:t>
            </w:r>
          </w:p>
        </w:tc>
        <w:tc>
          <w:tcPr/>
          <w:p>
            <w:pPr>
              <w:pStyle w:val="Compact"/>
              <w:jc w:val="left"/>
            </w:pPr>
            <w:r>
              <w:t xml:space="preserve">Low/High</w:t>
            </w:r>
          </w:p>
        </w:tc>
        <w:tc>
          <w:tcPr/>
          <w:p>
            <w:pPr>
              <w:pStyle w:val="Compact"/>
              <w:jc w:val="left"/>
            </w:pPr>
            <w:r>
              <w:t xml:space="preserve">University costs never touch CE obligations; fair-market-value shared services; independent legal counsel before any firewall amendment</w:t>
            </w:r>
          </w:p>
        </w:tc>
      </w:tr>
      <w:tr>
        <w:tc>
          <w:tcPr/>
          <w:p>
            <w:pPr>
              <w:pStyle w:val="Compact"/>
              <w:jc w:val="left"/>
            </w:pPr>
            <w:r>
              <w:t xml:space="preserve">9</w:t>
            </w:r>
          </w:p>
        </w:tc>
        <w:tc>
          <w:tcPr/>
          <w:p>
            <w:pPr>
              <w:pStyle w:val="Compact"/>
              <w:jc w:val="left"/>
            </w:pPr>
            <w:r>
              <w:t xml:space="preserve">Regional payment-gateway disruption</w:t>
            </w:r>
          </w:p>
        </w:tc>
        <w:tc>
          <w:tcPr/>
          <w:p>
            <w:pPr>
              <w:pStyle w:val="Compact"/>
              <w:jc w:val="left"/>
            </w:pPr>
            <w:r>
              <w:t xml:space="preserve">Moderate/Medium</w:t>
            </w:r>
          </w:p>
        </w:tc>
        <w:tc>
          <w:tcPr/>
          <w:p>
            <w:pPr>
              <w:pStyle w:val="Compact"/>
              <w:jc w:val="left"/>
            </w:pPr>
            <w:r>
              <w:t xml:space="preserve">Redundant gateways per region + bank-transfer fallback</w:t>
            </w:r>
          </w:p>
        </w:tc>
      </w:tr>
      <w:tr>
        <w:tc>
          <w:tcPr/>
          <w:p>
            <w:pPr>
              <w:pStyle w:val="Compact"/>
              <w:jc w:val="left"/>
            </w:pPr>
            <w:r>
              <w:t xml:space="preserve">10</w:t>
            </w:r>
          </w:p>
        </w:tc>
        <w:tc>
          <w:tcPr/>
          <w:p>
            <w:pPr>
              <w:pStyle w:val="Compact"/>
              <w:jc w:val="left"/>
            </w:pPr>
            <w:r>
              <w:t xml:space="preserve">Country tier misclassification disputes</w:t>
            </w:r>
          </w:p>
        </w:tc>
        <w:tc>
          <w:tcPr/>
          <w:p>
            <w:pPr>
              <w:pStyle w:val="Compact"/>
              <w:jc w:val="left"/>
            </w:pPr>
            <w:r>
              <w:t xml:space="preserve">Low/Low</w:t>
            </w:r>
          </w:p>
        </w:tc>
        <w:tc>
          <w:tcPr/>
          <w:p>
            <w:pPr>
              <w:pStyle w:val="Compact"/>
              <w:jc w:val="left"/>
            </w:pPr>
            <w:r>
              <w:t xml:space="preserve">Transparent published tier list; appeal via info@edu.amiu.com</w:t>
            </w:r>
          </w:p>
        </w:tc>
      </w:tr>
      <w:tr>
        <w:tc>
          <w:tcPr/>
          <w:p>
            <w:pPr>
              <w:pStyle w:val="Compact"/>
              <w:jc w:val="left"/>
            </w:pPr>
            <w:r>
              <w:t xml:space="preserve">11</w:t>
            </w:r>
          </w:p>
        </w:tc>
        <w:tc>
          <w:tcPr/>
          <w:p>
            <w:pPr>
              <w:pStyle w:val="Compact"/>
              <w:jc w:val="left"/>
            </w:pPr>
            <w:r>
              <w:t xml:space="preserve">Accreditation candidacy delay beyond Year 5</w:t>
            </w:r>
          </w:p>
        </w:tc>
        <w:tc>
          <w:tcPr/>
          <w:p>
            <w:pPr>
              <w:pStyle w:val="Compact"/>
              <w:jc w:val="left"/>
            </w:pPr>
            <w:r>
              <w:t xml:space="preserve">Moderate/Medium</w:t>
            </w:r>
          </w:p>
        </w:tc>
        <w:tc>
          <w:tcPr/>
          <w:p>
            <w:pPr>
              <w:pStyle w:val="Compact"/>
              <w:jc w:val="left"/>
            </w:pPr>
            <w:r>
              <w:t xml:space="preserve">Programs remain religious-exemption-valid; candidacy funded from retained reserve, not survival-dependent</w:t>
            </w:r>
          </w:p>
        </w:tc>
      </w:tr>
      <w:tr>
        <w:tc>
          <w:tcPr/>
          <w:p>
            <w:pPr>
              <w:pStyle w:val="Compact"/>
              <w:jc w:val="left"/>
            </w:pPr>
            <w:r>
              <w:t xml:space="preserve">12</w:t>
            </w:r>
          </w:p>
        </w:tc>
        <w:tc>
          <w:tcPr/>
          <w:p>
            <w:pPr>
              <w:pStyle w:val="Compact"/>
              <w:jc w:val="left"/>
            </w:pPr>
            <w:r>
              <w:t xml:space="preserve">Key-person risk (three founders)</w:t>
            </w:r>
          </w:p>
        </w:tc>
        <w:tc>
          <w:tcPr/>
          <w:p>
            <w:pPr>
              <w:pStyle w:val="Compact"/>
              <w:jc w:val="left"/>
            </w:pPr>
            <w:r>
              <w:t xml:space="preserve">Moderate/High</w:t>
            </w:r>
          </w:p>
        </w:tc>
        <w:tc>
          <w:tcPr/>
          <w:p>
            <w:pPr>
              <w:pStyle w:val="Compact"/>
              <w:jc w:val="left"/>
            </w:pPr>
            <w:r>
              <w:t xml:space="preserve">Senate succession policy; documented successor plans for seats 2–4 by Year 3</w:t>
            </w:r>
          </w:p>
        </w:tc>
      </w:tr>
      <w:tr>
        <w:tc>
          <w:tcPr/>
          <w:p>
            <w:pPr>
              <w:pStyle w:val="Compact"/>
              <w:jc w:val="left"/>
            </w:pPr>
            <w:r>
              <w:t xml:space="preserve">13</w:t>
            </w:r>
          </w:p>
        </w:tc>
        <w:tc>
          <w:tcPr/>
          <w:p>
            <w:pPr>
              <w:pStyle w:val="Compact"/>
              <w:jc w:val="left"/>
            </w:pPr>
            <w:r>
              <w:t xml:space="preserve">Currency/FX exposure across four pricing tiers</w:t>
            </w:r>
          </w:p>
        </w:tc>
        <w:tc>
          <w:tcPr/>
          <w:p>
            <w:pPr>
              <w:pStyle w:val="Compact"/>
              <w:jc w:val="left"/>
            </w:pPr>
            <w:r>
              <w:t xml:space="preserve">Moderate/Medium</w:t>
            </w:r>
          </w:p>
        </w:tc>
        <w:tc>
          <w:tcPr/>
          <w:p>
            <w:pPr>
              <w:pStyle w:val="Compact"/>
              <w:jc w:val="left"/>
            </w:pPr>
            <w:r>
              <w:t xml:space="preserve">Multi-currency collection converted to USD on rolling basis</w:t>
            </w:r>
          </w:p>
        </w:tc>
      </w:tr>
      <w:tr>
        <w:tc>
          <w:tcPr/>
          <w:p>
            <w:pPr>
              <w:pStyle w:val="Compact"/>
              <w:jc w:val="left"/>
            </w:pPr>
            <w:r>
              <w:t xml:space="preserve">14</w:t>
            </w:r>
          </w:p>
        </w:tc>
        <w:tc>
          <w:tcPr/>
          <w:p>
            <w:pPr>
              <w:pStyle w:val="Compact"/>
              <w:jc w:val="left"/>
            </w:pPr>
            <w:r>
              <w:t xml:space="preserve">Geopolitical disruption in Tier-4 weighted regions</w:t>
            </w:r>
          </w:p>
        </w:tc>
        <w:tc>
          <w:tcPr/>
          <w:p>
            <w:pPr>
              <w:pStyle w:val="Compact"/>
              <w:jc w:val="left"/>
            </w:pPr>
            <w:r>
              <w:t xml:space="preserve">Moderate/Low-Medium</w:t>
            </w:r>
          </w:p>
        </w:tc>
        <w:tc>
          <w:tcPr/>
          <w:p>
            <w:pPr>
              <w:pStyle w:val="Compact"/>
              <w:jc w:val="left"/>
            </w:pPr>
            <w:r>
              <w:t xml:space="preserve">No single region exceeds 10% of Tier-4 population-weighted share</w:t>
            </w:r>
          </w:p>
        </w:tc>
      </w:tr>
    </w:tbl>
    <w:p>
      <w:pPr>
        <w:pStyle w:val="BodyText"/>
      </w:pPr>
      <w:r>
        <w:rPr>
          <w:bCs/>
          <w:b/>
        </w:rPr>
        <w:t xml:space="preserve">Register Evolution &amp; New Risk Categories (Year 11+)</w:t>
      </w:r>
    </w:p>
    <w:p>
      <w:pPr>
        <w:pStyle w:val="BodyText"/>
      </w:pPr>
      <w:r>
        <w:t xml:space="preserve">The register is not static. New risks are identified through quarterly Audit &amp; Risk Committee review, Senate academic-affairs escalation, and Sharī’ah Advisory Board flagging, then scored on the same likelihood/impact scale and added with a mitigation owner. As the Year-11 secular expansion (28 programs, 7 new schools — Section 40) and the Nigeria/Gulf footprint mature, expected additions include:</w:t>
      </w:r>
      <w:r>
        <w:t xml:space="preserve"> </w:t>
      </w:r>
      <w:r>
        <w:rPr>
          <w:bCs/>
          <w:b/>
        </w:rPr>
        <w:t xml:space="preserve">Risk 15 — Professional-licensure risk</w:t>
      </w:r>
      <w:r>
        <w:t xml:space="preserve"> </w:t>
      </w:r>
      <w:r>
        <w:t xml:space="preserve">for Health Sciences, Engineering, and Law secular programs (graduates unable to sit licensure exams pending program-specific accreditation);</w:t>
      </w:r>
      <w:r>
        <w:t xml:space="preserve"> </w:t>
      </w:r>
      <w:r>
        <w:rPr>
          <w:bCs/>
          <w:b/>
        </w:rPr>
        <w:t xml:space="preserve">Risk 16 — Nigeria NUC compliance risk</w:t>
      </w:r>
      <w:r>
        <w:t xml:space="preserve"> </w:t>
      </w:r>
      <w:r>
        <w:t xml:space="preserve">(National Universities Commission approval separate from NAQAA/Texas tracks);</w:t>
      </w:r>
      <w:r>
        <w:t xml:space="preserve"> </w:t>
      </w:r>
      <w:r>
        <w:rPr>
          <w:bCs/>
          <w:b/>
        </w:rPr>
        <w:t xml:space="preserve">Risk 17 — Gulf ministry-recognition risk</w:t>
      </w:r>
      <w:r>
        <w:t xml:space="preserve"> </w:t>
      </w:r>
      <w:r>
        <w:t xml:space="preserve">(Year-13 target dependent on an established Texas secular-accreditation track record, per the adopted 20-year sequencing rationale). These follow the same scoring and mitigation-ownership discipline as Risks 1–14, keeping one register, not a competing list.</w:t>
      </w:r>
    </w:p>
    <w:p>
      <w:pPr>
        <w:pStyle w:val="BodyText"/>
      </w:pPr>
      <w:r>
        <w:rPr>
          <w:bCs/>
          <w:b/>
        </w:rPr>
        <w:t xml:space="preserve">KPIs</w:t>
      </w:r>
    </w:p>
    <w:p>
      <w:pPr>
        <w:numPr>
          <w:ilvl w:val="0"/>
          <w:numId w:val="1027"/>
        </w:numPr>
        <w:pStyle w:val="Compact"/>
      </w:pPr>
      <w:r>
        <w:t xml:space="preserve">100% of the 14 (growing to 17+) risks reviewed at least quarterly by the Audit &amp; Risk Committee.</w:t>
      </w:r>
    </w:p>
    <w:p>
      <w:pPr>
        <w:numPr>
          <w:ilvl w:val="0"/>
          <w:numId w:val="1027"/>
        </w:numPr>
        <w:pStyle w:val="Compact"/>
      </w:pPr>
      <w:r>
        <w:t xml:space="preserve">Zero unremediated</w:t>
      </w:r>
      <w:r>
        <w:t xml:space="preserve"> </w:t>
      </w:r>
      <w:r>
        <w:t xml:space="preserve">“</w:t>
      </w:r>
      <w:r>
        <w:t xml:space="preserve">High</w:t>
      </w:r>
      <w:r>
        <w:t xml:space="preserve">”</w:t>
      </w:r>
      <w:r>
        <w:t xml:space="preserve"> </w:t>
      </w:r>
      <w:r>
        <w:t xml:space="preserve">likelihood/impact risks carried more than two consecutive quarters.</w:t>
      </w:r>
    </w:p>
    <w:p>
      <w:pPr>
        <w:numPr>
          <w:ilvl w:val="0"/>
          <w:numId w:val="1027"/>
        </w:numPr>
        <w:pStyle w:val="Compact"/>
      </w:pPr>
      <w:r>
        <w:t xml:space="preserve">Annual external audit completed with no material findings.</w:t>
      </w:r>
    </w:p>
    <w:p>
      <w:pPr>
        <w:numPr>
          <w:ilvl w:val="0"/>
          <w:numId w:val="1027"/>
        </w:numPr>
        <w:pStyle w:val="Compact"/>
      </w:pPr>
      <w:r>
        <w:t xml:space="preserve">Founder/Senate compensation disclosure published annually, on schedule, every year.</w:t>
      </w:r>
    </w:p>
    <w:p>
      <w:pPr>
        <w:pStyle w:val="FirstParagraph"/>
      </w:pPr>
      <w:r>
        <w:rPr>
          <w:bCs/>
          <w:b/>
        </w:rPr>
        <w:t xml:space="preserve">Risks &amp; Mitigation</w:t>
      </w:r>
    </w:p>
    <w:p>
      <w:pPr>
        <w:pStyle w:val="BodyText"/>
      </w:pPr>
      <w:r>
        <w:t xml:space="preserve">Covered exhaustively in the table above; the meta-risk is register atrophy (the register itself going stale as the institution scales) — mitigated by mandatory quarterly refresh and a standing Board agenda item.</w:t>
      </w:r>
    </w:p>
    <w:p>
      <w:pPr>
        <w:pStyle w:val="BodyText"/>
      </w:pPr>
      <w:r>
        <w:rPr>
          <w:bCs/>
          <w:b/>
        </w:rPr>
        <w:t xml:space="preserve">Timeline</w:t>
      </w:r>
    </w:p>
    <w:p>
      <w:pPr>
        <w:pStyle w:val="BodyText"/>
      </w:pPr>
      <w:r>
        <w:t xml:space="preserve">2028: register formalized, Committee seated. 2029–2030: external audit cadence established. 2030 (Yr 3): succession plans documented (Risk 12 closes). 2033 (Yr 6): coordinator reaches 1.0 FTE. 2037 (Yr 10): founding-decade risk retrospective delivered to Board. 2038 (Yr 11): Risks 15–17 formally added.</w:t>
      </w:r>
    </w:p>
    <w:p>
      <w:pPr>
        <w:pStyle w:val="BodyText"/>
      </w:pPr>
      <w:r>
        <w:rPr>
          <w:bCs/>
          <w:b/>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Body</w:t>
            </w:r>
          </w:p>
        </w:tc>
        <w:tc>
          <w:tcPr/>
          <w:p>
            <w:pPr>
              <w:pStyle w:val="Compact"/>
              <w:jc w:val="left"/>
            </w:pPr>
            <w:r>
              <w:t xml:space="preserve">Role</w:t>
            </w:r>
          </w:p>
        </w:tc>
      </w:tr>
      <w:tr>
        <w:tc>
          <w:tcPr/>
          <w:p>
            <w:pPr>
              <w:pStyle w:val="Compact"/>
              <w:jc w:val="left"/>
            </w:pPr>
            <w:r>
              <w:t xml:space="preserve">Board of Trustees</w:t>
            </w:r>
          </w:p>
        </w:tc>
        <w:tc>
          <w:tcPr/>
          <w:p>
            <w:pPr>
              <w:pStyle w:val="Compact"/>
              <w:jc w:val="left"/>
            </w:pPr>
            <w:r>
              <w:t xml:space="preserve">Ultimate risk-appetite owner; approves Liquidity Reserve draws for resilience</w:t>
            </w:r>
          </w:p>
        </w:tc>
      </w:tr>
      <w:tr>
        <w:tc>
          <w:tcPr/>
          <w:p>
            <w:pPr>
              <w:pStyle w:val="Compact"/>
              <w:jc w:val="left"/>
            </w:pPr>
            <w:r>
              <w:t xml:space="preserve">Audit &amp; Risk Committee</w:t>
            </w:r>
          </w:p>
        </w:tc>
        <w:tc>
          <w:tcPr/>
          <w:p>
            <w:pPr>
              <w:pStyle w:val="Compact"/>
              <w:jc w:val="left"/>
            </w:pPr>
            <w:r>
              <w:t xml:space="preserve">Operational register owner; quarterly review; independent of Administration</w:t>
            </w:r>
          </w:p>
        </w:tc>
      </w:tr>
      <w:tr>
        <w:tc>
          <w:tcPr/>
          <w:p>
            <w:pPr>
              <w:pStyle w:val="Compact"/>
              <w:jc w:val="left"/>
            </w:pPr>
            <w:r>
              <w:t xml:space="preserve">University Senate</w:t>
            </w:r>
          </w:p>
        </w:tc>
        <w:tc>
          <w:tcPr/>
          <w:p>
            <w:pPr>
              <w:pStyle w:val="Compact"/>
              <w:jc w:val="left"/>
            </w:pPr>
            <w:r>
              <w:t xml:space="preserve">Escalates academic/program risk; 4 independent seats safeguard compensation-risk items</w:t>
            </w:r>
          </w:p>
        </w:tc>
      </w:tr>
      <w:tr>
        <w:tc>
          <w:tcPr/>
          <w:p>
            <w:pPr>
              <w:pStyle w:val="Compact"/>
              <w:jc w:val="left"/>
            </w:pPr>
            <w:r>
              <w:t xml:space="preserve">Waqf &amp; Endowment Board</w:t>
            </w:r>
          </w:p>
        </w:tc>
        <w:tc>
          <w:tcPr/>
          <w:p>
            <w:pPr>
              <w:pStyle w:val="Compact"/>
              <w:jc w:val="left"/>
            </w:pPr>
            <w:r>
              <w:t xml:space="preserve">Owns Risks 4 and 6 (Waqf deployment, Nigeria Reserve)</w:t>
            </w:r>
          </w:p>
        </w:tc>
      </w:tr>
      <w:tr>
        <w:tc>
          <w:tcPr/>
          <w:p>
            <w:pPr>
              <w:pStyle w:val="Compact"/>
              <w:jc w:val="left"/>
            </w:pPr>
            <w:r>
              <w:t xml:space="preserve">Sharī’ah Advisory Board</w:t>
            </w:r>
          </w:p>
        </w:tc>
        <w:tc>
          <w:tcPr/>
          <w:p>
            <w:pPr>
              <w:pStyle w:val="Compact"/>
              <w:jc w:val="left"/>
            </w:pPr>
            <w:r>
              <w:t xml:space="preserve">Owns Risk 3; bi-annual re-certification authority</w:t>
            </w:r>
          </w:p>
        </w:tc>
      </w:tr>
    </w:tbl>
    <w:p>
      <w:pPr>
        <w:pStyle w:val="BodyText"/>
      </w:pPr>
      <w:r>
        <w:rPr>
          <w:bCs/>
          <w:b/>
        </w:rPr>
        <w:t xml:space="preserve">Measurable Success Indicators</w:t>
      </w:r>
    </w:p>
    <w:p>
      <w:pPr>
        <w:pStyle w:val="BodyText"/>
      </w:pPr>
      <w:r>
        <w:t xml:space="preserve">Ten consecutive years (2028–2037) of zero-deficit operation with a fully current risk register; zero firewall breaches; zero uncorrected IRS commingling findings; successor plans on file for all founder-linked Senate seats by 2030.</w:t>
      </w:r>
    </w:p>
    <w:bookmarkEnd w:id="65"/>
    <w:bookmarkStart w:id="66" w:name="section-37-compliance-framework"/>
    <w:p>
      <w:pPr>
        <w:pStyle w:val="Heading2"/>
      </w:pPr>
      <w:r>
        <w:t xml:space="preserve">Section 37: Compliance Framework</w:t>
      </w:r>
    </w:p>
    <w:p>
      <w:pPr>
        <w:pStyle w:val="FirstParagraph"/>
      </w:pPr>
      <w:r>
        <w:rPr>
          <w:bCs/>
          <w:b/>
        </w:rPr>
        <w:t xml:space="preserve">Rationale</w:t>
      </w:r>
    </w:p>
    <w:p>
      <w:pPr>
        <w:pStyle w:val="BodyText"/>
      </w:pPr>
      <w:r>
        <w:t xml:space="preserve">AMIU operates — or will operate — under an unusually layered compliance stack for an institution its size: US federal tax-exempt law, Texas nonprofit corporate law, a state religious-education exemption, an emerging West African accreditation regime, a future Nigerian regulator, a future US secular accreditor, an international quality-management standard, a professional-development accreditation, a faith-based investment-structure certifier, and data-protection expectations from a genuinely global online student body spanning four pricing tiers. None of these obligations are optional, and several (IRS 501c3 status, TWC Chapter 132) are the legal foundation the entire Mission depends on. Section 37 sets the compliance operating model, jurisdiction by jurisdiction, and the recurring calendar that keeps AMIU current without over-resourcing a function the founding decade cannot yet justify staffing heavily.</w:t>
      </w:r>
    </w:p>
    <w:p>
      <w:pPr>
        <w:pStyle w:val="BodyText"/>
      </w:pPr>
      <w:r>
        <w:rPr>
          <w:bCs/>
          <w:b/>
        </w:rPr>
        <w:t xml:space="preserve">Global Best Practices</w:t>
      </w:r>
    </w:p>
    <w:p>
      <w:pPr>
        <w:numPr>
          <w:ilvl w:val="0"/>
          <w:numId w:val="1028"/>
        </w:numPr>
        <w:pStyle w:val="Compact"/>
      </w:pPr>
      <w:r>
        <w:t xml:space="preserve">Single compliance calendar maintained centrally (not per-department), reviewed by the Board Audit &amp; Risk Committee — standard nonprofit governance practice.</w:t>
      </w:r>
    </w:p>
    <w:p>
      <w:pPr>
        <w:numPr>
          <w:ilvl w:val="0"/>
          <w:numId w:val="1028"/>
        </w:numPr>
        <w:pStyle w:val="Compact"/>
      </w:pPr>
      <w:r>
        <w:t xml:space="preserve">“</w:t>
      </w:r>
      <w:r>
        <w:t xml:space="preserve">Compliance by design</w:t>
      </w:r>
      <w:r>
        <w:t xml:space="preserve">”</w:t>
      </w:r>
      <w:r>
        <w:t xml:space="preserve"> </w:t>
      </w:r>
      <w:r>
        <w:t xml:space="preserve">for data protection: adopt the strictest applicable common-denominator standard (GDPR-equivalent consent/retention/deletion rights) globally rather than maintaining fragmented per-country policies, appropriate for a distributed online student body.</w:t>
      </w:r>
    </w:p>
    <w:p>
      <w:pPr>
        <w:numPr>
          <w:ilvl w:val="0"/>
          <w:numId w:val="1028"/>
        </w:numPr>
        <w:pStyle w:val="Compact"/>
      </w:pPr>
      <w:r>
        <w:t xml:space="preserve">Accreditation bodies (ISO, CPD, NAQAA) expect a named institutional compliance contact and a document-of-record system — satisfied at AMIU’s scale by the Core Admin Staff function, not a separate department.</w:t>
      </w:r>
    </w:p>
    <w:p>
      <w:pPr>
        <w:numPr>
          <w:ilvl w:val="0"/>
          <w:numId w:val="1028"/>
        </w:numPr>
        <w:pStyle w:val="Compact"/>
      </w:pPr>
      <w:r>
        <w:t xml:space="preserve">Firewall-adjacent compliance (IRS commingling scrutiny) benefits from an annual independent legal-counsel letter, a light-touch practice common among nonprofit/for-profit sibling structures.</w:t>
      </w:r>
    </w:p>
    <w:p>
      <w:pPr>
        <w:pStyle w:val="FirstParagraph"/>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I — Formation Compliance</w:t>
            </w:r>
          </w:p>
        </w:tc>
        <w:tc>
          <w:tcPr/>
          <w:p>
            <w:pPr>
              <w:pStyle w:val="Compact"/>
              <w:jc w:val="left"/>
            </w:pPr>
            <w:r>
              <w:t xml:space="preserve">2027–2028</w:t>
            </w:r>
          </w:p>
        </w:tc>
        <w:tc>
          <w:tcPr/>
          <w:p>
            <w:pPr>
              <w:pStyle w:val="Compact"/>
              <w:jc w:val="left"/>
            </w:pPr>
            <w:r>
              <w:t xml:space="preserve">Texas Certificate of Formation, EIN, IRS Form 1023, TX tax exemption, TWC Ch.132, USPTO Class 41 trademark</w:t>
            </w:r>
          </w:p>
        </w:tc>
      </w:tr>
      <w:tr>
        <w:tc>
          <w:tcPr/>
          <w:p>
            <w:pPr>
              <w:pStyle w:val="Compact"/>
              <w:jc w:val="left"/>
            </w:pPr>
            <w:r>
              <w:t xml:space="preserve">II — Accreditation Onboarding</w:t>
            </w:r>
          </w:p>
        </w:tc>
        <w:tc>
          <w:tcPr/>
          <w:p>
            <w:pPr>
              <w:pStyle w:val="Compact"/>
              <w:jc w:val="left"/>
            </w:pPr>
            <w:r>
              <w:t xml:space="preserve">2029–2031 (Yr 2–4)</w:t>
            </w:r>
          </w:p>
        </w:tc>
        <w:tc>
          <w:tcPr/>
          <w:p>
            <w:pPr>
              <w:pStyle w:val="Compact"/>
              <w:jc w:val="left"/>
            </w:pPr>
            <w:r>
              <w:t xml:space="preserve">CPD (Yr 2), ISO 21001 (Yr 3), Gambia NAQAA registration and site visits</w:t>
            </w:r>
          </w:p>
        </w:tc>
      </w:tr>
      <w:tr>
        <w:tc>
          <w:tcPr/>
          <w:p>
            <w:pPr>
              <w:pStyle w:val="Compact"/>
              <w:jc w:val="left"/>
            </w:pPr>
            <w:r>
              <w:t xml:space="preserve">III — Steady-State Cycle</w:t>
            </w:r>
          </w:p>
        </w:tc>
        <w:tc>
          <w:tcPr/>
          <w:p>
            <w:pPr>
              <w:pStyle w:val="Compact"/>
              <w:jc w:val="left"/>
            </w:pPr>
            <w:r>
              <w:t xml:space="preserve">2032–2037 (Yr 5–10)</w:t>
            </w:r>
          </w:p>
        </w:tc>
        <w:tc>
          <w:tcPr/>
          <w:p>
            <w:pPr>
              <w:pStyle w:val="Compact"/>
              <w:jc w:val="left"/>
            </w:pPr>
            <w:r>
              <w:t xml:space="preserve">Annual 990 filings, ISO surveillance audits, CPD renewals, NAQAA reporting</w:t>
            </w:r>
          </w:p>
        </w:tc>
      </w:tr>
      <w:tr>
        <w:tc>
          <w:tcPr/>
          <w:p>
            <w:pPr>
              <w:pStyle w:val="Compact"/>
              <w:jc w:val="left"/>
            </w:pPr>
            <w:r>
              <w:t xml:space="preserve">IV — Secular/Regulatory Expansion</w:t>
            </w:r>
          </w:p>
        </w:tc>
        <w:tc>
          <w:tcPr/>
          <w:p>
            <w:pPr>
              <w:pStyle w:val="Compact"/>
              <w:jc w:val="left"/>
            </w:pPr>
            <w:r>
              <w:t xml:space="preserve">2038+ (Yr 11+)</w:t>
            </w:r>
          </w:p>
        </w:tc>
        <w:tc>
          <w:tcPr/>
          <w:p>
            <w:pPr>
              <w:pStyle w:val="Compact"/>
              <w:jc w:val="left"/>
            </w:pPr>
            <w:r>
              <w:t xml:space="preserve">US secular accreditor candidacy, Nigeria NUC, Gulf ministry recognition</w:t>
            </w:r>
          </w:p>
        </w:tc>
      </w:tr>
    </w:tbl>
    <w:p>
      <w:pPr>
        <w:pStyle w:val="BodyText"/>
      </w:pPr>
      <w:r>
        <w:rPr>
          <w:bCs/>
          <w:b/>
        </w:rPr>
        <w:t xml:space="preserve">Staffing Requirements</w:t>
      </w:r>
    </w:p>
    <w:p>
      <w:pPr>
        <w:pStyle w:val="BodyText"/>
      </w:pPr>
      <w:r>
        <w:t xml:space="preserve">Formation-era compliance (2027–2028) is handled directly by the founding trustees and outside counsel engaged for the $1,015 formation pipeline. From Year 2, compliance calendar maintenance is added to the same fractional Risk &amp; Compliance Coordinator role described in Section 36 (Core Admin Staff, 18% of Payroll) — this is one shared role covering both risk and compliance, not two. Gambia-specific compliance (registered office, statutory trust administration, NAQAA liaison) is contracted locally through the $5,000 local-legal-counsel line within the $50,000 Gambia ceiling. A dedicated Compliance Officer is not created before Year 10+, mirroring Section 36’s staffing discipline.</w:t>
      </w:r>
    </w:p>
    <w:p>
      <w:pPr>
        <w:pStyle w:val="BodyText"/>
      </w:pPr>
      <w:r>
        <w:rPr>
          <w:bCs/>
          <w:b/>
        </w:rPr>
        <w:t xml:space="preserve">Annual Budget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Cost</w:t>
            </w:r>
          </w:p>
        </w:tc>
        <w:tc>
          <w:tcPr/>
          <w:p>
            <w:pPr>
              <w:pStyle w:val="Compact"/>
              <w:jc w:val="left"/>
            </w:pPr>
            <w:r>
              <w:t xml:space="preserve">Funding Source</w:t>
            </w:r>
          </w:p>
        </w:tc>
      </w:tr>
      <w:tr>
        <w:tc>
          <w:tcPr/>
          <w:p>
            <w:pPr>
              <w:pStyle w:val="Compact"/>
              <w:jc w:val="left"/>
            </w:pPr>
            <w:r>
              <w:t xml:space="preserve">Texas formation (one-time)</w:t>
            </w:r>
          </w:p>
        </w:tc>
        <w:tc>
          <w:tcPr/>
          <w:p>
            <w:pPr>
              <w:pStyle w:val="Compact"/>
              <w:jc w:val="left"/>
            </w:pPr>
            <w:r>
              <w:t xml:space="preserve">~$1,015</w:t>
            </w:r>
          </w:p>
        </w:tc>
        <w:tc>
          <w:tcPr/>
          <w:p>
            <w:pPr>
              <w:pStyle w:val="Compact"/>
              <w:jc w:val="left"/>
            </w:pPr>
            <w:r>
              <w:t xml:space="preserve">Year-1 OpEx ($11,237)</w:t>
            </w:r>
          </w:p>
        </w:tc>
      </w:tr>
      <w:tr>
        <w:tc>
          <w:tcPr/>
          <w:p>
            <w:pPr>
              <w:pStyle w:val="Compact"/>
              <w:jc w:val="left"/>
            </w:pPr>
            <w:r>
              <w:t xml:space="preserve">Registered agent</w:t>
            </w:r>
          </w:p>
        </w:tc>
        <w:tc>
          <w:tcPr/>
          <w:p>
            <w:pPr>
              <w:pStyle w:val="Compact"/>
              <w:jc w:val="left"/>
            </w:pPr>
            <w:r>
              <w:t xml:space="preserve">~$150/yr</w:t>
            </w:r>
          </w:p>
        </w:tc>
        <w:tc>
          <w:tcPr/>
          <w:p>
            <w:pPr>
              <w:pStyle w:val="Compact"/>
              <w:jc w:val="left"/>
            </w:pPr>
            <w:r>
              <w:t xml:space="preserve">OpEx</w:t>
            </w:r>
          </w:p>
        </w:tc>
      </w:tr>
      <w:tr>
        <w:tc>
          <w:tcPr/>
          <w:p>
            <w:pPr>
              <w:pStyle w:val="Compact"/>
              <w:jc w:val="left"/>
            </w:pPr>
            <w:r>
              <w:t xml:space="preserve">CPD accreditation</w:t>
            </w:r>
          </w:p>
        </w:tc>
        <w:tc>
          <w:tcPr/>
          <w:p>
            <w:pPr>
              <w:pStyle w:val="Compact"/>
              <w:jc w:val="left"/>
            </w:pPr>
            <w:r>
              <w:t xml:space="preserve">$4,000 initial (Yr 2) + $1,200/yr</w:t>
            </w:r>
          </w:p>
        </w:tc>
        <w:tc>
          <w:tcPr/>
          <w:p>
            <w:pPr>
              <w:pStyle w:val="Compact"/>
              <w:jc w:val="left"/>
            </w:pPr>
            <w:r>
              <w:t xml:space="preserve">OpEx</w:t>
            </w:r>
          </w:p>
        </w:tc>
      </w:tr>
      <w:tr>
        <w:tc>
          <w:tcPr/>
          <w:p>
            <w:pPr>
              <w:pStyle w:val="Compact"/>
              <w:jc w:val="left"/>
            </w:pPr>
            <w:r>
              <w:t xml:space="preserve">ISO 21001</w:t>
            </w:r>
          </w:p>
        </w:tc>
        <w:tc>
          <w:tcPr/>
          <w:p>
            <w:pPr>
              <w:pStyle w:val="Compact"/>
              <w:jc w:val="left"/>
            </w:pPr>
            <w:r>
              <w:t xml:space="preserve">$12,000 initial (Yr 3) + $3,500/yr</w:t>
            </w:r>
          </w:p>
        </w:tc>
        <w:tc>
          <w:tcPr/>
          <w:p>
            <w:pPr>
              <w:pStyle w:val="Compact"/>
              <w:jc w:val="left"/>
            </w:pPr>
            <w:r>
              <w:t xml:space="preserve">OpEx</w:t>
            </w:r>
          </w:p>
        </w:tc>
      </w:tr>
      <w:tr>
        <w:tc>
          <w:tcPr/>
          <w:p>
            <w:pPr>
              <w:pStyle w:val="Compact"/>
              <w:jc w:val="left"/>
            </w:pPr>
            <w:r>
              <w:t xml:space="preserve">Gambia registration/trust/NAQAA (Stage 3 ceiling)</w:t>
            </w:r>
          </w:p>
        </w:tc>
        <w:tc>
          <w:tcPr/>
          <w:p>
            <w:pPr>
              <w:pStyle w:val="Compact"/>
              <w:jc w:val="left"/>
            </w:pPr>
            <w:r>
              <w:t xml:space="preserve">$50,000 total (Yr 2–4)</w:t>
            </w:r>
          </w:p>
        </w:tc>
        <w:tc>
          <w:tcPr/>
          <w:p>
            <w:pPr>
              <w:pStyle w:val="Compact"/>
              <w:jc w:val="left"/>
            </w:pPr>
            <w:r>
              <w:t xml:space="preserve">Liquidity Reserve (35%)</w:t>
            </w:r>
          </w:p>
        </w:tc>
      </w:tr>
      <w:tr>
        <w:tc>
          <w:tcPr/>
          <w:p>
            <w:pPr>
              <w:pStyle w:val="Compact"/>
              <w:jc w:val="left"/>
            </w:pPr>
            <w:r>
              <w:t xml:space="preserve">Compliance coordinator time</w:t>
            </w:r>
          </w:p>
        </w:tc>
        <w:tc>
          <w:tcPr/>
          <w:p>
            <w:pPr>
              <w:pStyle w:val="Compact"/>
              <w:jc w:val="left"/>
            </w:pPr>
            <w:r>
              <w:t xml:space="preserve">Embedded, no separate line</w:t>
            </w:r>
          </w:p>
        </w:tc>
        <w:tc>
          <w:tcPr/>
          <w:p>
            <w:pPr>
              <w:pStyle w:val="Compact"/>
              <w:jc w:val="left"/>
            </w:pPr>
            <w:r>
              <w:t xml:space="preserve">Core Admin Staff (18% of Payroll)</w:t>
            </w:r>
          </w:p>
        </w:tc>
      </w:tr>
      <w:tr>
        <w:tc>
          <w:tcPr/>
          <w:p>
            <w:pPr>
              <w:pStyle w:val="Compact"/>
              <w:jc w:val="left"/>
            </w:pPr>
            <w:r>
              <w:t xml:space="preserve">Future secular-accreditor candidacy fees (Yr 11+)</w:t>
            </w:r>
          </w:p>
        </w:tc>
        <w:tc>
          <w:tcPr/>
          <w:p>
            <w:pPr>
              <w:pStyle w:val="Compact"/>
              <w:jc w:val="left"/>
            </w:pPr>
            <w:r>
              <w:t xml:space="preserve">Sized to that era’s OpEx/Liquidity Reserve</w:t>
            </w:r>
          </w:p>
        </w:tc>
        <w:tc>
          <w:tcPr/>
          <w:p>
            <w:pPr>
              <w:pStyle w:val="Compact"/>
              <w:jc w:val="left"/>
            </w:pPr>
            <w:r>
              <w:t xml:space="preserve">OpEx + Liquidity Reserve</w:t>
            </w:r>
          </w:p>
        </w:tc>
      </w:tr>
    </w:tbl>
    <w:p>
      <w:pPr>
        <w:pStyle w:val="BodyText"/>
      </w:pPr>
      <w:r>
        <w:t xml:space="preserve">Combined certification budget ($16,000 initial + $4,700/yr) fits comfortably inside the 5% OpEx line, which grows from $11,237 (Yr 1) to $191,527 (Yr 10) — by the CPD and ISO target years the OpEx line has already grown well past the initial certification costs.</w:t>
      </w:r>
    </w:p>
    <w:p>
      <w:pPr>
        <w:pStyle w:val="BodyText"/>
      </w:pPr>
      <w:r>
        <w:rPr>
          <w:bCs/>
          <w:b/>
        </w:rPr>
        <w:t xml:space="preserve">Annual Compliance Calendar (steady-state, recurring)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Period</w:t>
            </w:r>
          </w:p>
        </w:tc>
        <w:tc>
          <w:tcPr/>
          <w:p>
            <w:pPr>
              <w:pStyle w:val="Compact"/>
              <w:jc w:val="left"/>
            </w:pPr>
            <w:r>
              <w:t xml:space="preserve">Action</w:t>
            </w:r>
          </w:p>
        </w:tc>
      </w:tr>
      <w:tr>
        <w:tc>
          <w:tcPr/>
          <w:p>
            <w:pPr>
              <w:pStyle w:val="Compact"/>
              <w:jc w:val="left"/>
            </w:pPr>
            <w:r>
              <w:t xml:space="preserve">Q1</w:t>
            </w:r>
          </w:p>
        </w:tc>
        <w:tc>
          <w:tcPr/>
          <w:p>
            <w:pPr>
              <w:pStyle w:val="Compact"/>
              <w:jc w:val="left"/>
            </w:pPr>
            <w:r>
              <w:t xml:space="preserve">IRS Form 990 preparation; TX registered-agent renewal confirmation</w:t>
            </w:r>
          </w:p>
        </w:tc>
      </w:tr>
      <w:tr>
        <w:tc>
          <w:tcPr/>
          <w:p>
            <w:pPr>
              <w:pStyle w:val="Compact"/>
              <w:jc w:val="left"/>
            </w:pPr>
            <w:r>
              <w:t xml:space="preserve">Q2</w:t>
            </w:r>
          </w:p>
        </w:tc>
        <w:tc>
          <w:tcPr/>
          <w:p>
            <w:pPr>
              <w:pStyle w:val="Compact"/>
              <w:jc w:val="left"/>
            </w:pPr>
            <w:r>
              <w:t xml:space="preserve">ISO 21001 surveillance audit window (post-Yr 3); CPD renewal filing</w:t>
            </w:r>
          </w:p>
        </w:tc>
      </w:tr>
      <w:tr>
        <w:tc>
          <w:tcPr/>
          <w:p>
            <w:pPr>
              <w:pStyle w:val="Compact"/>
              <w:jc w:val="left"/>
            </w:pPr>
            <w:r>
              <w:t xml:space="preserve">Q3</w:t>
            </w:r>
          </w:p>
        </w:tc>
        <w:tc>
          <w:tcPr/>
          <w:p>
            <w:pPr>
              <w:pStyle w:val="Compact"/>
              <w:jc w:val="left"/>
            </w:pPr>
            <w:r>
              <w:t xml:space="preserve">Sharī’ah Advisory Board bi-annual re-certification (odd-numbered cycles) of Commercial Engine structures</w:t>
            </w:r>
          </w:p>
        </w:tc>
      </w:tr>
      <w:tr>
        <w:tc>
          <w:tcPr/>
          <w:p>
            <w:pPr>
              <w:pStyle w:val="Compact"/>
              <w:jc w:val="left"/>
            </w:pPr>
            <w:r>
              <w:t xml:space="preserve">Q4</w:t>
            </w:r>
          </w:p>
        </w:tc>
        <w:tc>
          <w:tcPr/>
          <w:p>
            <w:pPr>
              <w:pStyle w:val="Compact"/>
              <w:jc w:val="left"/>
            </w:pPr>
            <w:r>
              <w:t xml:space="preserve">Board Audit &amp; Risk Committee annual compliance-posture review; Gambia NAQAA annual reporting (post Stage 3); data-protection policy refresh</w:t>
            </w:r>
          </w:p>
        </w:tc>
      </w:tr>
      <w:tr>
        <w:tc>
          <w:tcPr/>
          <w:p>
            <w:pPr>
              <w:pStyle w:val="Compact"/>
              <w:jc w:val="left"/>
            </w:pPr>
            <w:r>
              <w:t xml:space="preserve">Ongoing</w:t>
            </w:r>
          </w:p>
        </w:tc>
        <w:tc>
          <w:tcPr/>
          <w:p>
            <w:pPr>
              <w:pStyle w:val="Compact"/>
              <w:jc w:val="left"/>
            </w:pPr>
            <w:r>
              <w:t xml:space="preserve">TWC Ch.132 status monitored for any change in scope of instruction; trademark renewal tracked (10-yr USPTO cycle)</w:t>
            </w:r>
          </w:p>
        </w:tc>
      </w:tr>
    </w:tbl>
    <w:p>
      <w:pPr>
        <w:pStyle w:val="BodyText"/>
      </w:pPr>
      <w:r>
        <w:rPr>
          <w:bCs/>
          <w:b/>
        </w:rPr>
        <w:t xml:space="preserve">KPIs</w:t>
      </w:r>
    </w:p>
    <w:p>
      <w:pPr>
        <w:pStyle w:val="BodyText"/>
      </w:pPr>
      <w:r>
        <w:t xml:space="preserve">100% on-time regulatory filings across all active jurisdictions; zero lapses in 501c3 or TWC Ch.132 status; ISO 21001 and CPD certifications maintained without gap from their target years onward; zero data-protection incidents involving student records.</w:t>
      </w:r>
    </w:p>
    <w:p>
      <w:pPr>
        <w:pStyle w:val="BodyText"/>
      </w:pPr>
      <w:r>
        <w:rPr>
          <w:bCs/>
          <w:b/>
        </w:rPr>
        <w:t xml:space="preserve">Risks &amp; Mitigation</w:t>
      </w:r>
    </w:p>
    <w:p>
      <w:pPr>
        <w:pStyle w:val="BodyText"/>
      </w:pPr>
      <w:r>
        <w:t xml:space="preserve">Directly overlaps Risk 8 (nonprofit/for-profit commingling scrutiny — mitigated by arm’s-length shared-services pricing and independent counsel before any firewall amendment) and Risk 11 (accreditation candidacy delay — mitigated by framing candidacy as reserve-funded, not survival-dependent). Data-protection risk (unlisted in the original 14 but material given a global online student body) is managed operationally under the LMS &amp; Technology Infrastructure line (5%) rather than treated as a freestanding institutional risk, since it is a technical-control matter, not a solvency matter.</w:t>
      </w:r>
    </w:p>
    <w:p>
      <w:pPr>
        <w:pStyle w:val="BodyText"/>
      </w:pPr>
      <w:r>
        <w:rPr>
          <w:bCs/>
          <w:b/>
        </w:rPr>
        <w:t xml:space="preserve">Timeline</w:t>
      </w:r>
    </w:p>
    <w:p>
      <w:pPr>
        <w:pStyle w:val="BodyText"/>
      </w:pPr>
      <w:r>
        <w:t xml:space="preserve">2027: incorporation. 2028: full US formation stack complete. 2029: CPD achieved. 2030: ISO 21001 achieved. 2029–2031: Gambia NAQAA registration complete. 2037: ten-year clean compliance record marks founding-decade close. 2038–2039: US secular accreditor candidacy opens (targeted complete Yr 12/2039, per the adopted 20-year sequencing). 2040: first Gulf ministry recognition targeted.</w:t>
      </w:r>
    </w:p>
    <w:p>
      <w:pPr>
        <w:pStyle w:val="BodyText"/>
      </w:pPr>
      <w:r>
        <w:rPr>
          <w:bCs/>
          <w:b/>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Body</w:t>
            </w:r>
          </w:p>
        </w:tc>
        <w:tc>
          <w:tcPr/>
          <w:p>
            <w:pPr>
              <w:pStyle w:val="Compact"/>
              <w:jc w:val="left"/>
            </w:pPr>
            <w:r>
              <w:t xml:space="preserve">Role</w:t>
            </w:r>
          </w:p>
        </w:tc>
      </w:tr>
      <w:tr>
        <w:tc>
          <w:tcPr/>
          <w:p>
            <w:pPr>
              <w:pStyle w:val="Compact"/>
              <w:jc w:val="left"/>
            </w:pPr>
            <w:r>
              <w:t xml:space="preserve">Board of Trustees</w:t>
            </w:r>
          </w:p>
        </w:tc>
        <w:tc>
          <w:tcPr/>
          <w:p>
            <w:pPr>
              <w:pStyle w:val="Compact"/>
              <w:jc w:val="left"/>
            </w:pPr>
            <w:r>
              <w:t xml:space="preserve">Ultimate compliance accountability; approves Liquidity Reserve draws for Gambia/accreditation costs</w:t>
            </w:r>
          </w:p>
        </w:tc>
      </w:tr>
      <w:tr>
        <w:tc>
          <w:tcPr/>
          <w:p>
            <w:pPr>
              <w:pStyle w:val="Compact"/>
              <w:jc w:val="left"/>
            </w:pPr>
            <w:r>
              <w:t xml:space="preserve">Audit &amp; Risk Committee</w:t>
            </w:r>
          </w:p>
        </w:tc>
        <w:tc>
          <w:tcPr/>
          <w:p>
            <w:pPr>
              <w:pStyle w:val="Compact"/>
              <w:jc w:val="left"/>
            </w:pPr>
            <w:r>
              <w:t xml:space="preserve">Monitors calendar adherence; commissions independent legal-counsel opinions</w:t>
            </w:r>
          </w:p>
        </w:tc>
      </w:tr>
      <w:tr>
        <w:tc>
          <w:tcPr/>
          <w:p>
            <w:pPr>
              <w:pStyle w:val="Compact"/>
              <w:jc w:val="left"/>
            </w:pPr>
            <w:r>
              <w:t xml:space="preserve">University Senate</w:t>
            </w:r>
          </w:p>
        </w:tc>
        <w:tc>
          <w:tcPr/>
          <w:p>
            <w:pPr>
              <w:pStyle w:val="Compact"/>
              <w:jc w:val="left"/>
            </w:pPr>
            <w:r>
              <w:t xml:space="preserve">Owns academic-content compliance (TWC Ch.132 scope, future licensure-adjacent curricula)</w:t>
            </w:r>
          </w:p>
        </w:tc>
      </w:tr>
      <w:tr>
        <w:tc>
          <w:tcPr/>
          <w:p>
            <w:pPr>
              <w:pStyle w:val="Compact"/>
              <w:jc w:val="left"/>
            </w:pPr>
            <w:r>
              <w:t xml:space="preserve">Waqf &amp; Endowment Board</w:t>
            </w:r>
          </w:p>
        </w:tc>
        <w:tc>
          <w:tcPr/>
          <w:p>
            <w:pPr>
              <w:pStyle w:val="Compact"/>
              <w:jc w:val="left"/>
            </w:pPr>
            <w:r>
              <w:t xml:space="preserve">N/A directly, but reviewed for compliance of Waqf fund administration</w:t>
            </w:r>
          </w:p>
        </w:tc>
      </w:tr>
      <w:tr>
        <w:tc>
          <w:tcPr/>
          <w:p>
            <w:pPr>
              <w:pStyle w:val="Compact"/>
              <w:jc w:val="left"/>
            </w:pPr>
            <w:r>
              <w:t xml:space="preserve">Sharī’ah Advisory Board</w:t>
            </w:r>
          </w:p>
        </w:tc>
        <w:tc>
          <w:tcPr/>
          <w:p>
            <w:pPr>
              <w:pStyle w:val="Compact"/>
              <w:jc w:val="left"/>
            </w:pPr>
            <w:r>
              <w:t xml:space="preserve">Owns Commercial Engine Sharī’ah-compliance certification cycle</w:t>
            </w:r>
          </w:p>
        </w:tc>
      </w:tr>
    </w:tbl>
    <w:p>
      <w:pPr>
        <w:pStyle w:val="BodyText"/>
      </w:pPr>
      <w:r>
        <w:rPr>
          <w:bCs/>
          <w:b/>
        </w:rPr>
        <w:t xml:space="preserve">Measurable Success Indicators</w:t>
      </w:r>
    </w:p>
    <w:p>
      <w:pPr>
        <w:pStyle w:val="BodyText"/>
      </w:pPr>
      <w:r>
        <w:t xml:space="preserve">Unbroken federal/state compliance record 2028–2037; both target certifications (CPD, ISO 21001) achieved in their canon target years; Gambia campus operating under valid NAQAA registration by end of Stage 3 (2031); zero IRS commingling findings across the founding decade.</w:t>
      </w:r>
    </w:p>
    <w:bookmarkEnd w:id="66"/>
    <w:bookmarkStart w:id="67" w:name="Xf79d756fd0b3e4e3e63a4bac5c102915244732a"/>
    <w:p>
      <w:pPr>
        <w:pStyle w:val="Heading2"/>
      </w:pPr>
      <w:r>
        <w:t xml:space="preserve">Section 38: Financial Sustainability Framework</w:t>
      </w:r>
    </w:p>
    <w:p>
      <w:pPr>
        <w:pStyle w:val="FirstParagraph"/>
      </w:pPr>
      <w:r>
        <w:rPr>
          <w:bCs/>
          <w:b/>
        </w:rPr>
        <w:t xml:space="preserve">Rationale</w:t>
      </w:r>
    </w:p>
    <w:p>
      <w:pPr>
        <w:pStyle w:val="BodyText"/>
      </w:pPr>
      <w:r>
        <w:t xml:space="preserve">AMIU’s Mission demands accessibility</w:t>
      </w:r>
      <w:r>
        <w:t xml:space="preserve"> </w:t>
      </w:r>
      <w:r>
        <w:t xml:space="preserve">“</w:t>
      </w:r>
      <w:r>
        <w:t xml:space="preserve">at the minimum possible cost</w:t>
      </w:r>
      <w:r>
        <w:t xml:space="preserve">”</w:t>
      </w:r>
      <w:r>
        <w:t xml:space="preserve"> </w:t>
      </w:r>
      <w:r>
        <w:t xml:space="preserve">while never sacrificing</w:t>
      </w:r>
      <w:r>
        <w:t xml:space="preserve"> </w:t>
      </w:r>
      <w:r>
        <w:t xml:space="preserve">“</w:t>
      </w:r>
      <w:r>
        <w:t xml:space="preserve">financial self-sufficiency for good intentions.</w:t>
      </w:r>
      <w:r>
        <w:t xml:space="preserve">”</w:t>
      </w:r>
      <w:r>
        <w:t xml:space="preserve"> </w:t>
      </w:r>
      <w:r>
        <w:t xml:space="preserve">The Master Plan resolves this tension structurally, not aspirationally: every cost category is a fixed percentage of actual gross revenue, with zero unallocated residual and zero fixed-dollar obligations that could outrun a bad year. This section states the long-run sustainability doctrine that follows from that design, explains the three-scenario sensitivity logic already adopted, and specifies exactly how the institution behaves under a genuine downside shock — the question every serious funder, regulator, and Senate independent seat will eventually ask.</w:t>
      </w:r>
    </w:p>
    <w:p>
      <w:pPr>
        <w:pStyle w:val="BodyText"/>
      </w:pPr>
      <w:r>
        <w:rPr>
          <w:bCs/>
          <w:b/>
        </w:rPr>
        <w:t xml:space="preserve">Global Best Practices</w:t>
      </w:r>
    </w:p>
    <w:p>
      <w:pPr>
        <w:numPr>
          <w:ilvl w:val="0"/>
          <w:numId w:val="1029"/>
        </w:numPr>
        <w:pStyle w:val="Compact"/>
      </w:pPr>
      <w:r>
        <w:t xml:space="preserve">Percentage-of-revenue budgeting (used by mission-driven organizations with volatile income) structurally eliminates deficit risk, unlike fixed-dollar-obligation budgeting common in traditional universities.</w:t>
      </w:r>
    </w:p>
    <w:p>
      <w:pPr>
        <w:numPr>
          <w:ilvl w:val="0"/>
          <w:numId w:val="1029"/>
        </w:numPr>
        <w:pStyle w:val="Compact"/>
      </w:pPr>
      <w:r>
        <w:t xml:space="preserve">Dual-reserve architecture — a short-horizon liquidity buffer plus a long-horizon, mission-restricted growth reserve — mirrors best practice in endowment management (spending-rate discipline paired with a separate corpus-preservation vehicle).</w:t>
      </w:r>
    </w:p>
    <w:p>
      <w:pPr>
        <w:numPr>
          <w:ilvl w:val="0"/>
          <w:numId w:val="1029"/>
        </w:numPr>
        <w:pStyle w:val="Compact"/>
      </w:pPr>
      <w:r>
        <w:t xml:space="preserve">Scenario planning (conservative/expected/growth bands around one structural model, not three different budgets) is standard in nonprofit financial resilience planning.</w:t>
      </w:r>
    </w:p>
    <w:p>
      <w:pPr>
        <w:numPr>
          <w:ilvl w:val="0"/>
          <w:numId w:val="1029"/>
        </w:numPr>
        <w:pStyle w:val="Compact"/>
      </w:pPr>
      <w:r>
        <w:t xml:space="preserve">Automatic-stabilizer compensation design (Faculty Honoraria scaling with revenue, no ceiling but also no fixed floor) is a recognized technique for aligning payroll cost with actual capacity to pay.</w:t>
      </w:r>
    </w:p>
    <w:p>
      <w:pPr>
        <w:pStyle w:val="FirstParagraph"/>
      </w:pPr>
      <w:r>
        <w:rPr>
          <w:bCs/>
          <w:b/>
        </w:rPr>
        <w:t xml:space="preserve">The Doctrine, Stated Plainly</w:t>
      </w:r>
    </w:p>
    <w:p>
      <w:pPr>
        <w:pStyle w:val="BodyText"/>
      </w:pPr>
      <w:r>
        <w:t xml:space="preserve">Because Payroll (20%), Marketing (10%), OpEx (5%), LMS &amp; Technology (5%), Da’wah &amp; Outreach (5%), and Waqf &amp; Stakeholder (20%) are all percentages of</w:t>
      </w:r>
      <w:r>
        <w:t xml:space="preserve"> </w:t>
      </w:r>
      <w:r>
        <w:rPr>
          <w:iCs/>
          <w:i/>
        </w:rPr>
        <w:t xml:space="preserve">actual received</w:t>
      </w:r>
      <w:r>
        <w:t xml:space="preserve"> </w:t>
      </w:r>
      <w:r>
        <w:t xml:space="preserve">revenue, AMIU cannot structurally run a deficit in any scenario — a slower year produces smaller absolute payments in every category, not unpaid obligations. This is why the adopted model shows $0 deficit in any year of any of the three scenarios (Conservative +27% = $14.25M ten-year cumulative; Expected +45% = $15.41M; Growth/adopted +65% = $16.67M). The only variable across scenarios is the</w:t>
      </w:r>
      <w:r>
        <w:t xml:space="preserve"> </w:t>
      </w:r>
      <w:r>
        <w:rPr>
          <w:iCs/>
          <w:i/>
        </w:rPr>
        <w:t xml:space="preserve">pace</w:t>
      </w:r>
      <w:r>
        <w:t xml:space="preserve"> </w:t>
      </w:r>
      <w:r>
        <w:t xml:space="preserve">of absolute reserve accumulation and expansion — never solvency.</w:t>
      </w:r>
    </w:p>
    <w:p>
      <w:pPr>
        <w:pStyle w:val="BodyText"/>
      </w:pPr>
      <w:r>
        <w:rPr>
          <w:bCs/>
          <w:b/>
        </w:rPr>
        <w:t xml:space="preserve">The Two-Reserve Architecture</w:t>
      </w:r>
    </w:p>
    <w:p>
      <w:pPr>
        <w:numPr>
          <w:ilvl w:val="0"/>
          <w:numId w:val="1030"/>
        </w:numPr>
        <w:pStyle w:val="Compact"/>
      </w:pPr>
      <w:r>
        <w:rPr>
          <w:bCs/>
          <w:b/>
        </w:rPr>
        <w:t xml:space="preserve">Liquidity Reserve (35% of gross revenue):</w:t>
      </w:r>
      <w:r>
        <w:t xml:space="preserve"> </w:t>
      </w:r>
      <w:r>
        <w:t xml:space="preserve">the University’s short-to-medium-horizon solvency and expansion buffer, explicitly available for resilience, campus expansion, and accreditation costs. Ten-year cumulative inflow: $5,834,215. After funding items such as the Gambia $50,000 ceiling and accreditation candidacy costs across the decade, the retained Year-10 balance is $4,341,842.</w:t>
      </w:r>
    </w:p>
    <w:p>
      <w:pPr>
        <w:numPr>
          <w:ilvl w:val="0"/>
          <w:numId w:val="1030"/>
        </w:numPr>
        <w:pStyle w:val="Compact"/>
      </w:pPr>
      <w:r>
        <w:rPr>
          <w:bCs/>
          <w:b/>
        </w:rPr>
        <w:t xml:space="preserve">AMIU Strategic Business Reserve (50% of the Waqf &amp; Stakeholder Reserve, i.e. 10% of gross revenue):</w:t>
      </w:r>
      <w:r>
        <w:t xml:space="preserve"> </w:t>
      </w:r>
      <w:r>
        <w:t xml:space="preserve">the long-horizon, Sharī’ah-compliant-investment-only growth vehicle, Year-10 balance $1,240,527, fiduciary-managed by the Waqf &amp; Endowment Board.</w:t>
      </w:r>
    </w:p>
    <w:p>
      <w:pPr>
        <w:numPr>
          <w:ilvl w:val="0"/>
          <w:numId w:val="1030"/>
        </w:numPr>
        <w:pStyle w:val="Compact"/>
      </w:pPr>
      <w:r>
        <w:rPr>
          <w:bCs/>
          <w:b/>
        </w:rPr>
        <w:t xml:space="preserve">Combined Year-10 Retained Institutional Position:</w:t>
      </w:r>
      <w:r>
        <w:t xml:space="preserve"> </w:t>
      </w:r>
      <w:r>
        <w:t xml:space="preserve">$4,341,842 + $1,240,527 =</w:t>
      </w:r>
      <w:r>
        <w:t xml:space="preserve"> </w:t>
      </w:r>
      <w:r>
        <w:rPr>
          <w:bCs/>
          <w:b/>
        </w:rPr>
        <w:t xml:space="preserve">$5,582,369</w:t>
      </w:r>
      <w:r>
        <w:t xml:space="preserve">, entirely independent of the Commercial Engine — the number that answers</w:t>
      </w:r>
      <w:r>
        <w:t xml:space="preserve"> </w:t>
      </w:r>
      <w:r>
        <w:t xml:space="preserve">“</w:t>
      </w:r>
      <w:r>
        <w:t xml:space="preserve">what does AMIU own, free and clear, after ten years.</w:t>
      </w:r>
      <w:r>
        <w:t xml:space="preserve">”</w:t>
      </w:r>
    </w:p>
    <w:p>
      <w:pPr>
        <w:pStyle w:val="FirstParagraph"/>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I — Model Validation</w:t>
            </w:r>
          </w:p>
        </w:tc>
        <w:tc>
          <w:tcPr/>
          <w:p>
            <w:pPr>
              <w:pStyle w:val="Compact"/>
              <w:jc w:val="left"/>
            </w:pPr>
            <w:r>
              <w:t xml:space="preserve">2028–2029</w:t>
            </w:r>
          </w:p>
        </w:tc>
        <w:tc>
          <w:tcPr/>
          <w:p>
            <w:pPr>
              <w:pStyle w:val="Compact"/>
              <w:jc w:val="left"/>
            </w:pPr>
            <w:r>
              <w:t xml:space="preserve">Confirm actual revenue tracks within Conservative–Growth band</w:t>
            </w:r>
          </w:p>
        </w:tc>
      </w:tr>
      <w:tr>
        <w:tc>
          <w:tcPr/>
          <w:p>
            <w:pPr>
              <w:pStyle w:val="Compact"/>
              <w:jc w:val="left"/>
            </w:pPr>
            <w:r>
              <w:t xml:space="preserve">II — Reserve Build</w:t>
            </w:r>
          </w:p>
        </w:tc>
        <w:tc>
          <w:tcPr/>
          <w:p>
            <w:pPr>
              <w:pStyle w:val="Compact"/>
              <w:jc w:val="left"/>
            </w:pPr>
            <w:r>
              <w:t xml:space="preserve">2030–2034</w:t>
            </w:r>
          </w:p>
        </w:tc>
        <w:tc>
          <w:tcPr/>
          <w:p>
            <w:pPr>
              <w:pStyle w:val="Compact"/>
              <w:jc w:val="left"/>
            </w:pPr>
            <w:r>
              <w:t xml:space="preserve">Liquidity Reserve and Strategic Business Reserve compound; first Gambia/accreditation draws</w:t>
            </w:r>
          </w:p>
        </w:tc>
      </w:tr>
      <w:tr>
        <w:tc>
          <w:tcPr/>
          <w:p>
            <w:pPr>
              <w:pStyle w:val="Compact"/>
              <w:jc w:val="left"/>
            </w:pPr>
            <w:r>
              <w:t xml:space="preserve">III — Decade Audit</w:t>
            </w:r>
          </w:p>
        </w:tc>
        <w:tc>
          <w:tcPr/>
          <w:p>
            <w:pPr>
              <w:pStyle w:val="Compact"/>
              <w:jc w:val="left"/>
            </w:pPr>
            <w:r>
              <w:t xml:space="preserve">2035–2037</w:t>
            </w:r>
          </w:p>
        </w:tc>
        <w:tc>
          <w:tcPr/>
          <w:p>
            <w:pPr>
              <w:pStyle w:val="Compact"/>
              <w:jc w:val="left"/>
            </w:pPr>
            <w:r>
              <w:t xml:space="preserve">Ten-year audited zero-deficit track record completed — precondition for Year-11 secular accreditation</w:t>
            </w:r>
          </w:p>
        </w:tc>
      </w:tr>
      <w:tr>
        <w:tc>
          <w:tcPr/>
          <w:p>
            <w:pPr>
              <w:pStyle w:val="Compact"/>
              <w:jc w:val="left"/>
            </w:pPr>
            <w:r>
              <w:t xml:space="preserve">IV — Scaled Sustainability</w:t>
            </w:r>
          </w:p>
        </w:tc>
        <w:tc>
          <w:tcPr/>
          <w:p>
            <w:pPr>
              <w:pStyle w:val="Compact"/>
              <w:jc w:val="left"/>
            </w:pPr>
            <w:r>
              <w:t xml:space="preserve">2038+</w:t>
            </w:r>
          </w:p>
        </w:tc>
        <w:tc>
          <w:tcPr/>
          <w:p>
            <w:pPr>
              <w:pStyle w:val="Compact"/>
              <w:jc w:val="left"/>
            </w:pPr>
            <w:r>
              <w:t xml:space="preserve">Model re-validated at $8M–$94M+ revenue scale through 2047</w:t>
            </w:r>
          </w:p>
        </w:tc>
      </w:tr>
    </w:tbl>
    <w:p>
      <w:pPr>
        <w:pStyle w:val="BodyText"/>
      </w:pPr>
      <w:r>
        <w:rPr>
          <w:bCs/>
          <w:b/>
        </w:rPr>
        <w:t xml:space="preserve">Staffing Requirements</w:t>
      </w:r>
    </w:p>
    <w:p>
      <w:pPr>
        <w:pStyle w:val="BodyText"/>
      </w:pPr>
      <w:r>
        <w:t xml:space="preserve">No dedicated CFO-level hire is warranted purely for sustainability modeling in the founding decade; financial oversight is a function of the Board (finance authority), the Audit &amp; Risk Committee (independent audit review), and Core Admin Staff (Finance sub-function within the 18% Core Admin Staff line), supported by the same external CPA engaged for annual audit (Section 36). Dedicated treasury/investment staff for the Strategic Business Reserve is a Waqf &amp; Endowment Board fiduciary responsibility, exercised through appointed Sharī’ah-compliant investment managers rather than in-house hires, funded from the Reserve’s own returns, not a new payroll line.</w:t>
      </w:r>
    </w:p>
    <w:p>
      <w:pPr>
        <w:pStyle w:val="BodyText"/>
      </w:pPr>
      <w:r>
        <w:rPr>
          <w:bCs/>
          <w:b/>
        </w:rPr>
        <w:t xml:space="preserve">Annual Budget</w:t>
      </w:r>
    </w:p>
    <w:p>
      <w:pPr>
        <w:pStyle w:val="BodyText"/>
      </w:pPr>
      <w:r>
        <w:t xml:space="preserve">Sustainability monitoring itself is a governance activity, not a budget line — its cost is the marginal time of the Audit &amp; Risk Committee and the annual audit fee already counted under OpEx (Section 36/37). The substantive</w:t>
      </w:r>
      <w:r>
        <w:t xml:space="preserve"> </w:t>
      </w:r>
      <w:r>
        <w:t xml:space="preserve">“</w:t>
      </w:r>
      <w:r>
        <w:t xml:space="preserve">budget</w:t>
      </w:r>
      <w:r>
        <w:t xml:space="preserve">”</w:t>
      </w:r>
      <w:r>
        <w:t xml:space="preserve"> </w:t>
      </w:r>
      <w:r>
        <w:t xml:space="preserve">this section governs is the allocation framework itself: $16,669,190 ten-year cumulative gross revenue under the adopted Growth scenario, distributed across the eight fixed categories with zero residual.</w:t>
      </w:r>
    </w:p>
    <w:p>
      <w:pPr>
        <w:pStyle w:val="BodyText"/>
      </w:pPr>
      <w:r>
        <w:rPr>
          <w:bCs/>
          <w:b/>
        </w:rPr>
        <w:t xml:space="preserve">KPIs</w:t>
      </w:r>
    </w:p>
    <w:p>
      <w:pPr>
        <w:numPr>
          <w:ilvl w:val="0"/>
          <w:numId w:val="1031"/>
        </w:numPr>
        <w:pStyle w:val="Compact"/>
      </w:pPr>
      <w:r>
        <w:t xml:space="preserve">Actual annual revenue vs. the Conservative/Expected/Growth trendlines (tracked quarterly).</w:t>
      </w:r>
    </w:p>
    <w:p>
      <w:pPr>
        <w:numPr>
          <w:ilvl w:val="0"/>
          <w:numId w:val="1031"/>
        </w:numPr>
        <w:pStyle w:val="Compact"/>
      </w:pPr>
      <w:r>
        <w:t xml:space="preserve">Reserve balances vs. modeled targets ($4,341,842 Liquidity / $1,240,527 Strategic Business Reserve at Yr 10).</w:t>
      </w:r>
    </w:p>
    <w:p>
      <w:pPr>
        <w:numPr>
          <w:ilvl w:val="0"/>
          <w:numId w:val="1031"/>
        </w:numPr>
        <w:pStyle w:val="Compact"/>
      </w:pPr>
      <w:r>
        <w:t xml:space="preserve">Allocation-reconciliation audit: 100% of revenue accounted for to the dollar, every year, in every scenario.</w:t>
      </w:r>
    </w:p>
    <w:p>
      <w:pPr>
        <w:numPr>
          <w:ilvl w:val="0"/>
          <w:numId w:val="1031"/>
        </w:numPr>
        <w:pStyle w:val="Compact"/>
      </w:pPr>
      <w:r>
        <w:t xml:space="preserve">Zero deficit years, cumulative, 2028–2037 and beyond.</w:t>
      </w:r>
    </w:p>
    <w:p>
      <w:pPr>
        <w:pStyle w:val="FirstParagraph"/>
      </w:pPr>
      <w:r>
        <w:rPr>
          <w:bCs/>
          <w:b/>
        </w:rPr>
        <w:t xml:space="preserve">Sensitivity Analysis Logic</w:t>
      </w:r>
    </w:p>
    <w:p>
      <w:pPr>
        <w:pStyle w:val="BodyText"/>
      </w:pPr>
      <w:r>
        <w:t xml:space="preserve">The three scenarios are not three separate budgets but one structural model run at three enrollment-growth assumptions (+27%, +45%, +65% relative growth trajectories). Because allocation percentages are identical across all three, the</w:t>
      </w:r>
      <w:r>
        <w:t xml:space="preserve"> </w:t>
      </w:r>
      <w:r>
        <w:rPr>
          <w:iCs/>
          <w:i/>
        </w:rPr>
        <w:t xml:space="preserve">shape</w:t>
      </w:r>
      <w:r>
        <w:t xml:space="preserve"> </w:t>
      </w:r>
      <w:r>
        <w:t xml:space="preserve">of institutional spending never changes — only its absolute scale. This is why all three scenarios independently reconcile to $0 deficit.</w:t>
      </w:r>
    </w:p>
    <w:p>
      <w:pPr>
        <w:pStyle w:val="BodyText"/>
      </w:pPr>
      <w:r>
        <w:rPr>
          <w:bCs/>
          <w:b/>
        </w:rPr>
        <w:t xml:space="preserve">Downside Shock Response</w:t>
      </w:r>
    </w:p>
    <w:p>
      <w:pPr>
        <w:pStyle w:val="BodyText"/>
      </w:pPr>
      <w:r>
        <w:t xml:space="preserve">A genuine shock — enrollment growth falling even below the Conservative band — does not create deficit risk, because every major cost line contracts proportionally with actual revenue. What compresses under a downside shock is (a) the absolute dollar pace of reserve accumulation, and (b) the timing of discretionary, sequenceable spending (marketing campaign intensity, Da’wah outreach programming, pace of Gambia/Nigeria capital deployment — Section 39). The Board Audit &amp; Risk Committee’s trigger: if trailing-twelve-month revenue falls more than 15% below the Conservative-scenario trendline for two consecutive quarters, a formal Downside Review is convened, examining discretionary-spending sequencing and reserve-draw governance — not payroll or Waqf obligations, which remain proportionally self-adjusting by design.</w:t>
      </w:r>
    </w:p>
    <w:p>
      <w:pPr>
        <w:pStyle w:val="BodyText"/>
      </w:pPr>
      <w:r>
        <w:rPr>
          <w:bCs/>
          <w:b/>
        </w:rPr>
        <w:t xml:space="preserve">Risks &amp; Mitigation</w:t>
      </w:r>
    </w:p>
    <w:p>
      <w:pPr>
        <w:pStyle w:val="BodyText"/>
      </w:pPr>
      <w:r>
        <w:t xml:space="preserve">Primarily Risk 6 (Nigeria delay — doesn’t affect solvency, only pace), Risk 9 (payment-gateway disruption — mitigated by redundancy), and Risk 13 (FX exposure — mitigated by rolling USD conversion). The meta-risk — model complacency — is mitigated by the annual Decade Audit checkpoint (Phase III) forcing re-validation against real results.</w:t>
      </w:r>
    </w:p>
    <w:p>
      <w:pPr>
        <w:pStyle w:val="BodyText"/>
      </w:pPr>
      <w:r>
        <w:rPr>
          <w:bCs/>
          <w:b/>
        </w:rPr>
        <w:t xml:space="preserve">Timeline</w:t>
      </w:r>
    </w:p>
    <w:p>
      <w:pPr>
        <w:pStyle w:val="BodyText"/>
      </w:pPr>
      <w:r>
        <w:t xml:space="preserve">2028–2037: founding-decade model validation and reserve build. 2037: ten-year audited zero-deficit record complete — the explicit precondition (per the adopted 20-year sequencing rationale) for Year-11 secular accreditation. 2038–2047: model re-validated at scale through the $93.9M Year-20 revenue target.</w:t>
      </w:r>
    </w:p>
    <w:p>
      <w:pPr>
        <w:pStyle w:val="BodyText"/>
      </w:pPr>
      <w:r>
        <w:rPr>
          <w:bCs/>
          <w:b/>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Body</w:t>
            </w:r>
          </w:p>
        </w:tc>
        <w:tc>
          <w:tcPr/>
          <w:p>
            <w:pPr>
              <w:pStyle w:val="Compact"/>
              <w:jc w:val="left"/>
            </w:pPr>
            <w:r>
              <w:t xml:space="preserve">Role</w:t>
            </w:r>
          </w:p>
        </w:tc>
      </w:tr>
      <w:tr>
        <w:tc>
          <w:tcPr/>
          <w:p>
            <w:pPr>
              <w:pStyle w:val="Compact"/>
              <w:jc w:val="left"/>
            </w:pPr>
            <w:r>
              <w:t xml:space="preserve">Board of Trustees</w:t>
            </w:r>
          </w:p>
        </w:tc>
        <w:tc>
          <w:tcPr/>
          <w:p>
            <w:pPr>
              <w:pStyle w:val="Compact"/>
              <w:jc w:val="left"/>
            </w:pPr>
            <w:r>
              <w:t xml:space="preserve">Exclusive tuition-setting authority; approves Liquidity Reserve draws</w:t>
            </w:r>
          </w:p>
        </w:tc>
      </w:tr>
      <w:tr>
        <w:tc>
          <w:tcPr/>
          <w:p>
            <w:pPr>
              <w:pStyle w:val="Compact"/>
              <w:jc w:val="left"/>
            </w:pPr>
            <w:r>
              <w:t xml:space="preserve">Audit &amp; Risk Committee</w:t>
            </w:r>
          </w:p>
        </w:tc>
        <w:tc>
          <w:tcPr/>
          <w:p>
            <w:pPr>
              <w:pStyle w:val="Compact"/>
              <w:jc w:val="left"/>
            </w:pPr>
            <w:r>
              <w:t xml:space="preserve">Monitors reconciliation-to-the-dollar; triggers Downside Review</w:t>
            </w:r>
          </w:p>
        </w:tc>
      </w:tr>
      <w:tr>
        <w:tc>
          <w:tcPr/>
          <w:p>
            <w:pPr>
              <w:pStyle w:val="Compact"/>
              <w:jc w:val="left"/>
            </w:pPr>
            <w:r>
              <w:t xml:space="preserve">University Senate</w:t>
            </w:r>
          </w:p>
        </w:tc>
        <w:tc>
          <w:tcPr/>
          <w:p>
            <w:pPr>
              <w:pStyle w:val="Compact"/>
              <w:jc w:val="left"/>
            </w:pPr>
            <w:r>
              <w:t xml:space="preserve">Reviews Payroll-line implications (Faculty Honoraria, Senate Stipends)</w:t>
            </w:r>
          </w:p>
        </w:tc>
      </w:tr>
      <w:tr>
        <w:tc>
          <w:tcPr/>
          <w:p>
            <w:pPr>
              <w:pStyle w:val="Compact"/>
              <w:jc w:val="left"/>
            </w:pPr>
            <w:r>
              <w:t xml:space="preserve">Waqf &amp; Endowment Board</w:t>
            </w:r>
          </w:p>
        </w:tc>
        <w:tc>
          <w:tcPr/>
          <w:p>
            <w:pPr>
              <w:pStyle w:val="Compact"/>
              <w:jc w:val="left"/>
            </w:pPr>
            <w:r>
              <w:t xml:space="preserve">Fiduciary over Strategic Business Reserve investment discipline</w:t>
            </w:r>
          </w:p>
        </w:tc>
      </w:tr>
      <w:tr>
        <w:tc>
          <w:tcPr/>
          <w:p>
            <w:pPr>
              <w:pStyle w:val="Compact"/>
              <w:jc w:val="left"/>
            </w:pPr>
            <w:r>
              <w:t xml:space="preserve">Sharī’ah Advisory Board</w:t>
            </w:r>
          </w:p>
        </w:tc>
        <w:tc>
          <w:tcPr/>
          <w:p>
            <w:pPr>
              <w:pStyle w:val="Compact"/>
              <w:jc w:val="left"/>
            </w:pPr>
            <w:r>
              <w:t xml:space="preserve">Certifies Strategic Business Reserve investment vehicles as Sharī’ah-compliant</w:t>
            </w:r>
          </w:p>
        </w:tc>
      </w:tr>
    </w:tbl>
    <w:p>
      <w:pPr>
        <w:pStyle w:val="BodyText"/>
      </w:pPr>
      <w:r>
        <w:rPr>
          <w:bCs/>
          <w:b/>
        </w:rPr>
        <w:t xml:space="preserve">Measurable Success Indicators</w:t>
      </w:r>
    </w:p>
    <w:p>
      <w:pPr>
        <w:pStyle w:val="BodyText"/>
      </w:pPr>
      <w:r>
        <w:t xml:space="preserve">Zero deficit years 2028–2037 (audited); Year-10 combined retained position at or above $5,582,369; all three scenario bands remain within adopted ranges through the decade; Downside Review mechanism never triggered — or, if triggered, resolved without a deficit event.</w:t>
      </w:r>
    </w:p>
    <w:bookmarkEnd w:id="67"/>
    <w:bookmarkStart w:id="68" w:name="section-39-capital-development-framework"/>
    <w:p>
      <w:pPr>
        <w:pStyle w:val="Heading2"/>
      </w:pPr>
      <w:r>
        <w:t xml:space="preserve">Section 39: Capital Development Framework</w:t>
      </w:r>
    </w:p>
    <w:p>
      <w:pPr>
        <w:pStyle w:val="FirstParagraph"/>
      </w:pPr>
      <w:r>
        <w:rPr>
          <w:bCs/>
          <w:b/>
        </w:rPr>
        <w:t xml:space="preserve">Rationale</w:t>
      </w:r>
    </w:p>
    <w:p>
      <w:pPr>
        <w:pStyle w:val="BodyText"/>
      </w:pPr>
      <w:r>
        <w:t xml:space="preserve">AMIU will need real, physical capital over its twenty-year arc: a Gambia branch campus, eventually residential colleges and a library for a Nigeria Mega-University, and possibly future facilities in Tier-1 regions. The Capital Firewall adopted in AMIU-MP-001 is described as</w:t>
      </w:r>
      <w:r>
        <w:t xml:space="preserve"> </w:t>
      </w:r>
      <w:r>
        <w:t xml:space="preserve">“</w:t>
      </w:r>
      <w:r>
        <w:t xml:space="preserve">absolute, permanent, non-negotiable</w:t>
      </w:r>
      <w:r>
        <w:t xml:space="preserve">”</w:t>
      </w:r>
      <w:r>
        <w:t xml:space="preserve"> </w:t>
      </w:r>
      <w:r>
        <w:t xml:space="preserve">precisely because hard capital is where a nonprofit/commercial hybrid is most tempted to blur lines — construction financing, land acquisition, and building operations look like normal commercial real estate activity even when one side of the ledger is 501c3 tuition money that can never fund an investor return. Section 39 specifies, capital project by capital project, exactly which entity and which allocation line pays for what, with no ambiguity.</w:t>
      </w:r>
    </w:p>
    <w:p>
      <w:pPr>
        <w:pStyle w:val="BodyText"/>
      </w:pPr>
      <w:r>
        <w:rPr>
          <w:bCs/>
          <w:b/>
        </w:rPr>
        <w:t xml:space="preserve">Global Best Practices</w:t>
      </w:r>
    </w:p>
    <w:p>
      <w:pPr>
        <w:numPr>
          <w:ilvl w:val="0"/>
          <w:numId w:val="1032"/>
        </w:numPr>
        <w:pStyle w:val="Compact"/>
      </w:pPr>
      <w:r>
        <w:t xml:space="preserve">“</w:t>
      </w:r>
      <w:r>
        <w:t xml:space="preserve">Source of funds</w:t>
      </w:r>
      <w:r>
        <w:t xml:space="preserve">”</w:t>
      </w:r>
      <w:r>
        <w:t xml:space="preserve"> </w:t>
      </w:r>
      <w:r>
        <w:t xml:space="preserve">documentation discipline: every capital project tagged at inception to a single funding source, auditable independently, standard practice for nonprofit/for-profit sibling structures under IRS scrutiny (Risk 8).</w:t>
      </w:r>
    </w:p>
    <w:p>
      <w:pPr>
        <w:numPr>
          <w:ilvl w:val="0"/>
          <w:numId w:val="1032"/>
        </w:numPr>
        <w:pStyle w:val="Compact"/>
      </w:pPr>
      <w:r>
        <w:t xml:space="preserve">Phased capital ceilings (a board-approved not-to-exceed figure before groundbreaking) rather than open-ended construction budgets — exactly the Gambia $50,000 model.</w:t>
      </w:r>
    </w:p>
    <w:p>
      <w:pPr>
        <w:numPr>
          <w:ilvl w:val="0"/>
          <w:numId w:val="1032"/>
        </w:numPr>
        <w:pStyle w:val="Compact"/>
      </w:pPr>
      <w:r>
        <w:t xml:space="preserve">Waqf-specific capital practice: physical assets built with Waqf capital are typically held for perpetual religious/educational use, never as investor-return-bearing collateral — consistent with the Nigeria Reserve’s design.</w:t>
      </w:r>
    </w:p>
    <w:p>
      <w:pPr>
        <w:numPr>
          <w:ilvl w:val="0"/>
          <w:numId w:val="1032"/>
        </w:numPr>
        <w:pStyle w:val="Compact"/>
      </w:pPr>
      <w:r>
        <w:t xml:space="preserve">Arm’s-length shared-services pricing for any facility that might serve both University and Commercial Engine functions, fair-market-value documented, to preserve firewall integrity (Risk 8 mitigation).</w:t>
      </w:r>
    </w:p>
    <w:p>
      <w:pPr>
        <w:pStyle w:val="FirstParagraph"/>
      </w:pPr>
      <w:r>
        <w:rPr>
          <w:bCs/>
          <w:b/>
        </w:rPr>
        <w:t xml:space="preserve">Capital Projects and Their Funding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Project</w:t>
            </w:r>
          </w:p>
        </w:tc>
        <w:tc>
          <w:tcPr/>
          <w:p>
            <w:pPr>
              <w:pStyle w:val="Compact"/>
              <w:jc w:val="left"/>
            </w:pPr>
            <w:r>
              <w:t xml:space="preserve">Years</w:t>
            </w:r>
          </w:p>
        </w:tc>
        <w:tc>
          <w:tcPr/>
          <w:p>
            <w:pPr>
              <w:pStyle w:val="Compact"/>
              <w:jc w:val="left"/>
            </w:pPr>
            <w:r>
              <w:t xml:space="preserve">Funding Source</w:t>
            </w:r>
          </w:p>
        </w:tc>
        <w:tc>
          <w:tcPr/>
          <w:p>
            <w:pPr>
              <w:pStyle w:val="Compact"/>
              <w:jc w:val="left"/>
            </w:pPr>
            <w:r>
              <w:t xml:space="preserve">Notes</w:t>
            </w:r>
          </w:p>
        </w:tc>
      </w:tr>
      <w:tr>
        <w:tc>
          <w:tcPr/>
          <w:p>
            <w:pPr>
              <w:pStyle w:val="Compact"/>
              <w:jc w:val="left"/>
            </w:pPr>
            <w:r>
              <w:t xml:space="preserve">Gambia Branch Campus build-out</w:t>
            </w:r>
          </w:p>
        </w:tc>
        <w:tc>
          <w:tcPr/>
          <w:p>
            <w:pPr>
              <w:pStyle w:val="Compact"/>
              <w:jc w:val="left"/>
            </w:pPr>
            <w:r>
              <w:t xml:space="preserve">Yr 2–4 (2029–2031)</w:t>
            </w:r>
          </w:p>
        </w:tc>
        <w:tc>
          <w:tcPr/>
          <w:p>
            <w:pPr>
              <w:pStyle w:val="Compact"/>
              <w:jc w:val="left"/>
            </w:pPr>
            <w:r>
              <w:t xml:space="preserve">University Liquidity Reserve (35% line)</w:t>
            </w:r>
          </w:p>
        </w:tc>
        <w:tc>
          <w:tcPr/>
          <w:p>
            <w:pPr>
              <w:pStyle w:val="Compact"/>
              <w:jc w:val="left"/>
            </w:pPr>
            <w:r>
              <w:t xml:space="preserve">$50,000 board-approved ceiling: registration $3,000, office lease $2,000, statutory trust capitalization $10,000, NAQAA accreditation $30,000, local counsel $5,000</w:t>
            </w:r>
          </w:p>
        </w:tc>
      </w:tr>
      <w:tr>
        <w:tc>
          <w:tcPr/>
          <w:p>
            <w:pPr>
              <w:pStyle w:val="Compact"/>
              <w:jc w:val="left"/>
            </w:pPr>
            <w:r>
              <w:t xml:space="preserve">Nigeria Mega-University land/seed capital</w:t>
            </w:r>
          </w:p>
        </w:tc>
        <w:tc>
          <w:tcPr/>
          <w:p>
            <w:pPr>
              <w:pStyle w:val="Compact"/>
              <w:jc w:val="left"/>
            </w:pPr>
            <w:r>
              <w:t xml:space="preserve">Yr 6+ (2033+), target maturity 2040s</w:t>
            </w:r>
          </w:p>
        </w:tc>
        <w:tc>
          <w:tcPr/>
          <w:p>
            <w:pPr>
              <w:pStyle w:val="Compact"/>
              <w:jc w:val="left"/>
            </w:pPr>
            <w:r>
              <w:t xml:space="preserve">Waqf Nigeria Mega-University Reserve sub-line (20% of the 50% distributed Waqf pool = 2% of gross revenue; 10-yr cumulative ≈ $333,384)</w:t>
            </w:r>
          </w:p>
        </w:tc>
        <w:tc>
          <w:tcPr/>
          <w:p>
            <w:pPr>
              <w:pStyle w:val="Compact"/>
              <w:jc w:val="left"/>
            </w:pPr>
            <w:r>
              <w:t xml:space="preserve">Framed per Risk 6 as a funding target, not a guarantee; delay does not affect University solvency</w:t>
            </w:r>
          </w:p>
        </w:tc>
      </w:tr>
      <w:tr>
        <w:tc>
          <w:tcPr/>
          <w:p>
            <w:pPr>
              <w:pStyle w:val="Compact"/>
              <w:jc w:val="left"/>
            </w:pPr>
            <w:r>
              <w:t xml:space="preserve">Nigeria residential colleges/library (full build-out)</w:t>
            </w:r>
          </w:p>
        </w:tc>
        <w:tc>
          <w:tcPr/>
          <w:p>
            <w:pPr>
              <w:pStyle w:val="Compact"/>
              <w:jc w:val="left"/>
            </w:pPr>
            <w:r>
              <w:t xml:space="preserve">Post Yr 11 (2038+)</w:t>
            </w:r>
          </w:p>
        </w:tc>
        <w:tc>
          <w:tcPr/>
          <w:p>
            <w:pPr>
              <w:pStyle w:val="Compact"/>
              <w:jc w:val="left"/>
            </w:pPr>
            <w:r>
              <w:t xml:space="preserve">Waqf Nigeria Reserve continuing accrual + possible dedicated Waqf capital campaign</w:t>
            </w:r>
          </w:p>
        </w:tc>
        <w:tc>
          <w:tcPr/>
          <w:p>
            <w:pPr>
              <w:pStyle w:val="Compact"/>
              <w:jc w:val="left"/>
            </w:pPr>
            <w:r>
              <w:t xml:space="preserve">If scale exceeds University-side accrual, supplemental Commercial Engine investment (Gate B) may co-locate under a strict arm’s-length lease/shared-services structure — never equity co-investment with University funds</w:t>
            </w:r>
          </w:p>
        </w:tc>
      </w:tr>
      <w:tr>
        <w:tc>
          <w:tcPr/>
          <w:p>
            <w:pPr>
              <w:pStyle w:val="Compact"/>
              <w:jc w:val="left"/>
            </w:pPr>
            <w:r>
              <w:t xml:space="preserve">Future Tier-1-region facilities</w:t>
            </w:r>
          </w:p>
        </w:tc>
        <w:tc>
          <w:tcPr/>
          <w:p>
            <w:pPr>
              <w:pStyle w:val="Compact"/>
              <w:jc w:val="left"/>
            </w:pPr>
            <w:r>
              <w:t xml:space="preserve">Yr 15+ (2042+), illustrative only</w:t>
            </w:r>
          </w:p>
        </w:tc>
        <w:tc>
          <w:tcPr/>
          <w:p>
            <w:pPr>
              <w:pStyle w:val="Compact"/>
              <w:jc w:val="left"/>
            </w:pPr>
            <w:r>
              <w:t xml:space="preserve">Primarily Commercial Engine (Gate B real-estate acquisition, independently raised investor capital)</w:t>
            </w:r>
          </w:p>
        </w:tc>
        <w:tc>
          <w:tcPr/>
          <w:p>
            <w:pPr>
              <w:pStyle w:val="Compact"/>
              <w:jc w:val="left"/>
            </w:pPr>
            <w:r>
              <w:t xml:space="preserve">University may only participate via fair-market-value lease-back, never capital contribution</w:t>
            </w:r>
          </w:p>
        </w:tc>
      </w:tr>
      <w:tr>
        <w:tc>
          <w:tcPr/>
          <w:p>
            <w:pPr>
              <w:pStyle w:val="Compact"/>
              <w:jc w:val="left"/>
            </w:pPr>
            <w:r>
              <w:t xml:space="preserve">Accreditation-linked capital costs (ISO surveillance, future US secular-accreditor site visits)</w:t>
            </w:r>
          </w:p>
        </w:tc>
        <w:tc>
          <w:tcPr/>
          <w:p>
            <w:pPr>
              <w:pStyle w:val="Compact"/>
              <w:jc w:val="left"/>
            </w:pPr>
            <w:r>
              <w:t xml:space="preserve">Ongoing / Yr 11–12</w:t>
            </w:r>
          </w:p>
        </w:tc>
        <w:tc>
          <w:tcPr/>
          <w:p>
            <w:pPr>
              <w:pStyle w:val="Compact"/>
              <w:jc w:val="left"/>
            </w:pPr>
            <w:r>
              <w:t xml:space="preserve">OpEx (5%) for recurring; Liquidity Reserve for larger one-off candidacy costs</w:t>
            </w:r>
          </w:p>
        </w:tc>
        <w:tc>
          <w:tcPr/>
          <w:p>
            <w:pPr>
              <w:pStyle w:val="Compact"/>
              <w:jc w:val="left"/>
            </w:pPr>
            <w:r>
              <w:t xml:space="preserve">See Section 37</w:t>
            </w:r>
          </w:p>
        </w:tc>
      </w:tr>
    </w:tbl>
    <w:p>
      <w:pPr>
        <w:pStyle w:val="BodyText"/>
      </w:pPr>
      <w:r>
        <w:rPr>
          <w:bCs/>
          <w:b/>
        </w:rPr>
        <w:t xml:space="preserve">The Firewall, Restated for Capital</w:t>
      </w:r>
    </w:p>
    <w:p>
      <w:pPr>
        <w:pStyle w:val="BodyText"/>
      </w:pPr>
      <w:r>
        <w:t xml:space="preserve">No Commercial Engine capital — however raised, under whatever offering document — may fund, guarantee, subsidize, or de-risk any University hard-capital project. No University Liquidity Reserve or Waqf capital may fund, guarantee, collateralize, or backstop any Commercial Engine investor return, dividend, buyback, or redemption. Where a facility might plausibly serve both (e.g., a shared administrative building near a Gate B property), the only permitted interaction is an arm’s-length, fair-market-value lease or services agreement, documented and available to the independent auditor. Any proposal to alter this requires a full Senate independent-seat-supermajority vote plus a prior written independent legal counsel opinion — the same threshold as any other firewall amendment.</w:t>
      </w:r>
    </w:p>
    <w:p>
      <w:pPr>
        <w:pStyle w:val="BodyText"/>
      </w:pPr>
      <w:r>
        <w:rPr>
          <w:bCs/>
          <w:b/>
        </w:rPr>
        <w:t xml:space="preserve">Implementation Phases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Years</w:t>
            </w:r>
          </w:p>
        </w:tc>
        <w:tc>
          <w:tcPr/>
          <w:p>
            <w:pPr>
              <w:pStyle w:val="Compact"/>
              <w:jc w:val="left"/>
            </w:pPr>
            <w:r>
              <w:t xml:space="preserve">Focus</w:t>
            </w:r>
          </w:p>
        </w:tc>
      </w:tr>
      <w:tr>
        <w:tc>
          <w:tcPr/>
          <w:p>
            <w:pPr>
              <w:pStyle w:val="Compact"/>
              <w:jc w:val="left"/>
            </w:pPr>
            <w:r>
              <w:t xml:space="preserve">I — Gambia Build-out</w:t>
            </w:r>
          </w:p>
        </w:tc>
        <w:tc>
          <w:tcPr/>
          <w:p>
            <w:pPr>
              <w:pStyle w:val="Compact"/>
              <w:jc w:val="left"/>
            </w:pPr>
            <w:r>
              <w:t xml:space="preserve">2029–2031</w:t>
            </w:r>
          </w:p>
        </w:tc>
        <w:tc>
          <w:tcPr/>
          <w:p>
            <w:pPr>
              <w:pStyle w:val="Compact"/>
              <w:jc w:val="left"/>
            </w:pPr>
            <w:r>
              <w:t xml:space="preserve">$50,000 ceiling spent, NAQAA accreditation earned independently of Texas parent</w:t>
            </w:r>
          </w:p>
        </w:tc>
      </w:tr>
      <w:tr>
        <w:tc>
          <w:tcPr/>
          <w:p>
            <w:pPr>
              <w:pStyle w:val="Compact"/>
              <w:jc w:val="left"/>
            </w:pPr>
            <w:r>
              <w:t xml:space="preserve">II — Nigeria Reserve Accrual</w:t>
            </w:r>
          </w:p>
        </w:tc>
        <w:tc>
          <w:tcPr/>
          <w:p>
            <w:pPr>
              <w:pStyle w:val="Compact"/>
              <w:jc w:val="left"/>
            </w:pPr>
            <w:r>
              <w:t xml:space="preserve">2033–2037</w:t>
            </w:r>
          </w:p>
        </w:tc>
        <w:tc>
          <w:tcPr/>
          <w:p>
            <w:pPr>
              <w:pStyle w:val="Compact"/>
              <w:jc w:val="left"/>
            </w:pPr>
            <w:r>
              <w:t xml:space="preserve">Waqf Nigeria sub-line compounds; feasibility study conducted, funded from OpEx</w:t>
            </w:r>
          </w:p>
        </w:tc>
      </w:tr>
      <w:tr>
        <w:tc>
          <w:tcPr/>
          <w:p>
            <w:pPr>
              <w:pStyle w:val="Compact"/>
              <w:jc w:val="left"/>
            </w:pPr>
            <w:r>
              <w:t xml:space="preserve">III — Nigeria Capital Deployment</w:t>
            </w:r>
          </w:p>
        </w:tc>
        <w:tc>
          <w:tcPr/>
          <w:p>
            <w:pPr>
              <w:pStyle w:val="Compact"/>
              <w:jc w:val="left"/>
            </w:pPr>
            <w:r>
              <w:t xml:space="preserve">2038–2044 (indicative)</w:t>
            </w:r>
          </w:p>
        </w:tc>
        <w:tc>
          <w:tcPr/>
          <w:p>
            <w:pPr>
              <w:pStyle w:val="Compact"/>
              <w:jc w:val="left"/>
            </w:pPr>
            <w:r>
              <w:t xml:space="preserve">Land/seed capital deployed if Reserve + campaign sufficient; framed as target throughout</w:t>
            </w:r>
          </w:p>
        </w:tc>
      </w:tr>
      <w:tr>
        <w:tc>
          <w:tcPr/>
          <w:p>
            <w:pPr>
              <w:pStyle w:val="Compact"/>
              <w:jc w:val="left"/>
            </w:pPr>
            <w:r>
              <w:t xml:space="preserve">IV — Tier-1 Facilities (illustrative)</w:t>
            </w:r>
          </w:p>
        </w:tc>
        <w:tc>
          <w:tcPr/>
          <w:p>
            <w:pPr>
              <w:pStyle w:val="Compact"/>
              <w:jc w:val="left"/>
            </w:pPr>
            <w:r>
              <w:t xml:space="preserve">2042+</w:t>
            </w:r>
          </w:p>
        </w:tc>
        <w:tc>
          <w:tcPr/>
          <w:p>
            <w:pPr>
              <w:pStyle w:val="Compact"/>
              <w:jc w:val="left"/>
            </w:pPr>
            <w:r>
              <w:t xml:space="preserve">Commercial-Engine-led, University firewall-observant participation only</w:t>
            </w:r>
          </w:p>
        </w:tc>
      </w:tr>
    </w:tbl>
    <w:p>
      <w:pPr>
        <w:pStyle w:val="BodyText"/>
      </w:pPr>
      <w:r>
        <w:rPr>
          <w:bCs/>
          <w:b/>
        </w:rPr>
        <w:t xml:space="preserve">Staffing Requirements</w:t>
      </w:r>
    </w:p>
    <w:p>
      <w:pPr>
        <w:pStyle w:val="BodyText"/>
      </w:pPr>
      <w:r>
        <w:t xml:space="preserve">No dedicated capital-projects office exists before Year 10. Gambia build-out is managed by the founding trustees plus contracted local counsel ($5,000, within the $50,000 ceiling). Nigeria feasibility work is a Waqf &amp; Endowment Board-directed function, using the same fractional Core Admin Staff capacity described in Sections 36–37. A dedicated Capital Development Officer is appropriate only once Nigeria deployment moves from Reserve-accrual to active construction — realistically Year 11+, funded from the by-then-larger OpEx/Core Admin base, never invented as a founding-decade role.</w:t>
      </w:r>
    </w:p>
    <w:p>
      <w:pPr>
        <w:pStyle w:val="BodyText"/>
      </w:pPr>
      <w:r>
        <w:rPr>
          <w:bCs/>
          <w:b/>
        </w:rPr>
        <w:t xml:space="preserve">Annual Budget</w:t>
      </w:r>
    </w:p>
    <w:p>
      <w:pPr>
        <w:pStyle w:val="BodyText"/>
      </w:pPr>
      <w:r>
        <w:t xml:space="preserve">Gambia: $50,000 total ceiling across Years 2–4, from Liquidity Reserve (which accrues far more than this — roughly $78,661 in Year 1 alone at 35% of $224,747 — comfortably affording the ceiling). Nigeria Reserve: accrues at 2% of gross revenue annually (Year 1 ≈ $4,495; Year 10 ≈ $76,611; ten-year cumulative ≈ $333,384) — explicitly a target-building sub-line, not a construction-ready budget on its own.</w:t>
      </w:r>
    </w:p>
    <w:p>
      <w:pPr>
        <w:pStyle w:val="BodyText"/>
      </w:pPr>
      <w:r>
        <w:rPr>
          <w:bCs/>
          <w:b/>
        </w:rPr>
        <w:t xml:space="preserve">KPIs</w:t>
      </w:r>
    </w:p>
    <w:p>
      <w:pPr>
        <w:pStyle w:val="BodyText"/>
      </w:pPr>
      <w:r>
        <w:t xml:space="preserve">Gambia campus operational within the $50,000 ceiling and Year-2–4 window; Nigeria Reserve balance tracked against its own accrual model; zero firewall-crossing capital transactions (audited annually); any Commercial Engine co-location arrangement priced at documented fair market value.</w:t>
      </w:r>
    </w:p>
    <w:p>
      <w:pPr>
        <w:pStyle w:val="BodyText"/>
      </w:pPr>
      <w:r>
        <w:rPr>
          <w:bCs/>
          <w:b/>
        </w:rPr>
        <w:t xml:space="preserve">Risks &amp; Mitigation</w:t>
      </w:r>
    </w:p>
    <w:p>
      <w:pPr>
        <w:pStyle w:val="BodyText"/>
      </w:pPr>
      <w:r>
        <w:t xml:space="preserve">Directly governed by Risk 6 (Nigeria delay/non-approval — doesn’t affect solvency), Risk 8 (commingling scrutiny — mitigated by strict source-of-funds tagging), and Risk 4 (Strategic Business Reserve deployment governance — 2/3 Senate vote + 2 independent seats above $250,000/yr, applicable if the Reserve is ever tapped for a capital co-investment).</w:t>
      </w:r>
    </w:p>
    <w:p>
      <w:pPr>
        <w:pStyle w:val="BodyText"/>
      </w:pPr>
      <w:r>
        <w:rPr>
          <w:bCs/>
          <w:b/>
        </w:rPr>
        <w:t xml:space="preserve">Timeline</w:t>
      </w:r>
    </w:p>
    <w:p>
      <w:pPr>
        <w:pStyle w:val="BodyText"/>
      </w:pPr>
      <w:r>
        <w:t xml:space="preserve">2029–2031: Gambia built and accredited. 2033: Nigeria feasibility study initiated. 2037: founding-decade capital review (paired with Section 38’s Decade Audit). 2038+: Nigeria deployment phase begins, contingent on Reserve sufficiency and NUC approval (Section 37).</w:t>
      </w:r>
    </w:p>
    <w:p>
      <w:pPr>
        <w:pStyle w:val="BodyText"/>
      </w:pPr>
      <w:r>
        <w:rPr>
          <w:bCs/>
          <w:b/>
        </w:rPr>
        <w:t xml:space="preserve">Governance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Body</w:t>
            </w:r>
          </w:p>
        </w:tc>
        <w:tc>
          <w:tcPr/>
          <w:p>
            <w:pPr>
              <w:pStyle w:val="Compact"/>
              <w:jc w:val="left"/>
            </w:pPr>
            <w:r>
              <w:t xml:space="preserve">Role</w:t>
            </w:r>
          </w:p>
        </w:tc>
      </w:tr>
      <w:tr>
        <w:tc>
          <w:tcPr/>
          <w:p>
            <w:pPr>
              <w:pStyle w:val="Compact"/>
              <w:jc w:val="left"/>
            </w:pPr>
            <w:r>
              <w:t xml:space="preserve">Board of Trustees</w:t>
            </w:r>
          </w:p>
        </w:tc>
        <w:tc>
          <w:tcPr/>
          <w:p>
            <w:pPr>
              <w:pStyle w:val="Compact"/>
              <w:jc w:val="left"/>
            </w:pPr>
            <w:r>
              <w:t xml:space="preserve">Approves all capital ceilings; enforces firewall on every project</w:t>
            </w:r>
          </w:p>
        </w:tc>
      </w:tr>
      <w:tr>
        <w:tc>
          <w:tcPr/>
          <w:p>
            <w:pPr>
              <w:pStyle w:val="Compact"/>
              <w:jc w:val="left"/>
            </w:pPr>
            <w:r>
              <w:t xml:space="preserve">Audit &amp; Risk Committee</w:t>
            </w:r>
          </w:p>
        </w:tc>
        <w:tc>
          <w:tcPr/>
          <w:p>
            <w:pPr>
              <w:pStyle w:val="Compact"/>
              <w:jc w:val="left"/>
            </w:pPr>
            <w:r>
              <w:t xml:space="preserve">Audits source-of-funds tagging annually</w:t>
            </w:r>
          </w:p>
        </w:tc>
      </w:tr>
      <w:tr>
        <w:tc>
          <w:tcPr/>
          <w:p>
            <w:pPr>
              <w:pStyle w:val="Compact"/>
              <w:jc w:val="left"/>
            </w:pPr>
            <w:r>
              <w:t xml:space="preserve">University Senate</w:t>
            </w:r>
          </w:p>
        </w:tc>
        <w:tc>
          <w:tcPr/>
          <w:p>
            <w:pPr>
              <w:pStyle w:val="Compact"/>
              <w:jc w:val="left"/>
            </w:pPr>
            <w:r>
              <w:t xml:space="preserve">No direct capital authority; informed of academic-capacity implications</w:t>
            </w:r>
          </w:p>
        </w:tc>
      </w:tr>
      <w:tr>
        <w:tc>
          <w:tcPr/>
          <w:p>
            <w:pPr>
              <w:pStyle w:val="Compact"/>
              <w:jc w:val="left"/>
            </w:pPr>
            <w:r>
              <w:t xml:space="preserve">Waqf &amp; Endowment Board</w:t>
            </w:r>
          </w:p>
        </w:tc>
        <w:tc>
          <w:tcPr/>
          <w:p>
            <w:pPr>
              <w:pStyle w:val="Compact"/>
              <w:jc w:val="left"/>
            </w:pPr>
            <w:r>
              <w:t xml:space="preserve">Fiduciary owner of the Nigeria Reserve sub-line and any Waqf capital campaign</w:t>
            </w:r>
          </w:p>
        </w:tc>
      </w:tr>
      <w:tr>
        <w:tc>
          <w:tcPr/>
          <w:p>
            <w:pPr>
              <w:pStyle w:val="Compact"/>
              <w:jc w:val="left"/>
            </w:pPr>
            <w:r>
              <w:t xml:space="preserve">Sharī’ah Advisory Board</w:t>
            </w:r>
          </w:p>
        </w:tc>
        <w:tc>
          <w:tcPr/>
          <w:p>
            <w:pPr>
              <w:pStyle w:val="Compact"/>
              <w:jc w:val="left"/>
            </w:pPr>
            <w:r>
              <w:t xml:space="preserve">Certifies any Commercial-Engine-side real estate structure (Gate B) as Sharī’ah-compliant</w:t>
            </w:r>
          </w:p>
        </w:tc>
      </w:tr>
    </w:tbl>
    <w:p>
      <w:pPr>
        <w:pStyle w:val="BodyText"/>
      </w:pPr>
      <w:r>
        <w:rPr>
          <w:bCs/>
          <w:b/>
        </w:rPr>
        <w:t xml:space="preserve">Measurable Success Indicators</w:t>
      </w:r>
    </w:p>
    <w:p>
      <w:pPr>
        <w:pStyle w:val="BodyText"/>
      </w:pPr>
      <w:r>
        <w:t xml:space="preserve">Gambia campus delivered within ceiling and accredited by NAQAA independently of the Texas parent (by 2031); Nigeria Reserve on its 2%-of-revenue accrual track through 2037; zero instances of cross-entity capital funding across the entire 2028–2050 horizon.</w:t>
      </w:r>
    </w:p>
    <w:bookmarkEnd w:id="68"/>
    <w:bookmarkStart w:id="69" w:name="section-40-twenty-year-strategic-roadmap"/>
    <w:p>
      <w:pPr>
        <w:pStyle w:val="Heading2"/>
      </w:pPr>
      <w:r>
        <w:t xml:space="preserve">Section 40: Twenty-Year Strategic Roadmap</w:t>
      </w:r>
    </w:p>
    <w:p>
      <w:pPr>
        <w:pStyle w:val="FirstParagraph"/>
      </w:pPr>
      <w:r>
        <w:rPr>
          <w:bCs/>
          <w:b/>
        </w:rPr>
        <w:t xml:space="preserve">Rationale</w:t>
      </w:r>
    </w:p>
    <w:p>
      <w:pPr>
        <w:pStyle w:val="BodyText"/>
      </w:pPr>
      <w:r>
        <w:t xml:space="preserve">This capstone section knits Sections 1–39 into a single chronological arc, 2028–2050. It introduces no new dollar figures beyond what AMIU-MP-001 and Sections 36–39 have already adopted; it exists to show</w:t>
      </w:r>
      <w:r>
        <w:t xml:space="preserve"> </w:t>
      </w:r>
      <w:r>
        <w:rPr>
          <w:iCs/>
          <w:i/>
        </w:rPr>
        <w:t xml:space="preserve">how the pieces interlock in time</w:t>
      </w:r>
      <w:r>
        <w:t xml:space="preserve"> </w:t>
      </w:r>
      <w:r>
        <w:t xml:space="preserve">— which governance body matures when, which accreditation gate opens after which financial precondition, and how the Waqf and Liquidity reserves compound alongside program and campus rollout. For orientation, milestones below cross-reference the blueprint’s broader structure by cluster: Sections 1–5 (Foundational Identity: Mission, Credential Ladder), 6–10 (Academic Architecture), 11–15 (Curriculum &amp; Student Journey), 16–20 (Research, Publishing &amp; Accreditation), 21–25 (Digital, AI &amp; Waqf), 26–30 (Financial Growth, Marketing &amp; Branding), 31–35 (Regional Campuses &amp; Student Lifecycle), and 36–40 (this Part’s Institutional Operating Systems).</w:t>
      </w:r>
    </w:p>
    <w:p>
      <w:pPr>
        <w:pStyle w:val="BodyText"/>
      </w:pPr>
      <w:r>
        <w:rPr>
          <w:bCs/>
          <w:b/>
        </w:rPr>
        <w:t xml:space="preserve">Global Best Practices</w:t>
      </w:r>
    </w:p>
    <w:p>
      <w:pPr>
        <w:pStyle w:val="BodyText"/>
      </w:pPr>
      <w:r>
        <w:t xml:space="preserve">Twenty-year institutional roadmaps in higher education typically sequence in decade-scale eras rather than uniform annual detail — dense near-term milestones, coarser long-range bands — which is the structure AMIU-MP-001 itself already adopted for its Year 11–20 revenue trajectory and which this roadmap follows.</w:t>
      </w:r>
    </w:p>
    <w:p>
      <w:pPr>
        <w:pStyle w:val="BodyText"/>
      </w:pPr>
      <w:r>
        <w:rPr>
          <w:bCs/>
          <w:b/>
        </w:rPr>
        <w:t xml:space="preserve">Consolidated Milestone Table, 2028–2050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Sections</w:t>
            </w:r>
          </w:p>
        </w:tc>
      </w:tr>
      <w:tr>
        <w:tc>
          <w:tcPr/>
          <w:p>
            <w:pPr>
              <w:pStyle w:val="Compact"/>
              <w:jc w:val="left"/>
            </w:pPr>
            <w:r>
              <w:t xml:space="preserve">2027 (Dec 6)</w:t>
            </w:r>
          </w:p>
        </w:tc>
        <w:tc>
          <w:tcPr/>
          <w:p>
            <w:pPr>
              <w:pStyle w:val="Compact"/>
              <w:jc w:val="left"/>
            </w:pPr>
            <w:r>
              <w:t xml:space="preserve">Incorporation, Texas Nonprofit Corp, 501c3 religious-exempt</w:t>
            </w:r>
          </w:p>
        </w:tc>
        <w:tc>
          <w:tcPr/>
          <w:p>
            <w:pPr>
              <w:pStyle w:val="Compact"/>
              <w:jc w:val="left"/>
            </w:pPr>
            <w:r>
              <w:t xml:space="preserve">3–5; 37</w:t>
            </w:r>
          </w:p>
        </w:tc>
      </w:tr>
      <w:tr>
        <w:tc>
          <w:tcPr/>
          <w:p>
            <w:pPr>
              <w:pStyle w:val="Compact"/>
              <w:jc w:val="left"/>
            </w:pPr>
            <w:r>
              <w:t xml:space="preserve">2028 (Yr 1)</w:t>
            </w:r>
          </w:p>
        </w:tc>
        <w:tc>
          <w:tcPr/>
          <w:p>
            <w:pPr>
              <w:pStyle w:val="Compact"/>
              <w:jc w:val="left"/>
            </w:pPr>
            <w:r>
              <w:t xml:space="preserve">Academic operations commence (Jan 1); 347 students / $224,747 revenue; full US legal/formation stack complete (~$1,015); all five governance bodies constituted (Board, Senate, Audit &amp; Risk Committee, Waqf &amp; Endowment Board, Sharī’ah Advisory Board)</w:t>
            </w:r>
          </w:p>
        </w:tc>
        <w:tc>
          <w:tcPr/>
          <w:p>
            <w:pPr>
              <w:pStyle w:val="Compact"/>
              <w:jc w:val="left"/>
            </w:pPr>
            <w:r>
              <w:t xml:space="preserve">1–5; 36–38</w:t>
            </w:r>
          </w:p>
        </w:tc>
      </w:tr>
      <w:tr>
        <w:tc>
          <w:tcPr/>
          <w:p>
            <w:pPr>
              <w:pStyle w:val="Compact"/>
              <w:jc w:val="left"/>
            </w:pPr>
            <w:r>
              <w:t xml:space="preserve">2029 (Yr 2)</w:t>
            </w:r>
          </w:p>
        </w:tc>
        <w:tc>
          <w:tcPr/>
          <w:p>
            <w:pPr>
              <w:pStyle w:val="Compact"/>
              <w:jc w:val="left"/>
            </w:pPr>
            <w:r>
              <w:t xml:space="preserve">CPD accreditation achieved ($4,000 initial); Gambia Branch Campus Stage 3 begins ($50,000 ceiling)</w:t>
            </w:r>
          </w:p>
        </w:tc>
        <w:tc>
          <w:tcPr/>
          <w:p>
            <w:pPr>
              <w:pStyle w:val="Compact"/>
              <w:jc w:val="left"/>
            </w:pPr>
            <w:r>
              <w:t xml:space="preserve">19–20; 30; 37; 39</w:t>
            </w:r>
          </w:p>
        </w:tc>
      </w:tr>
      <w:tr>
        <w:tc>
          <w:tcPr/>
          <w:p>
            <w:pPr>
              <w:pStyle w:val="Compact"/>
              <w:jc w:val="left"/>
            </w:pPr>
            <w:r>
              <w:t xml:space="preserve">2030 (Yr 3)</w:t>
            </w:r>
          </w:p>
        </w:tc>
        <w:tc>
          <w:tcPr/>
          <w:p>
            <w:pPr>
              <w:pStyle w:val="Compact"/>
              <w:jc w:val="left"/>
            </w:pPr>
            <w:r>
              <w:t xml:space="preserve">ISO 21001 achieved ($12,000 initial); PhD tier launches; Senate succession plans documented for founder-linked seats 2–4 (Risk 12 closes)</w:t>
            </w:r>
          </w:p>
        </w:tc>
        <w:tc>
          <w:tcPr/>
          <w:p>
            <w:pPr>
              <w:pStyle w:val="Compact"/>
              <w:jc w:val="left"/>
            </w:pPr>
            <w:r>
              <w:t xml:space="preserve">7; 16; 19–20; 36–37</w:t>
            </w:r>
          </w:p>
        </w:tc>
      </w:tr>
      <w:tr>
        <w:tc>
          <w:tcPr/>
          <w:p>
            <w:pPr>
              <w:pStyle w:val="Compact"/>
              <w:jc w:val="left"/>
            </w:pPr>
            <w:r>
              <w:t xml:space="preserve">2031 (Yr 4)</w:t>
            </w:r>
          </w:p>
        </w:tc>
        <w:tc>
          <w:tcPr/>
          <w:p>
            <w:pPr>
              <w:pStyle w:val="Compact"/>
              <w:jc w:val="left"/>
            </w:pPr>
            <w:r>
              <w:t xml:space="preserve">Gambia Branch Campus NAQAA-accredited, independent of Texas parent</w:t>
            </w:r>
          </w:p>
        </w:tc>
        <w:tc>
          <w:tcPr/>
          <w:p>
            <w:pPr>
              <w:pStyle w:val="Compact"/>
              <w:jc w:val="left"/>
            </w:pPr>
            <w:r>
              <w:t xml:space="preserve">30; 39</w:t>
            </w:r>
          </w:p>
        </w:tc>
      </w:tr>
      <w:tr>
        <w:tc>
          <w:tcPr/>
          <w:p>
            <w:pPr>
              <w:pStyle w:val="Compact"/>
              <w:jc w:val="left"/>
            </w:pPr>
            <w:r>
              <w:t xml:space="preserve">2032 (Yr 5)</w:t>
            </w:r>
          </w:p>
        </w:tc>
        <w:tc>
          <w:tcPr/>
          <w:p>
            <w:pPr>
              <w:pStyle w:val="Compact"/>
              <w:jc w:val="left"/>
            </w:pPr>
            <w:r>
              <w:t xml:space="preserve">3,493 students / $1,290,784 revenue; reserves compounding on schedule</w:t>
            </w:r>
          </w:p>
        </w:tc>
        <w:tc>
          <w:tcPr/>
          <w:p>
            <w:pPr>
              <w:pStyle w:val="Compact"/>
              <w:jc w:val="left"/>
            </w:pPr>
            <w:r>
              <w:t xml:space="preserve">1; 38</w:t>
            </w:r>
          </w:p>
        </w:tc>
      </w:tr>
      <w:tr>
        <w:tc>
          <w:tcPr/>
          <w:p>
            <w:pPr>
              <w:pStyle w:val="Compact"/>
              <w:jc w:val="left"/>
            </w:pPr>
            <w:r>
              <w:t xml:space="preserve">2033 (Yr 6)</w:t>
            </w:r>
          </w:p>
        </w:tc>
        <w:tc>
          <w:tcPr/>
          <w:p>
            <w:pPr>
              <w:pStyle w:val="Compact"/>
              <w:jc w:val="left"/>
            </w:pPr>
            <w:r>
              <w:t xml:space="preserve">Post-Doctoral Fellowship tier launches</w:t>
            </w:r>
          </w:p>
        </w:tc>
        <w:tc>
          <w:tcPr/>
          <w:p>
            <w:pPr>
              <w:pStyle w:val="Compact"/>
              <w:jc w:val="left"/>
            </w:pPr>
            <w:r>
              <w:t xml:space="preserve">7; 16</w:t>
            </w:r>
          </w:p>
        </w:tc>
      </w:tr>
      <w:tr>
        <w:tc>
          <w:tcPr/>
          <w:p>
            <w:pPr>
              <w:pStyle w:val="Compact"/>
              <w:jc w:val="left"/>
            </w:pPr>
            <w:r>
              <w:t xml:space="preserve">2033–2036 (Yr 6–9)</w:t>
            </w:r>
          </w:p>
        </w:tc>
        <w:tc>
          <w:tcPr/>
          <w:p>
            <w:pPr>
              <w:pStyle w:val="Compact"/>
              <w:jc w:val="left"/>
            </w:pPr>
            <w:r>
              <w:t xml:space="preserve">Risk/Compliance coordinator scales to 1.0 FTE; Nigeria feasibility study initiated; steady-state compliance cycle in force</w:t>
            </w:r>
          </w:p>
        </w:tc>
        <w:tc>
          <w:tcPr/>
          <w:p>
            <w:pPr>
              <w:pStyle w:val="Compact"/>
              <w:jc w:val="left"/>
            </w:pPr>
            <w:r>
              <w:t xml:space="preserve">31; 36–39</w:t>
            </w:r>
          </w:p>
        </w:tc>
      </w:tr>
      <w:tr>
        <w:tc>
          <w:tcPr/>
          <w:p>
            <w:pPr>
              <w:pStyle w:val="Compact"/>
              <w:jc w:val="left"/>
            </w:pPr>
            <w:r>
              <w:t xml:space="preserve">2037 (Yr 10)</w:t>
            </w:r>
          </w:p>
        </w:tc>
        <w:tc>
          <w:tcPr/>
          <w:p>
            <w:pPr>
              <w:pStyle w:val="Compact"/>
              <w:jc w:val="left"/>
            </w:pPr>
            <w:r>
              <w:t xml:space="preserve">Founding decade closes: 11,021 students / $3,830,549/yr; $16,669,190 ten-year cumulative revenue (Growth scenario); Liquidity Reserve Year-10 balance $4,341,842; Strategic Business Reserve $1,240,527; combined retained position $5,582,369; ten-year audited zero-deficit record complete — Nigeria charter application submitted to National Assembly/NUC</w:t>
            </w:r>
          </w:p>
        </w:tc>
        <w:tc>
          <w:tcPr/>
          <w:p>
            <w:pPr>
              <w:pStyle w:val="Compact"/>
              <w:jc w:val="left"/>
            </w:pPr>
            <w:r>
              <w:t xml:space="preserve">1; 31; 38–39</w:t>
            </w:r>
          </w:p>
        </w:tc>
      </w:tr>
      <w:tr>
        <w:tc>
          <w:tcPr/>
          <w:p>
            <w:pPr>
              <w:pStyle w:val="Compact"/>
              <w:jc w:val="left"/>
            </w:pPr>
            <w:r>
              <w:t xml:space="preserve">2038 (Yr 11)</w:t>
            </w:r>
          </w:p>
        </w:tc>
        <w:tc>
          <w:tcPr/>
          <w:p>
            <w:pPr>
              <w:pStyle w:val="Compact"/>
              <w:jc w:val="left"/>
            </w:pPr>
            <w:r>
              <w:t xml:space="preserve">Secular accreditation era begins: 28 secular programs (#72–99), 7 new schools, launch; revenue $8.36M; Risks 15–17 (licensure, NUC, Gulf recognition) formally added to register</w:t>
            </w:r>
          </w:p>
        </w:tc>
        <w:tc>
          <w:tcPr/>
          <w:p>
            <w:pPr>
              <w:pStyle w:val="Compact"/>
              <w:jc w:val="left"/>
            </w:pPr>
            <w:r>
              <w:t xml:space="preserve">6–11; 19; 36–37</w:t>
            </w:r>
          </w:p>
        </w:tc>
      </w:tr>
      <w:tr>
        <w:tc>
          <w:tcPr/>
          <w:p>
            <w:pPr>
              <w:pStyle w:val="Compact"/>
              <w:jc w:val="left"/>
            </w:pPr>
            <w:r>
              <w:t xml:space="preserve">2039 (Yr 12)</w:t>
            </w:r>
          </w:p>
        </w:tc>
        <w:tc>
          <w:tcPr/>
          <w:p>
            <w:pPr>
              <w:pStyle w:val="Compact"/>
              <w:jc w:val="left"/>
            </w:pPr>
            <w:r>
              <w:t xml:space="preserve">Revenue $14.6M; Texas secular accreditation targeted complete</w:t>
            </w:r>
          </w:p>
        </w:tc>
        <w:tc>
          <w:tcPr/>
          <w:p>
            <w:pPr>
              <w:pStyle w:val="Compact"/>
              <w:jc w:val="left"/>
            </w:pPr>
            <w:r>
              <w:t xml:space="preserve">19; 37</w:t>
            </w:r>
          </w:p>
        </w:tc>
      </w:tr>
      <w:tr>
        <w:tc>
          <w:tcPr/>
          <w:p>
            <w:pPr>
              <w:pStyle w:val="Compact"/>
              <w:jc w:val="left"/>
            </w:pPr>
            <w:r>
              <w:t xml:space="preserve">2040 (Yr 13)</w:t>
            </w:r>
          </w:p>
        </w:tc>
        <w:tc>
          <w:tcPr/>
          <w:p>
            <w:pPr>
              <w:pStyle w:val="Compact"/>
              <w:jc w:val="left"/>
            </w:pPr>
            <w:r>
              <w:t xml:space="preserve">Revenue $22.7M; first Gulf ministry recognition targeted</w:t>
            </w:r>
          </w:p>
        </w:tc>
        <w:tc>
          <w:tcPr/>
          <w:p>
            <w:pPr>
              <w:pStyle w:val="Compact"/>
              <w:jc w:val="left"/>
            </w:pPr>
            <w:r>
              <w:t xml:space="preserve">19; 32</w:t>
            </w:r>
          </w:p>
        </w:tc>
      </w:tr>
      <w:tr>
        <w:tc>
          <w:tcPr/>
          <w:p>
            <w:pPr>
              <w:pStyle w:val="Compact"/>
              <w:jc w:val="left"/>
            </w:pPr>
            <w:r>
              <w:t xml:space="preserve">2041 (Yr 14)</w:t>
            </w:r>
          </w:p>
        </w:tc>
        <w:tc>
          <w:tcPr/>
          <w:p>
            <w:pPr>
              <w:pStyle w:val="Compact"/>
              <w:jc w:val="left"/>
            </w:pPr>
            <w:r>
              <w:t xml:space="preserve">Revenue $32.2M; Nigeria capital-deployment phase evaluated against Reserve sufficiency</w:t>
            </w:r>
          </w:p>
        </w:tc>
        <w:tc>
          <w:tcPr/>
          <w:p>
            <w:pPr>
              <w:pStyle w:val="Compact"/>
              <w:jc w:val="left"/>
            </w:pPr>
            <w:r>
              <w:t xml:space="preserve">31; 39</w:t>
            </w:r>
          </w:p>
        </w:tc>
      </w:tr>
      <w:tr>
        <w:tc>
          <w:tcPr/>
          <w:p>
            <w:pPr>
              <w:pStyle w:val="Compact"/>
              <w:jc w:val="left"/>
            </w:pPr>
            <w:r>
              <w:t xml:space="preserve">2042 (Yr 15)</w:t>
            </w:r>
          </w:p>
        </w:tc>
        <w:tc>
          <w:tcPr/>
          <w:p>
            <w:pPr>
              <w:pStyle w:val="Compact"/>
              <w:jc w:val="left"/>
            </w:pPr>
            <w:r>
              <w:t xml:space="preserve">Revenue $43.1M; Vision trajectory re-forecast checkpoint; illustrative Tier-1-region Commercial Engine facilities phase begins (firewall-observant)</w:t>
            </w:r>
          </w:p>
        </w:tc>
        <w:tc>
          <w:tcPr/>
          <w:p>
            <w:pPr>
              <w:pStyle w:val="Compact"/>
              <w:jc w:val="left"/>
            </w:pPr>
            <w:r>
              <w:t xml:space="preserve">1; 39</w:t>
            </w:r>
          </w:p>
        </w:tc>
      </w:tr>
      <w:tr>
        <w:tc>
          <w:tcPr/>
          <w:p>
            <w:pPr>
              <w:pStyle w:val="Compact"/>
              <w:jc w:val="left"/>
            </w:pPr>
            <w:r>
              <w:t xml:space="preserve">2043–2046 (Yr 16–19)</w:t>
            </w:r>
          </w:p>
        </w:tc>
        <w:tc>
          <w:tcPr/>
          <w:p>
            <w:pPr>
              <w:pStyle w:val="Compact"/>
              <w:jc w:val="left"/>
            </w:pPr>
            <w:r>
              <w:t xml:space="preserve">Revenue trajectory $54.8M → $86.1M; Nigeria Mega-University residential colleges/library targeted toward operational maturity</w:t>
            </w:r>
          </w:p>
        </w:tc>
        <w:tc>
          <w:tcPr/>
          <w:p>
            <w:pPr>
              <w:pStyle w:val="Compact"/>
              <w:jc w:val="left"/>
            </w:pPr>
            <w:r>
              <w:t xml:space="preserve">31; 39</w:t>
            </w:r>
          </w:p>
        </w:tc>
      </w:tr>
      <w:tr>
        <w:tc>
          <w:tcPr/>
          <w:p>
            <w:pPr>
              <w:pStyle w:val="Compact"/>
              <w:jc w:val="left"/>
            </w:pPr>
            <w:r>
              <w:t xml:space="preserve">2047 (Yr 20)</w:t>
            </w:r>
          </w:p>
        </w:tc>
        <w:tc>
          <w:tcPr/>
          <w:p>
            <w:pPr>
              <w:pStyle w:val="Compact"/>
              <w:jc w:val="left"/>
            </w:pPr>
            <w:r>
              <w:t xml:space="preserve">Revenue $93.9M, within the $90–150M institutional-economy target; twenty-year audited firewall track record complete</w:t>
            </w:r>
          </w:p>
        </w:tc>
        <w:tc>
          <w:tcPr/>
          <w:p>
            <w:pPr>
              <w:pStyle w:val="Compact"/>
              <w:jc w:val="left"/>
            </w:pPr>
            <w:r>
              <w:t xml:space="preserve">1; 38</w:t>
            </w:r>
          </w:p>
        </w:tc>
      </w:tr>
      <w:tr>
        <w:tc>
          <w:tcPr/>
          <w:p>
            <w:pPr>
              <w:pStyle w:val="Compact"/>
              <w:jc w:val="left"/>
            </w:pPr>
            <w:r>
              <w:t xml:space="preserve">2048–2050</w:t>
            </w:r>
          </w:p>
        </w:tc>
        <w:tc>
          <w:tcPr/>
          <w:p>
            <w:pPr>
              <w:pStyle w:val="Compact"/>
              <w:jc w:val="left"/>
            </w:pPr>
            <w:r>
              <w:t xml:space="preserve">Global Maturity &amp; Legacy: institutional economy stabilizes within the $90–150M band already targeted for Year 20 (no new figures introduced); dedicated Director-level Risk &amp; Compliance and Capital Development roles fully established from mature OpEx/Core Admin lines; Waqf sub-lines all operating at 20+ years of continuous distribution; governance succession (Senate seats 2–4) tested through at least one full generational transition; mandated strategic-plan refresh (AMIU-MP-002 or successor) due no later than 2049</w:t>
            </w:r>
          </w:p>
        </w:tc>
        <w:tc>
          <w:tcPr/>
          <w:p>
            <w:pPr>
              <w:pStyle w:val="Compact"/>
              <w:jc w:val="left"/>
            </w:pPr>
            <w:r>
              <w:t xml:space="preserve">1; 36–39</w:t>
            </w:r>
          </w:p>
        </w:tc>
      </w:tr>
    </w:tbl>
    <w:p>
      <w:pPr>
        <w:pStyle w:val="BodyText"/>
      </w:pPr>
      <w:r>
        <w:rPr>
          <w:bCs/>
          <w:b/>
        </w:rPr>
        <w:t xml:space="preserve">Implementation Phases</w:t>
      </w:r>
    </w:p>
    <w:p>
      <w:pPr>
        <w:pStyle w:val="BodyText"/>
      </w:pPr>
      <w:r>
        <w:t xml:space="preserve">Era I — Founding Solvency Proof (2028–2037): every structural claim in Sections 36–39 is tested against real audited results. Era II — Secular Expansion (2038–2047): the reward for a clean decade — new schools, new geographies, new regulators — funded entirely from the same fixed-percentage model, now operating at ten to forty times its founding scale. Era III — Mature Institutional Economy (2048–2050): consolidation, not new invention; the roadmap deliberately declines to project beyond the adopted $90–150M Year-20 band.</w:t>
      </w:r>
    </w:p>
    <w:p>
      <w:pPr>
        <w:pStyle w:val="BodyText"/>
      </w:pPr>
      <w:r>
        <w:rPr>
          <w:bCs/>
          <w:b/>
        </w:rPr>
        <w:t xml:space="preserve">Staffing Requirements</w:t>
      </w:r>
    </w:p>
    <w:p>
      <w:pPr>
        <w:pStyle w:val="BodyText"/>
      </w:pPr>
      <w:r>
        <w:t xml:space="preserve">Staffing scales in lockstep with the phases already specified throughout this Blueprint: part-time trustee oversight and fractional Core Admin roles through Year 9; first full-time Risk/Compliance and eventually Capital Development roles from Year 10–11; no premature C-suite creation at any point in the twenty-year arc, consistent with the realism constraint governing this entire document.</w:t>
      </w:r>
    </w:p>
    <w:p>
      <w:pPr>
        <w:pStyle w:val="BodyText"/>
      </w:pPr>
      <w:r>
        <w:rPr>
          <w:bCs/>
          <w:b/>
        </w:rPr>
        <w:t xml:space="preserve">Annual Budget</w:t>
      </w:r>
    </w:p>
    <w:p>
      <w:pPr>
        <w:pStyle w:val="BodyText"/>
      </w:pPr>
      <w:r>
        <w:t xml:space="preserve">No new budget figures are introduced in this section; it is a chronological index over the allocation framework, Liquidity Reserve, and Strategic Business Reserve figures established in Sections 38–39 and AMIU-MP-001.</w:t>
      </w:r>
    </w:p>
    <w:p>
      <w:pPr>
        <w:pStyle w:val="BodyText"/>
      </w:pPr>
      <w:r>
        <w:rPr>
          <w:bCs/>
          <w:b/>
        </w:rPr>
        <w:t xml:space="preserve">KPIs</w:t>
      </w:r>
    </w:p>
    <w:p>
      <w:pPr>
        <w:pStyle w:val="BodyText"/>
      </w:pPr>
      <w:r>
        <w:t xml:space="preserve">Ten-year and twenty-year audited zero-deficit records achieved on schedule; all accreditation/recognition targets (CPD 2029, ISO 2030, NAQAA 2031, Nigeria charter 2037, Texas secular 2039, Gulf ministry 2040) hit within their canon target years or transparently re-forecast without altering the underlying financial model; register (Section 36) never allowed to lapse across the full horizon.</w:t>
      </w:r>
    </w:p>
    <w:p>
      <w:pPr>
        <w:pStyle w:val="BodyText"/>
      </w:pPr>
      <w:r>
        <w:rPr>
          <w:bCs/>
          <w:b/>
        </w:rPr>
        <w:t xml:space="preserve">Risks &amp; Mitigation</w:t>
      </w:r>
    </w:p>
    <w:p>
      <w:pPr>
        <w:pStyle w:val="BodyText"/>
      </w:pPr>
      <w:r>
        <w:t xml:space="preserve">The roadmap’s central risk is sequencing risk — any era-II milestone arriving before its era-I precondition (e.g., secular accreditation attempted before the ten-year audited record) would violate the adopted rationale. Mitigation is structural: Year-11 secular accreditation is gated explicitly on the Year-10 audit (Section 38), not on calendar date alone.</w:t>
      </w:r>
    </w:p>
    <w:p>
      <w:pPr>
        <w:pStyle w:val="BodyText"/>
      </w:pPr>
      <w:r>
        <w:rPr>
          <w:bCs/>
          <w:b/>
        </w:rPr>
        <w:t xml:space="preserve">Timeline</w:t>
      </w:r>
    </w:p>
    <w:p>
      <w:pPr>
        <w:pStyle w:val="BodyText"/>
      </w:pPr>
      <w:r>
        <w:t xml:space="preserve">As tabulated above — the single consolidated table is this section’s timeline.</w:t>
      </w:r>
    </w:p>
    <w:p>
      <w:pPr>
        <w:pStyle w:val="BodyText"/>
      </w:pPr>
      <w:r>
        <w:rPr>
          <w:bCs/>
          <w:b/>
        </w:rPr>
        <w:t xml:space="preserve">Governance Responsibilities</w:t>
      </w:r>
    </w:p>
    <w:p>
      <w:pPr>
        <w:pStyle w:val="BodyText"/>
      </w:pPr>
      <w:r>
        <w:t xml:space="preserve">All five governance bodies (Board, Senate, Audit &amp; Risk Committee, Waqf &amp; Endowment Board, Sharī’ah Advisory Board) hold standing responsibility for the milestones tagged to their domains throughout; the Board of Trustees holds overall roadmap stewardship, reviewing progress against this table annually.</w:t>
      </w:r>
    </w:p>
    <w:p>
      <w:pPr>
        <w:pStyle w:val="BodyText"/>
      </w:pPr>
      <w:r>
        <w:rPr>
          <w:bCs/>
          <w:b/>
        </w:rPr>
        <w:t xml:space="preserve">Measurable Success Indicators</w:t>
      </w:r>
    </w:p>
    <w:p>
      <w:pPr>
        <w:pStyle w:val="BodyText"/>
      </w:pPr>
      <w:r>
        <w:t xml:space="preserve">Twenty consecutive audited zero-deficit years (2028–2047); founding-decade retained position of $5,582,369 achieved on schedule; Year-20 revenue landing within the adopted $90–150M institutional-economy target; unbroken Capital Firewall across the entire 2028–2050 horizon, with zero instances of tuition revenue funding an investor return at any point in the twenty-three-year arc.</w:t>
      </w:r>
    </w:p>
    <w:p>
      <w:r>
        <w:pict>
          <v:rect style="width:0;height:1.5pt" o:hralign="center" o:hrstd="t" o:hr="t"/>
        </w:pict>
      </w:r>
    </w:p>
    <w:bookmarkEnd w:id="69"/>
    <w:bookmarkStart w:id="70" w:name="closing-note"/>
    <w:p>
      <w:pPr>
        <w:pStyle w:val="Heading2"/>
      </w:pPr>
      <w:r>
        <w:t xml:space="preserve">Closing Note</w:t>
      </w:r>
    </w:p>
    <w:p>
      <w:pPr>
        <w:pStyle w:val="FirstParagraph"/>
      </w:pPr>
      <w:r>
        <w:t xml:space="preserve">This Blueprint (AMIU-SB-002) does not supersede the Ten-Year Master Plan (AMIU-MP-001); it operationalizes it. Every dollar figure, program count, governance seat, and accreditation date cited above traces back to a canon figure already adopted in the Master Plan or to an explicitly-labelled illustrative extension of it. Where this Blueprint identifies a gap the current fixed allocation framework does not yet fund — a dedicated Research line, a standalone Student Support office, a Capital Development Officer — it says so plainly and names the governance pathway (a Board- or Senate-ratified amendment) required to close that gap, rather than quietly assuming resources the model does not yet generate.</w:t>
      </w:r>
    </w:p>
    <w:p>
      <w:pPr>
        <w:pStyle w:val="BodyText"/>
      </w:pPr>
      <w:r>
        <w:t xml:space="preserve">Presented for review by the Board of Trustees, the University Senate, and the Supreme Strategic Planning Council in accordance with the constitutional provisions of the AMIU Constitution.</w:t>
      </w:r>
    </w:p>
    <w:p>
      <w:pPr>
        <w:pStyle w:val="BodyText"/>
      </w:pPr>
      <w:r>
        <w:rPr>
          <w:bCs/>
          <w:b/>
        </w:rPr>
        <w:t xml:space="preserve">Al-Mulk International University —</w:t>
      </w:r>
      <w:r>
        <w:rPr>
          <w:bCs/>
          <w:b/>
        </w:rPr>
        <w:t xml:space="preserve"> </w:t>
      </w:r>
      <w:r>
        <w:rPr>
          <w:bCs/>
          <w:b/>
        </w:rPr>
        <w:t xml:space="preserve">“</w:t>
      </w:r>
      <w:r>
        <w:rPr>
          <w:bCs/>
          <w:b/>
        </w:rPr>
        <w:t xml:space="preserve">Spreading Islamic Education Worldwide, at Every Pace</w:t>
      </w:r>
      <w:r>
        <w:rPr>
          <w:bCs/>
          <w:b/>
        </w:rPr>
        <w:t xml:space="preserve">”</w:t>
      </w:r>
    </w:p>
    <w:p>
      <w:pPr>
        <w:pStyle w:val="BodyText"/>
      </w:pPr>
      <w:r>
        <w:rPr>
          <w:iCs/>
          <w:i/>
        </w:rPr>
        <w:t xml:space="preserve">Strategic Implementation Blueprint · 2028–2050 · Document Reference: AMIU-SB-002</w:t>
      </w:r>
      <w:r>
        <w:t xml:space="preserve"> </w:t>
      </w:r>
      <w:r>
        <w:rPr>
          <w:iCs/>
          <w:i/>
        </w:rPr>
        <w:t xml:space="preserve">edu.amiu.com · info@edu.amiu.com · Texas-Domiciled, Religiously Exempt · Incorporated 6 December 2027</w:t>
      </w:r>
    </w:p>
    <w:p>
      <w:pPr>
        <w:pStyle w:val="BodyText"/>
      </w:pPr>
      <w:r>
        <w:rPr>
          <w:iCs/>
          <w:i/>
        </w:rPr>
        <w:t xml:space="preserve">This document is a strategic planning model prepared for Board, Senate, and accreditation-body decision-making. It does not constitute a certified financial audit or an offer of investment.</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AMIU Strategic Implementation Blueprint 2028-2050</dc:title>
  <dc:creator/>
  <cp:keywords/>
  <dcterms:created xsi:type="dcterms:W3CDTF">2026-07-25T00:22:40Z</dcterms:created>
  <dcterms:modified xsi:type="dcterms:W3CDTF">2026-07-25T00:22:40Z</dcterms:modified>
</cp:coreProperties>
</file>

<file path=docProps/custom.xml><?xml version="1.0" encoding="utf-8"?>
<Properties xmlns="http://schemas.openxmlformats.org/officeDocument/2006/custom-properties" xmlns:vt="http://schemas.openxmlformats.org/officeDocument/2006/docPropsVTypes"/>
</file>