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bidi/>
        <w:spacing w:after="400"/>
        <w:jc w:val="center"/>
      </w:pPr>
      <w:r>
        <w:rPr>
          <w:rFonts w:ascii="Aref Ruqaa" w:cs="Aref Ruqaa" w:eastAsia="Aref Ruqaa" w:hAnsi="Aref Ruqaa"/>
          <w:b/>
          <w:bCs/>
          <w:i w:val="false"/>
          <w:iCs w:val="false"/>
          <w:color w:val="0A1830"/>
          <w:sz w:val="68"/>
          <w:szCs w:val="68"/>
          <w:rtl/>
        </w:rPr>
        <w:t xml:space="preserve">إيضاح المحجة في حجية السنة النبوية</w:t>
      </w:r>
    </w:p>
    <w:p>
      <w:pPr>
        <w:bidi/>
        <w:spacing w:after="260" w:before="0" w:line="300"/>
        <w:jc w:val="center"/>
      </w:pPr>
      <w:r>
        <w:rPr>
          <w:rFonts w:ascii="Amiri" w:cs="Amiri" w:eastAsia="Amiri" w:hAnsi="Amiri"/>
          <w:b/>
          <w:bCs/>
          <w:i w:val="false"/>
          <w:iCs w:val="false"/>
          <w:color w:val="8A6A1F"/>
          <w:sz w:val="24"/>
          <w:szCs w:val="24"/>
          <w:rtl/>
        </w:rPr>
        <w:t xml:space="preserve">دراسة في حجية السنة النبوية وأدلة وجوب اتباعها ومكانتها في التشريع الإسلامي</w:t>
      </w:r>
    </w:p>
    <w:p>
      <w:pPr>
        <w:pBdr>
          <w:top w:val="single" w:color="C39A3C" w:sz="4" w:space="12"/>
          <w:bottom w:val="single" w:color="C39A3C" w:sz="4" w:space="12"/>
        </w:pBdr>
        <w:bidi/>
        <w:spacing w:after="500" w:before="0" w:line="300"/>
        <w:jc w:val="center"/>
      </w:pPr>
      <w:r>
        <w:rPr>
          <w:rFonts w:ascii="Amiri" w:cs="Amiri" w:eastAsia="Amiri" w:hAnsi="Amiri"/>
          <w:b w:val="false"/>
          <w:bCs w:val="false"/>
          <w:i w:val="false"/>
          <w:iCs w:val="false"/>
          <w:color w:val="C39A3C"/>
          <w:sz w:val="28"/>
          <w:szCs w:val="28"/>
          <w:rtl/>
        </w:rPr>
        <w:t xml:space="preserve">۞</w:t>
      </w:r>
    </w:p>
    <w:p>
      <w:pPr>
        <w:bidi/>
        <w:spacing w:after="60" w:before="0" w:line="300"/>
        <w:jc w:val="center"/>
      </w:pPr>
      <w:r>
        <w:rPr>
          <w:rFonts w:ascii="Amiri" w:cs="Amiri" w:eastAsia="Amiri" w:hAnsi="Amiri"/>
          <w:b w:val="false"/>
          <w:bCs w:val="false"/>
          <w:i w:val="false"/>
          <w:iCs w:val="false"/>
          <w:color w:val="8A6A1F"/>
          <w:sz w:val="18"/>
          <w:szCs w:val="18"/>
          <w:rtl/>
        </w:rPr>
        <w:t xml:space="preserve">تأليف</w:t>
      </w:r>
    </w:p>
    <w:p>
      <w:pPr>
        <w:bidi/>
        <w:spacing w:after="40" w:before="0" w:line="300"/>
        <w:jc w:val="center"/>
      </w:pPr>
      <w:r>
        <w:rPr>
          <w:rFonts w:ascii="Amiri" w:cs="Amiri" w:eastAsia="Amiri" w:hAnsi="Amiri"/>
          <w:b w:val="false"/>
          <w:bCs w:val="false"/>
          <w:i/>
          <w:iCs/>
          <w:color w:val="6B6152"/>
          <w:sz w:val="16"/>
          <w:szCs w:val="16"/>
          <w:rtl/>
        </w:rPr>
        <w:t xml:space="preserve">راجي عفو ربه الغفور</w:t>
      </w:r>
    </w:p>
    <w:p>
      <w:pPr>
        <w:bidi/>
        <w:spacing w:after="340" w:before="0" w:line="300"/>
        <w:jc w:val="center"/>
      </w:pPr>
      <w:r>
        <w:rPr>
          <w:rFonts w:ascii="Amiri" w:cs="Amiri" w:eastAsia="Amiri" w:hAnsi="Amiri"/>
          <w:b/>
          <w:bCs/>
          <w:i w:val="false"/>
          <w:iCs w:val="false"/>
          <w:color w:val="0A1830"/>
          <w:sz w:val="30"/>
          <w:szCs w:val="30"/>
          <w:rtl/>
        </w:rPr>
        <w:t xml:space="preserve">أحمد بن إبراهيم السليمي</w:t>
      </w:r>
    </w:p>
    <w:p>
      <w:pPr>
        <w:bidi/>
        <w:spacing w:after="200" w:before="0" w:line="300"/>
        <w:jc w:val="center"/>
      </w:pPr>
      <w:r>
        <w:rPr>
          <w:rFonts w:ascii="Amiri" w:cs="Amiri" w:eastAsia="Amiri" w:hAnsi="Amiri"/>
          <w:b w:val="false"/>
          <w:bCs w:val="false"/>
          <w:i w:val="false"/>
          <w:iCs w:val="false"/>
          <w:color w:val="6B6152"/>
          <w:sz w:val="15"/>
          <w:szCs w:val="15"/>
          <w:rtl/>
        </w:rPr>
        <w:t xml:space="preserve">سلسلة مؤلفات الإمام أحمد بن إبراهيم السليمي · الكتاب (53)</w:t>
      </w:r>
    </w:p>
    <w:p>
      <w:pPr>
        <w:bidi/>
        <w:spacing w:after="260" w:before="0" w:line="300"/>
        <w:jc w:val="center"/>
      </w:pPr>
      <w:r>
        <w:rPr>
          <w:rFonts w:ascii="Amiri" w:cs="Amiri" w:eastAsia="Amiri" w:hAnsi="Amiri"/>
          <w:b/>
          <w:bCs/>
          <w:i w:val="false"/>
          <w:iCs w:val="false"/>
          <w:color w:val="8A6A1F"/>
          <w:sz w:val="18"/>
          <w:szCs w:val="18"/>
          <w:rtl/>
        </w:rPr>
        <w:t xml:space="preserve">النسخة الملكية الفاخرة</w:t>
      </w:r>
    </w:p>
    <w:p>
      <w:pPr>
        <w:spacing w:after="160"/>
        <w:jc w:val="center"/>
      </w:pPr>
      <w:r>
        <w:drawing>
          <wp:inline distT="0" distB="0" distL="0" distR="0">
            <wp:extent cx="666750" cy="66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66750" cy="666750"/>
                    </a:xfrm>
                    <a:prstGeom prst="rect">
                      <a:avLst/>
                    </a:prstGeom>
                  </pic:spPr>
                </pic:pic>
              </a:graphicData>
            </a:graphic>
          </wp:inline>
        </w:drawing>
      </w:r>
    </w:p>
    <w:p>
      <w:pPr>
        <w:bidi/>
        <w:spacing w:after="40" w:before="0" w:line="300"/>
        <w:jc w:val="center"/>
      </w:pPr>
      <w:r>
        <w:rPr>
          <w:rFonts w:ascii="Amiri" w:cs="Amiri" w:eastAsia="Amiri" w:hAnsi="Amiri"/>
          <w:b/>
          <w:bCs/>
          <w:i w:val="false"/>
          <w:iCs w:val="false"/>
          <w:color w:val="8A6A1F"/>
          <w:sz w:val="19"/>
          <w:szCs w:val="19"/>
          <w:rtl/>
        </w:rPr>
        <w:t xml:space="preserve">جامعة الملك العالمية</w:t>
      </w:r>
    </w:p>
    <w:p>
      <w:pPr>
        <w:bidi/>
        <w:spacing w:after="200" w:before="0" w:line="300"/>
        <w:jc w:val="center"/>
      </w:pPr>
      <w:r>
        <w:rPr>
          <w:rFonts w:ascii="Amiri" w:cs="Amiri" w:eastAsia="Amiri" w:hAnsi="Amiri"/>
          <w:b w:val="false"/>
          <w:bCs w:val="false"/>
          <w:i w:val="false"/>
          <w:iCs w:val="false"/>
          <w:color w:val="6B6152"/>
          <w:sz w:val="16"/>
          <w:szCs w:val="16"/>
          <w:rtl/>
        </w:rPr>
        <w:t xml:space="preserve">Al-Mulk International University</w:t>
      </w:r>
    </w:p>
    <w:p>
      <w:r>
        <w:br w:type="page"/>
      </w:r>
    </w:p>
    <w:p>
      <w:pPr>
        <w:spacing w:after="1200"/>
      </w:pPr>
    </w:p>
    <w:p>
      <w:pPr>
        <w:bidi/>
        <w:spacing w:after="400" w:before="0" w:line="300"/>
        <w:jc w:val="center"/>
      </w:pPr>
      <w:r>
        <w:rPr>
          <w:rFonts w:ascii="Amiri Quran" w:cs="Amiri Quran" w:eastAsia="Amiri Quran" w:hAnsi="Amiri Quran"/>
          <w:b w:val="false"/>
          <w:bCs w:val="false"/>
          <w:i w:val="false"/>
          <w:iCs w:val="false"/>
          <w:color w:val="0D2143"/>
          <w:sz w:val="26"/>
          <w:szCs w:val="26"/>
          <w:rtl/>
        </w:rPr>
        <w:t xml:space="preserve">بِسْمِ اللَّهِ الرَّحْمَٰنِ الرَّحِيمِ</w:t>
      </w:r>
    </w:p>
    <w:p>
      <w:pPr>
        <w:bidi/>
        <w:spacing w:after="300"/>
        <w:jc w:val="center"/>
      </w:pPr>
      <w:r>
        <w:rPr>
          <w:rFonts w:ascii="Aref Ruqaa" w:cs="Aref Ruqaa" w:eastAsia="Aref Ruqaa" w:hAnsi="Aref Ruqaa"/>
          <w:b/>
          <w:bCs/>
          <w:i w:val="false"/>
          <w:iCs w:val="false"/>
          <w:color w:val="0A1830"/>
          <w:sz w:val="52"/>
          <w:szCs w:val="52"/>
          <w:rtl/>
        </w:rPr>
        <w:t xml:space="preserve">إيضاح المحجة في حجية السنة النبوية</w:t>
      </w:r>
    </w:p>
    <w:p>
      <w:pPr>
        <w:bidi/>
        <w:spacing w:after="100" w:before="0" w:line="300"/>
        <w:jc w:val="center"/>
      </w:pPr>
      <w:r>
        <w:rPr>
          <w:rFonts w:ascii="Amiri" w:cs="Amiri" w:eastAsia="Amiri" w:hAnsi="Amiri"/>
          <w:b w:val="false"/>
          <w:bCs w:val="false"/>
          <w:i w:val="false"/>
          <w:iCs w:val="false"/>
          <w:color w:val="8A6A1F"/>
          <w:sz w:val="20"/>
          <w:szCs w:val="20"/>
          <w:rtl/>
        </w:rPr>
        <w:t xml:space="preserve">دراسة في حجية السنة النبوية وأدلة وجوب اتباعها ومكانتها في التشريع الإسلامي</w:t>
      </w:r>
    </w:p>
    <w:p>
      <w:pPr>
        <w:bidi/>
        <w:spacing w:after="0" w:before="0" w:line="300"/>
        <w:jc w:val="center"/>
      </w:pPr>
      <w:r>
        <w:rPr>
          <w:rFonts w:ascii="Amiri" w:cs="Amiri" w:eastAsia="Amiri" w:hAnsi="Amiri"/>
          <w:b w:val="false"/>
          <w:bCs w:val="false"/>
          <w:i w:val="false"/>
          <w:iCs w:val="false"/>
          <w:color w:val="8A6A1F"/>
          <w:sz w:val="20"/>
          <w:szCs w:val="20"/>
          <w:rtl/>
        </w:rPr>
        <w:t xml:space="preserve">تأليف: راجي عفو ربه الغفور أحمد بن إبراهيم السليمي</w:t>
      </w:r>
    </w:p>
    <w:p>
      <w:r>
        <w:br w:type="page"/>
      </w:r>
    </w:p>
    <w:p>
      <w:pPr>
        <w:pStyle w:val="Heading1"/>
        <w:pageBreakBefore/>
        <w:bidi/>
        <w:spacing w:after="200" w:before="0"/>
        <w:jc w:val="right"/>
      </w:pPr>
      <w:bookmarkStart w:name="bm_1" w:id="1000"/>
      <w:r>
        <w:rPr>
          <w:rFonts w:ascii="Aref Ruqaa" w:cs="Aref Ruqaa" w:eastAsia="Aref Ruqaa" w:hAnsi="Aref Ruqaa"/>
          <w:b/>
          <w:bCs/>
          <w:i w:val="false"/>
          <w:iCs w:val="false"/>
          <w:color w:val="0D2143"/>
          <w:sz w:val="32"/>
          <w:szCs w:val="32"/>
          <w:rtl/>
        </w:rPr>
        <w:t xml:space="preserve">بيانات النشر</w:t>
      </w:r>
      <w:bookmarkEnd w:id="1000"/>
    </w:p>
    <w:tbl>
      <w:tblPr>
        <w:tblW w:type="pct" w:w="100%"/>
        <w:tblBorders>
          <w:top w:val="single" w:color="D9C79A" w:sz="4"/>
          <w:left w:val="single" w:color="D9C79A" w:sz="4"/>
          <w:bottom w:val="single" w:color="D9C79A" w:sz="4"/>
          <w:right w:val="single" w:color="D9C79A" w:sz="4"/>
          <w:insideH w:val="single" w:color="D9C79A" w:sz="2"/>
          <w:insideV w:val="none"/>
        </w:tblBorders>
      </w:tblPr>
      <w:tblGrid>
        <w:gridCol w:w="100"/>
        <w:gridCol w:w="100"/>
      </w:tblGrid>
      <w:tr>
        <w:tc>
          <w:tcPr>
            <w:tcW w:type="dxa" w:w="2600"/>
            <w:shd w:fill="F6EFDD" w:val="clear"/>
            <w:tcMar>
              <w:top w:type="dxa" w:w="90"/>
              <w:left w:type="dxa" w:w="120"/>
              <w:bottom w:type="dxa" w:w="90"/>
              <w:right w:type="dxa" w:w="120"/>
            </w:tcMar>
          </w:tcPr>
          <w:p>
            <w:pPr>
              <w:bidi/>
              <w:spacing w:after="0" w:before="0" w:line="300"/>
              <w:jc w:val="right"/>
            </w:pPr>
            <w:r>
              <w:rPr>
                <w:rFonts w:ascii="Amiri" w:cs="Amiri" w:eastAsia="Amiri" w:hAnsi="Amiri"/>
                <w:b/>
                <w:bCs/>
                <w:i w:val="false"/>
                <w:iCs w:val="false"/>
                <w:color w:val="8A6A1F"/>
                <w:sz w:val="20"/>
                <w:szCs w:val="20"/>
                <w:rtl/>
              </w:rPr>
              <w:t xml:space="preserve">عنوان الكتاب</w:t>
            </w:r>
          </w:p>
        </w:tc>
        <w:tc>
          <w:tcPr>
            <w:tcW w:type="dxa" w:w="6400"/>
            <w:tcMar>
              <w:top w:type="dxa" w:w="90"/>
              <w:left w:type="dxa" w:w="120"/>
              <w:bottom w:type="dxa" w:w="90"/>
              <w:right w:type="dxa" w:w="120"/>
            </w:tcMar>
          </w:tcPr>
          <w:p>
            <w:pPr>
              <w:bidi/>
              <w:spacing w:after="0" w:before="0" w:line="300"/>
              <w:jc w:val="right"/>
            </w:pPr>
            <w:r>
              <w:rPr>
                <w:rFonts w:ascii="Amiri" w:cs="Amiri" w:eastAsia="Amiri" w:hAnsi="Amiri"/>
                <w:b w:val="false"/>
                <w:bCs w:val="false"/>
                <w:i w:val="false"/>
                <w:iCs w:val="false"/>
                <w:color w:val="3A3226"/>
                <w:sz w:val="20"/>
                <w:szCs w:val="20"/>
                <w:rtl/>
              </w:rPr>
              <w:t xml:space="preserve">إيضاح المحجة في حجية السنة النبوية</w:t>
            </w:r>
          </w:p>
        </w:tc>
      </w:tr>
      <w:tr>
        <w:tc>
          <w:tcPr>
            <w:tcW w:type="dxa" w:w="2600"/>
            <w:shd w:fill="F6EFDD" w:val="clear"/>
            <w:tcMar>
              <w:top w:type="dxa" w:w="90"/>
              <w:left w:type="dxa" w:w="120"/>
              <w:bottom w:type="dxa" w:w="90"/>
              <w:right w:type="dxa" w:w="120"/>
            </w:tcMar>
          </w:tcPr>
          <w:p>
            <w:pPr>
              <w:bidi/>
              <w:spacing w:after="0" w:before="0" w:line="300"/>
              <w:jc w:val="right"/>
            </w:pPr>
            <w:r>
              <w:rPr>
                <w:rFonts w:ascii="Amiri" w:cs="Amiri" w:eastAsia="Amiri" w:hAnsi="Amiri"/>
                <w:b/>
                <w:bCs/>
                <w:i w:val="false"/>
                <w:iCs w:val="false"/>
                <w:color w:val="8A6A1F"/>
                <w:sz w:val="20"/>
                <w:szCs w:val="20"/>
                <w:rtl/>
              </w:rPr>
              <w:t xml:space="preserve">المؤلف</w:t>
            </w:r>
          </w:p>
        </w:tc>
        <w:tc>
          <w:tcPr>
            <w:tcW w:type="dxa" w:w="6400"/>
            <w:tcMar>
              <w:top w:type="dxa" w:w="90"/>
              <w:left w:type="dxa" w:w="120"/>
              <w:bottom w:type="dxa" w:w="90"/>
              <w:right w:type="dxa" w:w="120"/>
            </w:tcMar>
          </w:tcPr>
          <w:p>
            <w:pPr>
              <w:bidi/>
              <w:spacing w:after="0" w:before="0" w:line="300"/>
              <w:jc w:val="right"/>
            </w:pPr>
            <w:r>
              <w:rPr>
                <w:rFonts w:ascii="Amiri" w:cs="Amiri" w:eastAsia="Amiri" w:hAnsi="Amiri"/>
                <w:b w:val="false"/>
                <w:bCs w:val="false"/>
                <w:i w:val="false"/>
                <w:iCs w:val="false"/>
                <w:color w:val="3A3226"/>
                <w:sz w:val="20"/>
                <w:szCs w:val="20"/>
                <w:rtl/>
              </w:rPr>
              <w:t xml:space="preserve">راجي عفو ربه الغفور أحمد بن إبراهيم السليمي</w:t>
            </w:r>
          </w:p>
        </w:tc>
      </w:tr>
      <w:tr>
        <w:tc>
          <w:tcPr>
            <w:tcW w:type="dxa" w:w="2600"/>
            <w:shd w:fill="F6EFDD" w:val="clear"/>
            <w:tcMar>
              <w:top w:type="dxa" w:w="90"/>
              <w:left w:type="dxa" w:w="120"/>
              <w:bottom w:type="dxa" w:w="90"/>
              <w:right w:type="dxa" w:w="120"/>
            </w:tcMar>
          </w:tcPr>
          <w:p>
            <w:pPr>
              <w:bidi/>
              <w:spacing w:after="0" w:before="0" w:line="300"/>
              <w:jc w:val="right"/>
            </w:pPr>
            <w:r>
              <w:rPr>
                <w:rFonts w:ascii="Amiri" w:cs="Amiri" w:eastAsia="Amiri" w:hAnsi="Amiri"/>
                <w:b/>
                <w:bCs/>
                <w:i w:val="false"/>
                <w:iCs w:val="false"/>
                <w:color w:val="8A6A1F"/>
                <w:sz w:val="20"/>
                <w:szCs w:val="20"/>
                <w:rtl/>
              </w:rPr>
              <w:t xml:space="preserve">الناشر</w:t>
            </w:r>
          </w:p>
        </w:tc>
        <w:tc>
          <w:tcPr>
            <w:tcW w:type="dxa" w:w="6400"/>
            <w:tcMar>
              <w:top w:type="dxa" w:w="90"/>
              <w:left w:type="dxa" w:w="120"/>
              <w:bottom w:type="dxa" w:w="90"/>
              <w:right w:type="dxa" w:w="120"/>
            </w:tcMar>
          </w:tcPr>
          <w:p>
            <w:pPr>
              <w:bidi/>
              <w:spacing w:after="0" w:before="0" w:line="300"/>
              <w:jc w:val="right"/>
            </w:pPr>
            <w:r>
              <w:rPr>
                <w:rFonts w:ascii="Amiri" w:cs="Amiri" w:eastAsia="Amiri" w:hAnsi="Amiri"/>
                <w:b w:val="false"/>
                <w:bCs w:val="false"/>
                <w:i w:val="false"/>
                <w:iCs w:val="false"/>
                <w:color w:val="3A3226"/>
                <w:sz w:val="20"/>
                <w:szCs w:val="20"/>
                <w:rtl/>
              </w:rPr>
              <w:t xml:space="preserve">جامعة الملك العالمية — Al-Mulk International University</w:t>
            </w:r>
          </w:p>
        </w:tc>
      </w:tr>
      <w:tr>
        <w:tc>
          <w:tcPr>
            <w:tcW w:type="dxa" w:w="2600"/>
            <w:shd w:fill="F6EFDD" w:val="clear"/>
            <w:tcMar>
              <w:top w:type="dxa" w:w="90"/>
              <w:left w:type="dxa" w:w="120"/>
              <w:bottom w:type="dxa" w:w="90"/>
              <w:right w:type="dxa" w:w="120"/>
            </w:tcMar>
          </w:tcPr>
          <w:p>
            <w:pPr>
              <w:bidi/>
              <w:spacing w:after="0" w:before="0" w:line="300"/>
              <w:jc w:val="right"/>
            </w:pPr>
            <w:r>
              <w:rPr>
                <w:rFonts w:ascii="Amiri" w:cs="Amiri" w:eastAsia="Amiri" w:hAnsi="Amiri"/>
                <w:b/>
                <w:bCs/>
                <w:i w:val="false"/>
                <w:iCs w:val="false"/>
                <w:color w:val="8A6A1F"/>
                <w:sz w:val="20"/>
                <w:szCs w:val="20"/>
                <w:rtl/>
              </w:rPr>
              <w:t xml:space="preserve">السلسلة</w:t>
            </w:r>
          </w:p>
        </w:tc>
        <w:tc>
          <w:tcPr>
            <w:tcW w:type="dxa" w:w="6400"/>
            <w:tcMar>
              <w:top w:type="dxa" w:w="90"/>
              <w:left w:type="dxa" w:w="120"/>
              <w:bottom w:type="dxa" w:w="90"/>
              <w:right w:type="dxa" w:w="120"/>
            </w:tcMar>
          </w:tcPr>
          <w:p>
            <w:pPr>
              <w:bidi/>
              <w:spacing w:after="0" w:before="0" w:line="300"/>
              <w:jc w:val="right"/>
            </w:pPr>
            <w:r>
              <w:rPr>
                <w:rFonts w:ascii="Amiri" w:cs="Amiri" w:eastAsia="Amiri" w:hAnsi="Amiri"/>
                <w:b w:val="false"/>
                <w:bCs w:val="false"/>
                <w:i w:val="false"/>
                <w:iCs w:val="false"/>
                <w:color w:val="3A3226"/>
                <w:sz w:val="20"/>
                <w:szCs w:val="20"/>
                <w:rtl/>
              </w:rPr>
              <w:t xml:space="preserve">سلسلة مؤلفات الإمام أحمد بن إبراهيم السليمي — الكتاب (53)</w:t>
            </w:r>
          </w:p>
        </w:tc>
      </w:tr>
      <w:tr>
        <w:tc>
          <w:tcPr>
            <w:tcW w:type="dxa" w:w="2600"/>
            <w:shd w:fill="F6EFDD" w:val="clear"/>
            <w:tcMar>
              <w:top w:type="dxa" w:w="90"/>
              <w:left w:type="dxa" w:w="120"/>
              <w:bottom w:type="dxa" w:w="90"/>
              <w:right w:type="dxa" w:w="120"/>
            </w:tcMar>
          </w:tcPr>
          <w:p>
            <w:pPr>
              <w:bidi/>
              <w:spacing w:after="0" w:before="0" w:line="300"/>
              <w:jc w:val="right"/>
            </w:pPr>
            <w:r>
              <w:rPr>
                <w:rFonts w:ascii="Amiri" w:cs="Amiri" w:eastAsia="Amiri" w:hAnsi="Amiri"/>
                <w:b/>
                <w:bCs/>
                <w:i w:val="false"/>
                <w:iCs w:val="false"/>
                <w:color w:val="8A6A1F"/>
                <w:sz w:val="20"/>
                <w:szCs w:val="20"/>
                <w:rtl/>
              </w:rPr>
              <w:t xml:space="preserve">الإصدار</w:t>
            </w:r>
          </w:p>
        </w:tc>
        <w:tc>
          <w:tcPr>
            <w:tcW w:type="dxa" w:w="6400"/>
            <w:tcMar>
              <w:top w:type="dxa" w:w="90"/>
              <w:left w:type="dxa" w:w="120"/>
              <w:bottom w:type="dxa" w:w="90"/>
              <w:right w:type="dxa" w:w="120"/>
            </w:tcMar>
          </w:tcPr>
          <w:p>
            <w:pPr>
              <w:bidi/>
              <w:spacing w:after="0" w:before="0" w:line="300"/>
              <w:jc w:val="right"/>
            </w:pPr>
            <w:r>
              <w:rPr>
                <w:rFonts w:ascii="Amiri" w:cs="Amiri" w:eastAsia="Amiri" w:hAnsi="Amiri"/>
                <w:b w:val="false"/>
                <w:bCs w:val="false"/>
                <w:i w:val="false"/>
                <w:iCs w:val="false"/>
                <w:color w:val="3A3226"/>
                <w:sz w:val="20"/>
                <w:szCs w:val="20"/>
                <w:rtl/>
              </w:rPr>
              <w:t xml:space="preserve">النسخة الملكية الفاخرة</w:t>
            </w:r>
          </w:p>
        </w:tc>
      </w:tr>
      <w:tr>
        <w:tc>
          <w:tcPr>
            <w:tcW w:type="dxa" w:w="2600"/>
            <w:shd w:fill="F6EFDD" w:val="clear"/>
            <w:tcMar>
              <w:top w:type="dxa" w:w="90"/>
              <w:left w:type="dxa" w:w="120"/>
              <w:bottom w:type="dxa" w:w="90"/>
              <w:right w:type="dxa" w:w="120"/>
            </w:tcMar>
          </w:tcPr>
          <w:p>
            <w:pPr>
              <w:bidi/>
              <w:spacing w:after="0" w:before="0" w:line="300"/>
              <w:jc w:val="right"/>
            </w:pPr>
            <w:r>
              <w:rPr>
                <w:rFonts w:ascii="Amiri" w:cs="Amiri" w:eastAsia="Amiri" w:hAnsi="Amiri"/>
                <w:b/>
                <w:bCs/>
                <w:i w:val="false"/>
                <w:iCs w:val="false"/>
                <w:color w:val="8A6A1F"/>
                <w:sz w:val="20"/>
                <w:szCs w:val="20"/>
                <w:rtl/>
              </w:rPr>
              <w:t xml:space="preserve">الطبعة</w:t>
            </w:r>
          </w:p>
        </w:tc>
        <w:tc>
          <w:tcPr>
            <w:tcW w:type="dxa" w:w="6400"/>
            <w:tcMar>
              <w:top w:type="dxa" w:w="90"/>
              <w:left w:type="dxa" w:w="120"/>
              <w:bottom w:type="dxa" w:w="90"/>
              <w:right w:type="dxa" w:w="120"/>
            </w:tcMar>
          </w:tcPr>
          <w:p>
            <w:pPr>
              <w:bidi/>
              <w:spacing w:after="0" w:before="0" w:line="300"/>
              <w:jc w:val="right"/>
            </w:pPr>
            <w:r>
              <w:rPr>
                <w:rFonts w:ascii="Amiri" w:cs="Amiri" w:eastAsia="Amiri" w:hAnsi="Amiri"/>
                <w:b w:val="false"/>
                <w:bCs w:val="false"/>
                <w:i w:val="false"/>
                <w:iCs w:val="false"/>
                <w:color w:val="3A3226"/>
                <w:sz w:val="20"/>
                <w:szCs w:val="20"/>
                <w:rtl/>
              </w:rPr>
              <w:t xml:space="preserve">الطبعة الأولى — First Edition, 2026</w:t>
            </w:r>
          </w:p>
        </w:tc>
      </w:tr>
      <w:tr>
        <w:tc>
          <w:tcPr>
            <w:tcW w:type="dxa" w:w="2600"/>
            <w:shd w:fill="F6EFDD" w:val="clear"/>
            <w:tcMar>
              <w:top w:type="dxa" w:w="90"/>
              <w:left w:type="dxa" w:w="120"/>
              <w:bottom w:type="dxa" w:w="90"/>
              <w:right w:type="dxa" w:w="120"/>
            </w:tcMar>
          </w:tcPr>
          <w:p>
            <w:pPr>
              <w:bidi/>
              <w:spacing w:after="0" w:before="0" w:line="300"/>
              <w:jc w:val="right"/>
            </w:pPr>
            <w:r>
              <w:rPr>
                <w:rFonts w:ascii="Amiri" w:cs="Amiri" w:eastAsia="Amiri" w:hAnsi="Amiri"/>
                <w:b/>
                <w:bCs/>
                <w:i w:val="false"/>
                <w:iCs w:val="false"/>
                <w:color w:val="8A6A1F"/>
                <w:sz w:val="20"/>
                <w:szCs w:val="20"/>
                <w:rtl/>
              </w:rPr>
              <w:t xml:space="preserve">رقم الإيداع / ISBN</w:t>
            </w:r>
          </w:p>
        </w:tc>
        <w:tc>
          <w:tcPr>
            <w:tcW w:type="dxa" w:w="6400"/>
            <w:tcMar>
              <w:top w:type="dxa" w:w="90"/>
              <w:left w:type="dxa" w:w="120"/>
              <w:bottom w:type="dxa" w:w="90"/>
              <w:right w:type="dxa" w:w="120"/>
            </w:tcMar>
          </w:tcPr>
          <w:p>
            <w:pPr>
              <w:bidi/>
              <w:spacing w:after="0" w:before="0" w:line="300"/>
              <w:jc w:val="right"/>
            </w:pPr>
            <w:r>
              <w:rPr>
                <w:rFonts w:ascii="Amiri" w:cs="Amiri" w:eastAsia="Amiri" w:hAnsi="Amiri"/>
                <w:b w:val="false"/>
                <w:bCs w:val="false"/>
                <w:i w:val="false"/>
                <w:iCs w:val="false"/>
                <w:color w:val="3A3226"/>
                <w:sz w:val="20"/>
                <w:szCs w:val="20"/>
                <w:rtl/>
              </w:rPr>
              <w:t xml:space="preserve">ISBN 978-1-7345678-6-1</w:t>
            </w:r>
          </w:p>
        </w:tc>
      </w:tr>
      <w:tr>
        <w:tc>
          <w:tcPr>
            <w:tcW w:type="dxa" w:w="2600"/>
            <w:shd w:fill="F6EFDD" w:val="clear"/>
            <w:tcMar>
              <w:top w:type="dxa" w:w="90"/>
              <w:left w:type="dxa" w:w="120"/>
              <w:bottom w:type="dxa" w:w="90"/>
              <w:right w:type="dxa" w:w="120"/>
            </w:tcMar>
          </w:tcPr>
          <w:p>
            <w:pPr>
              <w:bidi/>
              <w:spacing w:after="0" w:before="0" w:line="300"/>
              <w:jc w:val="right"/>
            </w:pPr>
            <w:r>
              <w:rPr>
                <w:rFonts w:ascii="Amiri" w:cs="Amiri" w:eastAsia="Amiri" w:hAnsi="Amiri"/>
                <w:b/>
                <w:bCs/>
                <w:i w:val="false"/>
                <w:iCs w:val="false"/>
                <w:color w:val="8A6A1F"/>
                <w:sz w:val="20"/>
                <w:szCs w:val="20"/>
                <w:rtl/>
              </w:rPr>
              <w:t xml:space="preserve">سنة النشر</w:t>
            </w:r>
          </w:p>
        </w:tc>
        <w:tc>
          <w:tcPr>
            <w:tcW w:type="dxa" w:w="6400"/>
            <w:tcMar>
              <w:top w:type="dxa" w:w="90"/>
              <w:left w:type="dxa" w:w="120"/>
              <w:bottom w:type="dxa" w:w="90"/>
              <w:right w:type="dxa" w:w="120"/>
            </w:tcMar>
          </w:tcPr>
          <w:p>
            <w:pPr>
              <w:bidi/>
              <w:spacing w:after="0" w:before="0" w:line="300"/>
              <w:jc w:val="right"/>
            </w:pPr>
            <w:r>
              <w:rPr>
                <w:rFonts w:ascii="Amiri" w:cs="Amiri" w:eastAsia="Amiri" w:hAnsi="Amiri"/>
                <w:b w:val="false"/>
                <w:bCs w:val="false"/>
                <w:i w:val="false"/>
                <w:iCs w:val="false"/>
                <w:color w:val="3A3226"/>
                <w:sz w:val="20"/>
                <w:szCs w:val="20"/>
                <w:rtl/>
              </w:rPr>
              <w:t xml:space="preserve">2026</w:t>
            </w:r>
          </w:p>
        </w:tc>
      </w:tr>
      <w:tr>
        <w:tc>
          <w:tcPr>
            <w:tcW w:type="dxa" w:w="2600"/>
            <w:shd w:fill="F6EFDD" w:val="clear"/>
            <w:tcMar>
              <w:top w:type="dxa" w:w="90"/>
              <w:left w:type="dxa" w:w="120"/>
              <w:bottom w:type="dxa" w:w="90"/>
              <w:right w:type="dxa" w:w="120"/>
            </w:tcMar>
          </w:tcPr>
          <w:p>
            <w:pPr>
              <w:bidi/>
              <w:spacing w:after="0" w:before="0" w:line="300"/>
              <w:jc w:val="right"/>
            </w:pPr>
            <w:r>
              <w:rPr>
                <w:rFonts w:ascii="Amiri" w:cs="Amiri" w:eastAsia="Amiri" w:hAnsi="Amiri"/>
                <w:b/>
                <w:bCs/>
                <w:i w:val="false"/>
                <w:iCs w:val="false"/>
                <w:color w:val="8A6A1F"/>
                <w:sz w:val="20"/>
                <w:szCs w:val="20"/>
                <w:rtl/>
              </w:rPr>
              <w:t xml:space="preserve">جميع الحقوق محفوظة</w:t>
            </w:r>
          </w:p>
        </w:tc>
        <w:tc>
          <w:tcPr>
            <w:tcW w:type="dxa" w:w="6400"/>
            <w:tcMar>
              <w:top w:type="dxa" w:w="90"/>
              <w:left w:type="dxa" w:w="120"/>
              <w:bottom w:type="dxa" w:w="90"/>
              <w:right w:type="dxa" w:w="120"/>
            </w:tcMar>
          </w:tcPr>
          <w:p>
            <w:pPr>
              <w:bidi/>
              <w:spacing w:after="0" w:before="0" w:line="300"/>
              <w:jc w:val="right"/>
            </w:pPr>
            <w:r>
              <w:rPr>
                <w:rFonts w:ascii="Amiri" w:cs="Amiri" w:eastAsia="Amiri" w:hAnsi="Amiri"/>
                <w:b w:val="false"/>
                <w:bCs w:val="false"/>
                <w:i w:val="false"/>
                <w:iCs w:val="false"/>
                <w:color w:val="3A3226"/>
                <w:sz w:val="20"/>
                <w:szCs w:val="20"/>
                <w:rtl/>
              </w:rPr>
              <w:t xml:space="preserve">لا يجوز نسخ أي جزء من هذا الكتاب أو نقله بأي شكل من الأشكال إلا بإذن خطي من المؤلف، فيما عدا الاستشهاد العلمي بالإشارة إلى المصدر</w:t>
            </w:r>
          </w:p>
        </w:tc>
      </w:tr>
    </w:tbl>
    <w:p>
      <w:pPr>
        <w:spacing w:after="160"/>
      </w:pPr>
    </w:p>
    <w:tbl>
      <w:tblPr>
        <w:tblW w:type="pct" w:w="100%"/>
        <w:tblBorders>
          <w:top w:val="single" w:color="C39A3C" w:sz="6"/>
          <w:left w:val="single" w:color="C39A3C" w:sz="24"/>
          <w:bottom w:val="single" w:color="C39A3C" w:sz="6"/>
          <w:right w:val="single" w:color="C39A3C" w:sz="6"/>
          <w:insideH w:val="single" w:color="auto" w:sz="4"/>
          <w:insideV w:val="single" w:color="auto" w:sz="4"/>
        </w:tblBorders>
      </w:tblPr>
      <w:tblGrid>
        <w:gridCol w:w="100"/>
      </w:tblGrid>
      <w:tr>
        <w:tc>
          <w:tcPr>
            <w:shd w:fill="EFE4C9" w:val="clear"/>
            <w:tcMar>
              <w:top w:type="dxa" w:w="160"/>
              <w:left w:type="dxa" w:w="200"/>
              <w:bottom w:type="dxa" w:w="160"/>
              <w:right w:type="dxa" w:w="200"/>
            </w:tcMar>
          </w:tcPr>
          <w:p>
            <w:pPr>
              <w:bidi/>
              <w:spacing w:after="0" w:before="0" w:line="300"/>
              <w:jc w:val="both"/>
            </w:pPr>
            <w:r>
              <w:rPr>
                <w:rFonts w:ascii="Amiri" w:cs="Amiri" w:eastAsia="Amiri" w:hAnsi="Amiri"/>
                <w:b w:val="false"/>
                <w:bCs w:val="false"/>
                <w:i/>
                <w:iCs/>
                <w:color w:val="6B6152"/>
                <w:sz w:val="18"/>
                <w:szCs w:val="18"/>
                <w:rtl/>
              </w:rPr>
              <w:t xml:space="preserve">
      رقم الإيداع الدولي (ISBN) والطبعة وسنة النشر مثبتة أعلاه لهذه الطبعة. يُستكمل رقم الإيداع المحلي من الناشر المعتمد قبل الطباعة النهائية، ولم تُدرَج بيانات افتراضية تجنّباً لأي معلومة غير موثقة.
    </w:t>
            </w:r>
          </w:p>
        </w:tc>
      </w:tr>
    </w:tbl>
    <w:p>
      <w:pPr>
        <w:spacing w:after="140"/>
      </w:pPr>
    </w:p>
    <w:p>
      <w:pPr>
        <w:pStyle w:val="Heading1"/>
        <w:pageBreakBefore/>
        <w:bidi/>
        <w:spacing w:after="200" w:before="0"/>
        <w:jc w:val="right"/>
      </w:pPr>
      <w:bookmarkStart w:name="bm_2" w:id="1001"/>
      <w:r>
        <w:rPr>
          <w:rFonts w:ascii="Aref Ruqaa" w:cs="Aref Ruqaa" w:eastAsia="Aref Ruqaa" w:hAnsi="Aref Ruqaa"/>
          <w:b/>
          <w:bCs/>
          <w:i w:val="false"/>
          <w:iCs w:val="false"/>
          <w:color w:val="0D2143"/>
          <w:sz w:val="32"/>
          <w:szCs w:val="32"/>
          <w:rtl/>
        </w:rPr>
        <w:t xml:space="preserve">عرض الكتاب على أهل العلم</w:t>
      </w:r>
      <w:bookmarkEnd w:id="1001"/>
    </w:p>
    <w:p>
      <w:pPr>
        <w:bidi/>
        <w:spacing w:after="140" w:before="0" w:line="300"/>
        <w:jc w:val="both"/>
      </w:pPr>
      <w:r>
        <w:rPr>
          <w:rFonts w:ascii="Amiri" w:cs="Amiri" w:eastAsia="Amiri" w:hAnsi="Amiri"/>
          <w:b w:val="false"/>
          <w:bCs w:val="false"/>
          <w:i w:val="false"/>
          <w:iCs w:val="false"/>
          <w:color w:val="181410"/>
          <w:sz w:val="22"/>
          <w:szCs w:val="22"/>
          <w:rtl/>
        </w:rPr>
        <w:t xml:space="preserve">
      هذه الطبعة معروضة للمراجعة العلمية من قبل أهل العلم وطلبته، رجاء الاستفادة من ملاحظاتهم وتوجيهاتهم قبل الاستقرار على صورتها النهائية. وسيُلحق بهذا الموضع، عند توفرها، ما يتفضل به المراجعون من ملاحظات علمية موثقة بنصوصها وتوقيعات أصحابها.
    </w:t>
      </w:r>
    </w:p>
    <w:p>
      <w:pPr>
        <w:pStyle w:val="Heading1"/>
        <w:pageBreakBefore/>
        <w:bidi/>
        <w:spacing w:after="200" w:before="0"/>
        <w:jc w:val="right"/>
      </w:pPr>
      <w:bookmarkStart w:name="bm_3" w:id="1002"/>
      <w:r>
        <w:rPr>
          <w:rFonts w:ascii="Aref Ruqaa" w:cs="Aref Ruqaa" w:eastAsia="Aref Ruqaa" w:hAnsi="Aref Ruqaa"/>
          <w:b/>
          <w:bCs/>
          <w:i w:val="false"/>
          <w:iCs w:val="false"/>
          <w:color w:val="0D2143"/>
          <w:sz w:val="32"/>
          <w:szCs w:val="32"/>
          <w:rtl/>
        </w:rPr>
        <w:t xml:space="preserve">عن المؤلف</w:t>
      </w:r>
      <w:bookmarkEnd w:id="1002"/>
    </w:p>
    <w:tbl>
      <w:tblPr>
        <w:tblW w:type="pct" w:w="100%"/>
        <w:tblBorders>
          <w:top w:val="single" w:color="D9C79A" w:sz="4"/>
          <w:left w:val="single" w:color="D9C79A" w:sz="4"/>
          <w:bottom w:val="single" w:color="D9C79A" w:sz="4"/>
          <w:right w:val="single" w:color="D9C79A" w:sz="4"/>
          <w:insideH w:val="single" w:color="D9C79A" w:sz="2"/>
          <w:insideV w:val="none"/>
        </w:tblBorders>
      </w:tblPr>
      <w:tblGrid>
        <w:gridCol w:w="100"/>
        <w:gridCol w:w="100"/>
      </w:tblGrid>
      <w:tr>
        <w:tc>
          <w:tcPr>
            <w:tcW w:type="dxa" w:w="2600"/>
            <w:shd w:fill="F6EFDD" w:val="clear"/>
            <w:tcMar>
              <w:top w:type="dxa" w:w="90"/>
              <w:left w:type="dxa" w:w="120"/>
              <w:bottom w:type="dxa" w:w="90"/>
              <w:right w:type="dxa" w:w="120"/>
            </w:tcMar>
          </w:tcPr>
          <w:p>
            <w:pPr>
              <w:bidi/>
              <w:spacing w:after="0" w:before="0" w:line="300"/>
              <w:jc w:val="right"/>
            </w:pPr>
            <w:r>
              <w:rPr>
                <w:rFonts w:ascii="Amiri" w:cs="Amiri" w:eastAsia="Amiri" w:hAnsi="Amiri"/>
                <w:b/>
                <w:bCs/>
                <w:i w:val="false"/>
                <w:iCs w:val="false"/>
                <w:color w:val="8A6A1F"/>
                <w:sz w:val="20"/>
                <w:szCs w:val="20"/>
                <w:rtl/>
              </w:rPr>
              <w:t xml:space="preserve">المؤلف</w:t>
            </w:r>
          </w:p>
        </w:tc>
        <w:tc>
          <w:tcPr>
            <w:tcW w:type="dxa" w:w="6400"/>
            <w:tcMar>
              <w:top w:type="dxa" w:w="90"/>
              <w:left w:type="dxa" w:w="120"/>
              <w:bottom w:type="dxa" w:w="90"/>
              <w:right w:type="dxa" w:w="120"/>
            </w:tcMar>
          </w:tcPr>
          <w:p>
            <w:pPr>
              <w:bidi/>
              <w:spacing w:after="0" w:before="0" w:line="300"/>
              <w:jc w:val="right"/>
            </w:pPr>
            <w:r>
              <w:rPr>
                <w:rFonts w:ascii="Amiri" w:cs="Amiri" w:eastAsia="Amiri" w:hAnsi="Amiri"/>
                <w:b w:val="false"/>
                <w:bCs w:val="false"/>
                <w:i w:val="false"/>
                <w:iCs w:val="false"/>
                <w:color w:val="3A3226"/>
                <w:sz w:val="20"/>
                <w:szCs w:val="20"/>
                <w:rtl/>
              </w:rPr>
              <w:t xml:space="preserve">راجي عفو ربه الغفور أحمد بن إبراهيم السليمي</w:t>
            </w:r>
          </w:p>
        </w:tc>
      </w:tr>
      <w:tr>
        <w:tc>
          <w:tcPr>
            <w:tcW w:type="dxa" w:w="2600"/>
            <w:shd w:fill="F6EFDD" w:val="clear"/>
            <w:tcMar>
              <w:top w:type="dxa" w:w="90"/>
              <w:left w:type="dxa" w:w="120"/>
              <w:bottom w:type="dxa" w:w="90"/>
              <w:right w:type="dxa" w:w="120"/>
            </w:tcMar>
          </w:tcPr>
          <w:p>
            <w:pPr>
              <w:bidi/>
              <w:spacing w:after="0" w:before="0" w:line="300"/>
              <w:jc w:val="right"/>
            </w:pPr>
            <w:r>
              <w:rPr>
                <w:rFonts w:ascii="Amiri" w:cs="Amiri" w:eastAsia="Amiri" w:hAnsi="Amiri"/>
                <w:b/>
                <w:bCs/>
                <w:i w:val="false"/>
                <w:iCs w:val="false"/>
                <w:color w:val="8A6A1F"/>
                <w:sz w:val="20"/>
                <w:szCs w:val="20"/>
                <w:rtl/>
              </w:rPr>
              <w:t xml:space="preserve">عن هذا الكتاب</w:t>
            </w:r>
          </w:p>
        </w:tc>
        <w:tc>
          <w:tcPr>
            <w:tcW w:type="dxa" w:w="6400"/>
            <w:tcMar>
              <w:top w:type="dxa" w:w="90"/>
              <w:left w:type="dxa" w:w="120"/>
              <w:bottom w:type="dxa" w:w="90"/>
              <w:right w:type="dxa" w:w="120"/>
            </w:tcMar>
          </w:tcPr>
          <w:p>
            <w:pPr>
              <w:bidi/>
              <w:spacing w:after="0" w:before="0" w:line="300"/>
              <w:jc w:val="right"/>
            </w:pPr>
            <w:r>
              <w:rPr>
                <w:rFonts w:ascii="Amiri" w:cs="Amiri" w:eastAsia="Amiri" w:hAnsi="Amiri"/>
                <w:b w:val="false"/>
                <w:bCs w:val="false"/>
                <w:i w:val="false"/>
                <w:iCs w:val="false"/>
                <w:color w:val="3A3226"/>
                <w:sz w:val="20"/>
                <w:szCs w:val="20"/>
                <w:rtl/>
              </w:rPr>
              <w:t xml:space="preserve">مؤلَّف مستقل في بيان حجية السنة النبوية ومكانتها التشريعية، وأدلة وجوب اتباعها من الكتاب والسنة وإجماع الأمة، والرد على الشبهات المثارة حول حجيتها، وبيان أثرها في بناء القيم والأخلاق، ووسائل تعزيز الالتزام بها في العصر الحاضر.</w:t>
            </w:r>
          </w:p>
        </w:tc>
      </w:tr>
    </w:tbl>
    <w:p>
      <w:pPr>
        <w:spacing w:after="160"/>
      </w:pPr>
    </w:p>
    <w:p>
      <w:pPr>
        <w:pStyle w:val="Heading1"/>
        <w:pageBreakBefore/>
        <w:bidi/>
        <w:spacing w:after="200" w:before="0"/>
        <w:jc w:val="right"/>
      </w:pPr>
      <w:bookmarkStart w:name="bm_4" w:id="1003"/>
      <w:r>
        <w:rPr>
          <w:rFonts w:ascii="Aref Ruqaa" w:cs="Aref Ruqaa" w:eastAsia="Aref Ruqaa" w:hAnsi="Aref Ruqaa"/>
          <w:b/>
          <w:bCs/>
          <w:i w:val="false"/>
          <w:iCs w:val="false"/>
          <w:color w:val="0D2143"/>
          <w:sz w:val="32"/>
          <w:szCs w:val="32"/>
          <w:rtl/>
        </w:rPr>
        <w:t xml:space="preserve">ملاحظة تحريرية</w:t>
      </w:r>
      <w:bookmarkEnd w:id="1003"/>
    </w:p>
    <w:p>
      <w:pPr>
        <w:bidi/>
        <w:spacing w:after="140" w:before="0" w:line="300"/>
        <w:jc w:val="both"/>
      </w:pPr>
      <w:r>
        <w:rPr>
          <w:rFonts w:ascii="Amiri" w:cs="Amiri" w:eastAsia="Amiri" w:hAnsi="Amiri"/>
          <w:b w:val="false"/>
          <w:bCs w:val="false"/>
          <w:i w:val="false"/>
          <w:iCs w:val="false"/>
          <w:color w:val="181410"/>
          <w:sz w:val="22"/>
          <w:szCs w:val="22"/>
          <w:rtl/>
        </w:rPr>
        <w:t xml:space="preserve">
      أُعد هذا الكتاب مؤلَّفاً مستقلاً في مكانة السنة النبوية وحجيتها التشريعية، وقد رُوجعت الأحاديث والآثار والأقوال العلمية الواردة فيه مراجعةً علمية دقيقة، فأُثبت ما صح توثيقه، وحُرر القول فيما اختُلف في تخريجه أو درجته أو نسبته بذكر ذلك صراحةً، تحرياً للأمانة العلمية. كما أُعيد ترتيب مادة الكتاب وتنظيمها في سبعة فصول متكاملة غير متكررة، جامعةً أدلة حجية السنة ووظيفتها وأسباب اختلاف الأئمة في العمل ببعض الأحاديث، ومنهج التعامل مع المخالفين، ومنهج الصحابة والتابعين في اتباعها، والرد على الشبهات المثارة حولها، وأثرها في بناء القيم والأخلاق، ووسائل تعزيز الالتزام بها في العصر الحاضر.
    </w:t>
      </w:r>
    </w:p>
    <w:p>
      <w:pPr>
        <w:pBdr>
          <w:top w:val="dashed" w:color="D9C79A" w:sz="4" w:space="8"/>
        </w:pBdr>
        <w:spacing w:after="60"/>
      </w:pPr>
    </w:p>
    <w:p>
      <w:pPr>
        <w:bidi/>
        <w:spacing w:after="80" w:before="0" w:line="300"/>
        <w:jc w:val="center"/>
      </w:pPr>
      <w:r>
        <w:rPr>
          <w:rFonts w:ascii="Amiri" w:cs="Amiri" w:eastAsia="Amiri" w:hAnsi="Amiri"/>
          <w:b w:val="false"/>
          <w:bCs w:val="false"/>
          <w:i w:val="false"/>
          <w:iCs w:val="false"/>
          <w:color w:val="6B6152"/>
          <w:sz w:val="18"/>
          <w:szCs w:val="18"/>
          <w:rtl/>
        </w:rPr>
        <w:t xml:space="preserve">31/7/2026</w:t>
      </w:r>
    </w:p>
    <w:p>
      <w:pPr>
        <w:bidi/>
        <w:spacing w:after="140"/>
        <w:jc w:val="center"/>
      </w:pPr>
      <w:r>
        <w:rPr>
          <w:rFonts w:ascii="Aref Ruqaa" w:cs="Aref Ruqaa" w:eastAsia="Aref Ruqaa" w:hAnsi="Aref Ruqaa"/>
          <w:b/>
          <w:bCs/>
          <w:i w:val="false"/>
          <w:iCs w:val="false"/>
          <w:color w:val="0D2143"/>
          <w:sz w:val="26"/>
          <w:szCs w:val="26"/>
          <w:rtl/>
        </w:rPr>
        <w:t xml:space="preserve">أحمد بن إبراهيم السليمي</w:t>
      </w:r>
    </w:p>
    <w:p>
      <w:pPr>
        <w:pStyle w:val="Heading1"/>
        <w:pageBreakBefore/>
        <w:bidi/>
        <w:spacing w:after="200" w:before="0"/>
        <w:jc w:val="right"/>
      </w:pPr>
      <w:bookmarkStart w:name="bm_manhaj" w:id="1004"/>
      <w:r>
        <w:rPr>
          <w:rFonts w:ascii="Aref Ruqaa" w:cs="Aref Ruqaa" w:eastAsia="Aref Ruqaa" w:hAnsi="Aref Ruqaa"/>
          <w:b/>
          <w:bCs/>
          <w:i w:val="false"/>
          <w:iCs w:val="false"/>
          <w:color w:val="0D2143"/>
          <w:sz w:val="32"/>
          <w:szCs w:val="32"/>
          <w:rtl/>
        </w:rPr>
        <w:t xml:space="preserve">منهج التحقيق في هذه الطبعة</w:t>
      </w:r>
      <w:bookmarkEnd w:id="1004"/>
    </w:p>
    <w:p>
      <w:pPr>
        <w:bidi/>
        <w:spacing w:after="140" w:before="0" w:line="300"/>
        <w:jc w:val="both"/>
      </w:pPr>
      <w:r>
        <w:rPr>
          <w:rFonts w:ascii="Amiri" w:cs="Amiri" w:eastAsia="Amiri" w:hAnsi="Amiri"/>
          <w:b w:val="false"/>
          <w:bCs w:val="false"/>
          <w:i w:val="false"/>
          <w:iCs w:val="false"/>
          <w:color w:val="181410"/>
          <w:sz w:val="22"/>
          <w:szCs w:val="22"/>
          <w:rtl/>
        </w:rPr>
        <w:t xml:space="preserve">
      اتُّبع في تخريج الآيات والأحاديث والآثار والأقوال العلمية الواردة في هذا الكتاب المنهج التالي: أُثبتت الآيات القرآنية بألفاظها ومواضعها كما وردت، وأُثبتت الأحاديث المتفق على صحتها منسوبةً إلى مظانّها في الصحيحين أو السنن. وحيثما وقع خلاف بين أهل الحديث في تصحيح حديث أو تحديد راويه، أو حيثما اشتهرت نسبة قول إلى عالم دون سند متصل موثق، أو حيثما لم يمكن التحقق من رقم حديث بعينه أو موضع نقل محدد في مصدره، حُذف ذلك الرقم أو الموضع المحدد، واكتُفي بالعزو العام إلى قائله أو مصدره، دون التستر على الخلاف أو الجزم بما لم يثبت. وحيثما تبيّن أن نسبة قول أو حديث إلى قائله أو مصدره غير صحيحة، صُححت النسبة أو حُذف القول بالكلية. وقد بُذل الجهد في تحرير هذه المواضع، مع الإقرار بأن كمال الاستقصاء في هذا الباب لا يبلغه إلا أهل الاختصاص من المحدثين، ولذلك تُعرض هذه الطبعة على أهل العلم رجاء تقويم ما فات هذا الجهد المقل من نظر أو تحرير.
    </w:t>
      </w:r>
    </w:p>
    <w:p>
      <w:pPr>
        <w:pStyle w:val="Heading1"/>
        <w:pageBreakBefore/>
        <w:bidi/>
        <w:spacing w:after="160" w:before="0"/>
        <w:jc w:val="right"/>
      </w:pPr>
      <w:bookmarkStart w:name="bm_native_toc" w:id="1005"/>
      <w:r>
        <w:rPr>
          <w:rFonts w:ascii="Aref Ruqaa" w:cs="Aref Ruqaa" w:eastAsia="Aref Ruqaa" w:hAnsi="Aref Ruqaa"/>
          <w:b/>
          <w:bCs/>
          <w:i w:val="false"/>
          <w:iCs w:val="false"/>
          <w:color w:val="0D2143"/>
          <w:sz w:val="32"/>
          <w:szCs w:val="32"/>
          <w:rtl/>
        </w:rPr>
        <w:t xml:space="preserve">فهرس المحتويات</w:t>
      </w:r>
      <w:bookmarkEnd w:id="1005"/>
    </w:p>
    <w:p>
      <w:pPr>
        <w:bidi/>
        <w:spacing w:after="200" w:before="0" w:line="300"/>
        <w:jc w:val="right"/>
      </w:pPr>
      <w:r>
        <w:rPr>
          <w:rFonts w:ascii="Amiri" w:cs="Amiri" w:eastAsia="Amiri" w:hAnsi="Amiri"/>
          <w:b w:val="false"/>
          <w:bCs w:val="false"/>
          <w:i/>
          <w:iCs/>
          <w:color w:val="6B6152"/>
          <w:sz w:val="16"/>
          <w:szCs w:val="16"/>
          <w:rtl/>
        </w:rPr>
        <w:t xml:space="preserve">(اضغط بزر الماوس الأيمن على الفهرس ثم اختر "تحديث الحقل" لضبط أرقام الصفحات عند فتح المستند لأول مرة)</w:t>
      </w:r>
    </w:p>
    <w:sdt>
      <w:sdtPr>
        <w:alias w:val="فهرس المحتويات"/>
      </w:sdtPr>
      <w:sdtContent>
        <w:p>
          <w:r>
            <w:fldChar w:fldCharType="begin" w:dirty="true"/>
            <w:instrText xml:space="preserve">TOC \h \o "1-3"</w:instrText>
            <w:fldChar w:fldCharType="separate"/>
          </w:r>
        </w:p>
        <w:p>
          <w:r>
            <w:fldChar w:fldCharType="end"/>
          </w:r>
        </w:p>
      </w:sdtContent>
    </w:sdt>
    <w:p>
      <w:r>
        <w:br w:type="page"/>
      </w:r>
    </w:p>
    <w:p>
      <w:pPr>
        <w:pStyle w:val="Heading1"/>
        <w:pageBreakBefore/>
        <w:bidi/>
        <w:spacing w:after="200" w:before="0"/>
        <w:jc w:val="right"/>
      </w:pPr>
      <w:bookmarkStart w:name="bm_muqaddimah" w:id="1006"/>
      <w:r>
        <w:rPr>
          <w:rFonts w:ascii="Aref Ruqaa" w:cs="Aref Ruqaa" w:eastAsia="Aref Ruqaa" w:hAnsi="Aref Ruqaa"/>
          <w:b/>
          <w:bCs/>
          <w:i w:val="false"/>
          <w:iCs w:val="false"/>
          <w:color w:val="0D2143"/>
          <w:sz w:val="32"/>
          <w:szCs w:val="32"/>
          <w:rtl/>
        </w:rPr>
        <w:t xml:space="preserve">مقدمة المؤلف</w:t>
      </w:r>
      <w:bookmarkEnd w:id="1006"/>
    </w:p>
    <w:p>
      <w:pPr>
        <w:bidi/>
        <w:spacing w:after="140" w:before="0" w:line="300"/>
        <w:jc w:val="both"/>
      </w:pPr>
      <w:r>
        <w:rPr>
          <w:rFonts w:ascii="Amiri" w:cs="Amiri" w:eastAsia="Amiri" w:hAnsi="Amiri"/>
          <w:b w:val="false"/>
          <w:bCs w:val="false"/>
          <w:i w:val="false"/>
          <w:iCs w:val="false"/>
          <w:color w:val="181410"/>
          <w:sz w:val="22"/>
          <w:szCs w:val="22"/>
          <w:rtl/>
        </w:rPr>
        <w:t xml:space="preserve">الحمد لله الذي أكمل الدين وأتم النعمة، وجعل سنة نبيه محمد صلى الله عليه وسلم قريناً لكتابه في وجوب الاتباع، وميزاناً تُرد إليه الأفهام إذا اضطربت، ومرجعاً يعصم الأمة من زيغ التأويل وهوى الرأي؛ والصلاة والسلام على من أُوتي جوامع الكلم فبيّن بفعله وقوله وإقراره ما أُجمل في كتاب الله، وعلى آله وصحبه، ومن اقتفى أثره إلى يوم الدين.</w:t>
      </w:r>
    </w:p>
    <w:p>
      <w:pPr>
        <w:bidi/>
        <w:spacing w:after="140" w:before="0" w:line="300"/>
        <w:jc w:val="both"/>
      </w:pPr>
      <w:r>
        <w:rPr>
          <w:rFonts w:ascii="Amiri" w:cs="Amiri" w:eastAsia="Amiri" w:hAnsi="Amiri"/>
          <w:b w:val="false"/>
          <w:bCs w:val="false"/>
          <w:i w:val="false"/>
          <w:iCs w:val="false"/>
          <w:color w:val="181410"/>
          <w:sz w:val="22"/>
          <w:szCs w:val="22"/>
          <w:rtl/>
        </w:rPr>
        <w:t xml:space="preserve">أما بعد، فإن كثيراً مما يُطرح اليوم من تساؤل حول مكانة السنة ليس تساؤلاً عن حجيتها في ذاتها بقدر ما هو حيرة في كيفية التعامل معها: كيف نجمع بين القول بوجوب اتباعها وبين ما نراه من اختلاف الأئمة في العمل ببعض أحاديثها؟ وكيف نرد على من يشكك فيها دون أن نأخذه بغير الحكمة التي أمرنا الله بها؟ والجواب عن هذا كله لا يبدأ إلا من حيث بدأ القرآن نفسه، من قوله تعالى: </w:t>
      </w:r>
      <w:r>
        <w:rPr>
          <w:rFonts w:ascii="Amiri Quran" w:cs="Amiri Quran" w:eastAsia="Amiri Quran" w:hAnsi="Amiri Quran"/>
          <w:b w:val="false"/>
          <w:bCs w:val="false"/>
          <w:i w:val="false"/>
          <w:iCs w:val="false"/>
          <w:color w:val="0D2143"/>
          <w:sz w:val="26"/>
          <w:szCs w:val="26"/>
          <w:rtl/>
        </w:rPr>
        <w:t xml:space="preserve">﴿وَمَا آتَاكُمُ الرَّسُولُ فَخُذُوهُ وَمَا نَهَاكُمْ عَنْهُ فَانتَهُوا﴾</w:t>
      </w:r>
      <w:r>
        <w:rPr>
          <w:rFonts w:ascii="Cairo" w:cs="Cairo" w:eastAsia="Cairo" w:hAnsi="Cairo"/>
          <w:b/>
          <w:bCs/>
          <w:i w:val="false"/>
          <w:iCs w:val="false"/>
          <w:color w:val="8A6A1F"/>
          <w:sz w:val="16"/>
          <w:szCs w:val="16"/>
          <w:rtl/>
        </w:rPr>
        <w:t xml:space="preserve"> [الحشر: 7]</w:t>
      </w:r>
      <w:r>
        <w:rPr>
          <w:rFonts w:ascii="Amiri" w:cs="Amiri" w:eastAsia="Amiri" w:hAnsi="Amiri"/>
          <w:b w:val="false"/>
          <w:bCs w:val="false"/>
          <w:i w:val="false"/>
          <w:iCs w:val="false"/>
          <w:color w:val="181410"/>
          <w:sz w:val="22"/>
          <w:szCs w:val="22"/>
          <w:rtl/>
        </w:rPr>
        <w:t xml:space="preserve">، فهذه الآية وحدها تُغلق باب المفاضلة بين الكتاب والسنة من أصله؛ إذ الأخذ بهما أخذ بأمر واحد لا أمرين.</w:t>
      </w:r>
    </w:p>
    <w:p>
      <w:pPr>
        <w:bidi/>
        <w:spacing w:after="140" w:before="0" w:line="300"/>
        <w:jc w:val="both"/>
      </w:pPr>
      <w:r>
        <w:rPr>
          <w:rFonts w:ascii="Amiri" w:cs="Amiri" w:eastAsia="Amiri" w:hAnsi="Amiri"/>
          <w:b w:val="false"/>
          <w:bCs w:val="false"/>
          <w:i w:val="false"/>
          <w:iCs w:val="false"/>
          <w:color w:val="181410"/>
          <w:sz w:val="22"/>
          <w:szCs w:val="22"/>
          <w:rtl/>
        </w:rPr>
        <w:t xml:space="preserve">ولستُ في هذا الباب بحاجة إلى أن أستدل بأقوال العلماء قبل أن أستدل بكتاب الله؛ فقد نفى القرآن عن النبي صلى الله عليه وسلم أن يكون ما ينطق به هوى نفس أو اجتهاد بشر، فقال سبحانه: </w:t>
      </w:r>
      <w:r>
        <w:rPr>
          <w:rFonts w:ascii="Amiri Quran" w:cs="Amiri Quran" w:eastAsia="Amiri Quran" w:hAnsi="Amiri Quran"/>
          <w:b w:val="false"/>
          <w:bCs w:val="false"/>
          <w:i w:val="false"/>
          <w:iCs w:val="false"/>
          <w:color w:val="0D2143"/>
          <w:sz w:val="26"/>
          <w:szCs w:val="26"/>
          <w:rtl/>
        </w:rPr>
        <w:t xml:space="preserve">﴿وَمَا يَنطِقُ عَنِ الْهَوَىٰ ۝ إِنْ هُوَ إِلَّا وَحْيٌ يُوحَىٰ﴾</w:t>
      </w:r>
      <w:r>
        <w:rPr>
          <w:rFonts w:ascii="Cairo" w:cs="Cairo" w:eastAsia="Cairo" w:hAnsi="Cairo"/>
          <w:b/>
          <w:bCs/>
          <w:i w:val="false"/>
          <w:iCs w:val="false"/>
          <w:color w:val="8A6A1F"/>
          <w:sz w:val="16"/>
          <w:szCs w:val="16"/>
          <w:rtl/>
        </w:rPr>
        <w:t xml:space="preserve"> [النجم: 3-4]</w:t>
      </w:r>
      <w:r>
        <w:rPr>
          <w:rFonts w:ascii="Amiri" w:cs="Amiri" w:eastAsia="Amiri" w:hAnsi="Amiri"/>
          <w:b w:val="false"/>
          <w:bCs w:val="false"/>
          <w:i w:val="false"/>
          <w:iCs w:val="false"/>
          <w:color w:val="181410"/>
          <w:sz w:val="22"/>
          <w:szCs w:val="22"/>
          <w:rtl/>
        </w:rPr>
        <w:t xml:space="preserve">. فإذا استقر هذا في القلب، هان بعده الجواب عن كل ما يُثار من شبهة تُفرّق بين قرآن مقطوع بثبوته وسنة مظنون في بعضها، لأن الفرق - إن وُجد - إنما هو في طريق النقل لا في مصدر التشريع.</w:t>
      </w:r>
    </w:p>
    <w:p>
      <w:pPr>
        <w:bidi/>
        <w:spacing w:after="140" w:before="0" w:line="300"/>
        <w:jc w:val="both"/>
      </w:pPr>
      <w:r>
        <w:rPr>
          <w:rFonts w:ascii="Amiri" w:cs="Amiri" w:eastAsia="Amiri" w:hAnsi="Amiri"/>
          <w:b w:val="false"/>
          <w:bCs w:val="false"/>
          <w:i w:val="false"/>
          <w:iCs w:val="false"/>
          <w:color w:val="181410"/>
          <w:sz w:val="22"/>
          <w:szCs w:val="22"/>
          <w:rtl/>
        </w:rPr>
        <w:t xml:space="preserve">وعلى هذا انعقد إجماع الأمة، سلفاً وخلفاً، فما اختلف عالمان معتبران قط في كون السنة مصدراً ثانياً للتشريع، وإن اختلفوا - وهذا ما سيأتي تفصيله - في ثبوت حديث بعينه أو دلالته. يقول الإمام الشافعي رحمه الله في كتابه "الرسالة": "كل ما سنه رسول الله صلى الله عليه وسلم مما ليس فيه كتاب، فإنما سنه بإذن الله عز وجل" (الشافعي، الرسالة)؛ وهذه الكلمة من إمام أهل الحديث والفقه معاً كافية لمن أراد أن يعرف كيف كان علماء الأمة الأوائل ينظرون إلى هذه المسألة قبل أن تصير قضية تُطرح للنقاش.</w:t>
      </w:r>
    </w:p>
    <w:p>
      <w:pPr>
        <w:bidi/>
        <w:spacing w:after="140" w:before="0" w:line="300"/>
        <w:jc w:val="both"/>
      </w:pPr>
      <w:r>
        <w:rPr>
          <w:rFonts w:ascii="Amiri" w:cs="Amiri" w:eastAsia="Amiri" w:hAnsi="Amiri"/>
          <w:b w:val="false"/>
          <w:bCs w:val="false"/>
          <w:i w:val="false"/>
          <w:iCs w:val="false"/>
          <w:color w:val="181410"/>
          <w:sz w:val="22"/>
          <w:szCs w:val="22"/>
          <w:rtl/>
        </w:rPr>
        <w:t xml:space="preserve">ولم أكتب هذا الكتاب لأثبت مسألة استقر عليها إجماع الأمة منذ قرون - فهذا مقرر لا يحتاج إلى تجديد البرهان - وإنما كتبته لأن الفجوة اليوم لم تعد بين الاعتقاد بحجية السنة والعمل بها فحسب، بل صارت فجوة في الفهم: طالب علم يقرأ أن الإمام الشافعي أو أحمد ترك العمل بحديث فيظن أن في ذلك ثلمة في حجيتها، أو تلميذ يواجه سؤال زميل عن "الاكتفاء بالقرآن" فلا يجد جواباً غير الانفعال، أو أب يريد أن تكون السنة في بيته خُلقاً معاشاً لا نصاً محفوظاً. من هنا رأيت أن يسير الكتاب في سبعة فصول تتابع الحاجة لا الترتيب الشكلي: يبدأ بتقرير حجية السنة من جهة العقيدة إثباتاً لا تكراراً، ثم ينتقل إلى تفسير ظاهرة ترك بعض الأئمة العمل ببعض الأحاديث حتى لا تُحسب على السنة نفسها، ثم يرسم منهج التعامل مع المخالف بالحكمة قبل أن يُترك القارئ وحده أمام الجدل، ثم يعرض كيف عاش السلف هذا الاتباع واقعاً لا نظرية، ثم يواجه الشبهات المعاصرة بعد أن استقر الأساس، ثم يكشف عن ثمرة كل هذا في الخُلق والتربية والقيادة، وينتهي بما هو عملي: كيف تُستعاد هذه الصلة بالسنة في حياتنا اليوم لا في كتب التراث وحدها.</w:t>
      </w:r>
    </w:p>
    <w:p>
      <w:pPr>
        <w:bidi/>
        <w:spacing w:after="140" w:before="0" w:line="300"/>
        <w:jc w:val="both"/>
      </w:pPr>
      <w:r>
        <w:rPr>
          <w:rFonts w:ascii="Amiri" w:cs="Amiri" w:eastAsia="Amiri" w:hAnsi="Amiri"/>
          <w:b w:val="false"/>
          <w:bCs w:val="false"/>
          <w:i w:val="false"/>
          <w:iCs w:val="false"/>
          <w:color w:val="181410"/>
          <w:sz w:val="22"/>
          <w:szCs w:val="22"/>
          <w:rtl/>
        </w:rPr>
        <w:t xml:space="preserve">وإني، إذ أضع هذا الجهد بين يدي القارئ، أعلم أن مثل هذا الموضوع قد كتب فيه من هو أوسع علماً وأدق نظراً؛ فما قصدت مضاهاتهم ولا الاستدراك عليهم، وإنما أردت أن أضع بين يدي طالب العلم في زماننا خيطاً واحداً يمشي عليه من أول السؤال - لماذا نتبع السنة أصلاً؟ - إلى آخره - كيف أعيش هذا الاتباع في يومي؟ فإن وُفقت إلى شيء من ذلك فمن الله وحده، وإن قصّرت فمن نفسي، وأسأل الله أن يتجاوز عن الخطأ، ويتقبل هذا العمل خالصاً لوجهه الكريم.</w:t>
      </w:r>
    </w:p>
    <w:p>
      <w:pPr>
        <w:pBdr>
          <w:top w:val="dashed" w:color="D9C79A" w:sz="4" w:space="8"/>
        </w:pBdr>
        <w:spacing w:after="60"/>
      </w:pPr>
    </w:p>
    <w:p>
      <w:pPr>
        <w:bidi/>
        <w:spacing w:after="80" w:before="0" w:line="300"/>
        <w:jc w:val="center"/>
      </w:pPr>
      <w:r>
        <w:rPr>
          <w:rFonts w:ascii="Amiri" w:cs="Amiri" w:eastAsia="Amiri" w:hAnsi="Amiri"/>
          <w:b w:val="false"/>
          <w:bCs w:val="false"/>
          <w:i w:val="false"/>
          <w:iCs w:val="false"/>
          <w:color w:val="6B6152"/>
          <w:sz w:val="18"/>
          <w:szCs w:val="18"/>
          <w:rtl/>
        </w:rPr>
        <w:t xml:space="preserve">31/7/2026</w:t>
      </w:r>
    </w:p>
    <w:p>
      <w:pPr>
        <w:bidi/>
        <w:spacing w:after="140"/>
        <w:jc w:val="center"/>
      </w:pPr>
      <w:r>
        <w:rPr>
          <w:rFonts w:ascii="Aref Ruqaa" w:cs="Aref Ruqaa" w:eastAsia="Aref Ruqaa" w:hAnsi="Aref Ruqaa"/>
          <w:b/>
          <w:bCs/>
          <w:i w:val="false"/>
          <w:iCs w:val="false"/>
          <w:color w:val="0D2143"/>
          <w:sz w:val="26"/>
          <w:szCs w:val="26"/>
          <w:rtl/>
        </w:rPr>
        <w:t xml:space="preserve">أحمد بن إبراهيم السليمي</w:t>
      </w:r>
    </w:p>
    <w:p>
      <w:pPr>
        <w:pStyle w:val="Heading1"/>
        <w:pageBreakBefore/>
        <w:bidi/>
        <w:spacing w:after="160" w:before="0"/>
        <w:jc w:val="right"/>
      </w:pPr>
      <w:bookmarkStart w:name="bm_fasl1" w:id="1007"/>
      <w:r>
        <w:rPr>
          <w:rFonts w:ascii="Aref Ruqaa" w:cs="Aref Ruqaa" w:eastAsia="Aref Ruqaa" w:hAnsi="Aref Ruqaa"/>
          <w:b/>
          <w:bCs/>
          <w:i w:val="false"/>
          <w:iCs w:val="false"/>
          <w:color w:val="0A1830"/>
          <w:sz w:val="34"/>
          <w:szCs w:val="34"/>
          <w:rtl/>
        </w:rPr>
        <w:t xml:space="preserve">الفصل الأول — حجية السنة النبوية وأدلة وجوب اتباعها</w:t>
      </w:r>
      <w:bookmarkEnd w:id="1007"/>
    </w:p>
    <w:p>
      <w:pPr>
        <w:pStyle w:val="Heading2"/>
        <w:bidi/>
        <w:spacing w:after="140" w:before="320"/>
        <w:jc w:val="right"/>
      </w:pPr>
      <w:bookmarkStart w:name="bm_faqrah_1" w:id="1008"/>
      <w:r>
        <w:rPr>
          <w:rFonts w:ascii="Aref Ruqaa" w:cs="Aref Ruqaa" w:eastAsia="Aref Ruqaa" w:hAnsi="Aref Ruqaa"/>
          <w:b/>
          <w:bCs/>
          <w:i w:val="false"/>
          <w:iCs w:val="false"/>
          <w:color w:val="0D2143"/>
          <w:sz w:val="28"/>
          <w:szCs w:val="28"/>
          <w:rtl/>
        </w:rPr>
        <w:t xml:space="preserve">المبحث الأول: دلالة القرآن الكريم على حجية السنة النبوية</w:t>
      </w:r>
      <w:bookmarkEnd w:id="1008"/>
    </w:p>
    <w:p>
      <w:pPr>
        <w:bidi/>
        <w:spacing w:after="140" w:before="0" w:line="300"/>
        <w:jc w:val="both"/>
      </w:pPr>
      <w:r>
        <w:rPr>
          <w:rFonts w:ascii="Amiri" w:cs="Amiri" w:eastAsia="Amiri" w:hAnsi="Amiri"/>
          <w:b w:val="false"/>
          <w:bCs w:val="false"/>
          <w:i w:val="false"/>
          <w:iCs w:val="false"/>
          <w:color w:val="181410"/>
          <w:sz w:val="22"/>
          <w:szCs w:val="22"/>
          <w:rtl/>
        </w:rPr>
        <w:t xml:space="preserve">لم تكن حجية السنة النبوية عند علماء الإسلام مسألة تحتمل النقاش بقدر ما هي حقيقة قرآنية صريحة، أثبتها الوحي نفسه قبل أن يجادل فيها مجادل. فالكتاب الذي أنزله الله هدىً للناس هو بعينه الذي أوجب اتباع من أُنزل عليه، حتى صار الأخذ بالسنة فرعًا لازمًا عن الإيمان بالقرآن، لا بابًا خارجًا عنه يُفتح أو يُغلق باجتهاد البشر.</w:t>
      </w:r>
    </w:p>
    <w:tbl>
      <w:tblPr>
        <w:tblW w:type="pct" w:w="100%"/>
        <w:tblBorders>
          <w:top w:val="single" w:color="152C54" w:sz="6"/>
          <w:left w:val="single" w:color="152C54" w:sz="24"/>
          <w:bottom w:val="single" w:color="152C54" w:sz="6"/>
          <w:right w:val="single" w:color="152C54"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80" w:before="0" w:line="300"/>
              <w:jc w:val="both"/>
            </w:pPr>
            <w:r>
              <w:rPr>
                <w:rFonts w:ascii="Amiri" w:cs="Amiri" w:eastAsia="Amiri" w:hAnsi="Amiri"/>
                <w:b/>
                <w:bCs/>
                <w:i w:val="false"/>
                <w:iCs w:val="false"/>
                <w:color w:val="0D2143"/>
                <w:sz w:val="22"/>
                <w:szCs w:val="22"/>
                <w:rtl/>
              </w:rPr>
              <w:t xml:space="preserve">حجية السنة</w:t>
            </w:r>
            <w:r>
              <w:rPr>
                <w:rFonts w:ascii="Amiri" w:cs="Amiri" w:eastAsia="Amiri" w:hAnsi="Amiri"/>
                <w:b w:val="false"/>
                <w:bCs w:val="false"/>
                <w:i w:val="false"/>
                <w:iCs w:val="false"/>
                <w:color w:val="181410"/>
                <w:sz w:val="22"/>
                <w:szCs w:val="22"/>
                <w:rtl/>
              </w:rPr>
              <w:t xml:space="preserve"> تعني كون أقوال النبي صلى الله عليه وسلم وأفعاله وتقريراته دليلًا شرعيًا ملزمًا يجب العمل به، على نحو ما يجب العمل بنصوص القرآن الكريم، لكونها صادرة عن وحي، لا عن اجتهاد أو رأي شخصي.</w:t>
            </w:r>
          </w:p>
        </w:tc>
      </w:tr>
    </w:tbl>
    <w:p>
      <w:pPr>
        <w:spacing w:after="140"/>
      </w:pPr>
    </w:p>
    <w:p>
      <w:pPr>
        <w:bidi/>
        <w:spacing w:after="100" w:before="200" w:line="300"/>
        <w:jc w:val="right"/>
      </w:pPr>
      <w:r>
        <w:rPr>
          <w:rFonts w:ascii="Amiri" w:cs="Amiri" w:eastAsia="Amiri" w:hAnsi="Amiri"/>
          <w:b/>
          <w:bCs/>
          <w:i w:val="false"/>
          <w:iCs w:val="false"/>
          <w:color w:val="152C54"/>
          <w:sz w:val="22"/>
          <w:szCs w:val="22"/>
          <w:rtl/>
        </w:rPr>
        <w:t xml:space="preserve">الأدلة</w:t>
      </w:r>
    </w:p>
    <w:p>
      <w:pPr>
        <w:bidi/>
        <w:spacing w:after="140" w:before="0" w:line="300"/>
        <w:jc w:val="both"/>
      </w:pPr>
      <w:r>
        <w:rPr>
          <w:rFonts w:ascii="Amiri" w:cs="Amiri" w:eastAsia="Amiri" w:hAnsi="Amiri"/>
          <w:b w:val="false"/>
          <w:bCs w:val="false"/>
          <w:i w:val="false"/>
          <w:iCs w:val="false"/>
          <w:color w:val="181410"/>
          <w:sz w:val="22"/>
          <w:szCs w:val="22"/>
          <w:rtl/>
        </w:rPr>
        <w:t xml:space="preserve">الآية الأولى التي يقف عندها الناظر في هذا الباب قوله تعالى: </w:t>
      </w:r>
      <w:r>
        <w:rPr>
          <w:rFonts w:ascii="Amiri Quran" w:cs="Amiri Quran" w:eastAsia="Amiri Quran" w:hAnsi="Amiri Quran"/>
          <w:b w:val="false"/>
          <w:bCs w:val="false"/>
          <w:i w:val="false"/>
          <w:iCs w:val="false"/>
          <w:color w:val="0D2143"/>
          <w:sz w:val="26"/>
          <w:szCs w:val="26"/>
          <w:rtl/>
        </w:rPr>
        <w:t xml:space="preserve">﴿وَمَا آتَاكُمُ الرَّسُولُ فَخُذُوهُ وَمَا نَهَاكُمْ عَنْهُ فَانتَهُوا﴾</w:t>
      </w:r>
      <w:r>
        <w:rPr>
          <w:rFonts w:ascii="Cairo" w:cs="Cairo" w:eastAsia="Cairo" w:hAnsi="Cairo"/>
          <w:b/>
          <w:bCs/>
          <w:i w:val="false"/>
          <w:iCs w:val="false"/>
          <w:color w:val="8A6A1F"/>
          <w:sz w:val="16"/>
          <w:szCs w:val="16"/>
          <w:rtl/>
        </w:rPr>
        <w:t xml:space="preserve"> [الحشر: 7]</w:t>
      </w:r>
      <w:r>
        <w:rPr>
          <w:rFonts w:ascii="Amiri" w:cs="Amiri" w:eastAsia="Amiri" w:hAnsi="Amiri"/>
          <w:b w:val="false"/>
          <w:bCs w:val="false"/>
          <w:i w:val="false"/>
          <w:iCs w:val="false"/>
          <w:color w:val="181410"/>
          <w:sz w:val="22"/>
          <w:szCs w:val="22"/>
          <w:rtl/>
        </w:rPr>
        <w:t xml:space="preserve">. ونزلت هذه الآية في سياق يتصل بقسمة الفيء، فقد يتوهم متوهم أن حكمها مقصور على ذلك السياق وحده. غير أن هذا التوهم يصطدم بقاعدة أصولية مستقرة، وهي أن العبرة بعموم اللفظ لا بخصوص السبب: فلفظة "ما" اسم موصول مبهم يفيد العموم، ولم يقل سبحانه "وما آتاكم من الفيء" بل جاء الخطاب مطلقًا شاملًا لكل ما يأتي به الرسول صلى الله عليه وسلم من قول أو حكم، عقيدة كان أو عبادة أو معاملة. فأمر بالأخذ بما أتى به، وأوجب الانتهاء عما نهى عنه، ولا يُتصور صدور مثل هذا الأمر والنهي إلا فيمن كان قوله حجة ملزمة لا رأيًا يُقبل أو يُرد.</w:t>
      </w:r>
    </w:p>
    <w:p>
      <w:pPr>
        <w:bidi/>
        <w:spacing w:after="140" w:before="0" w:line="300"/>
        <w:jc w:val="both"/>
      </w:pPr>
      <w:r>
        <w:rPr>
          <w:rFonts w:ascii="Amiri" w:cs="Amiri" w:eastAsia="Amiri" w:hAnsi="Amiri"/>
          <w:b w:val="false"/>
          <w:bCs w:val="false"/>
          <w:i w:val="false"/>
          <w:iCs w:val="false"/>
          <w:color w:val="181410"/>
          <w:sz w:val="22"/>
          <w:szCs w:val="22"/>
          <w:rtl/>
        </w:rPr>
        <w:t xml:space="preserve">فإذا كانت هذه الآية توجب الأخذ بما يأتي به الرسول صلى الله عليه وسلم عمومًا، فإن آية أخرى تنقل الإلزام إلى مرتبة أعلى، هي مرتبة الطاعة ذاتها: </w:t>
      </w:r>
      <w:r>
        <w:rPr>
          <w:rFonts w:ascii="Amiri Quran" w:cs="Amiri Quran" w:eastAsia="Amiri Quran" w:hAnsi="Amiri Quran"/>
          <w:b w:val="false"/>
          <w:bCs w:val="false"/>
          <w:i w:val="false"/>
          <w:iCs w:val="false"/>
          <w:color w:val="0D2143"/>
          <w:sz w:val="26"/>
          <w:szCs w:val="26"/>
          <w:rtl/>
        </w:rPr>
        <w:t xml:space="preserve">﴿مَنْ يُطِعِ الرَّسُولَ فَقَدْ أَطَاعَ اللَّهَ﴾</w:t>
      </w:r>
      <w:r>
        <w:rPr>
          <w:rFonts w:ascii="Cairo" w:cs="Cairo" w:eastAsia="Cairo" w:hAnsi="Cairo"/>
          <w:b/>
          <w:bCs/>
          <w:i w:val="false"/>
          <w:iCs w:val="false"/>
          <w:color w:val="8A6A1F"/>
          <w:sz w:val="16"/>
          <w:szCs w:val="16"/>
          <w:rtl/>
        </w:rPr>
        <w:t xml:space="preserve"> [النساء: 80]</w:t>
      </w:r>
      <w:r>
        <w:rPr>
          <w:rFonts w:ascii="Amiri" w:cs="Amiri" w:eastAsia="Amiri" w:hAnsi="Amiri"/>
          <w:b w:val="false"/>
          <w:bCs w:val="false"/>
          <w:i w:val="false"/>
          <w:iCs w:val="false"/>
          <w:color w:val="181410"/>
          <w:sz w:val="22"/>
          <w:szCs w:val="22"/>
          <w:rtl/>
        </w:rPr>
        <w:t xml:space="preserve">. وقد يقول قائل: هذا مجرد ربط بلاغي بين الطاعتين، لا تسوية حقيقية بينهما في الإلزام. لكن الإمام ابن كثير رحمه الله لم يترك للتأويل مجالًا حين فسّر الآية بقوله: "يخبر تعالى عن عبده ورسوله محمد صلى الله عليه وسلم بأنه من أطاعه فقد أطاع الله، ومن عصاه فقد عصى الله"، فجعل معصية الرسول صلى الله عليه وسلم بعينها معصية لله، لا شبيهة بها أو قريبة منها، وهذا لا يستقيم عقلًا ولا نقلًا إلا إذا كانت سنته صلى الله عليه وسلم في مقام الوحي المتبع لا الرأي المجرد.</w:t>
      </w:r>
    </w:p>
    <w:p>
      <w:pPr>
        <w:bidi/>
        <w:spacing w:after="140" w:before="0" w:line="300"/>
        <w:jc w:val="both"/>
      </w:pPr>
      <w:r>
        <w:rPr>
          <w:rFonts w:ascii="Amiri" w:cs="Amiri" w:eastAsia="Amiri" w:hAnsi="Amiri"/>
          <w:b w:val="false"/>
          <w:bCs w:val="false"/>
          <w:i w:val="false"/>
          <w:iCs w:val="false"/>
          <w:color w:val="181410"/>
          <w:sz w:val="22"/>
          <w:szCs w:val="22"/>
          <w:rtl/>
        </w:rPr>
        <w:t xml:space="preserve">وإذا كان الأمر بالطاعة يُلزم بامتثال ظاهر، فإن الآية الثالثة تذهب إلى ما هو أعمق من الامتثال الظاهر، إلى سلامة القلب نفسه: </w:t>
      </w:r>
      <w:r>
        <w:rPr>
          <w:rFonts w:ascii="Amiri Quran" w:cs="Amiri Quran" w:eastAsia="Amiri Quran" w:hAnsi="Amiri Quran"/>
          <w:b w:val="false"/>
          <w:bCs w:val="false"/>
          <w:i w:val="false"/>
          <w:iCs w:val="false"/>
          <w:color w:val="0D2143"/>
          <w:sz w:val="26"/>
          <w:szCs w:val="26"/>
          <w:rtl/>
        </w:rPr>
        <w:t xml:space="preserve">﴿فَلَا وَرَبِّكَ لَا يُؤْمِنُونَ حَتَّى يُحَكِّمُوكَ فِيمَا شَجَرَ بَيْنَهُمْ ثُمَّ لَا يَجِدُوا فِي أَنفُسِهِمْ حَرَجًا مِمَّا قَضَيْتَ وَيُسَلِّمُوا تَسْلِيمًا﴾</w:t>
      </w:r>
      <w:r>
        <w:rPr>
          <w:rFonts w:ascii="Cairo" w:cs="Cairo" w:eastAsia="Cairo" w:hAnsi="Cairo"/>
          <w:b/>
          <w:bCs/>
          <w:i w:val="false"/>
          <w:iCs w:val="false"/>
          <w:color w:val="8A6A1F"/>
          <w:sz w:val="16"/>
          <w:szCs w:val="16"/>
          <w:rtl/>
        </w:rPr>
        <w:t xml:space="preserve"> [النساء: 65]</w:t>
      </w:r>
      <w:r>
        <w:rPr>
          <w:rFonts w:ascii="Amiri" w:cs="Amiri" w:eastAsia="Amiri" w:hAnsi="Amiri"/>
          <w:b w:val="false"/>
          <w:bCs w:val="false"/>
          <w:i w:val="false"/>
          <w:iCs w:val="false"/>
          <w:color w:val="181410"/>
          <w:sz w:val="22"/>
          <w:szCs w:val="22"/>
          <w:rtl/>
        </w:rPr>
        <w:t xml:space="preserve">. أقسم الله سبحانه بنفسه ـ وهو أبلغ صيغ التوكيد ـ أن الإيمان لا يتحقق بمجرد تحكيم النبي صلى الله عليه وسلم، بل لا بد مع ذلك من انتفاء الحرج النفسي من قضائه، ومن التسليم التام له. فثمة من يُحكّمه في الظاهر ثم يجد في نفسه ضيقًا من حكمه أو تلمّسًا لمخرج منه؛ وهذه الآية تقطع الطريق على مثل هذا الموقف، فتجعل الإيمان الكامل مرهونًا بتسليم لا تحفّظ فيه، وهو تسليم لا يُتصور لمن كان قوله رأيًا يحتمل الخطأ.</w:t>
      </w:r>
    </w:p>
    <w:p>
      <w:pPr>
        <w:bidi/>
        <w:spacing w:after="140" w:before="0" w:line="300"/>
        <w:jc w:val="both"/>
      </w:pPr>
      <w:r>
        <w:rPr>
          <w:rFonts w:ascii="Amiri" w:cs="Amiri" w:eastAsia="Amiri" w:hAnsi="Amiri"/>
          <w:b w:val="false"/>
          <w:bCs w:val="false"/>
          <w:i w:val="false"/>
          <w:iCs w:val="false"/>
          <w:color w:val="181410"/>
          <w:sz w:val="22"/>
          <w:szCs w:val="22"/>
          <w:rtl/>
        </w:rPr>
        <w:t xml:space="preserve">يبقى مع ذلك سؤال جوهري: أليس النبي صلى الله عليه وسلم بشرًا يخطئ ويصيب، ويجتهد كما يجتهد غيره أحيانًا؟ وهنا يأتي الجواب القرآني الفاصل: </w:t>
      </w:r>
      <w:r>
        <w:rPr>
          <w:rFonts w:ascii="Amiri Quran" w:cs="Amiri Quran" w:eastAsia="Amiri Quran" w:hAnsi="Amiri Quran"/>
          <w:b w:val="false"/>
          <w:bCs w:val="false"/>
          <w:i w:val="false"/>
          <w:iCs w:val="false"/>
          <w:color w:val="0D2143"/>
          <w:sz w:val="26"/>
          <w:szCs w:val="26"/>
          <w:rtl/>
        </w:rPr>
        <w:t xml:space="preserve">﴿وَمَا يَنطِقُ عَنِ الْهَوَىٰ ۝ إِنْ هُوَ إِلَّا وَحْيٌ يُوحَىٰ﴾</w:t>
      </w:r>
      <w:r>
        <w:rPr>
          <w:rFonts w:ascii="Cairo" w:cs="Cairo" w:eastAsia="Cairo" w:hAnsi="Cairo"/>
          <w:b/>
          <w:bCs/>
          <w:i w:val="false"/>
          <w:iCs w:val="false"/>
          <w:color w:val="8A6A1F"/>
          <w:sz w:val="16"/>
          <w:szCs w:val="16"/>
          <w:rtl/>
        </w:rPr>
        <w:t xml:space="preserve"> [النجم: 3-4]</w:t>
      </w:r>
      <w:r>
        <w:rPr>
          <w:rFonts w:ascii="Amiri" w:cs="Amiri" w:eastAsia="Amiri" w:hAnsi="Amiri"/>
          <w:b w:val="false"/>
          <w:bCs w:val="false"/>
          <w:i w:val="false"/>
          <w:iCs w:val="false"/>
          <w:color w:val="181410"/>
          <w:sz w:val="22"/>
          <w:szCs w:val="22"/>
          <w:rtl/>
        </w:rPr>
        <w:t xml:space="preserve">. فهذه الآية هي الأصل الجامع الذي ترد إليه سائر الأدلة المتقدمة؛ إذ تقرر أن ما يصدر عنه صلى الله عليه وسلم في أمر الدين ليس اجتهادًا شخصيًا معرّضًا للخطأ كاجتهاد سائر الناس، بل وحي، وإن اختلف عن القرآن في طريقة نزوله ولفظه: فالقرآن وحي متلوّ معجز باللفظ والمعنى معًا، والسنة وحي يُفهم معناه من النبي صلى الله عليه وسلم ثم يعبَّر عنه أحيانًا بلفظه هو، لكن مصدرهما واحد لا يتعدد.</w:t>
      </w:r>
    </w:p>
    <w:p>
      <w:pPr>
        <w:bidi/>
        <w:spacing w:after="140" w:before="0" w:line="300"/>
        <w:jc w:val="both"/>
      </w:pPr>
      <w:r>
        <w:rPr>
          <w:rFonts w:ascii="Amiri" w:cs="Amiri" w:eastAsia="Amiri" w:hAnsi="Amiri"/>
          <w:b w:val="false"/>
          <w:bCs w:val="false"/>
          <w:i w:val="false"/>
          <w:iCs w:val="false"/>
          <w:color w:val="181410"/>
          <w:sz w:val="22"/>
          <w:szCs w:val="22"/>
          <w:rtl/>
        </w:rPr>
        <w:t xml:space="preserve">هذه الآيات الأربع، حين تُقرأ مجتمعة لا منفردة، تُغلق الباب من كل جهاته: فالأولى تأمر بالأخذ المطلق، والثانية ترفع الطاعة إلى مصاف طاعة الله، والثالثة تشترط التسليم القلبي لا الامتثال الظاهر وحده، والرابعة تنسف الافتراض القائل بأن كلامه صلى الله عليه وسلم في الدين قد يكون اجتهادًا بشريًا عرضة للخطأ. ومن يحاول أن يجعل السنة مصدرًا ثانويًا يُستغنى عنه بدعوى الاكتفاء بالقرآن، إنما يرفض بذلك أمرًا قرآنيًا صريحًا، لا اجتهادًا فقهيًا محل نظر.</w:t>
      </w:r>
    </w:p>
    <w:tbl>
      <w:tblPr>
        <w:tblW w:type="pct" w:w="100%"/>
        <w:tblBorders>
          <w:top w:val="single" w:color="E3C780" w:sz="6"/>
          <w:left w:val="single" w:color="E3C780" w:sz="24"/>
          <w:bottom w:val="single" w:color="E3C780" w:sz="6"/>
          <w:right w:val="single" w:color="E3C780"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0D2143"/>
                <w:sz w:val="18"/>
                <w:szCs w:val="18"/>
                <w:rtl/>
              </w:rPr>
              <w:t xml:space="preserve">الواجب على المسلم</w:t>
            </w:r>
          </w:p>
          <w:p>
            <w:pPr>
              <w:bidi/>
              <w:spacing w:after="0" w:before="0" w:line="300"/>
              <w:jc w:val="both"/>
            </w:pPr>
            <w:r>
              <w:rPr>
                <w:rFonts w:ascii="Amiri" w:cs="Amiri" w:eastAsia="Amiri" w:hAnsi="Amiri"/>
                <w:b w:val="false"/>
                <w:bCs w:val="false"/>
                <w:i w:val="false"/>
                <w:iCs w:val="false"/>
                <w:color w:val="181410"/>
                <w:sz w:val="22"/>
                <w:szCs w:val="22"/>
                <w:rtl/>
              </w:rPr>
              <w:t xml:space="preserve">حجية السنة أصل قرآني لا زيادة عليه؛ فالأخذ بما صح عن النبي صلى الله عليه وسلم من قول وفعل عين الامتثال لأمر الله، لا خيارًا زائدًا يسع المسلم تركه.</w:t>
            </w:r>
          </w:p>
        </w:tc>
      </w:tr>
    </w:tbl>
    <w:p>
      <w:pPr>
        <w:spacing w:after="160"/>
      </w:pPr>
    </w:p>
    <w:p>
      <w:pPr>
        <w:pStyle w:val="Heading2"/>
        <w:bidi/>
        <w:spacing w:after="140" w:before="320"/>
        <w:jc w:val="right"/>
      </w:pPr>
      <w:bookmarkStart w:name="bm_faqrah_2" w:id="1009"/>
      <w:r>
        <w:rPr>
          <w:rFonts w:ascii="Aref Ruqaa" w:cs="Aref Ruqaa" w:eastAsia="Aref Ruqaa" w:hAnsi="Aref Ruqaa"/>
          <w:b/>
          <w:bCs/>
          <w:i w:val="false"/>
          <w:iCs w:val="false"/>
          <w:color w:val="0D2143"/>
          <w:sz w:val="28"/>
          <w:szCs w:val="28"/>
          <w:rtl/>
        </w:rPr>
        <w:t xml:space="preserve">المبحث الثاني: دلالة السنة النبوية على حجية نفسها</w:t>
      </w:r>
      <w:bookmarkEnd w:id="1009"/>
    </w:p>
    <w:p>
      <w:pPr>
        <w:bidi/>
        <w:spacing w:after="140" w:before="0" w:line="300"/>
        <w:jc w:val="both"/>
      </w:pPr>
      <w:r>
        <w:rPr>
          <w:rFonts w:ascii="Amiri" w:cs="Amiri" w:eastAsia="Amiri" w:hAnsi="Amiri"/>
          <w:b w:val="false"/>
          <w:bCs w:val="false"/>
          <w:i w:val="false"/>
          <w:iCs w:val="false"/>
          <w:color w:val="181410"/>
          <w:sz w:val="22"/>
          <w:szCs w:val="22"/>
          <w:rtl/>
        </w:rPr>
        <w:t xml:space="preserve">ثمة سؤال منهجي يطرح نفسه قبل الدخول في هذا المبحث: كيف يُستدل بالسنة على حجية السنة، وهذا استدلال بالشيء على نفسه؟ والجواب أن هذا الإشكال إنما يرد لو كان الغرض من هذا المبحث إثبات أصل النبوة أو حجية الوحي ابتداءً، وهو ما تكفّل به المبحث الأول من طريق القرآن وحده. أما هنا فالغرض مختلف: النبي صلى الله عليه وسلم، بعد أن استقر عند أمته وجوب اتباعه بنص القرآن، تولى هو نفسه بيان الأصل الذي يعتصمون به من بعده، فكان في ذلك تفصيل وتأكيد لما أصّله القرآن، لا دليلًا مستقلًا يقوم بذاته من غير سند قرآني سابق.</w:t>
      </w:r>
    </w:p>
    <w:p>
      <w:pPr>
        <w:bidi/>
        <w:spacing w:after="140" w:before="0" w:line="300"/>
        <w:jc w:val="both"/>
      </w:pPr>
      <w:r>
        <w:rPr>
          <w:rFonts w:ascii="Amiri" w:cs="Amiri" w:eastAsia="Amiri" w:hAnsi="Amiri"/>
          <w:b w:val="false"/>
          <w:bCs w:val="false"/>
          <w:i w:val="false"/>
          <w:iCs w:val="false"/>
          <w:color w:val="181410"/>
          <w:sz w:val="22"/>
          <w:szCs w:val="22"/>
          <w:rtl/>
        </w:rPr>
        <w:t xml:space="preserve">ومن أبين ما ورد في هذا الباب حديث العرباض بن سارية رضي الله عنه، قال: وعظنا رسول الله صلى الله عليه وسلم موعظة بليغة وجلت منها القلوب، وذرفت منها العيون، فقلنا: يا رسول الله، كأنها موعظة مودّع فأوصنا، قال: «أوصيكم بتقوى الله، والسمع والطاعة، وإن تأمّر عليكم عبد حبشي، فإنه من يعش منكم بعدي فسيرى اختلافًا كثيرًا، فعليكم بسنتي وسنة الخلفاء الراشدين المهديين، تمسكوا بها وعضّوا عليها بالنواجذ» [رواه أبو داود والترمذي]. واللافت في هذا الحديث أن النبي صلى الله عليه وسلم لم يوص بالتمسك بسنته في سياق تعليم عابر، بل في مقام الوداع، حين يكون الكلام أوجز ما يكون وأشده اختصارًا لما هو جوهري؛ وقرن سنته بسنة الخلفاء الراشدين من بعده باعتبارها امتدادًا عمليًا لهديه، وخصّ بالوصية زمن الفتنة والاختلاف الكثير تحديدًا، فدل ذلك على أن السنة هي المرجع الفاصل عند تنازع الأقوال، لا مجرد توجيه أخلاقي يُستأنس به.</w:t>
      </w:r>
    </w:p>
    <w:p>
      <w:pPr>
        <w:bidi/>
        <w:spacing w:after="140" w:before="0" w:line="300"/>
        <w:jc w:val="both"/>
      </w:pPr>
      <w:r>
        <w:rPr>
          <w:rFonts w:ascii="Amiri" w:cs="Amiri" w:eastAsia="Amiri" w:hAnsi="Amiri"/>
          <w:b w:val="false"/>
          <w:bCs w:val="false"/>
          <w:i w:val="false"/>
          <w:iCs w:val="false"/>
          <w:color w:val="181410"/>
          <w:sz w:val="22"/>
          <w:szCs w:val="22"/>
          <w:rtl/>
        </w:rPr>
        <w:t xml:space="preserve">وفي المعنى ذاته ما جاء في الموطأ من قوله صلى الله عليه وسلم: «تركت فيكم ما إن تمسكتم به لن تضلوا بعدي: كتاب الله وسنتي» [رواه الإمام مالك في الموطأ بلاغًا]. ولم يقل صلى الله عليه وسلم "تركت فيكم كتاب الله" مكتفيًا به، بل قرن معه سنته في عبارة واحدة، فجعل العصمة من الضلال متعلقة بالاثنين معًا؛ وهذا القرن هو الدليل بعينه على أن الضلال يقع بترك أحدهما كما يقع بترك الآخر، لا بترك الكتاب وحده.</w:t>
      </w:r>
    </w:p>
    <w:tbl>
      <w:tblPr>
        <w:tblW w:type="pct" w:w="100%"/>
        <w:tblBorders>
          <w:top w:val="single" w:color="A9812A" w:sz="6"/>
          <w:left w:val="single" w:color="A9812A" w:sz="24"/>
          <w:bottom w:val="single" w:color="A9812A" w:sz="6"/>
          <w:right w:val="single" w:color="A9812A" w:sz="6"/>
          <w:insideH w:val="single" w:color="auto" w:sz="4"/>
          <w:insideV w:val="single" w:color="auto" w:sz="4"/>
        </w:tblBorders>
      </w:tblPr>
      <w:tblGrid>
        <w:gridCol w:w="100"/>
      </w:tblGrid>
      <w:tr>
        <w:tc>
          <w:tcPr>
            <w:shd w:fill="FFFFFF"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8A6A1F"/>
                <w:sz w:val="18"/>
                <w:szCs w:val="18"/>
                <w:rtl/>
              </w:rPr>
              <w:t xml:space="preserve">تنبيه</w:t>
            </w:r>
          </w:p>
        </w:tc>
      </w:tr>
    </w:tbl>
    <w:p>
      <w:pPr>
        <w:spacing w:after="140"/>
      </w:pPr>
    </w:p>
    <w:p>
      <w:pPr>
        <w:bidi/>
        <w:spacing w:after="140" w:before="0" w:line="300"/>
        <w:jc w:val="both"/>
      </w:pPr>
      <w:r>
        <w:rPr>
          <w:rFonts w:ascii="Amiri" w:cs="Amiri" w:eastAsia="Amiri" w:hAnsi="Amiri"/>
          <w:b w:val="false"/>
          <w:bCs w:val="false"/>
          <w:i w:val="false"/>
          <w:iCs w:val="false"/>
          <w:color w:val="181410"/>
          <w:sz w:val="22"/>
          <w:szCs w:val="22"/>
          <w:rtl/>
        </w:rPr>
        <w:t xml:space="preserve">وقوله صلى الله عليه وسلم: «مَنْ أَحْدَثَ فِي أَمْرِنَا هَذَا مَا لَيْسَ مِنْهُ فَهُوَ رَدٌّ» [رواه البخاري] يرسي معيارًا آخر لا يقل أهمية: فهو لا يكتفي بإيجاب اتباع السنة، بل يجعلها بنفسها الميزان الذي يُعرض عليه كل محدَث في الدين، فما لم يوافقها رُد على صاحبه كائنًا من كان. وجاء المعنى بلفظ آخر يزيد الحديث دقة: «مَنْ عَمِلَ عَمَلًا لَيْسَ عَلَيْهِ أَمْرُنَا فَهُوَ رَدٌّ» [رواه مسلم]؛ فاللفظ الأول يتناول من يُحدث أصلًا جديدًا في الدين لم يكن معروفًا، واللفظ الثاني يتناول من يعمل عملًا بغير سند من أمر النبي صلى الله عليه وسلم وإن لم يكن هو نفسه من أحدثه ابتداءً؛ فاجتمع اللفظان على أن معيار الاعتبار في الدين موافقة هدي النبي صلى الله عليه وسلم، لا مجرد حسن النية أو الاجتهاد الفردي.</w:t>
      </w:r>
    </w:p>
    <w:p>
      <w:pPr>
        <w:bidi/>
        <w:spacing w:after="140" w:before="0" w:line="300"/>
        <w:jc w:val="both"/>
      </w:pPr>
      <w:r>
        <w:rPr>
          <w:rFonts w:ascii="Amiri" w:cs="Amiri" w:eastAsia="Amiri" w:hAnsi="Amiri"/>
          <w:b w:val="false"/>
          <w:bCs w:val="false"/>
          <w:i w:val="false"/>
          <w:iCs w:val="false"/>
          <w:color w:val="181410"/>
          <w:sz w:val="22"/>
          <w:szCs w:val="22"/>
          <w:rtl/>
        </w:rPr>
        <w:t xml:space="preserve">والحاصل أن النبي صلى الله عليه وسلم لم يترك أمته حائرة في مصدر تشريعها بعده: أوصى بالتمسك بسنته في مقام الوداع، وقرنها بالكتاب في عصمة واحدة، وجعلها ميزانًا يُرد به كل محدَث. ولعل في هذا ما يفسر شدة حرص السلف من الصحابة والتابعين على تتبع الحديث الواحد ولو رحلوا إليه الأيام والليالي؛ فتركه عندهم لم يكن تفريطًا في رواية، بل تفريطًا في جزء من الدين لا يقوم غيره مقامه.</w:t>
      </w:r>
    </w:p>
    <w:tbl>
      <w:tblPr>
        <w:tblW w:type="pct" w:w="100%"/>
        <w:tblBorders>
          <w:top w:val="single" w:color="E3C780" w:sz="6"/>
          <w:left w:val="single" w:color="E3C780" w:sz="24"/>
          <w:bottom w:val="single" w:color="E3C780" w:sz="6"/>
          <w:right w:val="single" w:color="E3C780"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0D2143"/>
                <w:sz w:val="18"/>
                <w:szCs w:val="18"/>
                <w:rtl/>
              </w:rPr>
              <w:t xml:space="preserve">الواجب على المسلم</w:t>
            </w:r>
          </w:p>
          <w:p>
            <w:pPr>
              <w:bidi/>
              <w:spacing w:after="0" w:before="0" w:line="300"/>
              <w:jc w:val="both"/>
            </w:pPr>
            <w:r>
              <w:rPr>
                <w:rFonts w:ascii="Amiri" w:cs="Amiri" w:eastAsia="Amiri" w:hAnsi="Amiri"/>
                <w:b w:val="false"/>
                <w:bCs w:val="false"/>
                <w:i w:val="false"/>
                <w:iCs w:val="false"/>
                <w:color w:val="181410"/>
                <w:sz w:val="22"/>
                <w:szCs w:val="22"/>
                <w:rtl/>
              </w:rPr>
              <w:t xml:space="preserve">النبي صلى الله عليه وسلم بيّن بنفسه أن الاعتصام بسنته فريضة لازمة، وأن كل قول أو عمل لا أصل له فيها مردود على صاحبه؛ فليكن حرص المسلم على اتباعها كحرصه على اتباع القرآن سواء بسواء.</w:t>
            </w:r>
          </w:p>
        </w:tc>
      </w:tr>
    </w:tbl>
    <w:p>
      <w:pPr>
        <w:spacing w:after="160"/>
      </w:pPr>
    </w:p>
    <w:p>
      <w:pPr>
        <w:pStyle w:val="Heading2"/>
        <w:bidi/>
        <w:spacing w:after="140" w:before="320"/>
        <w:jc w:val="right"/>
      </w:pPr>
      <w:bookmarkStart w:name="bm_faqrah_3" w:id="1010"/>
      <w:r>
        <w:rPr>
          <w:rFonts w:ascii="Aref Ruqaa" w:cs="Aref Ruqaa" w:eastAsia="Aref Ruqaa" w:hAnsi="Aref Ruqaa"/>
          <w:b/>
          <w:bCs/>
          <w:i w:val="false"/>
          <w:iCs w:val="false"/>
          <w:color w:val="0D2143"/>
          <w:sz w:val="28"/>
          <w:szCs w:val="28"/>
          <w:rtl/>
        </w:rPr>
        <w:t xml:space="preserve">المبحث الثالث: إجماع الأمة وأقوال الأئمة في الاحتجاج بالسنة</w:t>
      </w:r>
      <w:bookmarkEnd w:id="1010"/>
    </w:p>
    <w:p>
      <w:pPr>
        <w:bidi/>
        <w:spacing w:after="140" w:before="0" w:line="300"/>
        <w:jc w:val="both"/>
      </w:pPr>
      <w:r>
        <w:rPr>
          <w:rFonts w:ascii="Amiri" w:cs="Amiri" w:eastAsia="Amiri" w:hAnsi="Amiri"/>
          <w:b w:val="false"/>
          <w:bCs w:val="false"/>
          <w:i w:val="false"/>
          <w:iCs w:val="false"/>
          <w:color w:val="181410"/>
          <w:sz w:val="22"/>
          <w:szCs w:val="22"/>
          <w:rtl/>
        </w:rPr>
        <w:t xml:space="preserve">لو اقتصر إثبات حجية السنة على النصوص القرآنية والنبوية وحدها، لبقي الباب مفتوحًا أمام من يشكك في فهمه الشخصي لتلك النصوص، أو يزعم أنها تحتمل تأويلًا يخرجها عن ظاهرها. أما حين تُضاف إلى ذلك شهادة الأمة كلها، بعلمائها ومجتهديها، جيلًا بعد جيل، دون أن يُعرف فيها مخالف معتبر عبر قرون الاحتجاج، فإن الباب يُغلق من جهة أخرى تمامًا: جهة الفهم الجماعي المتصل الذي لا يحتمل أن يكون خطأً عامًا تواطأت عليه الأمة كلها. ولذلك عُدّ هذا الإجماع أصلًا ثالثًا مؤكدًا، لا لأنه ينشئ حكمًا لم يكن، بل لأنه يكشف عن يقين لا يقبل التشكيك الفردي.</w:t>
      </w:r>
    </w:p>
    <w:p>
      <w:pPr>
        <w:bidi/>
        <w:spacing w:after="140" w:before="0" w:line="300"/>
        <w:jc w:val="both"/>
      </w:pPr>
      <w:r>
        <w:rPr>
          <w:rFonts w:ascii="Amiri" w:cs="Amiri" w:eastAsia="Amiri" w:hAnsi="Amiri"/>
          <w:b w:val="false"/>
          <w:bCs w:val="false"/>
          <w:i w:val="false"/>
          <w:iCs w:val="false"/>
          <w:color w:val="181410"/>
          <w:sz w:val="22"/>
          <w:szCs w:val="22"/>
          <w:rtl/>
        </w:rPr>
        <w:t xml:space="preserve">وقد كان الخلاف بين علماء الأمة، حين وُجد، خلافًا في ثبوت بعض الأحاديث آحادًا أو في دلالتها على حكم بعينه، لا خلافًا في أصل وجوب الاحتجاج بما ثبت منها؛ وهذا فرق ينبغي أن يُدرك جيدًا، فالمسافة واسعة بين من يرد نصًا لعلة في سنده أو دلالته، ومن يرد جنس الاحتجاج بالسنة أصلًا.</w:t>
      </w:r>
    </w:p>
    <w:p>
      <w:pPr>
        <w:bidi/>
        <w:spacing w:after="100" w:before="200" w:line="300"/>
        <w:jc w:val="right"/>
      </w:pPr>
      <w:r>
        <w:rPr>
          <w:rFonts w:ascii="Amiri" w:cs="Amiri" w:eastAsia="Amiri" w:hAnsi="Amiri"/>
          <w:b/>
          <w:bCs/>
          <w:i w:val="false"/>
          <w:iCs w:val="false"/>
          <w:color w:val="152C54"/>
          <w:sz w:val="22"/>
          <w:szCs w:val="22"/>
          <w:rtl/>
        </w:rPr>
        <w:t xml:space="preserve">أقوال العلماء</w:t>
      </w:r>
    </w:p>
    <w:p>
      <w:pPr>
        <w:bidi/>
        <w:spacing w:after="140" w:before="0" w:line="300"/>
        <w:jc w:val="both"/>
      </w:pPr>
      <w:r>
        <w:rPr>
          <w:rFonts w:ascii="Amiri" w:cs="Amiri" w:eastAsia="Amiri" w:hAnsi="Amiri"/>
          <w:b w:val="false"/>
          <w:bCs w:val="false"/>
          <w:i w:val="false"/>
          <w:iCs w:val="false"/>
          <w:color w:val="181410"/>
          <w:sz w:val="22"/>
          <w:szCs w:val="22"/>
          <w:rtl/>
        </w:rPr>
        <w:t xml:space="preserve">قال الإمام الشافعي رحمه الله، مقررًا هذا الإجماع بلفظ لا يحتمل اللبس: «أَجْمَعَ الْمُسْلِمُونَ عَلَى أَنَّ مَنِ اسْتَبَانَتْ لَهُ سُنَّةُ رَسُولِ اللَّهِ صلى الله عليه وسلم لَمْ يَكُنْ لَهُ أَنْ يَدَعَهَا لِقَوْلِ أَحَدٍ» (الشافعي، الرسالة). فهو لا يعبّر هنا عن رأيه الخاص، بل يشهد على واقع منعقد في عصره، وهو انعقاد الإجماع؛ فمن تبيّنت له صحة حديث فليس له أن يتركه لقول فقيه مهما علت منزلته.</w:t>
      </w:r>
    </w:p>
    <w:p>
      <w:pPr>
        <w:bidi/>
        <w:spacing w:after="140" w:before="0" w:line="300"/>
        <w:jc w:val="both"/>
      </w:pPr>
      <w:r>
        <w:rPr>
          <w:rFonts w:ascii="Amiri" w:cs="Amiri" w:eastAsia="Amiri" w:hAnsi="Amiri"/>
          <w:b w:val="false"/>
          <w:bCs w:val="false"/>
          <w:i w:val="false"/>
          <w:iCs w:val="false"/>
          <w:color w:val="181410"/>
          <w:sz w:val="22"/>
          <w:szCs w:val="22"/>
          <w:rtl/>
        </w:rPr>
        <w:t xml:space="preserve">وجاءت كلمة الإمام مالك بن أنس رحمه الله، إمام دار الهجرة وأعلم الناس بعمل أهل المدينة، لتثبت المعنى ذاته من زاوية أخرى، لا بالتقرير المباشر بل بضرب المثال الأقصى: «كُلٌّ يُؤْخَذُ مِنْ قَوْلِهِ وَيُرَدُّ إِلَّا صَاحِبَ هَذَا الْقَبْرِ» صلى الله عليه وسلم. فحين يُخرج إمام بحجم مالك نفسه من دائرة العصمة، ويقصر الاستثناء على صاحب القبر الشريف وحده، يكون بذلك قد رسم الحد الفاصل بين ما يُؤخذ ويُرد من أقوال البشر كافة، وما لا يُرد بحال.</w:t>
      </w:r>
    </w:p>
    <w:p>
      <w:pPr>
        <w:bidi/>
        <w:spacing w:after="140" w:before="0" w:line="300"/>
        <w:jc w:val="both"/>
      </w:pPr>
      <w:r>
        <w:rPr>
          <w:rFonts w:ascii="Amiri" w:cs="Amiri" w:eastAsia="Amiri" w:hAnsi="Amiri"/>
          <w:b w:val="false"/>
          <w:bCs w:val="false"/>
          <w:i w:val="false"/>
          <w:iCs w:val="false"/>
          <w:color w:val="181410"/>
          <w:sz w:val="22"/>
          <w:szCs w:val="22"/>
          <w:rtl/>
        </w:rPr>
        <w:t xml:space="preserve">أما الإمام أحمد بن حنبل رحمه الله، فقد نقل المعنى من مقام التقرير إلى مقام التوجيه العملي، فقال لأصحابه: «لَا تُقَلِّدْنِي، وَلَا تُقَلِّدْ مَالِكًا، وَلَا الشَّافِعِيَّ، وَلَا الْأَوْزَاعِيَّ، وَلَا الثَّوْرِيَّ، وَخُذْ مِنْ حَيْثُ أَخَذُوا»؛ فأحال تلاميذه إلى المصدر الذي استقى منه هؤلاء الأئمة جميعًا، لا إلى أشخاصهم. وقال أيضًا في تعظيم شأن الحديث: «مَنْ رَدَّ حَدِيثَ رَسُولِ اللَّهِ صلى الله عليه وسلم فَهُوَ عَلَى شَفَا هَلَكَةٍ»، وهي كلمة تكشف مبلغ الخطورة التي كان يراها في رد الحديث الثابت، إذ جعله على شفا الهلاك، لما في الرد من معارضة صريحة للوحي.</w:t>
      </w:r>
    </w:p>
    <w:p>
      <w:pPr>
        <w:bidi/>
        <w:spacing w:after="140" w:before="0" w:line="300"/>
        <w:jc w:val="both"/>
      </w:pPr>
      <w:r>
        <w:rPr>
          <w:rFonts w:ascii="Amiri" w:cs="Amiri" w:eastAsia="Amiri" w:hAnsi="Amiri"/>
          <w:b w:val="false"/>
          <w:bCs w:val="false"/>
          <w:i w:val="false"/>
          <w:iCs w:val="false"/>
          <w:color w:val="181410"/>
          <w:sz w:val="22"/>
          <w:szCs w:val="22"/>
          <w:rtl/>
        </w:rPr>
        <w:t xml:space="preserve">وما ظهر عبر التاريخ ممن قلّل من شأن السنة أو حاول الاستغناء عنها لم يصدر عن أحد من أهل الاجتهاد المعتبرين في عصور الاحتجاج، وإنما كان صوتًا فرديًا شاذًا خارجًا عن سبيل المؤمنين؛ وقد استقر عند الأصوليين أن انعقاد الإجماع لا يقدح فيه مثل هذا الخلاف المتأخر أو الشاذ، ذلك أن العبرة في تكوّن الإجماع بموافقة أهل العلم المعتبرين في عصر انعقاده، لا بكل قول يصدر ممن ادّعى العلم من بعدهم. وهذا الإجماع، في نهاية الأمر، لم ينشئ حكمًا جديدًا لم يكن، بل كشف عما دلت عليه أدلة الكتاب والسنة نفسها؛ وهذا هو شأن كل إجماع صحيح، أن يكون كاشفًا لا منشئًا.</w:t>
      </w:r>
    </w:p>
    <w:tbl>
      <w:tblPr>
        <w:tblW w:type="pct" w:w="100%"/>
        <w:tblBorders>
          <w:top w:val="single" w:color="E3C780" w:sz="6"/>
          <w:left w:val="single" w:color="E3C780" w:sz="24"/>
          <w:bottom w:val="single" w:color="E3C780" w:sz="6"/>
          <w:right w:val="single" w:color="E3C780"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0D2143"/>
                <w:sz w:val="18"/>
                <w:szCs w:val="18"/>
                <w:rtl/>
              </w:rPr>
              <w:t xml:space="preserve">الواجب على المسلم</w:t>
            </w:r>
          </w:p>
          <w:p>
            <w:pPr>
              <w:bidi/>
              <w:spacing w:after="0" w:before="0" w:line="300"/>
              <w:jc w:val="both"/>
            </w:pPr>
            <w:r>
              <w:rPr>
                <w:rFonts w:ascii="Amiri" w:cs="Amiri" w:eastAsia="Amiri" w:hAnsi="Amiri"/>
                <w:b w:val="false"/>
                <w:bCs w:val="false"/>
                <w:i w:val="false"/>
                <w:iCs w:val="false"/>
                <w:color w:val="181410"/>
                <w:sz w:val="22"/>
                <w:szCs w:val="22"/>
                <w:rtl/>
              </w:rPr>
              <w:t xml:space="preserve">الاحتجاج بالسنة ليس مسألة خلافية بين أهل العلم، بل محل إجماع قديم متصل؛ وكل قول يخالفه شذوذ لا يُعتد به، والأخذ بسنة النبي صلى الله عليه وسلم مقدَّم على كل قول بشري مهما علا قائله.</w:t>
            </w:r>
          </w:p>
        </w:tc>
      </w:tr>
    </w:tbl>
    <w:p>
      <w:pPr>
        <w:spacing w:after="160"/>
      </w:pPr>
    </w:p>
    <w:p>
      <w:pPr>
        <w:pStyle w:val="Heading2"/>
        <w:bidi/>
        <w:spacing w:after="140" w:before="320"/>
        <w:jc w:val="right"/>
      </w:pPr>
      <w:bookmarkStart w:name="bm_faqrah_4" w:id="1011"/>
      <w:r>
        <w:rPr>
          <w:rFonts w:ascii="Aref Ruqaa" w:cs="Aref Ruqaa" w:eastAsia="Aref Ruqaa" w:hAnsi="Aref Ruqaa"/>
          <w:b/>
          <w:bCs/>
          <w:i w:val="false"/>
          <w:iCs w:val="false"/>
          <w:color w:val="0D2143"/>
          <w:sz w:val="28"/>
          <w:szCs w:val="28"/>
          <w:rtl/>
        </w:rPr>
        <w:t xml:space="preserve">المبحث الرابع: وظيفة السنة في بيان القرآن وتفسيره وتفصيل أحكامه</w:t>
      </w:r>
      <w:bookmarkEnd w:id="1011"/>
    </w:p>
    <w:p>
      <w:pPr>
        <w:bidi/>
        <w:spacing w:after="140" w:before="0" w:line="300"/>
        <w:jc w:val="both"/>
      </w:pPr>
      <w:r>
        <w:rPr>
          <w:rFonts w:ascii="Amiri" w:cs="Amiri" w:eastAsia="Amiri" w:hAnsi="Amiri"/>
          <w:b w:val="false"/>
          <w:bCs w:val="false"/>
          <w:i w:val="false"/>
          <w:iCs w:val="false"/>
          <w:color w:val="181410"/>
          <w:sz w:val="22"/>
          <w:szCs w:val="22"/>
          <w:rtl/>
        </w:rPr>
        <w:t xml:space="preserve">ليست وظيفة السنة في بيان القرآن وظيفة واحدة متجانسة، بل هي على الحقيقة أنواع من البيان يقتضيها نوع الغموض الذي تعالجه: فتارة يكون الأمر القرآني مجملًا في كيفيته وحدها، وتارة يكون مجملًا في مقاديره التي لا سبيل إلى استنباطها من اللغة مهما بولغ في التأمل، وتارة يكون بحيث لا يُتصور الوصول إليه بالعقل أو اللغة أصلًا، وإنما يُتلقى توقيفًا محضًا. وأمثلة العبادات الثلاث الكبرى ـ الصلاة والزكاة والحج ـ تكشف هذا التدرج بوضوح.</w:t>
      </w:r>
    </w:p>
    <w:p>
      <w:pPr>
        <w:bidi/>
        <w:spacing w:after="100" w:before="200" w:line="300"/>
        <w:jc w:val="right"/>
      </w:pPr>
      <w:r>
        <w:rPr>
          <w:rFonts w:ascii="Amiri" w:cs="Amiri" w:eastAsia="Amiri" w:hAnsi="Amiri"/>
          <w:b/>
          <w:bCs/>
          <w:i w:val="false"/>
          <w:iCs w:val="false"/>
          <w:color w:val="152C54"/>
          <w:sz w:val="22"/>
          <w:szCs w:val="22"/>
          <w:rtl/>
        </w:rPr>
        <w:t xml:space="preserve">الأدلة</w:t>
      </w:r>
    </w:p>
    <w:p>
      <w:pPr>
        <w:bidi/>
        <w:spacing w:after="140" w:before="0" w:line="300"/>
        <w:jc w:val="both"/>
      </w:pPr>
      <w:r>
        <w:rPr>
          <w:rFonts w:ascii="Amiri" w:cs="Amiri" w:eastAsia="Amiri" w:hAnsi="Amiri"/>
          <w:b w:val="false"/>
          <w:bCs w:val="false"/>
          <w:i w:val="false"/>
          <w:iCs w:val="false"/>
          <w:color w:val="181410"/>
          <w:sz w:val="22"/>
          <w:szCs w:val="22"/>
          <w:rtl/>
        </w:rPr>
        <w:t xml:space="preserve">فأما الصلاة، فقد قال الله تعالى: </w:t>
      </w:r>
      <w:r>
        <w:rPr>
          <w:rFonts w:ascii="Amiri Quran" w:cs="Amiri Quran" w:eastAsia="Amiri Quran" w:hAnsi="Amiri Quran"/>
          <w:b w:val="false"/>
          <w:bCs w:val="false"/>
          <w:i w:val="false"/>
          <w:iCs w:val="false"/>
          <w:color w:val="0D2143"/>
          <w:sz w:val="26"/>
          <w:szCs w:val="26"/>
          <w:rtl/>
        </w:rPr>
        <w:t xml:space="preserve">﴿وَأَقِيمُوا الصَّلَاةَ﴾</w:t>
      </w:r>
      <w:r>
        <w:rPr>
          <w:rFonts w:ascii="Cairo" w:cs="Cairo" w:eastAsia="Cairo" w:hAnsi="Cairo"/>
          <w:b/>
          <w:bCs/>
          <w:i w:val="false"/>
          <w:iCs w:val="false"/>
          <w:color w:val="8A6A1F"/>
          <w:sz w:val="16"/>
          <w:szCs w:val="16"/>
          <w:rtl/>
        </w:rPr>
        <w:t xml:space="preserve"> [البقرة: 43]</w:t>
      </w:r>
      <w:r>
        <w:rPr>
          <w:rFonts w:ascii="Amiri" w:cs="Amiri" w:eastAsia="Amiri" w:hAnsi="Amiri"/>
          <w:b w:val="false"/>
          <w:bCs w:val="false"/>
          <w:i w:val="false"/>
          <w:iCs w:val="false"/>
          <w:color w:val="181410"/>
          <w:sz w:val="22"/>
          <w:szCs w:val="22"/>
          <w:rtl/>
        </w:rPr>
        <w:t xml:space="preserve">، وهذا أمر لا يختلف اثنان في وجوبه، لكنه لا يحمل في ذاته إجابة عن أسئلة الكيفية: كم عدد ركعاتها؟ وما هيئة القيام والركوع والسجود فيها؟ ومتى تبدأ أوقاتها وتنتهي؟ فتولت السنة الجواب عمليًا، بالفعل قبل القول، حتى قال النبي صلى الله عليه وسلم: «صَلُّوا كَمَا رَأَيْتُمُونِي أُصَلِّي» [رواه البخاري، رقم 631]. وهذا التعبير بالذات ـ "كما رأيتموني" ـ دقيق الدلالة: فلم يقل "صلوا كما أصفه لكم"، بل أحال المخاطبين إلى المشاهدة المباشرة لفعله، فجعل الفعل النبوي نفسه، لا وصفه اللفظي فحسب، مصدر التلقي في هيئة الصلاة.</w:t>
      </w:r>
    </w:p>
    <w:p>
      <w:pPr>
        <w:bidi/>
        <w:spacing w:after="140" w:before="0" w:line="300"/>
        <w:jc w:val="both"/>
      </w:pPr>
      <w:r>
        <w:rPr>
          <w:rFonts w:ascii="Amiri" w:cs="Amiri" w:eastAsia="Amiri" w:hAnsi="Amiri"/>
          <w:b w:val="false"/>
          <w:bCs w:val="false"/>
          <w:i w:val="false"/>
          <w:iCs w:val="false"/>
          <w:color w:val="181410"/>
          <w:sz w:val="22"/>
          <w:szCs w:val="22"/>
          <w:rtl/>
        </w:rPr>
        <w:t xml:space="preserve">وأما الزكاة، فالإشكال فيها من نوع مختلف: القرآن أمر بإيتائها في غير موضع، والأمة أجمعت على أصل وجوبها من ظاهر اللفظ، لكن أحدًا لا يستطيع أن يستخرج من آيات الزكاة وحدها كم يبلغ نصاب الذهب، أو كم واجب في خمسة أبعرة دون خمسة أخرى؛ فهذا مقدار عددي لا تدل عليه اللغة مهما دُقّق النظر فيها، وإنما هو توقيف محض. ولذلك جاء عن النبي صلى الله عليه وسلم: «لَيْسَ فِيمَا دُونَ خَمْسَةِ أَوْسُقٍ صَدَقَةٌ، وَلَيْسَ فِيمَا دُونَ خَمْسِ ذَوْدٍ صَدَقَةٌ، وَلَيْسَ فِيمَا دُونَ خَمْسِ أَوَاقٍ صَدَقَةٌ» [رواه البخاري، رقم 1459، عن أبي سعيد الخدري رضي الله عنه]، فحدد بهذا اللفظ الواحد أنصبة ثلاثة أجناس من المال مختلفة: الحبوب والثمار، والإبل، والفضة، وهو بيان لا طريق إليه إلا من جهته صلى الله عليه وسلم.</w:t>
      </w:r>
    </w:p>
    <w:p>
      <w:pPr>
        <w:bidi/>
        <w:spacing w:after="140" w:before="0" w:line="300"/>
        <w:jc w:val="both"/>
      </w:pPr>
      <w:r>
        <w:rPr>
          <w:rFonts w:ascii="Amiri" w:cs="Amiri" w:eastAsia="Amiri" w:hAnsi="Amiri"/>
          <w:b w:val="false"/>
          <w:bCs w:val="false"/>
          <w:i w:val="false"/>
          <w:iCs w:val="false"/>
          <w:color w:val="181410"/>
          <w:sz w:val="22"/>
          <w:szCs w:val="22"/>
          <w:rtl/>
        </w:rPr>
        <w:t xml:space="preserve">وأما الحج، فالإشكال فيه أبعد مدى من سابقيه: فقوله تعالى </w:t>
      </w:r>
      <w:r>
        <w:rPr>
          <w:rFonts w:ascii="Amiri Quran" w:cs="Amiri Quran" w:eastAsia="Amiri Quran" w:hAnsi="Amiri Quran"/>
          <w:b w:val="false"/>
          <w:bCs w:val="false"/>
          <w:i w:val="false"/>
          <w:iCs w:val="false"/>
          <w:color w:val="0D2143"/>
          <w:sz w:val="26"/>
          <w:szCs w:val="26"/>
          <w:rtl/>
        </w:rPr>
        <w:t xml:space="preserve">﴿وَأَذِّنْ فِي النَّاسِ بِالْحَجِّ﴾</w:t>
      </w:r>
      <w:r>
        <w:rPr>
          <w:rFonts w:ascii="Cairo" w:cs="Cairo" w:eastAsia="Cairo" w:hAnsi="Cairo"/>
          <w:b/>
          <w:bCs/>
          <w:i w:val="false"/>
          <w:iCs w:val="false"/>
          <w:color w:val="8A6A1F"/>
          <w:sz w:val="16"/>
          <w:szCs w:val="16"/>
          <w:rtl/>
        </w:rPr>
        <w:t xml:space="preserve"> [الحج: 27]</w:t>
      </w:r>
      <w:r>
        <w:rPr>
          <w:rFonts w:ascii="Amiri" w:cs="Amiri" w:eastAsia="Amiri" w:hAnsi="Amiri"/>
          <w:b w:val="false"/>
          <w:bCs w:val="false"/>
          <w:i w:val="false"/>
          <w:iCs w:val="false"/>
          <w:color w:val="181410"/>
          <w:sz w:val="22"/>
          <w:szCs w:val="22"/>
          <w:rtl/>
        </w:rPr>
        <w:t xml:space="preserve"> أمر بأصل الشعيرة، لكن مناسكها ـ من الطواف والسعي والوقوف بعرفة إلى رمي الجمار ـ أفعال توقيفية محضة، لا يملك العقل، ولو اجتهد أشد الاجتهاد، أن يستنبطها ابتداءً من مجرد الأمر بالحج؛ فلا علاقة عقلية بين "الحج" وبين كون رمي الجمار سبع حصيات لا ثمانيًا ولا ستًا. ولذلك جاء توجيه النبي صلى الله عليه وسلم حاسمًا في هذا الباب: «خُذُوا عَنِّي مَنَاسِكَكُمْ» [رواه مسلم، رقم 1297]، فجعل فعله صلى الله عليه وسلم في تلك الحجة الواحدة مرجعًا يُقتدى به إلى قيام الساعة.</w:t>
      </w:r>
    </w:p>
    <w:p>
      <w:pPr>
        <w:bidi/>
        <w:spacing w:after="140" w:before="0" w:line="300"/>
        <w:jc w:val="both"/>
      </w:pPr>
      <w:r>
        <w:rPr>
          <w:rFonts w:ascii="Amiri" w:cs="Amiri" w:eastAsia="Amiri" w:hAnsi="Amiri"/>
          <w:b w:val="false"/>
          <w:bCs w:val="false"/>
          <w:i w:val="false"/>
          <w:iCs w:val="false"/>
          <w:color w:val="181410"/>
          <w:sz w:val="22"/>
          <w:szCs w:val="22"/>
          <w:rtl/>
        </w:rPr>
        <w:t xml:space="preserve">فالتدرج بين هذه الأمثلة الثلاثة ليس عرضًا عشوائيًا: من بيان الكيفية في الصلاة، إلى بيان المقدار في الزكاة، إلى بيان أفعال توقيفية لا سبيل للعقل إليها أصلًا في الحج. ومن هذا التدرج استخرج أهل العلم تقسيمهم المعروف لعلاقة السنة بالقرآن: فمنها ما يوافق حكمه ويؤكده، ومنها ما يفصّل مجمله، ومنها ما يخصّص عامه أو يقيّد مطلقه، ومنها ما تستقل السنة بإنشائه ابتداءً دون أصل قرآني سابق ـ وهو ما سيتناوله المبحث التالي بتفصيل أوسع. والخلاصة أن الاكتفاء بظاهر القرآن، دون الرجوع إلى ما بيّنته السنة، يعني تعطيل هذه العبادات الثلاث عمليًا، مهما سلم الاعتقاد النظري بوجوبها.</w:t>
      </w:r>
    </w:p>
    <w:tbl>
      <w:tblPr>
        <w:tblW w:type="pct" w:w="100%"/>
        <w:tblBorders>
          <w:top w:val="single" w:color="E3C780" w:sz="6"/>
          <w:left w:val="single" w:color="E3C780" w:sz="24"/>
          <w:bottom w:val="single" w:color="E3C780" w:sz="6"/>
          <w:right w:val="single" w:color="E3C780"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0D2143"/>
                <w:sz w:val="18"/>
                <w:szCs w:val="18"/>
                <w:rtl/>
              </w:rPr>
              <w:t xml:space="preserve">الواجب على المسلم</w:t>
            </w:r>
          </w:p>
          <w:p>
            <w:pPr>
              <w:bidi/>
              <w:spacing w:after="0" w:before="0" w:line="300"/>
              <w:jc w:val="both"/>
            </w:pPr>
            <w:r>
              <w:rPr>
                <w:rFonts w:ascii="Amiri" w:cs="Amiri" w:eastAsia="Amiri" w:hAnsi="Amiri"/>
                <w:b w:val="false"/>
                <w:bCs w:val="false"/>
                <w:i w:val="false"/>
                <w:iCs w:val="false"/>
                <w:color w:val="181410"/>
                <w:sz w:val="22"/>
                <w:szCs w:val="22"/>
                <w:rtl/>
              </w:rPr>
              <w:t xml:space="preserve">الاكتفاء بظاهر القرآن دون الرجوع إلى السنة في تفصيل العبادات يعطّل كثيرًا من أحكام الدين؛ فلا يستقيم فهم القرآن ولا العمل به على الوجه الصحيح إلا بالاستعانة بما بيّنته السنة.</w:t>
            </w:r>
          </w:p>
        </w:tc>
      </w:tr>
    </w:tbl>
    <w:p>
      <w:pPr>
        <w:spacing w:after="160"/>
      </w:pPr>
    </w:p>
    <w:p>
      <w:pPr>
        <w:pStyle w:val="Heading2"/>
        <w:bidi/>
        <w:spacing w:after="140" w:before="320"/>
        <w:jc w:val="right"/>
      </w:pPr>
      <w:bookmarkStart w:name="bm_faqrah_5" w:id="1012"/>
      <w:r>
        <w:rPr>
          <w:rFonts w:ascii="Aref Ruqaa" w:cs="Aref Ruqaa" w:eastAsia="Aref Ruqaa" w:hAnsi="Aref Ruqaa"/>
          <w:b/>
          <w:bCs/>
          <w:i w:val="false"/>
          <w:iCs w:val="false"/>
          <w:color w:val="0D2143"/>
          <w:sz w:val="28"/>
          <w:szCs w:val="28"/>
          <w:rtl/>
        </w:rPr>
        <w:t xml:space="preserve">المبحث الخامس: استقلال السنة بالتشريع فيما لم يرد فيه نص قرآني</w:t>
      </w:r>
      <w:bookmarkEnd w:id="1012"/>
    </w:p>
    <w:p>
      <w:pPr>
        <w:bidi/>
        <w:spacing w:after="140" w:before="0" w:line="300"/>
        <w:jc w:val="both"/>
      </w:pPr>
      <w:r>
        <w:rPr>
          <w:rFonts w:ascii="Amiri" w:cs="Amiri" w:eastAsia="Amiri" w:hAnsi="Amiri"/>
          <w:b w:val="false"/>
          <w:bCs w:val="false"/>
          <w:i w:val="false"/>
          <w:iCs w:val="false"/>
          <w:color w:val="181410"/>
          <w:sz w:val="22"/>
          <w:szCs w:val="22"/>
          <w:rtl/>
        </w:rPr>
        <w:t xml:space="preserve">قد يظن الظانّ أن وظيفة السنة تنتهي عند حدود البيان والتفصيل لما ورد في القرآن، فإذا لم يرد الحكم في الكتاب أصلًا سقط اعتبار السنة فيه. وهذا الظن، على شيوعه، تكذبه نصوص السنة نفسها؛ فقد ثبت عن النبي صلى الله عليه وسلم أنه أنشأ أحكامًا لم يرد لها ذكر في القرآن أصلًا، لا تلميحًا ولا تصريحًا، ومع ذلك أجمعت الأمة على إلزاميتها إجماعًا لا خلاف فيه، وهذا وحده كافٍ لإثبات أن السنة مصدر تشريعي مستقل بذاته، لا مجرد شارح تابع.</w:t>
      </w:r>
    </w:p>
    <w:tbl>
      <w:tblPr>
        <w:tblW w:type="pct" w:w="100%"/>
        <w:tblBorders>
          <w:top w:val="single" w:color="8C3B2E" w:sz="6"/>
          <w:left w:val="single" w:color="8C3B2E" w:sz="24"/>
          <w:bottom w:val="single" w:color="8C3B2E" w:sz="6"/>
          <w:right w:val="single" w:color="8C3B2E" w:sz="6"/>
          <w:insideH w:val="single" w:color="auto" w:sz="4"/>
          <w:insideV w:val="single" w:color="auto" w:sz="4"/>
        </w:tblBorders>
      </w:tblPr>
      <w:tblGrid>
        <w:gridCol w:w="100"/>
      </w:tblGrid>
      <w:tr>
        <w:tc>
          <w:tcPr>
            <w:shd w:fill="FBF7EE"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8C3B2E"/>
                <w:sz w:val="18"/>
                <w:szCs w:val="18"/>
                <w:rtl/>
              </w:rPr>
              <w:t xml:space="preserve">خطأ شائع</w:t>
            </w:r>
          </w:p>
          <w:p>
            <w:pPr>
              <w:bidi/>
              <w:spacing w:after="0" w:before="0" w:line="300"/>
              <w:jc w:val="both"/>
            </w:pPr>
            <w:r>
              <w:rPr>
                <w:rFonts w:ascii="Amiri" w:cs="Amiri" w:eastAsia="Amiri" w:hAnsi="Amiri"/>
                <w:b w:val="false"/>
                <w:bCs w:val="false"/>
                <w:i w:val="false"/>
                <w:iCs w:val="false"/>
                <w:color w:val="181410"/>
                <w:sz w:val="22"/>
                <w:szCs w:val="22"/>
                <w:rtl/>
              </w:rPr>
              <w:t xml:space="preserve">يظن بعض الناس أن القرآن استوعب تفصيل كل حكم شرعي، وأن ما لا نص عليه فيه صراحة لا يكون واجبًا ولا محرَّمًا. وهذا الظن يصادم ما تقرر في المبحث الأول من إيجاب طاعة النبي صلى الله عليه وسلم واتباع كل ما جاء به مطلقًا، سواء وافق نص القرآن، أم فصّله، أم استقل بإنشائه ابتداءً.</w:t>
            </w:r>
          </w:p>
        </w:tc>
      </w:tr>
    </w:tbl>
    <w:p>
      <w:pPr>
        <w:spacing w:after="140"/>
      </w:pPr>
    </w:p>
    <w:p>
      <w:pPr>
        <w:bidi/>
        <w:spacing w:after="100" w:before="200" w:line="300"/>
        <w:jc w:val="right"/>
      </w:pPr>
      <w:r>
        <w:rPr>
          <w:rFonts w:ascii="Amiri" w:cs="Amiri" w:eastAsia="Amiri" w:hAnsi="Amiri"/>
          <w:b/>
          <w:bCs/>
          <w:i w:val="false"/>
          <w:iCs w:val="false"/>
          <w:color w:val="152C54"/>
          <w:sz w:val="22"/>
          <w:szCs w:val="22"/>
          <w:rtl/>
        </w:rPr>
        <w:t xml:space="preserve">الأدلة</w:t>
      </w:r>
    </w:p>
    <w:p>
      <w:pPr>
        <w:bidi/>
        <w:spacing w:after="140" w:before="0" w:line="300"/>
        <w:jc w:val="both"/>
      </w:pPr>
      <w:r>
        <w:rPr>
          <w:rFonts w:ascii="Amiri" w:cs="Amiri" w:eastAsia="Amiri" w:hAnsi="Amiri"/>
          <w:b w:val="false"/>
          <w:bCs w:val="false"/>
          <w:i w:val="false"/>
          <w:iCs w:val="false"/>
          <w:color w:val="181410"/>
          <w:sz w:val="22"/>
          <w:szCs w:val="22"/>
          <w:rtl/>
        </w:rPr>
        <w:t xml:space="preserve">ومن أوضح الأمثلة على هذا الاستقلال تحريم الجمع بين المرأة وعمتها أو خالتها في عقد واحد، فقد قال النبي صلى الله عليه وسلم: «لَا يُجْمَعُ بَيْنَ الْمَرْأَةِ وَعَمَّتِهَا، وَلَا بَيْنَ الْمَرْأَةِ وَخَالَتِهَا» [رواه البخاري، رقم 5109]. ومن يراجع آيات المحرَّمات من النساء في سورة النساء لن يجد لهذا الحكم أثرًا، لا من قريب ولا من بعيد؛ ومع هذا الغياب التام من النص القرآني، التزمت الأمة هذا التحريم دون تردد، لأن ثبوته عن النبي صلى الله عليه وسلم كافٍ وحده لإلزامها به، من غير حاجة إلى سند قرآني سابق يُعتضد به.</w:t>
      </w:r>
    </w:p>
    <w:p>
      <w:pPr>
        <w:bidi/>
        <w:spacing w:after="140" w:before="0" w:line="300"/>
        <w:jc w:val="both"/>
      </w:pPr>
      <w:r>
        <w:rPr>
          <w:rFonts w:ascii="Amiri" w:cs="Amiri" w:eastAsia="Amiri" w:hAnsi="Amiri"/>
          <w:b w:val="false"/>
          <w:bCs w:val="false"/>
          <w:i w:val="false"/>
          <w:iCs w:val="false"/>
          <w:color w:val="181410"/>
          <w:sz w:val="22"/>
          <w:szCs w:val="22"/>
          <w:rtl/>
        </w:rPr>
        <w:t xml:space="preserve">ومثله تحريم لحوم الحمر الأهلية، الذي جاء بلفظ لافت: «إِنَّ اللَّهَ وَرَسُولَهُ يَنْهَيَانِكُمْ عَنْ لُحُومِ الْحُمُرِ الْأَهْلِيَّةِ فَإِنَّهَا رِجْسٌ» [رواه البخاري، رقم 5528، عن أنس بن مالك رضي الله عنه]. واللفتة هنا في صياغة النهي نفسها لا في مضمونه فحسب: "إن الله ورسوله ينهيانكم"، فلم يقل "إني أنهاكم" اجتهادًا منه، بل قرن نهيه بنهي الله في فعل واحد مشترك؛ وهذا القرن أبلغ ما يكون في نفي احتمال أن يكون التحريم رأيًا شخصيًا، إذ كيف يشرّك النبي صلى الله عليه وسلم اسمه باسم الله في نهي لو كان ذلك النهي من عنده هو؟</w:t>
      </w:r>
    </w:p>
    <w:p>
      <w:pPr>
        <w:bidi/>
        <w:spacing w:after="140" w:before="0" w:line="300"/>
        <w:jc w:val="both"/>
      </w:pPr>
      <w:r>
        <w:rPr>
          <w:rFonts w:ascii="Amiri" w:cs="Amiri" w:eastAsia="Amiri" w:hAnsi="Amiri"/>
          <w:b w:val="false"/>
          <w:bCs w:val="false"/>
          <w:i w:val="false"/>
          <w:iCs w:val="false"/>
          <w:color w:val="181410"/>
          <w:sz w:val="22"/>
          <w:szCs w:val="22"/>
          <w:rtl/>
        </w:rPr>
        <w:t xml:space="preserve">ومن هذا الباب أيضًا وجوب الدية على العاقلة في القتل الخطأ، وهو حكم لم يرد له نص صريح في القرآن، وإنما عرفه الصحابة والتابعون من هدي النبي صلى الله عليه وسلم وقضائه، فاستقر عليه العمل واعتبره أهل العلم من الأحكام التي استقلت السنة بتقريرها، توزيعًا لعبء المسؤولية بين أفراد العصبة، ورفعًا للحرج عمّن أخطأ في قتله وأهله.</w:t>
      </w:r>
    </w:p>
    <w:p>
      <w:pPr>
        <w:bidi/>
        <w:spacing w:after="140" w:before="0" w:line="300"/>
        <w:jc w:val="both"/>
      </w:pPr>
      <w:r>
        <w:rPr>
          <w:rFonts w:ascii="Amiri" w:cs="Amiri" w:eastAsia="Amiri" w:hAnsi="Amiri"/>
          <w:b w:val="false"/>
          <w:bCs w:val="false"/>
          <w:i w:val="false"/>
          <w:iCs w:val="false"/>
          <w:color w:val="181410"/>
          <w:sz w:val="22"/>
          <w:szCs w:val="22"/>
          <w:rtl/>
        </w:rPr>
        <w:t xml:space="preserve">وإذا كانت هذه الأمثلة العملية تثبت الاستقلال بالوقوع، فإن النبي صلى الله عليه وسلم قد قرر الأصل النظري الجامع لها بلفظه هو، حين قال: «أَلَا إِنِّي أُوتِيتُ الْكِتَابَ وَمِثْلَهُ مَعَهُ» [رواه أبو داود، رقم 4604]. فهذا نص صريح على أنه أُعطي من الوحي ما يماثل القرآن في وجوب الاتباع، وإن غايره في اللفظ وطريقة النزول؛ وبهذا يُقطع الطريق على من يحصر حجية السنة في كونها تفسيرًا للقرآن فحسب، إذ هي وحي مستقل يُنشئ الأحكام كما ينشئها القرآن سواء بسواء.</w:t>
      </w:r>
    </w:p>
    <w:p>
      <w:pPr>
        <w:bidi/>
        <w:spacing w:after="140" w:before="0" w:line="300"/>
        <w:jc w:val="both"/>
      </w:pPr>
      <w:r>
        <w:rPr>
          <w:rFonts w:ascii="Amiri" w:cs="Amiri" w:eastAsia="Amiri" w:hAnsi="Amiri"/>
          <w:b w:val="false"/>
          <w:bCs w:val="false"/>
          <w:i w:val="false"/>
          <w:iCs w:val="false"/>
          <w:color w:val="181410"/>
          <w:sz w:val="22"/>
          <w:szCs w:val="22"/>
          <w:rtl/>
        </w:rPr>
        <w:t xml:space="preserve">وثمة فرق ينبغي أن يتضح بين هذا المبحث والذي قبله: فالمبحث الرابع تناول السنة بوصفها شارحة لمجمل ورد ذكره في القرآن، أما هنا فالحديث عن أحكام لم يرد لها ذكر أصلًا لا مجملًا ولا مفصلًا. وهذا الوجه الأدق هو الذي أنكرته طائفة قليلة عبر التاريخ، حاولت قصر التشريع على القرآن وحده، وهو إنكار يصطدم بالإجماع المنعقد منذ عهد الصحابة، ويصطدم قبل ذلك بصريح النصوص الآمرة باتباع كل ما جاء به النبي صلى الله عليه وسلم دون تقييد بمصدر سابق.</w:t>
      </w:r>
    </w:p>
    <w:tbl>
      <w:tblPr>
        <w:tblW w:type="pct" w:w="100%"/>
        <w:tblBorders>
          <w:top w:val="single" w:color="E3C780" w:sz="6"/>
          <w:left w:val="single" w:color="E3C780" w:sz="24"/>
          <w:bottom w:val="single" w:color="E3C780" w:sz="6"/>
          <w:right w:val="single" w:color="E3C780"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0D2143"/>
                <w:sz w:val="18"/>
                <w:szCs w:val="18"/>
                <w:rtl/>
              </w:rPr>
              <w:t xml:space="preserve">الواجب على المسلم</w:t>
            </w:r>
          </w:p>
          <w:p>
            <w:pPr>
              <w:bidi/>
              <w:spacing w:after="0" w:before="0" w:line="300"/>
              <w:jc w:val="both"/>
            </w:pPr>
            <w:r>
              <w:rPr>
                <w:rFonts w:ascii="Amiri" w:cs="Amiri" w:eastAsia="Amiri" w:hAnsi="Amiri"/>
                <w:b w:val="false"/>
                <w:bCs w:val="false"/>
                <w:i w:val="false"/>
                <w:iCs w:val="false"/>
                <w:color w:val="181410"/>
                <w:sz w:val="22"/>
                <w:szCs w:val="22"/>
                <w:rtl/>
              </w:rPr>
              <w:t xml:space="preserve">السنة النبوية مصدر تشريعي مستقل، لا يُشترط لحجية ما جاء فيها سبق نص قرآني؛ فالأحكام التي انفردت بها ملزمة كالتي وافقت القرآن أو فصّلته، لأن مصدرهما جميعًا وحي واحد.</w:t>
            </w:r>
          </w:p>
        </w:tc>
      </w:tr>
    </w:tbl>
    <w:p>
      <w:pPr>
        <w:spacing w:after="160"/>
      </w:pPr>
    </w:p>
    <w:p>
      <w:pPr>
        <w:pStyle w:val="Heading2"/>
        <w:bidi/>
        <w:spacing w:after="140" w:before="320"/>
        <w:jc w:val="right"/>
      </w:pPr>
      <w:bookmarkStart w:name="bm_faqrah_6" w:id="1013"/>
      <w:r>
        <w:rPr>
          <w:rFonts w:ascii="Aref Ruqaa" w:cs="Aref Ruqaa" w:eastAsia="Aref Ruqaa" w:hAnsi="Aref Ruqaa"/>
          <w:b/>
          <w:bCs/>
          <w:i w:val="false"/>
          <w:iCs w:val="false"/>
          <w:color w:val="0D2143"/>
          <w:sz w:val="28"/>
          <w:szCs w:val="28"/>
          <w:rtl/>
        </w:rPr>
        <w:t xml:space="preserve">المبحث السادس: موقف الأئمة الأربعة ومنهجهم في التعامل مع السنة</w:t>
      </w:r>
      <w:bookmarkEnd w:id="1013"/>
    </w:p>
    <w:p>
      <w:pPr>
        <w:bidi/>
        <w:spacing w:after="140" w:before="0" w:line="300"/>
        <w:jc w:val="both"/>
      </w:pPr>
      <w:r>
        <w:rPr>
          <w:rFonts w:ascii="Amiri" w:cs="Amiri" w:eastAsia="Amiri" w:hAnsi="Amiri"/>
          <w:b w:val="false"/>
          <w:bCs w:val="false"/>
          <w:i w:val="false"/>
          <w:iCs w:val="false"/>
          <w:color w:val="181410"/>
          <w:sz w:val="22"/>
          <w:szCs w:val="22"/>
          <w:rtl/>
        </w:rPr>
        <w:t xml:space="preserve">حين يُذكر التمذهب الفقهي، يُخيَّل لبعض الناس أن اتباع مذهب معين يعني تقديم قول إمامه على ما خالفه من السنة الصحيحة عند التعارض. وهذا تصور يكذبه واقع الأئمة الأربعة أنفسهم ـ أبي حنيفة، ومالك، والشافعي، وأحمد ـ رحمهم الله جميعًا؛ فقد كانوا، على تباين مدارسهم واختلاف أصولهم في تفصيلات الاستنباط، متفقين اتفاقًا صريحًا على أمر واحد: أن السنة مقدَّمة على كل رأي، وأن كل واحد منهم كان يأمر تلاميذه بترك قوله متى ثبت الحديث بخلافه.</w:t>
      </w:r>
    </w:p>
    <w:p>
      <w:pPr>
        <w:bidi/>
        <w:spacing w:after="100" w:before="200" w:line="300"/>
        <w:jc w:val="right"/>
      </w:pPr>
      <w:r>
        <w:rPr>
          <w:rFonts w:ascii="Amiri" w:cs="Amiri" w:eastAsia="Amiri" w:hAnsi="Amiri"/>
          <w:b/>
          <w:bCs/>
          <w:i w:val="false"/>
          <w:iCs w:val="false"/>
          <w:color w:val="152C54"/>
          <w:sz w:val="22"/>
          <w:szCs w:val="22"/>
          <w:rtl/>
        </w:rPr>
        <w:t xml:space="preserve">أقوال الأئمة</w:t>
      </w:r>
    </w:p>
    <w:p>
      <w:pPr>
        <w:bidi/>
        <w:spacing w:after="140" w:before="0" w:line="300"/>
        <w:jc w:val="both"/>
      </w:pPr>
      <w:r>
        <w:rPr>
          <w:rFonts w:ascii="Amiri" w:cs="Amiri" w:eastAsia="Amiri" w:hAnsi="Amiri"/>
          <w:b w:val="false"/>
          <w:bCs w:val="false"/>
          <w:i w:val="false"/>
          <w:iCs w:val="false"/>
          <w:color w:val="181410"/>
          <w:sz w:val="22"/>
          <w:szCs w:val="22"/>
          <w:rtl/>
        </w:rPr>
        <w:t xml:space="preserve">فأما أبو حنيفة النعمان رحمه الله، فقد اشتهر عنه ترتيب دقيق لمراتب التلقي، إذ قال: «مَا جَاءَ عَنْ رَسُولِ اللَّهِ صلى الله عليه وسلم فَعَلَى الرَّأْسِ وَالْعَيْنِ، وَمَا جَاءَ عَنِ الصَّحَابَةِ تَخَيَّرْنَا، وَمَا جَاءَ عَنِ التَّابِعِينَ فَهُمْ رِجَالٌ وَنَحْنُ رِجَالٌ». فما ثبت عن النبي صلى الله عليه وسلم واجب القبول بلا مناقشة، وما جاء عن الصحابة محل اختيار وترجيح، وما جاء عن التابعين محل اجتهاد يسع الفقيه أن يجتهد فيه كما اجتهدوا؛ فوضع بذلك السنة النبوية في مرتبة لا تقاس عليها مرتبة سواها.</w:t>
      </w:r>
    </w:p>
    <w:p>
      <w:pPr>
        <w:bidi/>
        <w:spacing w:after="140" w:before="0" w:line="300"/>
        <w:jc w:val="both"/>
      </w:pPr>
      <w:r>
        <w:rPr>
          <w:rFonts w:ascii="Amiri" w:cs="Amiri" w:eastAsia="Amiri" w:hAnsi="Amiri"/>
          <w:b w:val="false"/>
          <w:bCs w:val="false"/>
          <w:i w:val="false"/>
          <w:iCs w:val="false"/>
          <w:color w:val="181410"/>
          <w:sz w:val="22"/>
          <w:szCs w:val="22"/>
          <w:rtl/>
        </w:rPr>
        <w:t xml:space="preserve">وأما مالك بن أنس رحمه الله، فمع اعتباره عمل أهل المدينة أصلًا معتبرًا، لقربه من عهد النبوة، لم يجعل هذا الاعتبار بديلًا عن السنة الصريحة عند التعارض؛ وهي الكلمة التي مرت بنا في المبحث الثالث شاهدًا على الإجماع، وتحضر هنا من جديد شاهدًا على منهجه الشخصي في التعامل مع اجتهاده هو: «كُلٌّ يُؤْخَذُ مِنْ قَوْلِهِ وَيُرَدُّ إِلَّا صَاحِبَ هَذَا الْقَبْرِ» صلى الله عليه وسلم. فحين قالها مالك، لم يكن يقرر حكمًا عامًا مجردًا فحسب، بل كان يعني بها نفسه أولًا: اجتهاده في الفقه، ومنه اعتباره بعمل أهل المدينة، عرضة للعرض على السنة، لا العكس.</w:t>
      </w:r>
    </w:p>
    <w:p>
      <w:pPr>
        <w:bidi/>
        <w:spacing w:after="140" w:before="0" w:line="300"/>
        <w:jc w:val="both"/>
      </w:pPr>
      <w:r>
        <w:rPr>
          <w:rFonts w:ascii="Amiri" w:cs="Amiri" w:eastAsia="Amiri" w:hAnsi="Amiri"/>
          <w:b w:val="false"/>
          <w:bCs w:val="false"/>
          <w:i w:val="false"/>
          <w:iCs w:val="false"/>
          <w:color w:val="181410"/>
          <w:sz w:val="22"/>
          <w:szCs w:val="22"/>
          <w:rtl/>
        </w:rPr>
        <w:t xml:space="preserve">وأما الشافعي رحمه الله، فكان أشد الأئمة تصريحًا بهذا المعنى، فقال: «إِذَا وَجَدْتُمْ فِي كِتَابِي مَا يُخَالِفُ سُنَّةَ رَسُولِ اللَّهِ صلى الله عليه وسلم، فَقُولُوا بِسُنَّةِ رَسُولِ اللَّهِ وَدَعُوا قَوْلِي». وهذا نص يجعل اجتهاده الفقهي، بكل ما كتبه وصنّفه، مجرد وسيلة لفهم السنة لا غاية في ذاتها؛ فإذا أخطأ الاجتهاد، وجب المصير إلى السنة وترك القول ولو كان قوله هو. وقال أيضًا كلمته الجامعة: «إِذَا صَحَّ الْحَدِيثُ فَهُوَ مَذْهَبِي»، فجعل صحة الحديث، لا موافقته لرأيه المدوَّن، هي المعيار الذي يُقاس به الحكم الفقهي.</w:t>
      </w:r>
    </w:p>
    <w:p>
      <w:pPr>
        <w:bidi/>
        <w:spacing w:after="140" w:before="0" w:line="300"/>
        <w:jc w:val="both"/>
      </w:pPr>
      <w:r>
        <w:rPr>
          <w:rFonts w:ascii="Amiri" w:cs="Amiri" w:eastAsia="Amiri" w:hAnsi="Amiri"/>
          <w:b w:val="false"/>
          <w:bCs w:val="false"/>
          <w:i w:val="false"/>
          <w:iCs w:val="false"/>
          <w:color w:val="181410"/>
          <w:sz w:val="22"/>
          <w:szCs w:val="22"/>
          <w:rtl/>
        </w:rPr>
        <w:t xml:space="preserve">وأما أحمد بن حنبل رحمه الله، وهو أشد الأئمة الأربعة تمسكًا بظاهر الأثر، فقد صاغ المعنى ذاته الذي مر ذكره في سياق الإجماع توجيهًا مباشرًا لتلاميذه: «لَا تُقَلِّدْنِي، وَلَا تُقَلِّدْ مَالِكًا، وَلَا الشَّافِعِيَّ، وَلَا الْأَوْزَاعِيَّ، وَلَا الثَّوْرِيَّ، وَخُذْ مِنْ حَيْثُ أَخَذُوا»؛ فأحالهم إلى المصدر الذي استقى منه هؤلاء الأئمة جميعًا، لا إلى أشخاصهم مهما جلّت منزلتهم.</w:t>
      </w:r>
    </w:p>
    <w:p>
      <w:pPr>
        <w:bidi/>
        <w:spacing w:after="140" w:before="0" w:line="300"/>
        <w:jc w:val="both"/>
      </w:pPr>
      <w:r>
        <w:rPr>
          <w:rFonts w:ascii="Amiri" w:cs="Amiri" w:eastAsia="Amiri" w:hAnsi="Amiri"/>
          <w:b w:val="false"/>
          <w:bCs w:val="false"/>
          <w:i w:val="false"/>
          <w:iCs w:val="false"/>
          <w:color w:val="181410"/>
          <w:sz w:val="22"/>
          <w:szCs w:val="22"/>
          <w:rtl/>
        </w:rPr>
        <w:t xml:space="preserve">والمحصلة أن التمذهب الصحيح عند الأئمة الأربعة أنفسهم لم يكن يومًا بديلًا عن السنة، بل منهجًا في فهمها واستنباط الأحكام منها؛ فإذا تعارض قول منسوب إلى إمام مع حديث صحيح ثابت، كان الواجب على المنتسب إلى ذلك المذهب أن يعمل بقاعدة إمامه نفسه، وهي تقديم السنة، لا أن يتعصب لقوله على حسابها. وهذا هو عين الأدب الذي التزمه الأئمة الأربعة مع تلاميذهم، قبل أن يلتزمه التلاميذ معهم.</w:t>
      </w:r>
    </w:p>
    <w:tbl>
      <w:tblPr>
        <w:tblW w:type="pct" w:w="100%"/>
        <w:tblBorders>
          <w:top w:val="single" w:color="E3C780" w:sz="6"/>
          <w:left w:val="single" w:color="E3C780" w:sz="24"/>
          <w:bottom w:val="single" w:color="E3C780" w:sz="6"/>
          <w:right w:val="single" w:color="E3C780"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0D2143"/>
                <w:sz w:val="18"/>
                <w:szCs w:val="18"/>
                <w:rtl/>
              </w:rPr>
              <w:t xml:space="preserve">الواجب على المسلم</w:t>
            </w:r>
          </w:p>
          <w:p>
            <w:pPr>
              <w:bidi/>
              <w:spacing w:after="0" w:before="0" w:line="300"/>
              <w:jc w:val="both"/>
            </w:pPr>
            <w:r>
              <w:rPr>
                <w:rFonts w:ascii="Amiri" w:cs="Amiri" w:eastAsia="Amiri" w:hAnsi="Amiri"/>
                <w:b w:val="false"/>
                <w:bCs w:val="false"/>
                <w:i w:val="false"/>
                <w:iCs w:val="false"/>
                <w:color w:val="181410"/>
                <w:sz w:val="22"/>
                <w:szCs w:val="22"/>
                <w:rtl/>
              </w:rPr>
              <w:t xml:space="preserve">طالب العلم المنتسب إلى مذهب فقهي مطالب بما طالب به أئمته أنفسهم أتباعهم: تقديم السنة الصحيحة على أقوالهم متى تعارضت معها؛ فالتعصب لقول إمام على حساب حديث ثابت مخالفة لمنهج ذلك الإمام قبل أن تكون مخالفة للسنة.</w:t>
            </w:r>
          </w:p>
        </w:tc>
      </w:tr>
    </w:tbl>
    <w:p>
      <w:pPr>
        <w:spacing w:after="160"/>
      </w:pPr>
    </w:p>
    <w:p>
      <w:pPr>
        <w:pStyle w:val="Heading2"/>
        <w:bidi/>
        <w:spacing w:after="140" w:before="320"/>
        <w:jc w:val="right"/>
      </w:pPr>
      <w:bookmarkStart w:name="bm_faqrah_7" w:id="1014"/>
      <w:r>
        <w:rPr>
          <w:rFonts w:ascii="Aref Ruqaa" w:cs="Aref Ruqaa" w:eastAsia="Aref Ruqaa" w:hAnsi="Aref Ruqaa"/>
          <w:b/>
          <w:bCs/>
          <w:i w:val="false"/>
          <w:iCs w:val="false"/>
          <w:color w:val="0D2143"/>
          <w:sz w:val="28"/>
          <w:szCs w:val="28"/>
          <w:rtl/>
        </w:rPr>
        <w:t xml:space="preserve">المبحث السابع: حجية السنة على جميع المسلمين في كل عصر ومصر</w:t>
      </w:r>
      <w:bookmarkEnd w:id="1014"/>
    </w:p>
    <w:p>
      <w:pPr>
        <w:bidi/>
        <w:spacing w:after="140" w:before="0" w:line="300"/>
        <w:jc w:val="both"/>
      </w:pPr>
      <w:r>
        <w:rPr>
          <w:rFonts w:ascii="Amiri" w:cs="Amiri" w:eastAsia="Amiri" w:hAnsi="Amiri"/>
          <w:b w:val="false"/>
          <w:bCs w:val="false"/>
          <w:i w:val="false"/>
          <w:iCs w:val="false"/>
          <w:color w:val="181410"/>
          <w:sz w:val="22"/>
          <w:szCs w:val="22"/>
          <w:rtl/>
        </w:rPr>
        <w:t xml:space="preserve">القول بأن السنة النبوية حجة على جيل الصحابة دون من جاء بعدهم قول لا يقوم على أساس، ينقضه ما تقرر في المبحث الأول من أن السنة وحي، والوحي لا يُنسخ حكمه بانقضاء زمن نزوله؛ فما دام الدين واحدًا والمكلَّف به واحدًا في وصفه ـ وهو كونه مسلمًا مخاطبًا بالتكليف ـ فلا وجه لتخصيص الاتباع بجيل دون جيل، أو بقطر دون قطر.</w:t>
      </w:r>
    </w:p>
    <w:p>
      <w:pPr>
        <w:bidi/>
        <w:spacing w:after="140" w:before="0" w:line="300"/>
        <w:jc w:val="both"/>
      </w:pPr>
      <w:r>
        <w:rPr>
          <w:rFonts w:ascii="Amiri" w:cs="Amiri" w:eastAsia="Amiri" w:hAnsi="Amiri"/>
          <w:b w:val="false"/>
          <w:bCs w:val="false"/>
          <w:i w:val="false"/>
          <w:iCs w:val="false"/>
          <w:color w:val="181410"/>
          <w:sz w:val="22"/>
          <w:szCs w:val="22"/>
          <w:rtl/>
        </w:rPr>
        <w:t xml:space="preserve">وقد عبّر أهل العلم عبر التاريخ عن هذا المعنى بصيغ متعددة: فمنهم من وصف السنة بأنها دستور دائم للأمة لا يرتبط بزمن معين، ومنهم من ردّ العصمة من الضلال إلى التمسك بالوحي بشقيه معًا، كما في حديث «تركت فيكم ما إن تمسكتم به لن تضلوا بعدي: كتاب الله وسنتي» الذي مر بنا في المبحث الثاني؛ ولاحظ أن الخطاب في هذا الحديث موجّه إلى "من تمسك"، لا إلى جيل بعينه، فشمل بعمومه كل من يأتي بعد النبي صلى الله عليه وسلم إلى قيام الساعة. وممن قرر هذا المعنى تقريرًا صريحًا شيخ الإسلام ابن تيمية رحمه الله، الذي عُرف عنه في مصنفاته تأكيد أن السنة مصدر تشريعي ملزم لا يسقط الاحتجاج به بمرور الزمن، وأن دعوى الاستغناء عنها بحجة تقدم العصر أو تغير الأحوال دعوى لا سند لها.</w:t>
      </w:r>
    </w:p>
    <w:p>
      <w:pPr>
        <w:bidi/>
        <w:spacing w:after="140" w:before="0" w:line="300"/>
        <w:jc w:val="both"/>
      </w:pPr>
      <w:r>
        <w:rPr>
          <w:rFonts w:ascii="Amiri" w:cs="Amiri" w:eastAsia="Amiri" w:hAnsi="Amiri"/>
          <w:b w:val="false"/>
          <w:bCs w:val="false"/>
          <w:i w:val="false"/>
          <w:iCs w:val="false"/>
          <w:color w:val="181410"/>
          <w:sz w:val="22"/>
          <w:szCs w:val="22"/>
          <w:rtl/>
        </w:rPr>
        <w:t xml:space="preserve">ويسند هذا المعنى دليل عقلي لا يقل قوة عن النقلي: فالعبادات التي بيّنتها السنة تفصيلًا ـ صفة الصلاة، ونصاب الزكاة، ومناسك الحج، وقد مر بيان ذلك في المبحث الرابع ـ لا يُتصور أن تكون واجبة على جيل الصحابة دون من جاء بعدهم، إذ العبادة واحدة والمكلَّف بها واحد في وصفه؛ فإما أن يُقال إن هذه العبادات سقطت عن الأمة بعد الصحابة، وهو قول لا يقول به أحد، وإما أن يُسلَّم بأن بيان السنة لها باقٍ الحجية بقاء أصلها.</w:t>
      </w:r>
    </w:p>
    <w:p>
      <w:pPr>
        <w:bidi/>
        <w:spacing w:after="140" w:before="0" w:line="300"/>
        <w:jc w:val="both"/>
      </w:pPr>
      <w:r>
        <w:rPr>
          <w:rFonts w:ascii="Amiri" w:cs="Amiri" w:eastAsia="Amiri" w:hAnsi="Amiri"/>
          <w:b w:val="false"/>
          <w:bCs w:val="false"/>
          <w:i w:val="false"/>
          <w:iCs w:val="false"/>
          <w:color w:val="181410"/>
          <w:sz w:val="22"/>
          <w:szCs w:val="22"/>
          <w:rtl/>
        </w:rPr>
        <w:t xml:space="preserve">وقد يستدل من يريد التقليل من شأن السنة بعموم آيات القرآن الموهمة أن الكتاب استوعب بيان كل شيء، زاعمًا أن القرآن وحده كافٍ لكل عصر وأن ما سواه يمكن الاستغناء عنه. وهذا الاستدلال ينقلب على صاحبه إذا تأمّله المرء بإنصاف: فمثل هذا العموم لا يُراد به نفي البيان الذي تكفّلت به السنة، وإنما المراد أن القرآن لم يفرّط في بيان أصول الدين وقواعده الكلية، ومن أعظم هذه القواعد الكلية نفسها الأمر باتباع الرسول صلى الله عليه وسلم والرجوع إلى سنته، كما تقرر في المبحث الأول؛ فمن جملة ما لم يفرّط فيه القرآن إيجابه اتباع بيان النبي صلى الله عليه وسلم فيما يحتاج الناس إلى تفصيله. فالاستدلال بمثل هذا العموم على ترك السنة استدلال به على نقيض ما دلّ عليه بالضبط.</w:t>
      </w:r>
    </w:p>
    <w:p>
      <w:pPr>
        <w:bidi/>
        <w:spacing w:after="140" w:before="0" w:line="300"/>
        <w:jc w:val="both"/>
      </w:pPr>
      <w:r>
        <w:rPr>
          <w:rFonts w:ascii="Amiri" w:cs="Amiri" w:eastAsia="Amiri" w:hAnsi="Amiri"/>
          <w:b w:val="false"/>
          <w:bCs w:val="false"/>
          <w:i w:val="false"/>
          <w:iCs w:val="false"/>
          <w:color w:val="181410"/>
          <w:sz w:val="22"/>
          <w:szCs w:val="22"/>
          <w:rtl/>
        </w:rPr>
        <w:t xml:space="preserve">وخلاصة القول أن رفض السنة، أو الاكتفاء بالقرآن دون الرجوع إليها، يفضي عمليًا إلى تعطيل أركان الدين العملية جيلًا بعد جيل؛ فكيف تُتصور صلاة أو زكاة أو حج على الوجه الذي أراده الله دون الرجوع إلى ما بيّنه النبي صلى الله عليه وسلم؟ وهذا وحده كافٍ لإسقاط كل دعوى تزعم أن حجية السنة كانت خاصة بجيل الصحابة، ثم سقطت بعدهم؛ فالعبادات التي شرعها الله لم تتغير، والمكلَّفون بها في كل عصر سواء.</w:t>
      </w:r>
    </w:p>
    <w:tbl>
      <w:tblPr>
        <w:tblW w:type="pct" w:w="100%"/>
        <w:tblBorders>
          <w:top w:val="single" w:color="E3C780" w:sz="6"/>
          <w:left w:val="single" w:color="E3C780" w:sz="24"/>
          <w:bottom w:val="single" w:color="E3C780" w:sz="6"/>
          <w:right w:val="single" w:color="E3C780"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0D2143"/>
                <w:sz w:val="18"/>
                <w:szCs w:val="18"/>
                <w:rtl/>
              </w:rPr>
              <w:t xml:space="preserve">الواجب على المسلم</w:t>
            </w:r>
          </w:p>
          <w:p>
            <w:pPr>
              <w:bidi/>
              <w:spacing w:after="0" w:before="0" w:line="300"/>
              <w:jc w:val="both"/>
            </w:pPr>
            <w:r>
              <w:rPr>
                <w:rFonts w:ascii="Amiri" w:cs="Amiri" w:eastAsia="Amiri" w:hAnsi="Amiri"/>
                <w:b w:val="false"/>
                <w:bCs w:val="false"/>
                <w:i w:val="false"/>
                <w:iCs w:val="false"/>
                <w:color w:val="181410"/>
                <w:sz w:val="22"/>
                <w:szCs w:val="22"/>
                <w:rtl/>
              </w:rPr>
              <w:t xml:space="preserve">سنة النبي صلى الله عليه وسلم حجة على المسلم في كل زمان ومكان كما كانت حجة على أصحابه؛ ودعوى تجاوزها بحجة تغير الزمان دعوى باطلة تصادم كون السنة وحيًا ثابتًا لا يزول حكمه.</w:t>
            </w:r>
          </w:p>
        </w:tc>
      </w:tr>
    </w:tbl>
    <w:p>
      <w:pPr>
        <w:spacing w:after="160"/>
      </w:pPr>
    </w:p>
    <w:p>
      <w:pPr>
        <w:pStyle w:val="Heading1"/>
        <w:pageBreakBefore/>
        <w:bidi/>
        <w:spacing w:after="160" w:before="0"/>
        <w:jc w:val="right"/>
      </w:pPr>
      <w:bookmarkStart w:name="bm_fasl2" w:id="1015"/>
      <w:r>
        <w:rPr>
          <w:rFonts w:ascii="Aref Ruqaa" w:cs="Aref Ruqaa" w:eastAsia="Aref Ruqaa" w:hAnsi="Aref Ruqaa"/>
          <w:b/>
          <w:bCs/>
          <w:i w:val="false"/>
          <w:iCs w:val="false"/>
          <w:color w:val="0A1830"/>
          <w:sz w:val="34"/>
          <w:szCs w:val="34"/>
          <w:rtl/>
        </w:rPr>
        <w:t xml:space="preserve">الفصل الثاني — أسباب ترك بعض الأئمة العمل ببعض الأحاديث</w:t>
      </w:r>
      <w:bookmarkEnd w:id="1015"/>
    </w:p>
    <w:p>
      <w:pPr>
        <w:pStyle w:val="Heading2"/>
        <w:bidi/>
        <w:spacing w:after="140" w:before="320"/>
        <w:jc w:val="right"/>
      </w:pPr>
      <w:bookmarkStart w:name="bm_faqrah_8" w:id="1016"/>
      <w:r>
        <w:rPr>
          <w:rFonts w:ascii="Aref Ruqaa" w:cs="Aref Ruqaa" w:eastAsia="Aref Ruqaa" w:hAnsi="Aref Ruqaa"/>
          <w:b/>
          <w:bCs/>
          <w:i w:val="false"/>
          <w:iCs w:val="false"/>
          <w:color w:val="0D2143"/>
          <w:sz w:val="28"/>
          <w:szCs w:val="28"/>
          <w:rtl/>
        </w:rPr>
        <w:t xml:space="preserve">المبحث الأول: عدم بلوغ الحديث إلى الإمام</w:t>
      </w:r>
      <w:bookmarkEnd w:id="1016"/>
    </w:p>
    <w:p>
      <w:pPr>
        <w:bidi/>
        <w:spacing w:after="140" w:before="0" w:line="300"/>
        <w:jc w:val="both"/>
      </w:pPr>
      <w:r>
        <w:rPr>
          <w:rFonts w:ascii="Amiri" w:cs="Amiri" w:eastAsia="Amiri" w:hAnsi="Amiri"/>
          <w:b w:val="false"/>
          <w:bCs w:val="false"/>
          <w:i w:val="false"/>
          <w:iCs w:val="false"/>
          <w:color w:val="181410"/>
          <w:sz w:val="22"/>
          <w:szCs w:val="22"/>
          <w:rtl/>
        </w:rPr>
        <w:t xml:space="preserve">
تكاد كتب التراجم تُجمع على أن الأئمة الأربعة - أبا حنيفة، ومالكًا، والشافعي، وأحمد بن حنبل رحمهم الله - كانوا في طليعة من عظّم سنة النبي صلى الله عليه وسلم وقدّمها على كل رأي واستحسان. فكيف يستقيم مع هذا التعظيم أن يُنسب إلى كل واحد منهم ترك العمل بحديث أو أكثر؟ الجواب أن هذا الاستشكال ينشأ من افتراض غير صحيح، هو أن العالم مطالَب بالعمل بكل ما صح عن النبي صلى الله عليه وسلم في نفس الأمر، بصرف النظر عما بلغه هو بعينه من ذلك. والحق أن التكليف الفقهي مرتبط بعلم المكلَّف، لا بمجموع ما في خزائن الرواية؛ فإذا لم يبلغ الحديثُ الإمامَ أصلاً، أو بلغه بسند لم يطمئن إليه، فلا مناص له من التوقف. وهذا ليس تفريطًا، بل هو مقتضى العدل في التكليف نفسه.
</w:t>
      </w:r>
    </w:p>
    <w:p>
      <w:pPr>
        <w:bidi/>
        <w:spacing w:after="140" w:before="0" w:line="300"/>
        <w:jc w:val="both"/>
      </w:pPr>
      <w:r>
        <w:rPr>
          <w:rFonts w:ascii="Amiri" w:cs="Amiri" w:eastAsia="Amiri" w:hAnsi="Amiri"/>
          <w:b w:val="false"/>
          <w:bCs w:val="false"/>
          <w:i w:val="false"/>
          <w:iCs w:val="false"/>
          <w:color w:val="181410"/>
          <w:sz w:val="22"/>
          <w:szCs w:val="22"/>
          <w:rtl/>
        </w:rPr>
        <w:t xml:space="preserve">
وكان هذا السبب - عدم البلوغ - أظهر الأسباب أثرًا في عصر الأئمة الأربعة تحديدًا، إذ لم يكن علم الحديث قد استقر بعدُ في دواوين جامعة كالتي عرفتها الأمة لاحقًا على يد أصحاب الكتب الستة. كان طالب العلم يتلقى حديثه سماعًا من أفواه الشيوخ في بلده، أو يشد الرحال إلى الأمصار طلبًا لما عند علمائها، فيصل حديث إلى إمام في مكة أو المدينة قبل أن يبلغ نظيره في الكوفة أو بغداد أو الفسطاط بسنوات، تبعًا لتباعد الديار وتفاوت طبقات من لقيهم كل واحد منهم. هذا واقع جغرافي وزمني بحت، لا صلة له بدرجة تعظيم الإمام للسنة.
</w:t>
      </w:r>
    </w:p>
    <w:p>
      <w:pPr>
        <w:bidi/>
        <w:spacing w:after="100" w:before="200" w:line="300"/>
        <w:jc w:val="right"/>
      </w:pPr>
      <w:r>
        <w:rPr>
          <w:rFonts w:ascii="Amiri" w:cs="Amiri" w:eastAsia="Amiri" w:hAnsi="Amiri"/>
          <w:b/>
          <w:bCs/>
          <w:i w:val="false"/>
          <w:iCs w:val="false"/>
          <w:color w:val="152C54"/>
          <w:sz w:val="22"/>
          <w:szCs w:val="22"/>
          <w:rtl/>
        </w:rPr>
        <w:t xml:space="preserve">شاهد من منهج الشافعي رحمه الله</w:t>
      </w:r>
    </w:p>
    <w:p>
      <w:pPr>
        <w:bidi/>
        <w:spacing w:after="140" w:before="0" w:line="300"/>
        <w:jc w:val="both"/>
      </w:pPr>
      <w:r>
        <w:rPr>
          <w:rFonts w:ascii="Amiri" w:cs="Amiri" w:eastAsia="Amiri" w:hAnsi="Amiri"/>
          <w:b w:val="false"/>
          <w:bCs w:val="false"/>
          <w:i w:val="false"/>
          <w:iCs w:val="false"/>
          <w:color w:val="181410"/>
          <w:sz w:val="22"/>
          <w:szCs w:val="22"/>
          <w:rtl/>
        </w:rPr>
        <w:t xml:space="preserve">
ولعل خير من عبّر عن هذا الأصل بلسانه هو الشافعي نفسه، إذ نُقل عنه قوله: «إِذَا وَجَدْتُمْ فِي كِتَابِي خِلَافَ سُنَّةِ رَسُولِ اللَّهِ فَقُولُوا بِسُنَّةِ رَسُولِ اللَّهِ وَدَعُوا قَوْلِي»، وقوله: «إِذَا صَحَّ الْحَدِيثُ خِلَافَ قَوْلِي فَاعْمَلُوا بِالْحَدِيثِ وَاتْرُكُوا قَوْلِي»، وقد أثبت النووي رحمه الله معنى هذين القولين في غير موضع من كتبه. وليس هذان القولان مجرد توصية أدبية بالتواضع، بل هما إقرار صريح من الشافعي بأن اجتهاده الفقهي دالٌّ، في زمن معين، على ما بلغه من العلم في ذلك الزمن، لا على مجموع السنة كما هي في نفس الأمر. ومن هنا تُفهم ظاهرة قوليه القديم والجديد: أفتى في العراق بما استقر عنده من العلم هناك، فلما انتقل إلى مصر واتسعت روايته وتغيرت بعض معطياته، غيّر بعض ما أفتى به من قبل، لا تناقضًا في المنهج، بل وفاءً لمنهجه ذاته في اتباع الحديث حيثما ثبت.
</w:t>
      </w:r>
    </w:p>
    <w:tbl>
      <w:tblPr>
        <w:tblW w:type="pct" w:w="100%"/>
        <w:tblBorders>
          <w:top w:val="single" w:color="A9812A" w:sz="6"/>
          <w:left w:val="single" w:color="A9812A" w:sz="24"/>
          <w:bottom w:val="single" w:color="A9812A" w:sz="6"/>
          <w:right w:val="single" w:color="A9812A" w:sz="6"/>
          <w:insideH w:val="single" w:color="auto" w:sz="4"/>
          <w:insideV w:val="single" w:color="auto" w:sz="4"/>
        </w:tblBorders>
      </w:tblPr>
      <w:tblGrid>
        <w:gridCol w:w="100"/>
      </w:tblGrid>
      <w:tr>
        <w:tc>
          <w:tcPr>
            <w:shd w:fill="FFFFFF"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8A6A1F"/>
                <w:sz w:val="18"/>
                <w:szCs w:val="18"/>
                <w:rtl/>
              </w:rPr>
              <w:t xml:space="preserve">تنبيه</w:t>
            </w:r>
          </w:p>
        </w:tc>
      </w:tr>
    </w:tbl>
    <w:p>
      <w:pPr>
        <w:spacing w:after="140"/>
      </w:pPr>
    </w:p>
    <w:p>
      <w:pPr>
        <w:bidi/>
        <w:spacing w:after="140" w:before="0" w:line="300"/>
        <w:jc w:val="both"/>
      </w:pPr>
      <w:r>
        <w:rPr>
          <w:rFonts w:ascii="Amiri" w:cs="Amiri" w:eastAsia="Amiri" w:hAnsi="Amiri"/>
          <w:b w:val="false"/>
          <w:bCs w:val="false"/>
          <w:i w:val="false"/>
          <w:iCs w:val="false"/>
          <w:color w:val="181410"/>
          <w:sz w:val="22"/>
          <w:szCs w:val="22"/>
          <w:rtl/>
        </w:rPr>
        <w:t xml:space="preserve">
وتزداد الصورة وضوحًا بمثال عملي: لم يعمل الإمام مالك بما ورد في الأذان والإقامة في أذن المولود، بينما عمل به الإمام أحمد بن حنبل حين بلغه بسند رآه معتبرًا. فهل معنى ذلك أن مالكًا حكم على الحديث بالبطلان وأحمد حكم عليه بالصحة، فتناقضا؟ كلا؛ الأقرب أن الحديث لم يبلغ مالكًا بإسناد اطمأن إليه، فتوقف عملاً بأصله في التثبت، بينما بلغ أحمد بطريق وثق به فعمل. اختلافهما إذن اختلاف في المعلوم، لا اختلاف في الحكم على المجهول، وهذا فارق جوهري: لا أحد من أهل العلم - مهما اتسعت روايته - أحاط بكل ما صح عن النبي صلى الله عليه وسلم، ولو زعم عالم ذلك لكان زعمه هو الجدير بالمساءلة، لا توقف من توقف تورعًا.
</w:t>
      </w:r>
    </w:p>
    <w:p>
      <w:pPr>
        <w:bidi/>
        <w:spacing w:after="140" w:before="0" w:line="300"/>
        <w:jc w:val="both"/>
      </w:pPr>
      <w:r>
        <w:rPr>
          <w:rFonts w:ascii="Amiri" w:cs="Amiri" w:eastAsia="Amiri" w:hAnsi="Amiri"/>
          <w:b w:val="false"/>
          <w:bCs w:val="false"/>
          <w:i w:val="false"/>
          <w:iCs w:val="false"/>
          <w:color w:val="181410"/>
          <w:sz w:val="22"/>
          <w:szCs w:val="22"/>
          <w:rtl/>
        </w:rPr>
        <w:t xml:space="preserve">
وهذا العذر خاص أساسًا بذلك الطور المبكر من تاريخ التدوين. فمن جاء بعد الأئمة الأربعة من المحققين، وبين يديه الصحيحان والسنن والمسانيد مجموعة مبوبة، قد يقف على حديث لم يبلغ إمامًا متقدمًا، فيستدرك عليه. لكنه استدراك تلميذ بارّ لا استدراك خصم، لأنه يقوم على إنصاف الإمام بالإقرار بأن ما فاته إنما فاته لأمر خارج عن إرادته، لا عن تفريط منه. ويحسن التنبيه، قبل الانتقال إلى السبب التالي، إلى أن عدم البلوغ غير الشك في الثبوت: فالأول انقطاع في اتصال الخبر بالإمام أصلاً، والثاني وصول الخبر إليه مقرونًا بريبة في سنده، وهما مسألتان تحكمهما موازين مختلفة، وإن اشتبهتا أحيانًا على من لا يميز بينهما.
</w:t>
      </w:r>
    </w:p>
    <w:tbl>
      <w:tblPr>
        <w:tblW w:type="pct" w:w="100%"/>
        <w:tblBorders>
          <w:top w:val="single" w:color="E3C780" w:sz="6"/>
          <w:left w:val="single" w:color="E3C780" w:sz="24"/>
          <w:bottom w:val="single" w:color="E3C780" w:sz="6"/>
          <w:right w:val="single" w:color="E3C780"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0D2143"/>
                <w:sz w:val="18"/>
                <w:szCs w:val="18"/>
                <w:rtl/>
              </w:rPr>
              <w:t xml:space="preserve">الواجب على المسلم</w:t>
            </w:r>
          </w:p>
          <w:p>
            <w:pPr>
              <w:bidi/>
              <w:spacing w:after="0" w:before="0" w:line="300"/>
              <w:jc w:val="both"/>
            </w:pPr>
            <w:r>
              <w:rPr>
                <w:rFonts w:ascii="Amiri" w:cs="Amiri" w:eastAsia="Amiri" w:hAnsi="Amiri"/>
                <w:b w:val="false"/>
                <w:bCs w:val="false"/>
                <w:i w:val="false"/>
                <w:iCs w:val="false"/>
                <w:color w:val="181410"/>
                <w:sz w:val="22"/>
                <w:szCs w:val="22"/>
                <w:rtl/>
              </w:rPr>
              <w:t xml:space="preserve">
من حقّ أئمة الهدى على من يذكرهم أن يُحمل تركهم العمل بحديث لم يبلغهم على أحسن محمل، لا على التهاون بالسنة. ومن أراد أن يقتدي بمنهج الشافعي رحمه الله فليقدّم الحديث الصحيح إذا تبين له على كل قول سبقه، فذلك عين الإنصاف واتباع الحق أينما ظهر.
</w:t>
            </w:r>
          </w:p>
        </w:tc>
      </w:tr>
    </w:tbl>
    <w:p>
      <w:pPr>
        <w:spacing w:after="160"/>
      </w:pPr>
    </w:p>
    <w:p>
      <w:pPr>
        <w:pStyle w:val="Heading2"/>
        <w:bidi/>
        <w:spacing w:after="140" w:before="320"/>
        <w:jc w:val="right"/>
      </w:pPr>
      <w:bookmarkStart w:name="bm_faqrah_9" w:id="1017"/>
      <w:r>
        <w:rPr>
          <w:rFonts w:ascii="Aref Ruqaa" w:cs="Aref Ruqaa" w:eastAsia="Aref Ruqaa" w:hAnsi="Aref Ruqaa"/>
          <w:b/>
          <w:bCs/>
          <w:i w:val="false"/>
          <w:iCs w:val="false"/>
          <w:color w:val="0D2143"/>
          <w:sz w:val="28"/>
          <w:szCs w:val="28"/>
          <w:rtl/>
        </w:rPr>
        <w:t xml:space="preserve">المبحث الثاني: ضعف السند أو عدم ثبوت الحديث</w:t>
      </w:r>
      <w:bookmarkEnd w:id="1017"/>
    </w:p>
    <w:p>
      <w:pPr>
        <w:bidi/>
        <w:spacing w:after="140" w:before="0" w:line="300"/>
        <w:jc w:val="both"/>
      </w:pPr>
      <w:r>
        <w:rPr>
          <w:rFonts w:ascii="Amiri" w:cs="Amiri" w:eastAsia="Amiri" w:hAnsi="Amiri"/>
          <w:b w:val="false"/>
          <w:bCs w:val="false"/>
          <w:i w:val="false"/>
          <w:iCs w:val="false"/>
          <w:color w:val="181410"/>
          <w:sz w:val="22"/>
          <w:szCs w:val="22"/>
          <w:rtl/>
        </w:rPr>
        <w:t xml:space="preserve">
إذا كان السبب الأول متعلقًا بما لم يبلغ الإمام أصلاً، فإن هذا السبب أخطر موقعًا، لأنه يتناول حديثًا بلغ الإمام فعلاً، ثم امتنع عن العمل به لضعف في سنده أو عدم ثبوته عنده. وقد يستشكل بعض الناس هذا الموضع بالذات، فيظن أن ردّ حديثٍ بلغ العالم ضربٌ من تقديم الرأي على النص. والحق أن هذا الفهم مقلوب: فالإمام حين يرد حديثًا لضعف سنده لا يقدّم عقله على السنة، بل يمتنع عن نسبة قول إلى النبي صلى الله عليه وسلم لم يثبت عنده أنه قاله. الورع هنا كامن في التوقف، لا في التسرع بالقبول؛ فلو أخذ العالم بكل ما يُروى دون تمحيص لصار ذلك بابًا مفتوحًا لنسبة كل مقول - صحيحه وسقيمه - إلى رسول الله صلى الله عليه وسلم، وهذا هو المحذور الحقيقي الجدير بأن يُخشى، لا التثبت والتحري.
</w:t>
      </w:r>
    </w:p>
    <w:p>
      <w:pPr>
        <w:bidi/>
        <w:spacing w:after="140" w:before="0" w:line="300"/>
        <w:jc w:val="both"/>
      </w:pPr>
      <w:r>
        <w:rPr>
          <w:rFonts w:ascii="Amiri" w:cs="Amiri" w:eastAsia="Amiri" w:hAnsi="Amiri"/>
          <w:b w:val="false"/>
          <w:bCs w:val="false"/>
          <w:i w:val="false"/>
          <w:iCs w:val="false"/>
          <w:color w:val="181410"/>
          <w:sz w:val="22"/>
          <w:szCs w:val="22"/>
          <w:rtl/>
        </w:rPr>
        <w:t xml:space="preserve">
ولذلك اشترط الأئمة الأربعة لقبول الحديث والاحتجاج به شروطًا معلومة عند أهل هذا الفن: اتصال السند من أوله إلى منتهاه، وعدالة رواته وضبطهم، وسلامة المتن من الشذوذ والعلة القادحة. فما لم تتحقق هذه الشروط في نظر الإمام، امتنع عن جعل الحديث حجة ملزمة في الأحكام، وإن كان قد يذكره استئناسًا في غير مقام الإلزام.
</w:t>
      </w:r>
    </w:p>
    <w:tbl>
      <w:tblPr>
        <w:tblW w:type="pct" w:w="100%"/>
        <w:tblBorders>
          <w:top w:val="single" w:color="152C54" w:sz="6"/>
          <w:left w:val="single" w:color="152C54" w:sz="24"/>
          <w:bottom w:val="single" w:color="152C54" w:sz="6"/>
          <w:right w:val="single" w:color="152C54"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80" w:before="0" w:line="300"/>
              <w:jc w:val="both"/>
            </w:pPr>
            <w:r>
              <w:rPr>
                <w:rFonts w:ascii="Amiri" w:cs="Amiri" w:eastAsia="Amiri" w:hAnsi="Amiri"/>
                <w:b w:val="false"/>
                <w:bCs w:val="false"/>
                <w:i w:val="false"/>
                <w:iCs w:val="false"/>
                <w:color w:val="181410"/>
                <w:sz w:val="22"/>
                <w:szCs w:val="22"/>
                <w:rtl/>
              </w:rPr>
              <w:t xml:space="preserve">
</w:t>
            </w:r>
            <w:r>
              <w:rPr>
                <w:rFonts w:ascii="Amiri" w:cs="Amiri" w:eastAsia="Amiri" w:hAnsi="Amiri"/>
                <w:b/>
                <w:bCs/>
                <w:i w:val="false"/>
                <w:iCs w:val="false"/>
                <w:color w:val="0D2143"/>
                <w:sz w:val="22"/>
                <w:szCs w:val="22"/>
                <w:rtl/>
              </w:rPr>
              <w:t xml:space="preserve">الحديث المرسل:</w:t>
            </w:r>
            <w:r>
              <w:rPr>
                <w:rFonts w:ascii="Amiri" w:cs="Amiri" w:eastAsia="Amiri" w:hAnsi="Amiri"/>
                <w:b w:val="false"/>
                <w:bCs w:val="false"/>
                <w:i w:val="false"/>
                <w:iCs w:val="false"/>
                <w:color w:val="181410"/>
                <w:sz w:val="22"/>
                <w:szCs w:val="22"/>
                <w:rtl/>
              </w:rPr>
              <w:t xml:space="preserve"> هو ما رفعه التابعي إلى النبي صلى الله عليه وسلم بإسقاط الصحابي من السند.</w:t>
            </w:r>
            <w:r>
              <w:rPr>
                <w:rFonts w:ascii="Amiri" w:cs="Amiri" w:eastAsia="Amiri" w:hAnsi="Amiri"/>
                <w:b w:val="false"/>
                <w:bCs w:val="false"/>
                <w:i w:val="false"/>
                <w:iCs w:val="false"/>
                <w:color w:val="181410"/>
                <w:sz w:val="22"/>
                <w:szCs w:val="22"/>
                <w:rtl/>
              </w:rPr>
              <w:t xml:space="preserve">
</w:t>
            </w:r>
            <w:r>
              <w:rPr>
                <w:rFonts w:ascii="Amiri" w:cs="Amiri" w:eastAsia="Amiri" w:hAnsi="Amiri"/>
                <w:b/>
                <w:bCs/>
                <w:i w:val="false"/>
                <w:iCs w:val="false"/>
                <w:color w:val="0D2143"/>
                <w:sz w:val="22"/>
                <w:szCs w:val="22"/>
                <w:rtl/>
              </w:rPr>
              <w:t xml:space="preserve">الحديث المتصل:</w:t>
            </w:r>
            <w:r>
              <w:rPr>
                <w:rFonts w:ascii="Amiri" w:cs="Amiri" w:eastAsia="Amiri" w:hAnsi="Amiri"/>
                <w:b w:val="false"/>
                <w:bCs w:val="false"/>
                <w:i w:val="false"/>
                <w:iCs w:val="false"/>
                <w:color w:val="181410"/>
                <w:sz w:val="22"/>
                <w:szCs w:val="22"/>
                <w:rtl/>
              </w:rPr>
              <w:t xml:space="preserve"> هو ما اتصل سنده من راويه إلى النبي صلى الله عليه وسلم دون سقوط أحد رواته.</w:t>
            </w:r>
            <w:r>
              <w:rPr>
                <w:rFonts w:ascii="Amiri" w:cs="Amiri" w:eastAsia="Amiri" w:hAnsi="Amiri"/>
                <w:b w:val="false"/>
                <w:bCs w:val="false"/>
                <w:i w:val="false"/>
                <w:iCs w:val="false"/>
                <w:color w:val="181410"/>
                <w:sz w:val="22"/>
                <w:szCs w:val="22"/>
                <w:rtl/>
              </w:rPr>
              <w:t xml:space="preserve">
</w:t>
            </w:r>
            <w:r>
              <w:rPr>
                <w:rFonts w:ascii="Amiri" w:cs="Amiri" w:eastAsia="Amiri" w:hAnsi="Amiri"/>
                <w:b/>
                <w:bCs/>
                <w:i w:val="false"/>
                <w:iCs w:val="false"/>
                <w:color w:val="0D2143"/>
                <w:sz w:val="22"/>
                <w:szCs w:val="22"/>
                <w:rtl/>
              </w:rPr>
              <w:t xml:space="preserve">الحديث الضعيف:</w:t>
            </w:r>
            <w:r>
              <w:rPr>
                <w:rFonts w:ascii="Amiri" w:cs="Amiri" w:eastAsia="Amiri" w:hAnsi="Amiri"/>
                <w:b w:val="false"/>
                <w:bCs w:val="false"/>
                <w:i w:val="false"/>
                <w:iCs w:val="false"/>
                <w:color w:val="181410"/>
                <w:sz w:val="22"/>
                <w:szCs w:val="22"/>
                <w:rtl/>
              </w:rPr>
              <w:t xml:space="preserve"> ما لم تتوفر فيه شروط الصحة أو الحسن من اتصال السند وعدالة الرواة وضبطهم وسلامته من الشذوذ والعلة.
</w:t>
            </w:r>
          </w:p>
        </w:tc>
      </w:tr>
    </w:tbl>
    <w:p>
      <w:pPr>
        <w:spacing w:after="140"/>
      </w:pPr>
    </w:p>
    <w:p>
      <w:pPr>
        <w:bidi/>
        <w:spacing w:after="140" w:before="0" w:line="300"/>
        <w:jc w:val="both"/>
      </w:pPr>
      <w:r>
        <w:rPr>
          <w:rFonts w:ascii="Amiri" w:cs="Amiri" w:eastAsia="Amiri" w:hAnsi="Amiri"/>
          <w:b w:val="false"/>
          <w:bCs w:val="false"/>
          <w:i w:val="false"/>
          <w:iCs w:val="false"/>
          <w:color w:val="181410"/>
          <w:sz w:val="22"/>
          <w:szCs w:val="22"/>
          <w:rtl/>
        </w:rPr>
        <w:t xml:space="preserve">
فأبو حنيفة رحمه الله يمثل الطرف الأشد تحريًا في هذا الباب، إذ استقر في أصول مذهبه تقديم الحديث المتصل الثابت على المرسل عند التعارض بينهما. ولا يوجد نص محفوظ بلفظه عنه في هذا، إذ لم يدوّن أبو حنيفة فقهه بقلمه، وإنما وصل إلينا عبر تلامذته ومن دوّن مذهبه من بعده؛ غير أن هذا التوجه استقر واطرد في المذهب حتى صار من أبرز معالمه، وهو ينسجم مع ما عُرف عنه من شدة التثبت في قبول الأخبار.
</w:t>
      </w:r>
    </w:p>
    <w:p>
      <w:pPr>
        <w:bidi/>
        <w:spacing w:after="140" w:before="0" w:line="300"/>
        <w:jc w:val="both"/>
      </w:pPr>
      <w:r>
        <w:rPr>
          <w:rFonts w:ascii="Amiri" w:cs="Amiri" w:eastAsia="Amiri" w:hAnsi="Amiri"/>
          <w:b w:val="false"/>
          <w:bCs w:val="false"/>
          <w:i w:val="false"/>
          <w:iCs w:val="false"/>
          <w:color w:val="181410"/>
          <w:sz w:val="22"/>
          <w:szCs w:val="22"/>
          <w:rtl/>
        </w:rPr>
        <w:t xml:space="preserve">
ولم يكن أحمد بن حنبل رحمه الله - رغم سعة اطلاعه واتساع روايته حتى عُدّ من أوسع أهل زمانه حفظًا للحديث - بمنأى عن هذا المسلك؛ فقد كان يترك العمل ببعض ما لم يثبت له صحة سنده بعد الفحص، خصوصًا في المسائل التي لا تحتمل غير دليل قاطع. وفي هذا مفارقة تستحق التأمل: أن يكون أوسع الأئمة رواية أشدهم في بعض المواضع امتناعًا عن العمل. وتفسيرها أن سعة الرواية توسّع دائرة العلم بعلل الأسانيد كما توسّع دائرة العلم بمتونها، فمن عرف الطرق الكثيرة لحديث واحد كان أقدر على كشف عيوبها ممن لم يعرف منها إلا طريقًا واحدًا.
</w:t>
      </w:r>
    </w:p>
    <w:p>
      <w:pPr>
        <w:bidi/>
        <w:spacing w:after="140" w:before="0" w:line="300"/>
        <w:jc w:val="both"/>
      </w:pPr>
      <w:r>
        <w:rPr>
          <w:rFonts w:ascii="Amiri" w:cs="Amiri" w:eastAsia="Amiri" w:hAnsi="Amiri"/>
          <w:b w:val="false"/>
          <w:bCs w:val="false"/>
          <w:i w:val="false"/>
          <w:iCs w:val="false"/>
          <w:color w:val="181410"/>
          <w:sz w:val="22"/>
          <w:szCs w:val="22"/>
          <w:rtl/>
        </w:rPr>
        <w:t xml:space="preserve">
والحكم على السند بالصحة أو الضعف اجتهاد، لا نص منزّل، يتفاوت فيه أهل العلم بحسب معرفتهم برجاله وطبقاتهم؛ فقد يرى إمام حديثًا معلولاً لعلة ظهرت له، ويراه آخر سليمًا لأنه وقف على متابعة أو شاهد يقويه لم يبلغ الأول. وليس هذا التفاوت خللاً في المنهج، بل أثر طبيعي لتفاوت العلم، شأنه شأن تفاوت البلوغ الذي تقدم في المبحث السابق. بل إن الموضعين يتداخلان أحيانًا حتى يصعب التمييز بينهما: فقد يُظن أن حديثًا لم يبلغ إمامًا، والحقيقة أنه بلغه لكن بسند لم يثبت عنده، فامتنع لهذه العلة لا لعدم البلوغ. والفرق دقيق، لكنه مهم لمن أراد أن يفهم موقف كل إمام على حقيقته لا على الظن به.
</w:t>
      </w:r>
    </w:p>
    <w:tbl>
      <w:tblPr>
        <w:tblW w:type="pct" w:w="100%"/>
        <w:tblBorders>
          <w:top w:val="single" w:color="E3C780" w:sz="6"/>
          <w:left w:val="single" w:color="E3C780" w:sz="24"/>
          <w:bottom w:val="single" w:color="E3C780" w:sz="6"/>
          <w:right w:val="single" w:color="E3C780"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0D2143"/>
                <w:sz w:val="18"/>
                <w:szCs w:val="18"/>
                <w:rtl/>
              </w:rPr>
              <w:t xml:space="preserve">الواجب على المسلم</w:t>
            </w:r>
          </w:p>
          <w:p>
            <w:pPr>
              <w:bidi/>
              <w:spacing w:after="0" w:before="0" w:line="300"/>
              <w:jc w:val="both"/>
            </w:pPr>
            <w:r>
              <w:rPr>
                <w:rFonts w:ascii="Amiri" w:cs="Amiri" w:eastAsia="Amiri" w:hAnsi="Amiri"/>
                <w:b w:val="false"/>
                <w:bCs w:val="false"/>
                <w:i w:val="false"/>
                <w:iCs w:val="false"/>
                <w:color w:val="181410"/>
                <w:sz w:val="22"/>
                <w:szCs w:val="22"/>
                <w:rtl/>
              </w:rPr>
              <w:t xml:space="preserve">
التحري في ثبوت الحديث قبل العمل به أصل من أصول منهج أهل السنة والجماعة، وترك إمام العمل بحديث لم يثبت عنده سنده أمانة علمية لا تفريط. فليُحذر من اتخاذ ذلك ذريعة للطعن في الأئمة، إذ هو أدلّ شيء على شدة تحريهم فيما ينسبونه إلى النبي صلى الله عليه وسلم.
</w:t>
            </w:r>
          </w:p>
        </w:tc>
      </w:tr>
    </w:tbl>
    <w:p>
      <w:pPr>
        <w:spacing w:after="160"/>
      </w:pPr>
    </w:p>
    <w:p>
      <w:pPr>
        <w:pStyle w:val="Heading2"/>
        <w:bidi/>
        <w:spacing w:after="140" w:before="320"/>
        <w:jc w:val="right"/>
      </w:pPr>
      <w:bookmarkStart w:name="bm_faqrah_10" w:id="1018"/>
      <w:r>
        <w:rPr>
          <w:rFonts w:ascii="Aref Ruqaa" w:cs="Aref Ruqaa" w:eastAsia="Aref Ruqaa" w:hAnsi="Aref Ruqaa"/>
          <w:b/>
          <w:bCs/>
          <w:i w:val="false"/>
          <w:iCs w:val="false"/>
          <w:color w:val="0D2143"/>
          <w:sz w:val="28"/>
          <w:szCs w:val="28"/>
          <w:rtl/>
        </w:rPr>
        <w:t xml:space="preserve">المبحث الثالث: معارضة الحديث لما هو أقوى منه سندًا أو دلالة</w:t>
      </w:r>
      <w:bookmarkEnd w:id="1018"/>
    </w:p>
    <w:p>
      <w:pPr>
        <w:bidi/>
        <w:spacing w:after="140" w:before="0" w:line="300"/>
        <w:jc w:val="both"/>
      </w:pPr>
      <w:r>
        <w:rPr>
          <w:rFonts w:ascii="Amiri" w:cs="Amiri" w:eastAsia="Amiri" w:hAnsi="Amiri"/>
          <w:b w:val="false"/>
          <w:bCs w:val="false"/>
          <w:i w:val="false"/>
          <w:iCs w:val="false"/>
          <w:color w:val="181410"/>
          <w:sz w:val="22"/>
          <w:szCs w:val="22"/>
          <w:rtl/>
        </w:rPr>
        <w:t xml:space="preserve">
قد يجد الإمام حديثين صحيحين يتناولان مسألة واحدة، إلا أن أحدهما أقوى من الآخر سندًا أو أبين دلالة على الحكم، فيعمل بالأرجح ويترك ظاهر الآخر. وهذا مما ينبغي أن يُفهم على وجهه الصحيح: فالحديث المتروك العمل بظاهره هنا لم يُحكم عليه بضعف ولا بطلان، وإنما وقع تعارض في الظاهر بينه وبين نص آخر أقوى، ولا يجوز عند أهل العلم الأخذ بدليلين متعارضين معًا في آن واحد؛ بل لا بد من الجمع بينهما إن أمكن، أو الترجيح عند تعذر الجمع، أو المصير إلى النسخ إن ثبت تأخر أحدهما وتعذر معه الجمع والترجيح جميعًا.
</w:t>
      </w:r>
    </w:p>
    <w:p>
      <w:pPr>
        <w:bidi/>
        <w:spacing w:after="140" w:before="0" w:line="300"/>
        <w:jc w:val="both"/>
      </w:pPr>
      <w:r>
        <w:rPr>
          <w:rFonts w:ascii="Amiri" w:cs="Amiri" w:eastAsia="Amiri" w:hAnsi="Amiri"/>
          <w:b w:val="false"/>
          <w:bCs w:val="false"/>
          <w:i w:val="false"/>
          <w:iCs w:val="false"/>
          <w:color w:val="181410"/>
          <w:sz w:val="22"/>
          <w:szCs w:val="22"/>
          <w:rtl/>
        </w:rPr>
        <w:t xml:space="preserve">
وقد فصّل شيخ الإسلام ابن تيمية رحمه الله هذا الأصل في مواضع كثيرة من كتبه، مقررًا أن السعي إلى الجمع بين الدليلين الصحيحين مقدّم على المصير إلى الترجيح، لأن في الجمع إعمالًا للنصين معًا، وفي الترجيح إهدارًا لأحدهما في هذه المسألة بعينها. فإن تعذر الجمع، وجب النظر في موازين الترجيح: قوة السند، ووضوح الدلالة على المراد. فإن ثبت تأخر أحد النصين زمنًا عن الآخر وتعذر معه الجمع، حُمل الأمر على النسخ. وهذا المنهج - وإن تفاوت الأئمة الأربعة في تطبيق تفصيلاته على بعض الجزئيات - كان مسلكهم جميعًا في التعامل مع ما يظهر من تعارض النصوص.
</w:t>
      </w:r>
    </w:p>
    <w:p>
      <w:pPr>
        <w:bidi/>
        <w:spacing w:after="140" w:before="0" w:line="300"/>
        <w:jc w:val="both"/>
      </w:pPr>
      <w:r>
        <w:rPr>
          <w:rFonts w:ascii="Amiri" w:cs="Amiri" w:eastAsia="Amiri" w:hAnsi="Amiri"/>
          <w:b w:val="false"/>
          <w:bCs w:val="false"/>
          <w:i w:val="false"/>
          <w:iCs w:val="false"/>
          <w:color w:val="181410"/>
          <w:sz w:val="22"/>
          <w:szCs w:val="22"/>
          <w:rtl/>
        </w:rPr>
        <w:t xml:space="preserve">
ولعل أدق مثال يوضح هذا الأصل عمليًا ما ذهب إليه الإمام أحمد بن حنبل رحمه الله في مسألة قضاء السنن الراتبة بعد صلاة العصر. فقد ثبتت أحاديث صحيحة عامة تنهى عن التطوع بعد العصر حتى تغرب الشمس، وهي نصوص لا مطعن فيها. وفي المقابل، ثبت في الصحيح من حديث أم سلمة رضي الله عنها أن النبي صلى الله عليه وسلم صلى ركعتين بعد العصر قضاءً لسنة الظهر التي فاتته، وأخبر أنه سيداوم عليهما. فهنا نص عام بالنهي، ونص خاص بالفعل يخالف ظاهر ذلك العموم في صورة بعينها.
</w:t>
      </w:r>
    </w:p>
    <w:p>
      <w:pPr>
        <w:bidi/>
        <w:spacing w:after="140" w:before="0" w:line="300"/>
        <w:jc w:val="both"/>
      </w:pPr>
      <w:r>
        <w:rPr>
          <w:rFonts w:ascii="Amiri" w:cs="Amiri" w:eastAsia="Amiri" w:hAnsi="Amiri"/>
          <w:b w:val="false"/>
          <w:bCs w:val="false"/>
          <w:i w:val="false"/>
          <w:iCs w:val="false"/>
          <w:color w:val="181410"/>
          <w:sz w:val="22"/>
          <w:szCs w:val="22"/>
          <w:rtl/>
        </w:rPr>
        <w:t xml:space="preserve">
فماذا صنع أحمد؟ لم يُسقط أحد النصين، بل جمع بينهما جمعًا أدق مما يُتصور للوهلة الأولى: حمل عموم النهي على التطوع المبتدأ الذي لا سبب متقدم له، وحمل حديث أم سلمة على ما كان قضاءً لفريضة أو سنة راتبة فاتت بسبب طارئ. فالنهي يبقى على إطلاقه فيما لا سبب له، والرخصة تثبت فيما له سبب متقدم، والنصان معًا محكّمان كل في موضعه، ولا تعارض بينهما إلا في الظاهر السطحي الذي يزول بأدنى تأمل في القرينة الفعلية النبوية. وهذا بعينه ما قرره ابن تيمية من تقديم الجمع على الترجيح متى أمكن: فأحمد لم يرجّح حديث أم سلمة على عموم النهي إلغاءً له، بل خصّصه به في صورته الخاصة، وأبقى العموم فيما عداها.
</w:t>
      </w:r>
    </w:p>
    <w:tbl>
      <w:tblPr>
        <w:tblW w:type="pct" w:w="100%"/>
        <w:tblBorders>
          <w:top w:val="single" w:color="8C3B2E" w:sz="6"/>
          <w:left w:val="single" w:color="8C3B2E" w:sz="24"/>
          <w:bottom w:val="single" w:color="8C3B2E" w:sz="6"/>
          <w:right w:val="single" w:color="8C3B2E" w:sz="6"/>
          <w:insideH w:val="single" w:color="auto" w:sz="4"/>
          <w:insideV w:val="single" w:color="auto" w:sz="4"/>
        </w:tblBorders>
      </w:tblPr>
      <w:tblGrid>
        <w:gridCol w:w="100"/>
      </w:tblGrid>
      <w:tr>
        <w:tc>
          <w:tcPr>
            <w:shd w:fill="FBF7EE" w:val="clear"/>
            <w:tcMar>
              <w:top w:type="dxa" w:w="160"/>
              <w:left w:type="dxa" w:w="200"/>
              <w:bottom w:type="dxa" w:w="160"/>
              <w:right w:type="dxa" w:w="200"/>
            </w:tcMar>
          </w:tcPr>
          <w:p>
            <w:pPr>
              <w:bidi/>
              <w:spacing w:after="100" w:before="0" w:line="300"/>
              <w:jc w:val="right"/>
            </w:pPr>
          </w:p>
          <w:p>
            <w:pPr>
              <w:bidi/>
              <w:spacing w:after="0" w:before="0" w:line="300"/>
              <w:jc w:val="both"/>
            </w:pPr>
            <w:r>
              <w:rPr>
                <w:rFonts w:ascii="Amiri" w:cs="Amiri" w:eastAsia="Amiri" w:hAnsi="Amiri"/>
                <w:b w:val="false"/>
                <w:bCs w:val="false"/>
                <w:i w:val="false"/>
                <w:iCs w:val="false"/>
                <w:color w:val="181410"/>
                <w:sz w:val="22"/>
                <w:szCs w:val="22"/>
                <w:rtl/>
              </w:rPr>
              <w:t xml:space="preserve">
يظن بعض الناس أن مذهب الإمام أحمد يمنع الصلاة مطلقًا بعد العصر بلا استثناء، وهذا وهمٌ ناشئ عن الاكتفاء بعموم النهي دون النظر في تخصيصه. والصواب أن الحنابلة يجيزون الصلاة بعد العصر إذا كانت ذات سبب متقدم كقضاء سنة راتبة فاتت، اعتمادًا على حديث أم سلمة رضي الله عنها، وإنما الممنوع عندهم ابتداء نافلة مطلقة لا سبب لها. فلا يصح أن يُنسب إلى الإمام أحمد ترك العمل بحديث الرخصة جملة، بل الصحيح أنه أعمل النصين معًا كل في موضعه، وهذا أدق تمثيلاً لمنهجه في الجمع لا في مجرد الترجيح.
</w:t>
            </w:r>
          </w:p>
        </w:tc>
      </w:tr>
    </w:tbl>
    <w:p>
      <w:pPr>
        <w:spacing w:after="140"/>
      </w:pPr>
    </w:p>
    <w:p>
      <w:pPr>
        <w:bidi/>
        <w:spacing w:after="140" w:before="0" w:line="300"/>
        <w:jc w:val="both"/>
      </w:pPr>
      <w:r>
        <w:rPr>
          <w:rFonts w:ascii="Amiri" w:cs="Amiri" w:eastAsia="Amiri" w:hAnsi="Amiri"/>
          <w:b w:val="false"/>
          <w:bCs w:val="false"/>
          <w:i w:val="false"/>
          <w:iCs w:val="false"/>
          <w:color w:val="181410"/>
          <w:sz w:val="22"/>
          <w:szCs w:val="22"/>
          <w:rtl/>
        </w:rPr>
        <w:t xml:space="preserve">
وتتعدد أوجه الترجيح التي اعتمدها أهل العلم عند تعذر الجمع: كثرة طرق الحديث، ودرجة ضبط رواته وعدالتهم، وكون أحد النصين خاصًا والآخر عامًا. أما إذا أمكن الجمع بتخصيص عموم أو تقييد مطلق - كما في مثال قضاء السنة بعد العصر المتقدم - فهو مقدَّم على الترجيح كما تقرر آنفًا، إذ يبقى النصان معًا محكَّمين دون إسقاط أحدهما. ويحسن هنا التمييز بين هذا الموضع وما يأتي بعده من اشتباه الدلالة: فالحديث هنا ثابت واضح في ذاته، وإنما نشأ الإشكال من معارضته لنص آخر أقوى، بخلاف الآتي حيث يكون الإشكال داخليًا في فهم النص الواحد نفسه، لا في معارضته لغيره.
</w:t>
      </w:r>
    </w:p>
    <w:tbl>
      <w:tblPr>
        <w:tblW w:type="pct" w:w="100%"/>
        <w:tblBorders>
          <w:top w:val="single" w:color="E3C780" w:sz="6"/>
          <w:left w:val="single" w:color="E3C780" w:sz="24"/>
          <w:bottom w:val="single" w:color="E3C780" w:sz="6"/>
          <w:right w:val="single" w:color="E3C780"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0D2143"/>
                <w:sz w:val="18"/>
                <w:szCs w:val="18"/>
                <w:rtl/>
              </w:rPr>
              <w:t xml:space="preserve">الواجب على المسلم</w:t>
            </w:r>
          </w:p>
          <w:p>
            <w:pPr>
              <w:bidi/>
              <w:spacing w:after="0" w:before="0" w:line="300"/>
              <w:jc w:val="both"/>
            </w:pPr>
            <w:r>
              <w:rPr>
                <w:rFonts w:ascii="Amiri" w:cs="Amiri" w:eastAsia="Amiri" w:hAnsi="Amiri"/>
                <w:b w:val="false"/>
                <w:bCs w:val="false"/>
                <w:i w:val="false"/>
                <w:iCs w:val="false"/>
                <w:color w:val="181410"/>
                <w:sz w:val="22"/>
                <w:szCs w:val="22"/>
                <w:rtl/>
              </w:rPr>
              <w:t xml:space="preserve">
من وجد تعارضًا ظاهرًا بين حديثين صحيحين فلا يُسارع إلى رد أحدهما أو الشك في أحد الإمامين المختلفين فيهما، بل يسأل أهل العلم عن وجه الجمع أو الترجيح؛ فقد يكون لكل نص موضعه، كما تبين في مسألة قضاء السنن بعد العصر، وهذا أسلم للدين وأحفظ لمكانة السنة النبوية.
</w:t>
            </w:r>
          </w:p>
        </w:tc>
      </w:tr>
    </w:tbl>
    <w:p>
      <w:pPr>
        <w:spacing w:after="160"/>
      </w:pPr>
    </w:p>
    <w:p>
      <w:pPr>
        <w:pStyle w:val="Heading2"/>
        <w:bidi/>
        <w:spacing w:after="140" w:before="320"/>
        <w:jc w:val="right"/>
      </w:pPr>
      <w:bookmarkStart w:name="bm_faqrah_11" w:id="1019"/>
      <w:r>
        <w:rPr>
          <w:rFonts w:ascii="Aref Ruqaa" w:cs="Aref Ruqaa" w:eastAsia="Aref Ruqaa" w:hAnsi="Aref Ruqaa"/>
          <w:b/>
          <w:bCs/>
          <w:i w:val="false"/>
          <w:iCs w:val="false"/>
          <w:color w:val="0D2143"/>
          <w:sz w:val="28"/>
          <w:szCs w:val="28"/>
          <w:rtl/>
        </w:rPr>
        <w:t xml:space="preserve">المبحث الرابع: عدم وضوح الدلالة واشتباه المعنى</w:t>
      </w:r>
      <w:bookmarkEnd w:id="1019"/>
    </w:p>
    <w:p>
      <w:pPr>
        <w:bidi/>
        <w:spacing w:after="140" w:before="0" w:line="300"/>
        <w:jc w:val="both"/>
      </w:pPr>
      <w:r>
        <w:rPr>
          <w:rFonts w:ascii="Amiri" w:cs="Amiri" w:eastAsia="Amiri" w:hAnsi="Amiri"/>
          <w:b w:val="false"/>
          <w:bCs w:val="false"/>
          <w:i w:val="false"/>
          <w:iCs w:val="false"/>
          <w:color w:val="181410"/>
          <w:sz w:val="22"/>
          <w:szCs w:val="22"/>
          <w:rtl/>
        </w:rPr>
        <w:t xml:space="preserve">
وقد يتوقف الإمام عن الجزم بالعمل بحديث لا لعلة في سنده ولا لمعارضته بغيره، بل لأن دلالته على الحكم المراد غير جلية، فيحتمل النص أكثر من معنى دون قرينة راجحة تعيّن أحدها. وهذا التوقف احتياط محمود لا تفريط؛ فالحكم الشرعي ينبغي أن يُبنى على دلالة واضحة، لا أن يُنزَّل النص تعسفًا على أحد معانيه المحتملة قبل تحرير المراد منه بالنظر في سياقه وقرائنه وما يعضده من نصوص أخرى.
</w:t>
      </w:r>
    </w:p>
    <w:p>
      <w:pPr>
        <w:bidi/>
        <w:spacing w:after="140" w:before="0" w:line="300"/>
        <w:jc w:val="both"/>
      </w:pPr>
      <w:r>
        <w:rPr>
          <w:rFonts w:ascii="Amiri" w:cs="Amiri" w:eastAsia="Amiri" w:hAnsi="Amiri"/>
          <w:b w:val="false"/>
          <w:bCs w:val="false"/>
          <w:i w:val="false"/>
          <w:iCs w:val="false"/>
          <w:color w:val="181410"/>
          <w:sz w:val="22"/>
          <w:szCs w:val="22"/>
          <w:rtl/>
        </w:rPr>
        <w:t xml:space="preserve">
وقد رُوي عن الإمام مالك رحمه الله ما معناه أن من تمام العلم ألا يتحدث العالم فيما لا يعلمه على وجه اليقين، وأن التوقف عند اشتباه معنى الحديث له في سلف العلماء أسوة حسنة. وهذا يكشف أن التوقف عند اشتباه الدلالة لم يكن ابتداعًا متأخرًا، بل منهجًا معروفًا عند المتقدمين أنفسهم، بل هو من كمال الفقه في الدين لا نقصانًا فيه: فالعجلة في تنزيل النص على غير مراده قد توقع في الخطأ أشد مما يوقعه التأني والتثبت، إذ إن حكمًا مبنيًا على فهم خاطئ لنص صحيح أخطر من توقف مؤقت ريثما يتضح الأمر.
</w:t>
      </w:r>
    </w:p>
    <w:p>
      <w:pPr>
        <w:bidi/>
        <w:spacing w:after="140" w:before="0" w:line="300"/>
        <w:jc w:val="both"/>
      </w:pPr>
      <w:r>
        <w:rPr>
          <w:rFonts w:ascii="Amiri" w:cs="Amiri" w:eastAsia="Amiri" w:hAnsi="Amiri"/>
          <w:b w:val="false"/>
          <w:bCs w:val="false"/>
          <w:i w:val="false"/>
          <w:iCs w:val="false"/>
          <w:color w:val="181410"/>
          <w:sz w:val="22"/>
          <w:szCs w:val="22"/>
          <w:rtl/>
        </w:rPr>
        <w:t xml:space="preserve">
وعُرف عن الشافعي رحمه الله نظير هذا؛ فقد كان شديد التحري في تحديد المعنى المراد من النص، وربما توقف عن حديث في مسألة حتى يجد ما يعضد أحد معانيه المحتملة من سياقه أو من نص آخر يفسره، ثم عمل به إذا اتضح له وجه الدلالة الصحيح. وهذا التوقف المؤقت لا يعني رد الحديث بالكلية، وإنما هو تأخير للعمل ريثما يتبين المراد، وشتان بين من يرد النص وبين من يرجئ تطبيقه انتظارًا لتمام فهمه.
</w:t>
      </w:r>
    </w:p>
    <w:p>
      <w:pPr>
        <w:bidi/>
        <w:spacing w:after="140" w:before="0" w:line="300"/>
        <w:jc w:val="both"/>
      </w:pPr>
      <w:r>
        <w:rPr>
          <w:rFonts w:ascii="Amiri" w:cs="Amiri" w:eastAsia="Amiri" w:hAnsi="Amiri"/>
          <w:b w:val="false"/>
          <w:bCs w:val="false"/>
          <w:i w:val="false"/>
          <w:iCs w:val="false"/>
          <w:color w:val="181410"/>
          <w:sz w:val="22"/>
          <w:szCs w:val="22"/>
          <w:rtl/>
        </w:rPr>
        <w:t xml:space="preserve">
ويحسن هنا التفريق بين الدلالة القطعية التي لا تحتمل إلا معنى واحدًا، فيجب العمل بمقتضاها متى ثبت الحديث، وبين الدلالة الظنية المحتملة لأكثر من معنى، حيث قد يسع الإمام التوقف فيها حتى تتضح القرائن المرجحة. وهذا الفارق هو ما يفسر كثيرًا من اختلاف الفقهاء في تفسير الحديث الواحد، إذ يرجح كل منهم معنى بحسب ما ظهر له من قرائن، لا لتشهٍّ أو تعصب. ويختلف هذا عما تقدم في المبحث الثالث اختلافًا جوهريًا: فالإشكال هناك خارجي، ناشئ من تعارض حديث بحديث آخر أقوى، أما هنا فالإشكال داخلي، كامن في فهم الحديث الواحد نفسه واحتماله لأكثر من معنى، فليس ثمة نصان متعارضان، بل نص واحد غامض الدلالة.
</w:t>
      </w:r>
    </w:p>
    <w:tbl>
      <w:tblPr>
        <w:tblW w:type="pct" w:w="100%"/>
        <w:tblBorders>
          <w:top w:val="single" w:color="E3C780" w:sz="6"/>
          <w:left w:val="single" w:color="E3C780" w:sz="24"/>
          <w:bottom w:val="single" w:color="E3C780" w:sz="6"/>
          <w:right w:val="single" w:color="E3C780"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0D2143"/>
                <w:sz w:val="18"/>
                <w:szCs w:val="18"/>
                <w:rtl/>
              </w:rPr>
              <w:t xml:space="preserve">الواجب على المسلم</w:t>
            </w:r>
          </w:p>
          <w:p>
            <w:pPr>
              <w:bidi/>
              <w:spacing w:after="0" w:before="0" w:line="300"/>
              <w:jc w:val="both"/>
            </w:pPr>
            <w:r>
              <w:rPr>
                <w:rFonts w:ascii="Amiri" w:cs="Amiri" w:eastAsia="Amiri" w:hAnsi="Amiri"/>
                <w:b w:val="false"/>
                <w:bCs w:val="false"/>
                <w:i w:val="false"/>
                <w:iCs w:val="false"/>
                <w:color w:val="181410"/>
                <w:sz w:val="22"/>
                <w:szCs w:val="22"/>
                <w:rtl/>
              </w:rPr>
              <w:t xml:space="preserve">
لا يليق بغير الراسخين في العلم أن يتعجلوا الحكم في النصوص المحتملة لأكثر من معنى، بل يُرجَع فيها إلى أهل الاختصاص ممن يحسنون الجمع بين النصوص وتحرير دلالاتها؛ فالتأني هنا فقه، والعجلة فيه قد تقلب المراد عن وجهه من غير قصد.
</w:t>
            </w:r>
          </w:p>
        </w:tc>
      </w:tr>
    </w:tbl>
    <w:p>
      <w:pPr>
        <w:spacing w:after="160"/>
      </w:pPr>
    </w:p>
    <w:p>
      <w:pPr>
        <w:pStyle w:val="Heading2"/>
        <w:bidi/>
        <w:spacing w:after="140" w:before="320"/>
        <w:jc w:val="right"/>
      </w:pPr>
      <w:bookmarkStart w:name="bm_faqrah_12" w:id="1020"/>
      <w:r>
        <w:rPr>
          <w:rFonts w:ascii="Aref Ruqaa" w:cs="Aref Ruqaa" w:eastAsia="Aref Ruqaa" w:hAnsi="Aref Ruqaa"/>
          <w:b/>
          <w:bCs/>
          <w:i w:val="false"/>
          <w:iCs w:val="false"/>
          <w:color w:val="0D2143"/>
          <w:sz w:val="28"/>
          <w:szCs w:val="28"/>
          <w:rtl/>
        </w:rPr>
        <w:t xml:space="preserve">المبحث الخامس: اشتراط شروط خاصة في تطبيق الحديث</w:t>
      </w:r>
      <w:bookmarkEnd w:id="1020"/>
    </w:p>
    <w:p>
      <w:pPr>
        <w:bidi/>
        <w:spacing w:after="140" w:before="0" w:line="300"/>
        <w:jc w:val="both"/>
      </w:pPr>
      <w:r>
        <w:rPr>
          <w:rFonts w:ascii="Amiri" w:cs="Amiri" w:eastAsia="Amiri" w:hAnsi="Amiri"/>
          <w:b w:val="false"/>
          <w:bCs w:val="false"/>
          <w:i w:val="false"/>
          <w:iCs w:val="false"/>
          <w:color w:val="181410"/>
          <w:sz w:val="22"/>
          <w:szCs w:val="22"/>
          <w:rtl/>
        </w:rPr>
        <w:t xml:space="preserve">
ومن الأسباب الأخيرة أن يضع الإمام لنفسه شروطًا منهجية خاصة لقبول الحديث والاحتجاج به، فإذا لم تتحقق هذه الشروط في حديث معين توقف عن العمل به - وإن كان صحيحًا في ذاته عند غيره - لا لرده في نفسه، بل لأن الاستدلال به عنده لا يكتمل إلا بتوفر ما اشترطه.
</w:t>
      </w:r>
    </w:p>
    <w:tbl>
      <w:tblPr>
        <w:tblW w:type="pct" w:w="100%"/>
        <w:tblBorders>
          <w:top w:val="single" w:color="152C54" w:sz="6"/>
          <w:left w:val="single" w:color="152C54" w:sz="24"/>
          <w:bottom w:val="single" w:color="152C54" w:sz="6"/>
          <w:right w:val="single" w:color="152C54"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80" w:before="0" w:line="300"/>
              <w:jc w:val="both"/>
            </w:pPr>
            <w:r>
              <w:rPr>
                <w:rFonts w:ascii="Amiri" w:cs="Amiri" w:eastAsia="Amiri" w:hAnsi="Amiri"/>
                <w:b w:val="false"/>
                <w:bCs w:val="false"/>
                <w:i w:val="false"/>
                <w:iCs w:val="false"/>
                <w:color w:val="181410"/>
                <w:sz w:val="22"/>
                <w:szCs w:val="22"/>
                <w:rtl/>
              </w:rPr>
              <w:t xml:space="preserve">
</w:t>
            </w:r>
            <w:r>
              <w:rPr>
                <w:rFonts w:ascii="Amiri" w:cs="Amiri" w:eastAsia="Amiri" w:hAnsi="Amiri"/>
                <w:b/>
                <w:bCs/>
                <w:i w:val="false"/>
                <w:iCs w:val="false"/>
                <w:color w:val="0D2143"/>
                <w:sz w:val="22"/>
                <w:szCs w:val="22"/>
                <w:rtl/>
              </w:rPr>
              <w:t xml:space="preserve">عمل أهل المدينة:</w:t>
            </w:r>
            <w:r>
              <w:rPr>
                <w:rFonts w:ascii="Amiri" w:cs="Amiri" w:eastAsia="Amiri" w:hAnsi="Amiri"/>
                <w:b w:val="false"/>
                <w:bCs w:val="false"/>
                <w:i w:val="false"/>
                <w:iCs w:val="false"/>
                <w:color w:val="181410"/>
                <w:sz w:val="22"/>
                <w:szCs w:val="22"/>
                <w:rtl/>
              </w:rPr>
              <w:t xml:space="preserve"> هو ما استقر عليه أهل المدينة النبوية من الممارسات العملية المتوارثة جيلاً عن جيل عن الصحابة الذين عاصروا النبي صلى الله عليه وسلم، وقد اعتبره الإمام مالك رحمه الله أصلاً من أصول الاستدلال عنده، لكونه ينقل نقلاً عمليًا متواترًا لا يتطرق إليه احتمال الخطأ الذي قد يتطرق إلى رواية الآحاد.
</w:t>
            </w:r>
          </w:p>
        </w:tc>
      </w:tr>
    </w:tbl>
    <w:p>
      <w:pPr>
        <w:spacing w:after="140"/>
      </w:pPr>
    </w:p>
    <w:p>
      <w:pPr>
        <w:bidi/>
        <w:spacing w:after="140" w:before="0" w:line="300"/>
        <w:jc w:val="both"/>
      </w:pPr>
      <w:r>
        <w:rPr>
          <w:rFonts w:ascii="Amiri" w:cs="Amiri" w:eastAsia="Amiri" w:hAnsi="Amiri"/>
          <w:b w:val="false"/>
          <w:bCs w:val="false"/>
          <w:i w:val="false"/>
          <w:iCs w:val="false"/>
          <w:color w:val="181410"/>
          <w:sz w:val="22"/>
          <w:szCs w:val="22"/>
          <w:rtl/>
        </w:rPr>
        <w:t xml:space="preserve">
وأبرز صور هذا السبب اعتماد الإمام مالك على عمل أهل المدينة مصدرًا من مصادر معرفة السنة؛ فقد توارث أهل المدينة عملهم جيلاً عن جيل عن الصحابة الذين عاصروا النبي صلى الله عليه وسلم وشهدوا هديه على مرأى ومسمع منه. فإذا وجد حديث آحاد يخالف هذا العمل المستقر المتوارث عمليًا، توقف عن الأخذ به، لأنه رأى أن نقل الأمة العملي المتواتر لما استقر عليه الأمر عن النبي صلى الله عليه وسلم أقوى دلالة من خبر آحاد يتطرق إليه احتمال الوهم أو نسخ لم يبلغ الراوي. وهذا شرط خاص بمذهبه لم يشاركه فيه غيره من الأئمة على هذا النحو، ينبع من تقدير عالٍ لمكانة المدينة النبوية في حفظ السنة العملية جيلاً بعد جيل.
</w:t>
      </w:r>
    </w:p>
    <w:p>
      <w:pPr>
        <w:bidi/>
        <w:spacing w:after="140" w:before="0" w:line="300"/>
        <w:jc w:val="both"/>
      </w:pPr>
      <w:r>
        <w:rPr>
          <w:rFonts w:ascii="Amiri" w:cs="Amiri" w:eastAsia="Amiri" w:hAnsi="Amiri"/>
          <w:b w:val="false"/>
          <w:bCs w:val="false"/>
          <w:i w:val="false"/>
          <w:iCs w:val="false"/>
          <w:color w:val="181410"/>
          <w:sz w:val="22"/>
          <w:szCs w:val="22"/>
          <w:rtl/>
        </w:rPr>
        <w:t xml:space="preserve">
ولأحمد بن حنبل رحمه الله نظير من هذا، وإن اختلف في تفصيله؛ فقد كان يشترط فيما يتعلق بأصول الشريعة العامة أن يتوفر في الحديث ما يقويه، كاتصال سنده الوثيق أو موافقته لقواعد الشريعة الكلية المستقرة. فإن جاء حديث بحكم يخالف ظاهره أصلاً عامًا، ولم تتوفر فيه هذه المقويات، توقف عن الجزم بالعمل به حتى يتبين وجه الجمع، أو تظهر قرينة ترجح أحد الاحتمالين، حرصًا على انسجام الفروع مع الأصول الكلية.
</w:t>
      </w:r>
    </w:p>
    <w:p>
      <w:pPr>
        <w:bidi/>
        <w:spacing w:after="140" w:before="0" w:line="300"/>
        <w:jc w:val="both"/>
      </w:pPr>
      <w:r>
        <w:rPr>
          <w:rFonts w:ascii="Amiri" w:cs="Amiri" w:eastAsia="Amiri" w:hAnsi="Amiri"/>
          <w:b w:val="false"/>
          <w:bCs w:val="false"/>
          <w:i w:val="false"/>
          <w:iCs w:val="false"/>
          <w:color w:val="181410"/>
          <w:sz w:val="22"/>
          <w:szCs w:val="22"/>
          <w:rtl/>
        </w:rPr>
        <w:t xml:space="preserve">
ويلحظ الناظر أن هذا السبب الخامس يتقاطع مع ما سبقه جميعًا: فاشتراط قوة السند صورة من المبحث الثاني، واشتراط موافقة الأصول العامة ضرب من الترجيح المذكور في المبحث الثالث، واشتراط وضوح الدلالة يرجع إلى المبحث الرابع. وليس هذا التداخل عيبًا في التقسيم، بل دليل على أن الأسباب الخمسة ليست خانات منفصلة يُصنَّف فيها كل موقف على حدة، وإنما هي أوجه متكاملة لمنهج واحد دقيق: التثبت في النقل، والتحقق في الفهم، والانضباط في التنزيل.
</w:t>
      </w:r>
    </w:p>
    <w:p>
      <w:pPr>
        <w:bidi/>
        <w:spacing w:after="140" w:before="0" w:line="300"/>
        <w:jc w:val="both"/>
      </w:pPr>
      <w:r>
        <w:rPr>
          <w:rFonts w:ascii="Amiri" w:cs="Amiri" w:eastAsia="Amiri" w:hAnsi="Amiri"/>
          <w:b w:val="false"/>
          <w:bCs w:val="false"/>
          <w:i w:val="false"/>
          <w:iCs w:val="false"/>
          <w:color w:val="181410"/>
          <w:sz w:val="22"/>
          <w:szCs w:val="22"/>
          <w:rtl/>
        </w:rPr>
        <w:t xml:space="preserve">
وإذا استُحضر هذا كله، أمكن القول بإنصاف إن الأئمة الأربعة رحمهم الله لم يتركوا العمل ببعض الأحاديث عن استهانة بالسنة أو تقصير في تعظيم صاحبها صلى الله عليه وسلم، بل عن منهجية دقيقة تحكمها قواعد التثبت التي عُرفوا بها. غايتهم واحدة لا تتعدد: بلوغ الحق واتباع ما صح عن النبي صلى الله عليه وسلم. وهذا هو الميزان الذي ينبغي أن يُقاس به موقف كل عالم إذا اختلف مع غيره في مسألة من مسائل الفقه، لا ميزان الظن والتخوين.
</w:t>
      </w:r>
    </w:p>
    <w:tbl>
      <w:tblPr>
        <w:tblW w:type="pct" w:w="100%"/>
        <w:tblBorders>
          <w:top w:val="single" w:color="E3C780" w:sz="6"/>
          <w:left w:val="single" w:color="E3C780" w:sz="24"/>
          <w:bottom w:val="single" w:color="E3C780" w:sz="6"/>
          <w:right w:val="single" w:color="E3C780"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0D2143"/>
                <w:sz w:val="18"/>
                <w:szCs w:val="18"/>
                <w:rtl/>
              </w:rPr>
              <w:t xml:space="preserve">الواجب على المسلم</w:t>
            </w:r>
          </w:p>
          <w:p>
            <w:pPr>
              <w:bidi/>
              <w:spacing w:after="0" w:before="0" w:line="300"/>
              <w:jc w:val="both"/>
            </w:pPr>
            <w:r>
              <w:rPr>
                <w:rFonts w:ascii="Amiri" w:cs="Amiri" w:eastAsia="Amiri" w:hAnsi="Amiri"/>
                <w:b w:val="false"/>
                <w:bCs w:val="false"/>
                <w:i w:val="false"/>
                <w:iCs w:val="false"/>
                <w:color w:val="181410"/>
                <w:sz w:val="22"/>
                <w:szCs w:val="22"/>
                <w:rtl/>
              </w:rPr>
              <w:t xml:space="preserve">
اشتراط بعض الأئمة شروطًا خاصة لتطبيق حديث معين اجتهاد علمي معتبر لا مغمز فيه، فليتأدب الناظر في اختلافهم بالتماس العذر العلمي لهم، وليعلم أن غايتهم واحدة: اتباع الحق وسنة النبي صلى الله عليه وسلم، كل بحسب ما بلغه وثبت عنده واتضح له.
</w:t>
            </w:r>
          </w:p>
        </w:tc>
      </w:tr>
    </w:tbl>
    <w:p>
      <w:pPr>
        <w:spacing w:after="160"/>
      </w:pPr>
    </w:p>
    <w:p>
      <w:pPr>
        <w:pStyle w:val="Heading1"/>
        <w:pageBreakBefore/>
        <w:bidi/>
        <w:spacing w:after="160" w:before="0"/>
        <w:jc w:val="right"/>
      </w:pPr>
      <w:bookmarkStart w:name="bm_fasl3" w:id="1021"/>
      <w:r>
        <w:rPr>
          <w:rFonts w:ascii="Aref Ruqaa" w:cs="Aref Ruqaa" w:eastAsia="Aref Ruqaa" w:hAnsi="Aref Ruqaa"/>
          <w:b/>
          <w:bCs/>
          <w:i w:val="false"/>
          <w:iCs w:val="false"/>
          <w:color w:val="0A1830"/>
          <w:sz w:val="34"/>
          <w:szCs w:val="34"/>
          <w:rtl/>
        </w:rPr>
        <w:t xml:space="preserve">الفصل الثالث — منهج أهل السنة في التعامل مع المخالفين وأهل الأهواء</w:t>
      </w:r>
      <w:bookmarkEnd w:id="1021"/>
    </w:p>
    <w:p>
      <w:pPr>
        <w:pStyle w:val="Heading2"/>
        <w:bidi/>
        <w:spacing w:after="140" w:before="320"/>
        <w:jc w:val="right"/>
      </w:pPr>
      <w:bookmarkStart w:name="bm_faqrah_13" w:id="1022"/>
      <w:r>
        <w:rPr>
          <w:rFonts w:ascii="Aref Ruqaa" w:cs="Aref Ruqaa" w:eastAsia="Aref Ruqaa" w:hAnsi="Aref Ruqaa"/>
          <w:b/>
          <w:bCs/>
          <w:i w:val="false"/>
          <w:iCs w:val="false"/>
          <w:color w:val="0D2143"/>
          <w:sz w:val="28"/>
          <w:szCs w:val="28"/>
          <w:rtl/>
        </w:rPr>
        <w:t xml:space="preserve">المبحث الأول: أهمية التمييز بين أنواع المخالفين</w:t>
      </w:r>
      <w:bookmarkEnd w:id="1022"/>
    </w:p>
    <w:p>
      <w:pPr>
        <w:bidi/>
        <w:spacing w:after="140" w:before="0" w:line="300"/>
        <w:jc w:val="both"/>
      </w:pPr>
      <w:r>
        <w:rPr>
          <w:rFonts w:ascii="Amiri" w:cs="Amiri" w:eastAsia="Amiri" w:hAnsi="Amiri"/>
          <w:b w:val="false"/>
          <w:bCs w:val="false"/>
          <w:i w:val="false"/>
          <w:iCs w:val="false"/>
          <w:color w:val="181410"/>
          <w:sz w:val="22"/>
          <w:szCs w:val="22"/>
          <w:rtl/>
        </w:rPr>
        <w:t xml:space="preserve">مخالفة السنة لا تأتي من مشرب واحد. رجل يعرف الحق تمام المعرفة ثم يصرّ على خلافه عنادًا، وآخر يقع في الخطأ نفسه وهو لا يدري أنه خطأ، لم تبلغه حجة ولم يجالس من يبيّن له وجه الصواب؛ فعل الاثنين واحد في الظاهر، لكنهما لا يستويان. ومع هذا يقع كثير ممن يغار على السنة في خلط بين الحالين، فيعامل الجاهل معاملة المعاند، ويحمّله وزرًا هو منه بريء.</w:t>
      </w:r>
    </w:p>
    <w:p>
      <w:pPr>
        <w:bidi/>
        <w:spacing w:after="140" w:before="0" w:line="300"/>
        <w:jc w:val="both"/>
      </w:pPr>
      <w:r>
        <w:rPr>
          <w:rFonts w:ascii="Amiri" w:cs="Amiri" w:eastAsia="Amiri" w:hAnsi="Amiri"/>
          <w:b w:val="false"/>
          <w:bCs w:val="false"/>
          <w:i w:val="false"/>
          <w:iCs w:val="false"/>
          <w:color w:val="181410"/>
          <w:sz w:val="22"/>
          <w:szCs w:val="22"/>
          <w:rtl/>
        </w:rPr>
        <w:t xml:space="preserve">وليس في هذا تهوين من شأن البدعة؛ فقد قال النبي صلى الله عليه وسلم في خطبته المشهورة: «كُلُّ بِدْعَةٍ ضَلَالَةٌ» (رواه مسلم، رقم 867)، وهو حكم على الفعل لا يقبل التلوين بحسب نية صاحبه. لكن الحكم على الفعل شيء، والحكم على فاعله شيء آخر، وهذا بالضبط ما يغفل عنه من يجعل من كل واقع في بدعة مبتدعًا بالمعنى الكامل لهذه الكلمة الثقيلة.</w:t>
      </w:r>
    </w:p>
    <w:tbl>
      <w:tblPr>
        <w:tblW w:type="pct" w:w="100%"/>
        <w:tblBorders>
          <w:top w:val="single" w:color="152C54" w:sz="6"/>
          <w:left w:val="single" w:color="152C54" w:sz="24"/>
          <w:bottom w:val="single" w:color="152C54" w:sz="6"/>
          <w:right w:val="single" w:color="152C54"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80" w:before="0" w:line="300"/>
              <w:jc w:val="both"/>
            </w:pPr>
            <w:r>
              <w:rPr>
                <w:rFonts w:ascii="Amiri" w:cs="Amiri" w:eastAsia="Amiri" w:hAnsi="Amiri"/>
                <w:b/>
                <w:bCs/>
                <w:i w:val="false"/>
                <w:iCs w:val="false"/>
                <w:color w:val="0D2143"/>
                <w:sz w:val="22"/>
                <w:szCs w:val="22"/>
                <w:rtl/>
              </w:rPr>
              <w:t xml:space="preserve">المبتدع المتعمد</w:t>
            </w:r>
            <w:r>
              <w:rPr>
                <w:rFonts w:ascii="Amiri" w:cs="Amiri" w:eastAsia="Amiri" w:hAnsi="Amiri"/>
                <w:b w:val="false"/>
                <w:bCs w:val="false"/>
                <w:i w:val="false"/>
                <w:iCs w:val="false"/>
                <w:color w:val="181410"/>
                <w:sz w:val="22"/>
                <w:szCs w:val="22"/>
                <w:rtl/>
              </w:rPr>
              <w:t xml:space="preserve"> من يعرف السنة معرفة تامة، وقد بلغته الحجة فقامت عليه، ثم يصرّ على مخالفتها عن علم وعناد، وقد يتعدى ذلك إلى الدعوة إلى بدعته ونشرها بين الناس، فيصير بفعله هذا مضلًّا لا ضالًّا وحده.</w:t>
            </w:r>
          </w:p>
        </w:tc>
      </w:tr>
    </w:tbl>
    <w:p>
      <w:pPr>
        <w:spacing w:after="140"/>
      </w:pPr>
    </w:p>
    <w:tbl>
      <w:tblPr>
        <w:tblW w:type="pct" w:w="100%"/>
        <w:tblBorders>
          <w:top w:val="single" w:color="152C54" w:sz="6"/>
          <w:left w:val="single" w:color="152C54" w:sz="24"/>
          <w:bottom w:val="single" w:color="152C54" w:sz="6"/>
          <w:right w:val="single" w:color="152C54"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80" w:before="0" w:line="300"/>
              <w:jc w:val="both"/>
            </w:pPr>
            <w:r>
              <w:rPr>
                <w:rFonts w:ascii="Amiri" w:cs="Amiri" w:eastAsia="Amiri" w:hAnsi="Amiri"/>
                <w:b/>
                <w:bCs/>
                <w:i w:val="false"/>
                <w:iCs w:val="false"/>
                <w:color w:val="0D2143"/>
                <w:sz w:val="22"/>
                <w:szCs w:val="22"/>
                <w:rtl/>
              </w:rPr>
              <w:t xml:space="preserve">المخالف الجاهل</w:t>
            </w:r>
            <w:r>
              <w:rPr>
                <w:rFonts w:ascii="Amiri" w:cs="Amiri" w:eastAsia="Amiri" w:hAnsi="Amiri"/>
                <w:b w:val="false"/>
                <w:bCs w:val="false"/>
                <w:i w:val="false"/>
                <w:iCs w:val="false"/>
                <w:color w:val="181410"/>
                <w:sz w:val="22"/>
                <w:szCs w:val="22"/>
                <w:rtl/>
              </w:rPr>
              <w:t xml:space="preserve"> من وقع في المخالفة عن قصور في العلم، أو نشأة في بيئة اعتاد فيها ما يخالف السنة من غير أن يتبين له وجه الخطأ فيه؛ فهو واقع في الخطأ لا مصرّ عليه، وباب رجوعه إلى الحق ما يزال مفتوحًا لم يُغلق بعدُ بعناد أو استكبار.</w:t>
            </w:r>
          </w:p>
        </w:tc>
      </w:tr>
    </w:tbl>
    <w:p>
      <w:pPr>
        <w:spacing w:after="140"/>
      </w:pPr>
    </w:p>
    <w:p>
      <w:pPr>
        <w:bidi/>
        <w:spacing w:after="100" w:before="200" w:line="300"/>
        <w:jc w:val="right"/>
      </w:pPr>
      <w:r>
        <w:rPr>
          <w:rFonts w:ascii="Amiri" w:cs="Amiri" w:eastAsia="Amiri" w:hAnsi="Amiri"/>
          <w:b/>
          <w:bCs/>
          <w:i w:val="false"/>
          <w:iCs w:val="false"/>
          <w:color w:val="152C54"/>
          <w:sz w:val="22"/>
          <w:szCs w:val="22"/>
          <w:rtl/>
        </w:rPr>
        <w:t xml:space="preserve">لماذا يهم هذا التمييز؟</w:t>
      </w:r>
    </w:p>
    <w:p>
      <w:pPr>
        <w:bidi/>
        <w:spacing w:after="140" w:before="0" w:line="300"/>
        <w:jc w:val="both"/>
      </w:pPr>
      <w:r>
        <w:rPr>
          <w:rFonts w:ascii="Amiri" w:cs="Amiri" w:eastAsia="Amiri" w:hAnsi="Amiri"/>
          <w:b w:val="false"/>
          <w:bCs w:val="false"/>
          <w:i w:val="false"/>
          <w:iCs w:val="false"/>
          <w:color w:val="181410"/>
          <w:sz w:val="22"/>
          <w:szCs w:val="22"/>
          <w:rtl/>
        </w:rPr>
        <w:t xml:space="preserve">وقد يُقال: أوليس هذا تدقيقًا نظريًا لا طائل تحته، ما دامت البدعة بدعة على كل حال؟ والجواب أن أثر هذا التمييز عملي محض. فمن يُتّهم بالعناد وهو لم يقصد سوى ما ألِفه يشعر بالظلم قبل أن يشعر بالخطأ، وأول ما يفعله من يشعر بالظلم أن يدافع عن نفسه لا أن يراجع فعله؛ فتتحول المسألة من نقاش في الدليل إلى معركة كرامة، ويتمسك بمخالفته لا لأنه اقتنع بصحتها، بل لأنه لم يعد يملك أن يتراجع دون أن يعترف بأنه كان -كما وُصف- معاندًا لم يكن كذلك. وهنا المفارقة: أن الشدة الموضوعة في غير موضعها لا تُصلح المخالفة، بل تصنع منها عنادًا جديدًا لم يكن له وجود من قبل.</w:t>
      </w:r>
    </w:p>
    <w:p>
      <w:pPr>
        <w:bidi/>
        <w:spacing w:after="140" w:before="0" w:line="300"/>
        <w:jc w:val="both"/>
      </w:pPr>
      <w:r>
        <w:rPr>
          <w:rFonts w:ascii="Amiri" w:cs="Amiri" w:eastAsia="Amiri" w:hAnsi="Amiri"/>
          <w:b w:val="false"/>
          <w:bCs w:val="false"/>
          <w:i w:val="false"/>
          <w:iCs w:val="false"/>
          <w:color w:val="181410"/>
          <w:sz w:val="22"/>
          <w:szCs w:val="22"/>
          <w:rtl/>
        </w:rPr>
        <w:t xml:space="preserve">وفي الطرف الآخر، من يُمنح عذر الجاهل وهو يعلم الحق ويدعو إلى غيره لم يُرحم بل أُهمل. فسكوت أهل العلم عنه لا يُبقي الأمر على حاله، بل يُفهم منه ضمنًا أن لا أحد يجرؤ على مواجهته، فيتسع أثره، ويظن من حوله أن ما هو عليه محتمل ما دام لم يُنكَر عليه. فالخطأ في هذا التمييز -أيًّا كانت جهته- له ثمن يُدفع، لا مجرد لباقة تُفتقد.</w:t>
      </w:r>
    </w:p>
    <w:p>
      <w:pPr>
        <w:bidi/>
        <w:spacing w:after="100" w:before="200" w:line="300"/>
        <w:jc w:val="right"/>
      </w:pPr>
      <w:r>
        <w:rPr>
          <w:rFonts w:ascii="Amiri" w:cs="Amiri" w:eastAsia="Amiri" w:hAnsi="Amiri"/>
          <w:b/>
          <w:bCs/>
          <w:i w:val="false"/>
          <w:iCs w:val="false"/>
          <w:color w:val="152C54"/>
          <w:sz w:val="22"/>
          <w:szCs w:val="22"/>
          <w:rtl/>
        </w:rPr>
        <w:t xml:space="preserve">من القرآن والسنة</w:t>
      </w:r>
    </w:p>
    <w:p>
      <w:pPr>
        <w:bidi/>
        <w:spacing w:after="140" w:before="0" w:line="300"/>
        <w:jc w:val="both"/>
      </w:pPr>
      <w:r>
        <w:rPr>
          <w:rFonts w:ascii="Amiri" w:cs="Amiri" w:eastAsia="Amiri" w:hAnsi="Amiri"/>
          <w:b w:val="false"/>
          <w:bCs w:val="false"/>
          <w:i w:val="false"/>
          <w:iCs w:val="false"/>
          <w:color w:val="181410"/>
          <w:sz w:val="22"/>
          <w:szCs w:val="22"/>
          <w:rtl/>
        </w:rPr>
        <w:t xml:space="preserve">قال الله تعالى في شأن من خالف الرسول صلى الله عليه وسلم بعد تبين الحق له: </w:t>
      </w:r>
      <w:r>
        <w:rPr>
          <w:rFonts w:ascii="Amiri Quran" w:cs="Amiri Quran" w:eastAsia="Amiri Quran" w:hAnsi="Amiri Quran"/>
          <w:b w:val="false"/>
          <w:bCs w:val="false"/>
          <w:i w:val="false"/>
          <w:iCs w:val="false"/>
          <w:color w:val="0D2143"/>
          <w:sz w:val="26"/>
          <w:szCs w:val="26"/>
          <w:rtl/>
        </w:rPr>
        <w:t xml:space="preserve">﴿وَمَنْ يُشَاقِقِ الرَّسُولَ مِنْ بَعْدِ مَا تَبَيَّنَ لَهُ الْهُدَىٰ وَيَتَّبِعْ غَيْرَ سَبِيلِ الْمُؤْمِنِينَ نُوَلِّهِ مَا تَوَلَّىٰ وَنُصْلِهِ جَهَنَّمَ وَسَاءَتْ مَصِيرًا﴾</w:t>
      </w:r>
      <w:r>
        <w:rPr>
          <w:rFonts w:ascii="Cairo" w:cs="Cairo" w:eastAsia="Cairo" w:hAnsi="Cairo"/>
          <w:b/>
          <w:bCs/>
          <w:i w:val="false"/>
          <w:iCs w:val="false"/>
          <w:color w:val="8A6A1F"/>
          <w:sz w:val="16"/>
          <w:szCs w:val="16"/>
          <w:rtl/>
        </w:rPr>
        <w:t xml:space="preserve"> [النساء: 115]</w:t>
      </w:r>
      <w:r>
        <w:rPr>
          <w:rFonts w:ascii="Amiri" w:cs="Amiri" w:eastAsia="Amiri" w:hAnsi="Amiri"/>
          <w:b w:val="false"/>
          <w:bCs w:val="false"/>
          <w:i w:val="false"/>
          <w:iCs w:val="false"/>
          <w:color w:val="181410"/>
          <w:sz w:val="22"/>
          <w:szCs w:val="22"/>
          <w:rtl/>
        </w:rPr>
        <w:t xml:space="preserve">. فالوعيد هنا معلَّق بشرط دقيق -"مِنْ بَعْدِ مَا تَبَيَّنَ لَهُ الْهُدَىٰ"- لا يتحقق إلا فيمن قامت عليه الحجة فأعرض عنها، لا فيمن لم يبلغه البيان أو التبس عليه الأمر. وقال صلى الله عليه وسلم: «مَنْ أَحْدَثَ فِي أَمْرِنَا هَذَا مَا لَيْسَ مِنْهُ فَهُوَ رَدٌّ» (رواه البخاري، رقم 2697)، وهذا رد على الفعل ذاته أينما وُجد، لكن شدة هذا الرد على صاحبه تختلف بحسب علمه بما أحدث.</w:t>
      </w:r>
    </w:p>
    <w:p>
      <w:pPr>
        <w:bidi/>
        <w:spacing w:after="140" w:before="0" w:line="300"/>
        <w:jc w:val="both"/>
      </w:pPr>
      <w:r>
        <w:rPr>
          <w:rFonts w:ascii="Amiri" w:cs="Amiri" w:eastAsia="Amiri" w:hAnsi="Amiri"/>
          <w:b w:val="false"/>
          <w:bCs w:val="false"/>
          <w:i w:val="false"/>
          <w:iCs w:val="false"/>
          <w:color w:val="181410"/>
          <w:sz w:val="22"/>
          <w:szCs w:val="22"/>
          <w:rtl/>
        </w:rPr>
        <w:t xml:space="preserve">وفي المقابل جاء التوجيه الإلهي إلى اللين: </w:t>
      </w:r>
      <w:r>
        <w:rPr>
          <w:rFonts w:ascii="Amiri Quran" w:cs="Amiri Quran" w:eastAsia="Amiri Quran" w:hAnsi="Amiri Quran"/>
          <w:b w:val="false"/>
          <w:bCs w:val="false"/>
          <w:i w:val="false"/>
          <w:iCs w:val="false"/>
          <w:color w:val="0D2143"/>
          <w:sz w:val="26"/>
          <w:szCs w:val="26"/>
          <w:rtl/>
        </w:rPr>
        <w:t xml:space="preserve">﴿فَبِمَا رَحْمَةٍ مِّنَ اللَّـهِ لِنتَ لَهُمْ ۖ وَلَوْ كُنتَ فَظًّا غَلِيظَ الْقَلْبِ لَانفَضُّوا مِنْ حَوْلِكَ﴾</w:t>
      </w:r>
      <w:r>
        <w:rPr>
          <w:rFonts w:ascii="Cairo" w:cs="Cairo" w:eastAsia="Cairo" w:hAnsi="Cairo"/>
          <w:b/>
          <w:bCs/>
          <w:i w:val="false"/>
          <w:iCs w:val="false"/>
          <w:color w:val="8A6A1F"/>
          <w:sz w:val="16"/>
          <w:szCs w:val="16"/>
          <w:rtl/>
        </w:rPr>
        <w:t xml:space="preserve"> [آل عمران: 159]</w:t>
      </w:r>
      <w:r>
        <w:rPr>
          <w:rFonts w:ascii="Amiri" w:cs="Amiri" w:eastAsia="Amiri" w:hAnsi="Amiri"/>
          <w:b w:val="false"/>
          <w:bCs w:val="false"/>
          <w:i w:val="false"/>
          <w:iCs w:val="false"/>
          <w:color w:val="181410"/>
          <w:sz w:val="22"/>
          <w:szCs w:val="22"/>
          <w:rtl/>
        </w:rPr>
        <w:t xml:space="preserve">. فلو نفر النبي صلى الله عليه وسلم من كان قريبًا من الحق أصلًا بفظاظته، لانفضّ من حوله؛ فكيف يُظن بمن هو أبعد عن الحق -المخالف الجاهل- أنه أولى بالتنفير لا بالبيان؟</w:t>
      </w:r>
    </w:p>
    <w:tbl>
      <w:tblPr>
        <w:tblW w:type="pct" w:w="100%"/>
        <w:tblBorders>
          <w:top w:val="single" w:color="E3C780" w:sz="6"/>
          <w:left w:val="single" w:color="E3C780" w:sz="24"/>
          <w:bottom w:val="single" w:color="E3C780" w:sz="6"/>
          <w:right w:val="single" w:color="E3C780"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0D2143"/>
                <w:sz w:val="18"/>
                <w:szCs w:val="18"/>
                <w:rtl/>
              </w:rPr>
              <w:t xml:space="preserve">الواجب على المسلم</w:t>
            </w:r>
          </w:p>
          <w:p>
            <w:pPr>
              <w:bidi/>
              <w:spacing w:after="0" w:before="0" w:line="300"/>
              <w:jc w:val="both"/>
            </w:pPr>
            <w:r>
              <w:rPr>
                <w:rFonts w:ascii="Amiri" w:cs="Amiri" w:eastAsia="Amiri" w:hAnsi="Amiri"/>
                <w:b w:val="false"/>
                <w:bCs w:val="false"/>
                <w:i w:val="false"/>
                <w:iCs w:val="false"/>
                <w:color w:val="181410"/>
                <w:sz w:val="22"/>
                <w:szCs w:val="22"/>
                <w:rtl/>
              </w:rPr>
              <w:t xml:space="preserve">أن يسأل قبل أن يحكم: هل هذا معاند بلغته الحجة فردّها، أم جاهل لم يتبين له الحق بعد؟ فيشتد على الأول في الإنكار والتحذير من بدعته، ويرفق بالثاني ويعلّمه، لا رأفة به فحسب، بل لأن كل واحد منهما يحتاج إلى علاج غير علاج الآخر، وخلط العلاجين يفسد الاثنين معًا.</w:t>
            </w:r>
          </w:p>
        </w:tc>
      </w:tr>
    </w:tbl>
    <w:p>
      <w:pPr>
        <w:spacing w:after="160"/>
      </w:pPr>
    </w:p>
    <w:p>
      <w:pPr>
        <w:pStyle w:val="Heading2"/>
        <w:bidi/>
        <w:spacing w:after="140" w:before="320"/>
        <w:jc w:val="right"/>
      </w:pPr>
      <w:bookmarkStart w:name="bm_faqrah_14" w:id="1023"/>
      <w:r>
        <w:rPr>
          <w:rFonts w:ascii="Aref Ruqaa" w:cs="Aref Ruqaa" w:eastAsia="Aref Ruqaa" w:hAnsi="Aref Ruqaa"/>
          <w:b/>
          <w:bCs/>
          <w:i w:val="false"/>
          <w:iCs w:val="false"/>
          <w:color w:val="0D2143"/>
          <w:sz w:val="28"/>
          <w:szCs w:val="28"/>
          <w:rtl/>
        </w:rPr>
        <w:t xml:space="preserve">المبحث الثاني: ضرورة الحكمة في التعامل مع أهل المخالفات</w:t>
      </w:r>
      <w:bookmarkEnd w:id="1023"/>
    </w:p>
    <w:p>
      <w:pPr>
        <w:bidi/>
        <w:spacing w:after="140" w:before="0" w:line="300"/>
        <w:jc w:val="both"/>
      </w:pPr>
      <w:r>
        <w:rPr>
          <w:rFonts w:ascii="Amiri" w:cs="Amiri" w:eastAsia="Amiri" w:hAnsi="Amiri"/>
          <w:b w:val="false"/>
          <w:bCs w:val="false"/>
          <w:i w:val="false"/>
          <w:iCs w:val="false"/>
          <w:color w:val="181410"/>
          <w:sz w:val="22"/>
          <w:szCs w:val="22"/>
          <w:rtl/>
        </w:rPr>
        <w:t xml:space="preserve">تحديد نوع المخالف لا يكفي وحده؛ فما الذي يُقال له بعد ذلك، وكيف يُقال؟ هذا ما تجيب عنه الحكمة، وهي ليست خُلقًا زائدًا يُستحسن التحلي به، بل الأداة التي بها يصل الحق إلى من أُريد له أن يصله. وقد لاحظ كل من مارس الدعوة أمرًا يسيرًا في وصفه عسيرًا في تطبيقه: أن أكثر الناس يتأثرون بأسلوب من يخاطبهم قبل أن يزنوا حجته؛ فإن وجدوا فيه لينًا أصغَوا ولو لم يقتنعوا بعد، وإن وجدوا فيه استعلاءً أغلقوا آذانهم ولو كان معه كل الحق. وهذه ليست ملاحظة نفسية عابرة، بل أصلًا قرآنيًا: </w:t>
      </w:r>
      <w:r>
        <w:rPr>
          <w:rFonts w:ascii="Amiri Quran" w:cs="Amiri Quran" w:eastAsia="Amiri Quran" w:hAnsi="Amiri Quran"/>
          <w:b w:val="false"/>
          <w:bCs w:val="false"/>
          <w:i w:val="false"/>
          <w:iCs w:val="false"/>
          <w:color w:val="0D2143"/>
          <w:sz w:val="26"/>
          <w:szCs w:val="26"/>
          <w:rtl/>
        </w:rPr>
        <w:t xml:space="preserve">﴿ادْعُ إِلَىٰ سَبِيلِ رَبِّكَ بِالْحِكْمَةِ وَالْمَوْعِظَةِ الْحَسَنَةِ﴾</w:t>
      </w:r>
      <w:r>
        <w:rPr>
          <w:rFonts w:ascii="Cairo" w:cs="Cairo" w:eastAsia="Cairo" w:hAnsi="Cairo"/>
          <w:b/>
          <w:bCs/>
          <w:i w:val="false"/>
          <w:iCs w:val="false"/>
          <w:color w:val="8A6A1F"/>
          <w:sz w:val="16"/>
          <w:szCs w:val="16"/>
          <w:rtl/>
        </w:rPr>
        <w:t xml:space="preserve"> [النحل: 125]</w:t>
      </w:r>
      <w:r>
        <w:rPr>
          <w:rFonts w:ascii="Amiri" w:cs="Amiri" w:eastAsia="Amiri" w:hAnsi="Amiri"/>
          <w:b w:val="false"/>
          <w:bCs w:val="false"/>
          <w:i w:val="false"/>
          <w:iCs w:val="false"/>
          <w:color w:val="181410"/>
          <w:sz w:val="22"/>
          <w:szCs w:val="22"/>
          <w:rtl/>
        </w:rPr>
        <w:t xml:space="preserve">. فالله سبحانه لم يأمر نبيه أن يدعو بالحق وحده، بل قرن الدعوة بالحكمة والموعظة الحسنة، كأنما يقول: الحق الذي لا يُحسَن عرضه لا يبلغ مقصوده وإن كان حقًا.</w:t>
      </w:r>
    </w:p>
    <w:p>
      <w:pPr>
        <w:bidi/>
        <w:spacing w:after="140" w:before="0" w:line="300"/>
        <w:jc w:val="both"/>
      </w:pPr>
      <w:r>
        <w:rPr>
          <w:rFonts w:ascii="Amiri" w:cs="Amiri" w:eastAsia="Amiri" w:hAnsi="Amiri"/>
          <w:b w:val="false"/>
          <w:bCs w:val="false"/>
          <w:i w:val="false"/>
          <w:iCs w:val="false"/>
          <w:color w:val="181410"/>
          <w:sz w:val="22"/>
          <w:szCs w:val="22"/>
          <w:rtl/>
        </w:rPr>
        <w:t xml:space="preserve">فسّر أهل العلم الحكمة بأنها وضع الشيء في موضعه، ومخاطبة كل إنسان بقدر عقله ومنزلته من العلم، وفسّروا الموعظة الحسنة بأنها التذكير المقرون بالترغيب والترهيب على وجه يلين القلب لا يقسيه. وهذا لا يخص دعوة من هو بعيد عن الدين أصلًا، بل يشمل -وربما أشد ما يكون- دعوة من وقع في بدعة وهو يحسب نفسه على شيء؛ فهذا لا يحتاج إلى من يخبره أنه مخطئ فحسب، بل إلى من يقنعه بذلك من غير أن يستفزّ فيه إصرارًا لم يكن له من قبل.</w:t>
      </w:r>
    </w:p>
    <w:tbl>
      <w:tblPr>
        <w:tblW w:type="pct" w:w="100%"/>
        <w:tblBorders>
          <w:top w:val="single" w:color="8C3B2E" w:sz="6"/>
          <w:left w:val="single" w:color="8C3B2E" w:sz="24"/>
          <w:bottom w:val="single" w:color="8C3B2E" w:sz="6"/>
          <w:right w:val="single" w:color="8C3B2E" w:sz="6"/>
          <w:insideH w:val="single" w:color="auto" w:sz="4"/>
          <w:insideV w:val="single" w:color="auto" w:sz="4"/>
        </w:tblBorders>
      </w:tblPr>
      <w:tblGrid>
        <w:gridCol w:w="100"/>
      </w:tblGrid>
      <w:tr>
        <w:tc>
          <w:tcPr>
            <w:shd w:fill="FBF7EE" w:val="clear"/>
            <w:tcMar>
              <w:top w:type="dxa" w:w="160"/>
              <w:left w:type="dxa" w:w="200"/>
              <w:bottom w:type="dxa" w:w="160"/>
              <w:right w:type="dxa" w:w="200"/>
            </w:tcMar>
          </w:tcPr>
          <w:p>
            <w:pPr>
              <w:bidi/>
              <w:spacing w:after="100" w:before="0" w:line="300"/>
              <w:jc w:val="right"/>
            </w:pPr>
          </w:p>
          <w:p>
            <w:pPr>
              <w:bidi/>
              <w:spacing w:after="0" w:before="0" w:line="300"/>
              <w:jc w:val="both"/>
            </w:pPr>
            <w:r>
              <w:rPr>
                <w:rFonts w:ascii="Amiri" w:cs="Amiri" w:eastAsia="Amiri" w:hAnsi="Amiri"/>
                <w:b w:val="false"/>
                <w:bCs w:val="false"/>
                <w:i w:val="false"/>
                <w:iCs w:val="false"/>
                <w:color w:val="181410"/>
                <w:sz w:val="22"/>
                <w:szCs w:val="22"/>
                <w:rtl/>
              </w:rPr>
              <w:t xml:space="preserve">بين هذا وذاك يقع كثير من الدعاة في غلط من نوعين متضادين: فريق يُذيب معالم السنة تحت شعار الرفق، حتى يصير التسامح عنده غطاءً لتمرير البدعة من غير إنكار، وفريق يحمل الناس على النفور من الحق تحت شعار الغيرة عليه، حتى تصير الغلظة عنده علامة الصدق في الدين. وكلا الفريقين يظن أنه الأقرب إلى هدي النبوة، والحق أن هذا الهدي أبعد ما يكون عن الطرفين معًا: بيان كامل للحق لا يُنقص منه شيء إرضاءً لأحد، مصحوب بأسلوب لا يُقسَّى فيه القلب ولا يُستفَزّ.</w:t>
            </w:r>
          </w:p>
        </w:tc>
      </w:tr>
    </w:tbl>
    <w:p>
      <w:pPr>
        <w:spacing w:after="140"/>
      </w:pPr>
    </w:p>
    <w:p>
      <w:pPr>
        <w:bidi/>
        <w:spacing w:after="140" w:before="0" w:line="300"/>
        <w:jc w:val="both"/>
      </w:pPr>
      <w:r>
        <w:rPr>
          <w:rFonts w:ascii="Amiri" w:cs="Amiri" w:eastAsia="Amiri" w:hAnsi="Amiri"/>
          <w:b w:val="false"/>
          <w:bCs w:val="false"/>
          <w:i w:val="false"/>
          <w:iCs w:val="false"/>
          <w:color w:val="181410"/>
          <w:sz w:val="22"/>
          <w:szCs w:val="22"/>
          <w:rtl/>
        </w:rPr>
        <w:t xml:space="preserve">ومن أدق ما تراعيه الحكمة أثر الكلمة لا صحتها فحسب؛ فكم من كلمة حق أُريد بها الإصلاح جاءت في غير وقتها أو غير موضعها فأورثت نفورًا بدل القبول، وكم من سكوت مؤقت كان أقرب إلى هداية صاحب المخالفة من مبادرته بالإنكار في لحظة لم يكن مهيّأً فيها لسماعه. القول الحق لا يتغير، لكن توقيته وموضعه يتغيران بتغير الأحوال، وهذا بعينه معنى </w:t>
      </w:r>
      <w:r>
        <w:rPr>
          <w:rFonts w:ascii="Amiri Quran" w:cs="Amiri Quran" w:eastAsia="Amiri Quran" w:hAnsi="Amiri Quran"/>
          <w:b w:val="false"/>
          <w:bCs w:val="false"/>
          <w:i w:val="false"/>
          <w:iCs w:val="false"/>
          <w:color w:val="0D2143"/>
          <w:sz w:val="26"/>
          <w:szCs w:val="26"/>
          <w:rtl/>
        </w:rPr>
        <w:t xml:space="preserve">﴿بِالْحِكْمَةِ﴾</w:t>
      </w:r>
      <w:r>
        <w:rPr>
          <w:rFonts w:ascii="Amiri" w:cs="Amiri" w:eastAsia="Amiri" w:hAnsi="Amiri"/>
          <w:b w:val="false"/>
          <w:bCs w:val="false"/>
          <w:i w:val="false"/>
          <w:iCs w:val="false"/>
          <w:color w:val="181410"/>
          <w:sz w:val="22"/>
          <w:szCs w:val="22"/>
          <w:rtl/>
        </w:rPr>
        <w:t xml:space="preserve">؛ فليست الحكمة زيادة على الحق، بل شرطًا في وصوله. وإذا كانت هذه الحكمة أصلًا كليًا، فإن لها صورًا عملية تتجلى بها في مقام النصيحة تحديدًا، وهو ما يفصّله المبحث التالي.</w:t>
      </w:r>
    </w:p>
    <w:p>
      <w:pPr>
        <w:pStyle w:val="Heading2"/>
        <w:bidi/>
        <w:spacing w:after="140" w:before="320"/>
        <w:jc w:val="right"/>
      </w:pPr>
      <w:bookmarkStart w:name="bm_faqrah_15" w:id="1024"/>
      <w:r>
        <w:rPr>
          <w:rFonts w:ascii="Aref Ruqaa" w:cs="Aref Ruqaa" w:eastAsia="Aref Ruqaa" w:hAnsi="Aref Ruqaa"/>
          <w:b/>
          <w:bCs/>
          <w:i w:val="false"/>
          <w:iCs w:val="false"/>
          <w:color w:val="0D2143"/>
          <w:sz w:val="28"/>
          <w:szCs w:val="28"/>
          <w:rtl/>
        </w:rPr>
        <w:t xml:space="preserve">المبحث الثالث: تحري الحكمة في النصيحة والدعوة</w:t>
      </w:r>
      <w:bookmarkEnd w:id="1024"/>
    </w:p>
    <w:p>
      <w:pPr>
        <w:bidi/>
        <w:spacing w:after="140" w:before="0" w:line="300"/>
        <w:jc w:val="both"/>
      </w:pPr>
      <w:r>
        <w:rPr>
          <w:rFonts w:ascii="Amiri" w:cs="Amiri" w:eastAsia="Amiri" w:hAnsi="Amiri"/>
          <w:b w:val="false"/>
          <w:bCs w:val="false"/>
          <w:i w:val="false"/>
          <w:iCs w:val="false"/>
          <w:color w:val="181410"/>
          <w:sz w:val="22"/>
          <w:szCs w:val="22"/>
          <w:rtl/>
        </w:rPr>
        <w:t xml:space="preserve">إذا كانت الحكمة أصلًا، فما صورتها حين يجلس الناصح أمام من يريد نصحه؟ ليست الحكمة شعارًا يُستحضر عند الحاجة إلى تبرير الرفق، بل سلوكًا محددًا له أدوات يمكن وصفها. وقد جمع النبي صلى الله عليه وسلم مقصود هذا الباب في كلمات معدودة: «يَسِّرُوا وَلَا تُعَسِّرُوا، وَبَشِّرُوا وَلَا تُنَفِّرُوا» (رواه البخاري، رقم 69). أربع كلمات، كل اثنتين منها متقابلتان: التيسير في وجه التعسير، والتبشير في وجه التنفير. والحديث -وإن ورد في سياق التعليم العام- ينطبق على من يتصدى لنصح المخالف بخاصة؛ لأن المخالف أشد الناس حاجة إلى من ييسر عليه طريق العودة، لا من يزيده تعسيرًا عليه.</w:t>
      </w:r>
    </w:p>
    <w:p>
      <w:pPr>
        <w:bidi/>
        <w:spacing w:after="140" w:before="0" w:line="300"/>
        <w:jc w:val="both"/>
      </w:pPr>
      <w:r>
        <w:rPr>
          <w:rFonts w:ascii="Amiri" w:cs="Amiri" w:eastAsia="Amiri" w:hAnsi="Amiri"/>
          <w:b w:val="false"/>
          <w:bCs w:val="false"/>
          <w:i w:val="false"/>
          <w:iCs w:val="false"/>
          <w:color w:val="181410"/>
          <w:sz w:val="22"/>
          <w:szCs w:val="22"/>
          <w:rtl/>
        </w:rPr>
        <w:t xml:space="preserve">ومكمن الفرق أن المخالف -خلافًا لمن لم يسمع بالحق أصلًا- يُطلب منه أن يتراجع عما اعتاده أو تبناه، وهذا أثقل على النفس من مجرد تعلّم أمر جديد؛ فالتراجع يستلزم اعترافًا بالخطأ، والاعتراف بالخطأ يحتاج إلى بيئة آمنة لا يُستهزأ فيها بصاحبه ولا يُشهَّر به. ولذلك كانت وسائل التيسير في حقه أدق وألزم.</w:t>
      </w:r>
    </w:p>
    <w:p>
      <w:pPr>
        <w:bidi/>
        <w:spacing w:after="100" w:before="200" w:line="300"/>
        <w:jc w:val="right"/>
      </w:pPr>
      <w:r>
        <w:rPr>
          <w:rFonts w:ascii="Amiri" w:cs="Amiri" w:eastAsia="Amiri" w:hAnsi="Amiri"/>
          <w:b/>
          <w:bCs/>
          <w:i w:val="false"/>
          <w:iCs w:val="false"/>
          <w:color w:val="152C54"/>
          <w:sz w:val="22"/>
          <w:szCs w:val="22"/>
          <w:rtl/>
        </w:rPr>
        <w:t xml:space="preserve">وسائل عملية</w:t>
      </w:r>
    </w:p>
    <w:p>
      <w:pPr>
        <w:bidi/>
        <w:spacing w:after="140" w:before="0" w:line="300"/>
        <w:jc w:val="both"/>
      </w:pPr>
      <w:r>
        <w:rPr>
          <w:rFonts w:ascii="Amiri" w:cs="Amiri" w:eastAsia="Amiri" w:hAnsi="Amiri"/>
          <w:b w:val="false"/>
          <w:bCs w:val="false"/>
          <w:i w:val="false"/>
          <w:iCs w:val="false"/>
          <w:color w:val="181410"/>
          <w:sz w:val="22"/>
          <w:szCs w:val="22"/>
          <w:rtl/>
        </w:rPr>
        <w:t xml:space="preserve">ومن أظهر هذه الوسائل:</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التدرج</w:t>
      </w:r>
      <w:r>
        <w:rPr>
          <w:rFonts w:ascii="Amiri" w:cs="Amiri" w:eastAsia="Amiri" w:hAnsi="Amiri"/>
          <w:b w:val="false"/>
          <w:bCs w:val="false"/>
          <w:i w:val="false"/>
          <w:iCs w:val="false"/>
          <w:color w:val="181410"/>
          <w:sz w:val="22"/>
          <w:szCs w:val="22"/>
          <w:rtl/>
        </w:rPr>
        <w:t xml:space="preserve">: فلا يُثقَل المخالف بجملة من الإنكارات دفعة واحدة، إذ يشعر عندها أن دينه كله موضع اتهام، فينكفئ دفاعًا عن نفسه لا مراجعة لخطئه.</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اختيار الوقت والمكان</w:t>
      </w:r>
      <w:r>
        <w:rPr>
          <w:rFonts w:ascii="Amiri" w:cs="Amiri" w:eastAsia="Amiri" w:hAnsi="Amiri"/>
          <w:b w:val="false"/>
          <w:bCs w:val="false"/>
          <w:i w:val="false"/>
          <w:iCs w:val="false"/>
          <w:color w:val="181410"/>
          <w:sz w:val="22"/>
          <w:szCs w:val="22"/>
          <w:rtl/>
        </w:rPr>
        <w:t xml:space="preserve">: فللنصح لحظات يُقبل فيها القلب على السماع، ولحظات يكون فيها مشغولًا أو متوترًا لا يسع أي كلام مهما حسنت نيته.</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تفضيل السر على العلن</w:t>
      </w:r>
      <w:r>
        <w:rPr>
          <w:rFonts w:ascii="Amiri" w:cs="Amiri" w:eastAsia="Amiri" w:hAnsi="Amiri"/>
          <w:b w:val="false"/>
          <w:bCs w:val="false"/>
          <w:i w:val="false"/>
          <w:iCs w:val="false"/>
          <w:color w:val="181410"/>
          <w:sz w:val="22"/>
          <w:szCs w:val="22"/>
          <w:rtl/>
        </w:rPr>
        <w:t xml:space="preserve"> فيمن لا مصلحة في إشهار خطئه؛ إذ يضع الإنكار العلني صاحب المخالفة أمام الناس، فيدافع عن نفسه لا لأنه مقتنع بموقفه، بل لأن التراجع أمام الملأ أثقل من التراجع في خلوة. وهذا فرق دقيق يغفل عنه من يظن أن علنية الإنكار دليل على قوة الغيرة؛ فالغيرة الصادقة تبحث عن أقرب طريق إلى قبول الحق، لا عن أوسع جمهور يشهد الإنكار.</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مراعاة اختلاف الأشخاص</w:t>
      </w:r>
      <w:r>
        <w:rPr>
          <w:rFonts w:ascii="Amiri" w:cs="Amiri" w:eastAsia="Amiri" w:hAnsi="Amiri"/>
          <w:b w:val="false"/>
          <w:bCs w:val="false"/>
          <w:i w:val="false"/>
          <w:iCs w:val="false"/>
          <w:color w:val="181410"/>
          <w:sz w:val="22"/>
          <w:szCs w:val="22"/>
          <w:rtl/>
        </w:rPr>
        <w:t xml:space="preserve">: فما يُجدي مع من يحب المواجهة المباشرة قد يُنفّر آخر يحتاج إلى تمهيد أطول ومدخل أرفق.</w:t>
      </w:r>
    </w:p>
    <w:p>
      <w:pPr>
        <w:bidi/>
        <w:spacing w:after="140" w:before="0" w:line="300"/>
        <w:jc w:val="both"/>
      </w:pPr>
      <w:r>
        <w:rPr>
          <w:rFonts w:ascii="Amiri" w:cs="Amiri" w:eastAsia="Amiri" w:hAnsi="Amiri"/>
          <w:b w:val="false"/>
          <w:bCs w:val="false"/>
          <w:i w:val="false"/>
          <w:iCs w:val="false"/>
          <w:color w:val="181410"/>
          <w:sz w:val="22"/>
          <w:szCs w:val="22"/>
          <w:rtl/>
        </w:rPr>
        <w:t xml:space="preserve">وهذه الوسائل كلها إنما هي تفصيل لخُلق واحد جامع، هو الرفق، وهو موضوع المبحث التالي.</w:t>
      </w:r>
    </w:p>
    <w:tbl>
      <w:tblPr>
        <w:tblW w:type="pct" w:w="100%"/>
        <w:tblBorders>
          <w:top w:val="single" w:color="E3C780" w:sz="6"/>
          <w:left w:val="single" w:color="E3C780" w:sz="24"/>
          <w:bottom w:val="single" w:color="E3C780" w:sz="6"/>
          <w:right w:val="single" w:color="E3C780"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0D2143"/>
                <w:sz w:val="18"/>
                <w:szCs w:val="18"/>
                <w:rtl/>
              </w:rPr>
              <w:t xml:space="preserve">الواجب على المسلم</w:t>
            </w:r>
          </w:p>
          <w:p>
            <w:pPr>
              <w:bidi/>
              <w:spacing w:after="0" w:before="0" w:line="300"/>
              <w:jc w:val="both"/>
            </w:pPr>
            <w:r>
              <w:rPr>
                <w:rFonts w:ascii="Amiri" w:cs="Amiri" w:eastAsia="Amiri" w:hAnsi="Amiri"/>
                <w:b w:val="false"/>
                <w:bCs w:val="false"/>
                <w:i w:val="false"/>
                <w:iCs w:val="false"/>
                <w:color w:val="181410"/>
                <w:sz w:val="22"/>
                <w:szCs w:val="22"/>
                <w:rtl/>
              </w:rPr>
              <w:t xml:space="preserve">أن يتحرى في نصحه للمخالفين التيسير لا التعسير، فيختار أنسب الأوقات والأساليب، ويتدرج في بيان الحق، ويقدّر أن التراجع عن مخالفة مألوفة أثقل على النفس من قبول أمر جديد، فيهيئ لصاحبه طريقًا يستطيع أن يسلكه دون أن يُكسَر أمام نفسه أو أمام غيره.</w:t>
            </w:r>
          </w:p>
        </w:tc>
      </w:tr>
    </w:tbl>
    <w:p>
      <w:pPr>
        <w:spacing w:after="160"/>
      </w:pPr>
    </w:p>
    <w:p>
      <w:pPr>
        <w:pStyle w:val="Heading2"/>
        <w:bidi/>
        <w:spacing w:after="140" w:before="320"/>
        <w:jc w:val="right"/>
      </w:pPr>
      <w:bookmarkStart w:name="bm_faqrah_16" w:id="1025"/>
      <w:r>
        <w:rPr>
          <w:rFonts w:ascii="Aref Ruqaa" w:cs="Aref Ruqaa" w:eastAsia="Aref Ruqaa" w:hAnsi="Aref Ruqaa"/>
          <w:b/>
          <w:bCs/>
          <w:i w:val="false"/>
          <w:iCs w:val="false"/>
          <w:color w:val="0D2143"/>
          <w:sz w:val="28"/>
          <w:szCs w:val="28"/>
          <w:rtl/>
        </w:rPr>
        <w:t xml:space="preserve">المبحث الرابع: توجيه المخالف بالرفق وتقديم الأدلة المقنعة</w:t>
      </w:r>
      <w:bookmarkEnd w:id="1025"/>
    </w:p>
    <w:p>
      <w:pPr>
        <w:bidi/>
        <w:spacing w:after="140" w:before="0" w:line="300"/>
        <w:jc w:val="both"/>
      </w:pPr>
      <w:r>
        <w:rPr>
          <w:rFonts w:ascii="Amiri" w:cs="Amiri" w:eastAsia="Amiri" w:hAnsi="Amiri"/>
          <w:b w:val="false"/>
          <w:bCs w:val="false"/>
          <w:i w:val="false"/>
          <w:iCs w:val="false"/>
          <w:color w:val="181410"/>
          <w:sz w:val="22"/>
          <w:szCs w:val="22"/>
          <w:rtl/>
        </w:rPr>
        <w:t xml:space="preserve">قال النبي صلى الله عليه وسلم: «مَا كَانَ الرِّفْقُ فِي شَيْءٍ إِلَّا زَانَهُ، وَمَا نُزِعَ مِنْ شَيْءٍ إِلَّا شَانَهُ» (رواه مسلم، رقم 2594). والملاحظ في هذا الحديث أنه لم يشترط لزينة الرفق أن يكون صاحبه على خطأ يحتاج إلى تلطيفه؛ بل أطلق القول: ما كان الرفق في شيء إلا زانه، ولو كان هذا الشيء حقًا محضًا وصاحبه على صواب تام. فالمحق الذي ينزع الرفق من كلامه لا يخسر شيئًا من صحة قوله، لكنه يخسر ما هو أخطر: الأثر الذي كان يمكن أن يُحدثه هذا القول في نفس من يسمعه. وكم من ناصح كان على حق في كل ما قال، فلم يُقبل قوله لأن الطريقة التي قيل بها نفّرت أكثر مما بيّنت.</w:t>
      </w:r>
    </w:p>
    <w:p>
      <w:pPr>
        <w:bidi/>
        <w:spacing w:after="140" w:before="0" w:line="300"/>
        <w:jc w:val="both"/>
      </w:pPr>
      <w:r>
        <w:rPr>
          <w:rFonts w:ascii="Amiri" w:cs="Amiri" w:eastAsia="Amiri" w:hAnsi="Amiri"/>
          <w:b w:val="false"/>
          <w:bCs w:val="false"/>
          <w:i w:val="false"/>
          <w:iCs w:val="false"/>
          <w:color w:val="181410"/>
          <w:sz w:val="22"/>
          <w:szCs w:val="22"/>
          <w:rtl/>
        </w:rPr>
        <w:t xml:space="preserve">وهذا بعينه ما تُقرِّره آية آل عمران في وصف خُلق النبي صلى الله عليه وسلم مع أصحابه: </w:t>
      </w:r>
      <w:r>
        <w:rPr>
          <w:rFonts w:ascii="Amiri Quran" w:cs="Amiri Quran" w:eastAsia="Amiri Quran" w:hAnsi="Amiri Quran"/>
          <w:b w:val="false"/>
          <w:bCs w:val="false"/>
          <w:i w:val="false"/>
          <w:iCs w:val="false"/>
          <w:color w:val="0D2143"/>
          <w:sz w:val="26"/>
          <w:szCs w:val="26"/>
          <w:rtl/>
        </w:rPr>
        <w:t xml:space="preserve">﴿فَبِمَا رَحْمَةٍ مِّنَ اللَّـهِ لِنتَ لَهُمْ ۖ وَلَوْ كُنتَ فَظًّا غَلِيظَ الْقَلْبِ لَانفَضُّوا مِنْ حَوْلِكَ﴾</w:t>
      </w:r>
      <w:r>
        <w:rPr>
          <w:rFonts w:ascii="Cairo" w:cs="Cairo" w:eastAsia="Cairo" w:hAnsi="Cairo"/>
          <w:b/>
          <w:bCs/>
          <w:i w:val="false"/>
          <w:iCs w:val="false"/>
          <w:color w:val="8A6A1F"/>
          <w:sz w:val="16"/>
          <w:szCs w:val="16"/>
          <w:rtl/>
        </w:rPr>
        <w:t xml:space="preserve"> [آل عمران: 159]</w:t>
      </w:r>
      <w:r>
        <w:rPr>
          <w:rFonts w:ascii="Amiri" w:cs="Amiri" w:eastAsia="Amiri" w:hAnsi="Amiri"/>
          <w:b w:val="false"/>
          <w:bCs w:val="false"/>
          <w:i w:val="false"/>
          <w:iCs w:val="false"/>
          <w:color w:val="181410"/>
          <w:sz w:val="22"/>
          <w:szCs w:val="22"/>
          <w:rtl/>
        </w:rPr>
        <w:t xml:space="preserve">. تأمل: الذين وُصفوا باحتمال الانفضاض هم أصحابه المؤمنون به المصدّقون لرسالته، لا أعداؤه ولا المرتابون فيه؛ فإذا كان اللين شرطًا لثبات من آمن به أصلًا، فكيف بمن لم يبلغ هذه المنزلة من التسليم، وهو المخالف الذي ما يزال قلبه معلقًا بما ألِفه؟</w:t>
      </w:r>
    </w:p>
    <w:tbl>
      <w:tblPr>
        <w:tblW w:type="pct" w:w="100%"/>
        <w:tblBorders>
          <w:top w:val="single" w:color="8C3B2E" w:sz="6"/>
          <w:left w:val="single" w:color="8C3B2E" w:sz="24"/>
          <w:bottom w:val="single" w:color="8C3B2E" w:sz="6"/>
          <w:right w:val="single" w:color="8C3B2E" w:sz="6"/>
          <w:insideH w:val="single" w:color="auto" w:sz="4"/>
          <w:insideV w:val="single" w:color="auto" w:sz="4"/>
        </w:tblBorders>
      </w:tblPr>
      <w:tblGrid>
        <w:gridCol w:w="100"/>
      </w:tblGrid>
      <w:tr>
        <w:tc>
          <w:tcPr>
            <w:shd w:fill="FBF7EE" w:val="clear"/>
            <w:tcMar>
              <w:top w:type="dxa" w:w="160"/>
              <w:left w:type="dxa" w:w="200"/>
              <w:bottom w:type="dxa" w:w="160"/>
              <w:right w:type="dxa" w:w="200"/>
            </w:tcMar>
          </w:tcPr>
          <w:p>
            <w:pPr>
              <w:bidi/>
              <w:spacing w:after="100" w:before="0" w:line="300"/>
              <w:jc w:val="right"/>
            </w:pPr>
          </w:p>
          <w:p>
            <w:pPr>
              <w:bidi/>
              <w:spacing w:after="0" w:before="0" w:line="300"/>
              <w:jc w:val="both"/>
            </w:pPr>
            <w:r>
              <w:rPr>
                <w:rFonts w:ascii="Amiri" w:cs="Amiri" w:eastAsia="Amiri" w:hAnsi="Amiri"/>
                <w:b w:val="false"/>
                <w:bCs w:val="false"/>
                <w:i w:val="false"/>
                <w:iCs w:val="false"/>
                <w:color w:val="181410"/>
                <w:sz w:val="22"/>
                <w:szCs w:val="22"/>
                <w:rtl/>
              </w:rPr>
              <w:t xml:space="preserve">يخلط كثير من الدعاة بين إفحام المخالف وإقناعه، وبينهما فرق جوهري: الإفحام يُسكت اللسان ويترك في النفس أثر الغلبة والانكسار، وقد يُخرج المخالف من الحوار وهو أشد تعلقًا بموقفه من قبل وإن عجز عن الدفاع عنه، لأن الهزيمة أمام الآخرين تستنفر العصبية لا العقل. أما الإقناع فهو أن يخرج المخالف من الحوار وقد رأى الحق بعينه هو، لا مفروضًا عليه من خارجه، فيقبله عن رضا لا عن قهر. ومن قصر همه على أن يُسكت خصمه لا أن يهديه، فقد أخطأ مقصود النصيحة من أساسه، ولو أصاب كل دليل ساقه.</w:t>
            </w:r>
          </w:p>
        </w:tc>
      </w:tr>
    </w:tbl>
    <w:p>
      <w:pPr>
        <w:spacing w:after="140"/>
      </w:pPr>
    </w:p>
    <w:p>
      <w:pPr>
        <w:bidi/>
        <w:spacing w:after="140" w:before="0" w:line="300"/>
        <w:jc w:val="both"/>
      </w:pPr>
      <w:r>
        <w:rPr>
          <w:rFonts w:ascii="Amiri" w:cs="Amiri" w:eastAsia="Amiri" w:hAnsi="Amiri"/>
          <w:b w:val="false"/>
          <w:bCs w:val="false"/>
          <w:i w:val="false"/>
          <w:iCs w:val="false"/>
          <w:color w:val="181410"/>
          <w:sz w:val="22"/>
          <w:szCs w:val="22"/>
          <w:rtl/>
        </w:rPr>
        <w:t xml:space="preserve">ومن أدوات الرفق التي قد تُغفَل الإصغاءُ نفسه: أن يُترك للمخالف مجال يعرض فيه شبهته أو سبب تمسكه بما هو عليه قبل أن يُرَدّ عليه. فهذا وحده -قبل أي جواب- يشعره أنه يُخاطَب لا يُحاكَم، وهو ما يهيئ نفسه لتقبل الجواب حين يُقدَّم إليه. ويبقى سؤال لم يُجب عنه بعد: هل كل من وقع في هذه المخالفة قصدها؟ هذا ما يتناوله المبحث الأخير.</w:t>
      </w:r>
    </w:p>
    <w:tbl>
      <w:tblPr>
        <w:tblW w:type="pct" w:w="100%"/>
        <w:tblBorders>
          <w:top w:val="single" w:color="E3C780" w:sz="6"/>
          <w:left w:val="single" w:color="E3C780" w:sz="24"/>
          <w:bottom w:val="single" w:color="E3C780" w:sz="6"/>
          <w:right w:val="single" w:color="E3C780"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0D2143"/>
                <w:sz w:val="18"/>
                <w:szCs w:val="18"/>
                <w:rtl/>
              </w:rPr>
              <w:t xml:space="preserve">الواجب على المسلم</w:t>
            </w:r>
          </w:p>
          <w:p>
            <w:pPr>
              <w:bidi/>
              <w:spacing w:after="0" w:before="0" w:line="300"/>
              <w:jc w:val="both"/>
            </w:pPr>
            <w:r>
              <w:rPr>
                <w:rFonts w:ascii="Amiri" w:cs="Amiri" w:eastAsia="Amiri" w:hAnsi="Amiri"/>
                <w:b w:val="false"/>
                <w:bCs w:val="false"/>
                <w:i w:val="false"/>
                <w:iCs w:val="false"/>
                <w:color w:val="181410"/>
                <w:sz w:val="22"/>
                <w:szCs w:val="22"/>
                <w:rtl/>
              </w:rPr>
              <w:t xml:space="preserve">أن يجمع في توجيه المخالف بين رفق لا يذهب ببيان الحق، وحجة لا تذهب بأثر الرفق، فلا يقنع بأن يُسكت خصمه، بل يسعى إلى أن يراه بعينه هو، مدركًا أن الفرق بين إفحام الخصم وإقناعه هو الفرق بين نصر يُشهَد وهداية تدوم.</w:t>
            </w:r>
          </w:p>
        </w:tc>
      </w:tr>
    </w:tbl>
    <w:p>
      <w:pPr>
        <w:spacing w:after="160"/>
      </w:pPr>
    </w:p>
    <w:p>
      <w:pPr>
        <w:pStyle w:val="Heading2"/>
        <w:bidi/>
        <w:spacing w:after="140" w:before="320"/>
        <w:jc w:val="right"/>
      </w:pPr>
      <w:bookmarkStart w:name="bm_faqrah_17" w:id="1026"/>
      <w:r>
        <w:rPr>
          <w:rFonts w:ascii="Aref Ruqaa" w:cs="Aref Ruqaa" w:eastAsia="Aref Ruqaa" w:hAnsi="Aref Ruqaa"/>
          <w:b/>
          <w:bCs/>
          <w:i w:val="false"/>
          <w:iCs w:val="false"/>
          <w:color w:val="0D2143"/>
          <w:sz w:val="28"/>
          <w:szCs w:val="28"/>
          <w:rtl/>
        </w:rPr>
        <w:t xml:space="preserve">المبحث الخامس: تفهم دوافع المخالفين والتماس الأعذار لمن لم يتعمد المخالفة</w:t>
      </w:r>
      <w:bookmarkEnd w:id="1026"/>
    </w:p>
    <w:p>
      <w:pPr>
        <w:bidi/>
        <w:spacing w:after="140" w:before="0" w:line="300"/>
        <w:jc w:val="both"/>
      </w:pPr>
      <w:r>
        <w:rPr>
          <w:rFonts w:ascii="Amiri" w:cs="Amiri" w:eastAsia="Amiri" w:hAnsi="Amiri"/>
          <w:b w:val="false"/>
          <w:bCs w:val="false"/>
          <w:i w:val="false"/>
          <w:iCs w:val="false"/>
          <w:color w:val="181410"/>
          <w:sz w:val="22"/>
          <w:szCs w:val="22"/>
          <w:rtl/>
        </w:rPr>
        <w:t xml:space="preserve">لم يقصد كل من خالف السنة مخالفتها. هذا ما يقرره النبي صلى الله عليه وسلم في أصل جامع: «رُفِعَ عَنْ أُمَّتِي الْخَطَأُ وَالنِّسْيَانُ وَمَا اسْتُكْرِهُوا عَلَيْهِ» (رواه ابن ماجه، رقم 2045، وصححه الألباني في صحيح الجامع). فالشريعة نفسها تفرّق بين من أخطأ وهو يقصد الصواب فأخطأه، وبين من قصد المخالفة وهو يعلم أنها مخالفة؛ وهذا الفرق ليس تنازلًا من الشريعة عن صرامتها، بل هو صرامتها بعينها موضوعة في موضعها: العدل لا يقتضي مساواة غير المتساويين. وقد يكون الدافع خطأً في الاجتهاد، أو نسيانًا، أو إكراهًا من ظرف قاهر، أو نشأة في بيئة لم تُتَح فيها معرفة الحق -والأسباب تتعدد، لكن الجامع بينها أن صاحبها لم يُرِد المخالفة لذاتها.</w:t>
      </w:r>
    </w:p>
    <w:p>
      <w:pPr>
        <w:bidi/>
        <w:spacing w:after="140" w:before="0" w:line="300"/>
        <w:jc w:val="both"/>
      </w:pPr>
      <w:r>
        <w:rPr>
          <w:rFonts w:ascii="Amiri" w:cs="Amiri" w:eastAsia="Amiri" w:hAnsi="Amiri"/>
          <w:b w:val="false"/>
          <w:bCs w:val="false"/>
          <w:i w:val="false"/>
          <w:iCs w:val="false"/>
          <w:color w:val="181410"/>
          <w:sz w:val="22"/>
          <w:szCs w:val="22"/>
          <w:rtl/>
        </w:rPr>
        <w:t xml:space="preserve">وعلى هذا الأصل سار سلف هذه الأمة، فكانوا يلتمسون العذر لمن لم تتضح له وجوه الحق، ويفرقون بينه وبين المصر على مخالفته بعد قيام الحجة عليه؛ حتى نُقل هذا التحري في الرفق عن غير واحد من أئمة السلف رحمهم الله. ولم يكن هذا منهم رخصة يتساهلون بها في أصل الدين، بل فقهًا في التفريق بين من يستحق البيان ومن يستحق الإنكار.</w:t>
      </w:r>
    </w:p>
    <w:p>
      <w:pPr>
        <w:bidi/>
        <w:spacing w:after="100" w:before="200" w:line="300"/>
        <w:jc w:val="right"/>
      </w:pPr>
      <w:r>
        <w:rPr>
          <w:rFonts w:ascii="Amiri" w:cs="Amiri" w:eastAsia="Amiri" w:hAnsi="Amiri"/>
          <w:b/>
          <w:bCs/>
          <w:i w:val="false"/>
          <w:iCs w:val="false"/>
          <w:color w:val="152C54"/>
          <w:sz w:val="22"/>
          <w:szCs w:val="22"/>
          <w:rtl/>
        </w:rPr>
        <w:t xml:space="preserve">الحكم على الفعل غير الحكم على الفاعل</w:t>
      </w:r>
    </w:p>
    <w:p>
      <w:pPr>
        <w:bidi/>
        <w:spacing w:after="140" w:before="0" w:line="300"/>
        <w:jc w:val="both"/>
      </w:pPr>
      <w:r>
        <w:rPr>
          <w:rFonts w:ascii="Amiri" w:cs="Amiri" w:eastAsia="Amiri" w:hAnsi="Amiri"/>
          <w:b w:val="false"/>
          <w:bCs w:val="false"/>
          <w:i w:val="false"/>
          <w:iCs w:val="false"/>
          <w:color w:val="181410"/>
          <w:sz w:val="22"/>
          <w:szCs w:val="22"/>
          <w:rtl/>
        </w:rPr>
        <w:t xml:space="preserve">وهنا يعود بنا الأمر إلى ما افتُتح به هذا الفصل: أن الحكم على الفعل غير الحكم على فاعله. التماس العذر لا يعني أن البدعة تصير غير بدعة برضا صاحبها أو حسن نيته؛ فالفعل يبقى منكرًا يجب بيانه والتحذير منه كائنًا من كان فاعله. ما يتغير بالعذر هو موقع الفاعل من هذا الحكم: أهو مُصرّ يستحق وصف العناد، أم جاهل أو متأول يستحق التعليم والبيان؟ هذا هو كل ما في الأمر، وهو تمييز دقيق، لكنه حاسم في تحديد كيفية الخطاب لا في تحديد الحكم على الخطأ.</w:t>
      </w:r>
    </w:p>
    <w:p>
      <w:pPr>
        <w:bidi/>
        <w:spacing w:after="140" w:before="0" w:line="300"/>
        <w:jc w:val="both"/>
      </w:pPr>
      <w:r>
        <w:rPr>
          <w:rFonts w:ascii="Amiri" w:cs="Amiri" w:eastAsia="Amiri" w:hAnsi="Amiri"/>
          <w:b w:val="false"/>
          <w:bCs w:val="false"/>
          <w:i w:val="false"/>
          <w:iCs w:val="false"/>
          <w:color w:val="181410"/>
          <w:sz w:val="22"/>
          <w:szCs w:val="22"/>
          <w:rtl/>
        </w:rPr>
        <w:t xml:space="preserve">ثم إن الأعذار نفسها ليست على درجة واحدة؛ فمن نشأ في بيئة معزولة لا يجد فيها من يبيّن له الحق أعذر ممن خالط أهل العلم وسمع منهم البيان الواضح ثم أعرض عنه إلى ما اعتاد. فبُعد المخالف عن مظانّ العلم يقوّي عذره، وقربه منها مع إعراضه عنها يضعفه حتى يقترب من صورة المتعمد التي افتُتح بها هذا الفصل.</w:t>
      </w:r>
    </w:p>
    <w:p>
      <w:pPr>
        <w:bidi/>
        <w:spacing w:after="140" w:before="0" w:line="300"/>
        <w:jc w:val="both"/>
      </w:pPr>
      <w:r>
        <w:rPr>
          <w:rFonts w:ascii="Amiri" w:cs="Amiri" w:eastAsia="Amiri" w:hAnsi="Amiri"/>
          <w:b w:val="false"/>
          <w:bCs w:val="false"/>
          <w:i w:val="false"/>
          <w:iCs w:val="false"/>
          <w:color w:val="181410"/>
          <w:sz w:val="22"/>
          <w:szCs w:val="22"/>
          <w:rtl/>
        </w:rPr>
        <w:t xml:space="preserve">وبهذا يكتمل ما سعى إليه هذا الفصل من أوله: أن الشدة والرفق ليسا خيارين متعارضين يُختار أحدهما بحسب المزاج، بل موضعين لحكم واحد يتحدد بحال المخالف نفسه. من عرف الحق وأصر على خلافه بعد قيام الحجة، فذلك موضع الشدة والتحذير الذي لا مجال فيه للين. ومن جهل أو أخطأ أو أُكره، فذلك موضع الرفق والتعليم الذي لا مكان فيه للقسوة. وما بين هذين الطرفين ميدان واسع، هو بالضبط ما تحتاج فيه الحكمة التي تحدثت عنها بقية هذا الفصل: أن يعرف الداعية أين هو من هذين الموضعين، فيضع كل مخالف في مكانه الذي يستحقه، لا في المكان الذي يريحه هو أن يضعه فيه.</w:t>
      </w:r>
    </w:p>
    <w:tbl>
      <w:tblPr>
        <w:tblW w:type="pct" w:w="100%"/>
        <w:tblBorders>
          <w:top w:val="single" w:color="E3C780" w:sz="6"/>
          <w:left w:val="single" w:color="E3C780" w:sz="24"/>
          <w:bottom w:val="single" w:color="E3C780" w:sz="6"/>
          <w:right w:val="single" w:color="E3C780"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0D2143"/>
                <w:sz w:val="18"/>
                <w:szCs w:val="18"/>
                <w:rtl/>
              </w:rPr>
              <w:t xml:space="preserve">الواجب على المسلم</w:t>
            </w:r>
          </w:p>
          <w:p>
            <w:pPr>
              <w:bidi/>
              <w:spacing w:after="0" w:before="0" w:line="300"/>
              <w:jc w:val="both"/>
            </w:pPr>
            <w:r>
              <w:rPr>
                <w:rFonts w:ascii="Amiri" w:cs="Amiri" w:eastAsia="Amiri" w:hAnsi="Amiri"/>
                <w:b w:val="false"/>
                <w:bCs w:val="false"/>
                <w:i w:val="false"/>
                <w:iCs w:val="false"/>
                <w:color w:val="181410"/>
                <w:sz w:val="22"/>
                <w:szCs w:val="22"/>
                <w:rtl/>
              </w:rPr>
              <w:t xml:space="preserve">أن يلتمس الأعذار لمن أخطأ عن جهل أو نسيان أو إكراه، فيعلّمه ويرفق به من غير أن يتنازل عن بيان بطلان مخالفته، مع بقاء الشدة والتحذير واجبين في حق من تعمد المخالفة بعد قيام الحجة عليه وأصر عليها عنادًا؛ فذلك هو العدل الذي جمع بين الحق وأهله.</w:t>
            </w:r>
          </w:p>
        </w:tc>
      </w:tr>
    </w:tbl>
    <w:p>
      <w:pPr>
        <w:spacing w:after="160"/>
      </w:pPr>
    </w:p>
    <w:p>
      <w:pPr>
        <w:pStyle w:val="Heading1"/>
        <w:pageBreakBefore/>
        <w:bidi/>
        <w:spacing w:after="160" w:before="0"/>
        <w:jc w:val="right"/>
      </w:pPr>
      <w:bookmarkStart w:name="bm_fasl4" w:id="1027"/>
      <w:r>
        <w:rPr>
          <w:rFonts w:ascii="Aref Ruqaa" w:cs="Aref Ruqaa" w:eastAsia="Aref Ruqaa" w:hAnsi="Aref Ruqaa"/>
          <w:b/>
          <w:bCs/>
          <w:i w:val="false"/>
          <w:iCs w:val="false"/>
          <w:color w:val="0A1830"/>
          <w:sz w:val="34"/>
          <w:szCs w:val="34"/>
          <w:rtl/>
        </w:rPr>
        <w:t xml:space="preserve">الفصل الرابع — منهج الصحابة والتابعين في اتباع السنة النبوية وتطبيقها</w:t>
      </w:r>
      <w:bookmarkEnd w:id="1027"/>
    </w:p>
    <w:p>
      <w:pPr>
        <w:bidi/>
        <w:spacing w:after="140" w:before="0" w:line="300"/>
        <w:jc w:val="both"/>
      </w:pPr>
      <w:r>
        <w:rPr>
          <w:rFonts w:ascii="Amiri" w:cs="Amiri" w:eastAsia="Amiri" w:hAnsi="Amiri"/>
          <w:b w:val="false"/>
          <w:bCs w:val="false"/>
          <w:i w:val="false"/>
          <w:iCs w:val="false"/>
          <w:color w:val="181410"/>
          <w:sz w:val="22"/>
          <w:szCs w:val="22"/>
          <w:rtl/>
        </w:rPr>
        <w:t xml:space="preserve">حين يُراد إثبات حجية السنة النبوية مصدرًا للتشريع، يُكتفى غالبًا بسَوق الأدلة النظرية: آيات الطاعة، وأحاديث الوحي، وأقوال الأصوليين في مراتب الأدلة. غير أن هذا كله يظل، مهما بلغ إحكامه، خطابًا عن السنة لا شهادةً عليها وهي تُمارَس. الشهادة الحقة جاءت من موضعٍ آخر: من سلوك الجيل الذي عاصر التنزيل، ثم الجيل الذي تلقّى عنه، حين حوّلا الدعوى النظرية إلى ممارسة يومية في القضاء والفتوى والتربية وفض الخلاف. فحين نظر أبو بكر في القرآن أولًا ثم طلب السنة، لم يكن يُنظّر لترتيب الأدلة، بل كان يُطبّقه؛ والفارق بين الأمرين هو بالضبط ما يمنح سيرة الصحابة والتابعين قيمتها دليلًا مستقلًا لا يُغني عنه نصٌّ نظري ولا قاعدة أصولية مجردة.</w:t>
      </w:r>
    </w:p>
    <w:p>
      <w:pPr>
        <w:bidi/>
        <w:spacing w:after="140" w:before="0" w:line="300"/>
        <w:jc w:val="both"/>
      </w:pPr>
      <w:r>
        <w:rPr>
          <w:rFonts w:ascii="Amiri" w:cs="Amiri" w:eastAsia="Amiri" w:hAnsi="Amiri"/>
          <w:b w:val="false"/>
          <w:bCs w:val="false"/>
          <w:i w:val="false"/>
          <w:iCs w:val="false"/>
          <w:color w:val="181410"/>
          <w:sz w:val="22"/>
          <w:szCs w:val="22"/>
          <w:rtl/>
        </w:rPr>
        <w:t xml:space="preserve">هذا الفصل يتتبع خمس صور من هذه الممارسة: التزامًا يحمي جوهر الشريعة من الذوبان، ومنهجًا في القضاء يكشف كيف تحوّلت مراتب الأدلة من سلوكٍ إلى نظرية، ونقلًا أمينًا حفظ حلقة الاتصال بين المشاهدة والتدوين، ووظيفةً اجتماعية جمعت الأمة حول مرجعٍ لا يملكه فريقٌ دون آخر، وأخيرًا جهدًا علميًا حوّل ذلك كله إلى مدوّنةٍ مضبوطة يُحتكم إليها إلى اليوم.</w:t>
      </w:r>
    </w:p>
    <w:p>
      <w:pPr>
        <w:pStyle w:val="Heading2"/>
        <w:bidi/>
        <w:spacing w:after="140" w:before="320"/>
        <w:jc w:val="right"/>
      </w:pPr>
      <w:bookmarkStart w:name="bm_faqrah_18" w:id="1028"/>
      <w:r>
        <w:rPr>
          <w:rFonts w:ascii="Aref Ruqaa" w:cs="Aref Ruqaa" w:eastAsia="Aref Ruqaa" w:hAnsi="Aref Ruqaa"/>
          <w:b/>
          <w:bCs/>
          <w:i w:val="false"/>
          <w:iCs w:val="false"/>
          <w:color w:val="0D2143"/>
          <w:sz w:val="28"/>
          <w:szCs w:val="28"/>
          <w:rtl/>
        </w:rPr>
        <w:t xml:space="preserve">المبحث الأول: التزام الصحابة رضي الله عنهم بالسنة النبوية وأثره في صيانة الشريعة</w:t>
      </w:r>
      <w:bookmarkEnd w:id="1028"/>
    </w:p>
    <w:p>
      <w:pPr>
        <w:bidi/>
        <w:spacing w:after="140" w:before="0" w:line="300"/>
        <w:jc w:val="both"/>
      </w:pPr>
      <w:r>
        <w:rPr>
          <w:rFonts w:ascii="Amiri" w:cs="Amiri" w:eastAsia="Amiri" w:hAnsi="Amiri"/>
          <w:b w:val="false"/>
          <w:bCs w:val="false"/>
          <w:i w:val="false"/>
          <w:iCs w:val="false"/>
          <w:color w:val="181410"/>
          <w:sz w:val="22"/>
          <w:szCs w:val="22"/>
          <w:rtl/>
        </w:rPr>
        <w:t xml:space="preserve">لم تكن السنة عند الصحابة نصًّا يُستأنس به عند الحاجة، بل ركيزةً لا يقوم الدين بدونها؛ ولهذا حين نتأمل مواقفهم في هذا الباب لا نجد وصايا عامة بالتمسك بالخير، بل نجد تحذيرًا محددًا من إحداث ما لم يأذن به الشرع، وربطًا دقيقًا بين هذا الإحداث وفساد القلب قبل فساد العمل.</w:t>
      </w:r>
    </w:p>
    <w:p>
      <w:pPr>
        <w:bidi/>
        <w:spacing w:after="140" w:before="0" w:line="300"/>
        <w:jc w:val="both"/>
      </w:pPr>
      <w:r>
        <w:rPr>
          <w:rFonts w:ascii="Amiri" w:cs="Amiri" w:eastAsia="Amiri" w:hAnsi="Amiri"/>
          <w:b w:val="false"/>
          <w:bCs w:val="false"/>
          <w:i w:val="false"/>
          <w:iCs w:val="false"/>
          <w:color w:val="181410"/>
          <w:sz w:val="22"/>
          <w:szCs w:val="22"/>
          <w:rtl/>
        </w:rPr>
        <w:t xml:space="preserve">يُجسّد هذا الموقف قول عبد الله بن مسعود رضي الله عنه، وهو أحد أضبط الصحابة لهدي النبي صلى الله عليه وسلم وأطولهم ملازمةً له: «اتَّبِعوا ولا تَبْتَدِعوا فقد كُفِيتُم، وكلُّ بدعةٍ ضلالة». والكلمة الأولى فيه - «كُفيتم» - هي مفتاح الحجة: فابن مسعود لا يُحرّم الابتداع بحكمٍ مجرد، بل يُسنده إلى أن الحاجة إلى الإحداث أصلًا منتفية، لأن الوحي جاء كافيًا مستوعبًا، ومن استحدث بعد ذلك فإنما يزعم نقصًا في تشريعٍ كامل.</w:t>
      </w:r>
    </w:p>
    <w:p>
      <w:pPr>
        <w:bidi/>
        <w:spacing w:after="140" w:before="0" w:line="300"/>
        <w:jc w:val="both"/>
      </w:pPr>
      <w:r>
        <w:rPr>
          <w:rFonts w:ascii="Amiri" w:cs="Amiri" w:eastAsia="Amiri" w:hAnsi="Amiri"/>
          <w:b w:val="false"/>
          <w:bCs w:val="false"/>
          <w:i w:val="false"/>
          <w:iCs w:val="false"/>
          <w:color w:val="181410"/>
          <w:sz w:val="22"/>
          <w:szCs w:val="22"/>
          <w:rtl/>
        </w:rPr>
        <w:t xml:space="preserve">أما عمر بن الخطاب رضي الله عنه فقد نقل المعنى نفسه إلى مساحة أعمق حين قال: «إني لأخاف إن تركتم شيئًا مما جاء به رسول الله صلى الله عليه وسلم أن تزيغ قلوبكم». والزَّيغ هنا ليس عقوبةً مقترنة بترك السنة على سبيل التهديد، بل هو - في تصوّر عمر - أثرها الطبيعي: فحين يتهاون المرء في جزءٍ يسير من الهدي النبوي، لا يفقد ذلك الجزء وحده، بل تبدأ استقامة قلبه بالميل عنه شيئًا فشيئًا، حتى يجد نفسه بعيدًا عن الجادة من غير أن يشعر بلحظة الانحراف. وبهذا يلتقي الأثران على معنًى واحد من زاويتين متكاملتين: الأول ينفي الحاجة إلى ما سوى السنة، والثاني يُحذّر من عاقبة إهمال شيء منها، وكلاهما يرفض الفصل بين الاتباع الظاهر واستقامة الباطن.</w:t>
      </w:r>
    </w:p>
    <w:p>
      <w:pPr>
        <w:bidi/>
        <w:spacing w:after="140" w:before="0" w:line="300"/>
        <w:jc w:val="both"/>
      </w:pPr>
      <w:r>
        <w:rPr>
          <w:rFonts w:ascii="Amiri" w:cs="Amiri" w:eastAsia="Amiri" w:hAnsi="Amiri"/>
          <w:b w:val="false"/>
          <w:bCs w:val="false"/>
          <w:i w:val="false"/>
          <w:iCs w:val="false"/>
          <w:color w:val="181410"/>
          <w:sz w:val="22"/>
          <w:szCs w:val="22"/>
          <w:rtl/>
        </w:rPr>
        <w:t xml:space="preserve">وما كان هذا الموقف عند الصحابة اجتهادًا فرديًا قابلًا للتفاوت من واحدٍ إلى آخر، بل صار عرفًا جيليًا توارثه من جاء بعد عصر التنزيل عمّن عاصره. ولعل في هذا وحده تفسيرًا لسلامة هذه الشريعة من التحريف الذي أصاب أممًا سبقتها: فحين يتحول تعظيم النص إلى ثقافةٍ جماعية لا موقف فردٍ عابر، يصعب على أي طارئ أن يجد له موطئ قدم.</w:t>
      </w:r>
    </w:p>
    <w:tbl>
      <w:tblPr>
        <w:tblW w:type="pct" w:w="100%"/>
        <w:tblBorders>
          <w:top w:val="single" w:color="E3C780" w:sz="6"/>
          <w:left w:val="single" w:color="E3C780" w:sz="24"/>
          <w:bottom w:val="single" w:color="E3C780" w:sz="6"/>
          <w:right w:val="single" w:color="E3C780"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0D2143"/>
                <w:sz w:val="18"/>
                <w:szCs w:val="18"/>
                <w:rtl/>
              </w:rPr>
              <w:t xml:space="preserve">الواجب على المسلم</w:t>
            </w:r>
          </w:p>
          <w:p>
            <w:pPr>
              <w:bidi/>
              <w:spacing w:after="0" w:before="0" w:line="300"/>
              <w:jc w:val="both"/>
            </w:pPr>
            <w:r>
              <w:rPr>
                <w:rFonts w:ascii="Amiri" w:cs="Amiri" w:eastAsia="Amiri" w:hAnsi="Amiri"/>
                <w:b w:val="false"/>
                <w:bCs w:val="false"/>
                <w:i w:val="false"/>
                <w:iCs w:val="false"/>
                <w:color w:val="181410"/>
                <w:sz w:val="22"/>
                <w:szCs w:val="22"/>
                <w:rtl/>
              </w:rPr>
              <w:t xml:space="preserve">أن يستحضر المسلم أن تعظيم السنة عند الصحابة لم يكن تهذيبًا وجدانيًا، بل موقفًا معرفيًا بأن الوحي مكتفٍ بذاته لا يحتاج استدراكًا؛ فإذا تعامل مع سنة نبيّه بهذا الفهم أدرك أن التهاون في جزءٍ منها ليس تقصيرًا هامشيًا، بل هو الباب الذي يزيغ منه القلب أولًا قبل أن ينحرف العمل.</w:t>
            </w:r>
          </w:p>
        </w:tc>
      </w:tr>
    </w:tbl>
    <w:p>
      <w:pPr>
        <w:spacing w:after="160"/>
      </w:pPr>
    </w:p>
    <w:p>
      <w:pPr>
        <w:pStyle w:val="Heading2"/>
        <w:bidi/>
        <w:spacing w:after="140" w:before="320"/>
        <w:jc w:val="right"/>
      </w:pPr>
      <w:bookmarkStart w:name="bm_faqrah_19" w:id="1029"/>
      <w:r>
        <w:rPr>
          <w:rFonts w:ascii="Aref Ruqaa" w:cs="Aref Ruqaa" w:eastAsia="Aref Ruqaa" w:hAnsi="Aref Ruqaa"/>
          <w:b/>
          <w:bCs/>
          <w:i w:val="false"/>
          <w:iCs w:val="false"/>
          <w:color w:val="0D2143"/>
          <w:sz w:val="28"/>
          <w:szCs w:val="28"/>
          <w:rtl/>
        </w:rPr>
        <w:t xml:space="preserve">المبحث الثاني: السنة النبوية مرجعًا أساسيًا للصحابة في الفتوى والقضاء</w:t>
      </w:r>
      <w:bookmarkEnd w:id="1029"/>
    </w:p>
    <w:p>
      <w:pPr>
        <w:bidi/>
        <w:spacing w:after="140" w:before="0" w:line="300"/>
        <w:jc w:val="both"/>
      </w:pPr>
      <w:r>
        <w:rPr>
          <w:rFonts w:ascii="Amiri" w:cs="Amiri" w:eastAsia="Amiri" w:hAnsi="Amiri"/>
          <w:b w:val="false"/>
          <w:bCs w:val="false"/>
          <w:i w:val="false"/>
          <w:iCs w:val="false"/>
          <w:color w:val="181410"/>
          <w:sz w:val="22"/>
          <w:szCs w:val="22"/>
          <w:rtl/>
        </w:rPr>
        <w:t xml:space="preserve">يذكر الأصوليون ترتيب أدلة الاستنباط - الكتاب فالسنة فالإجماع فالاجتهاد - وكأنه بناءٌ نظري صيغ في مجالس المناظرة. والحقيقة أن هذا الترتيب لم يُخترع، بل استُخرج، وكان له وجودٌ عملي قبل أن يوجد له اسم؛ ومنهج أبي بكر الصديق رضي الله عنه في القضاء نموذجٌ لذلك الوجود العملي بعينه.</w:t>
      </w:r>
    </w:p>
    <w:p>
      <w:pPr>
        <w:bidi/>
        <w:spacing w:after="140" w:before="0" w:line="300"/>
        <w:jc w:val="both"/>
      </w:pPr>
      <w:r>
        <w:rPr>
          <w:rFonts w:ascii="Amiri" w:cs="Amiri" w:eastAsia="Amiri" w:hAnsi="Amiri"/>
          <w:b w:val="false"/>
          <w:bCs w:val="false"/>
          <w:i w:val="false"/>
          <w:iCs w:val="false"/>
          <w:color w:val="181410"/>
          <w:sz w:val="22"/>
          <w:szCs w:val="22"/>
          <w:rtl/>
        </w:rPr>
        <w:t xml:space="preserve">فقد نقل ابن القيم رحمه الله في «إعلام الموقعين» عن ميمون بن مهران أن أبا بكر رضي الله عنه كان إذا ورد عليه الحكم نظر أولًا في كتاب الله، فإن وجد فيه ما يقضي به قضى به، فإن لم يجد في الكتاب طلب السنة في المسألة، فإن وجد فيها سنةً عن رسول الله صلى الله عليه وسلم قضى بها، فإن أعياه أن يجد فيها سنة سأل المسلمين هل علموا للنبي صلى الله عليه وسلم فيها قضاءً، فإن لم يجد جمع رؤساء الناس وأهل العلم منهم فاستشارهم، فإذا اجتمع رأيهم على أمرٍ قضى به. أربع خطوات لا خطوة واحدة، وكل خطوة منها مشروطة بعجز الخطوة التي قبلها: لا ينتقل إلى السنة إلا بعد أن يُعييه الكتاب، ولا إلى سؤال الناس إلا بعد أن تُعييه السنة، ولا إلى المشورة إلا بعد أن يُعييه سؤال الناس.</w:t>
      </w:r>
    </w:p>
    <w:p>
      <w:pPr>
        <w:bidi/>
        <w:spacing w:after="140" w:before="0" w:line="300"/>
        <w:jc w:val="both"/>
      </w:pPr>
      <w:r>
        <w:rPr>
          <w:rFonts w:ascii="Amiri" w:cs="Amiri" w:eastAsia="Amiri" w:hAnsi="Amiri"/>
          <w:b w:val="false"/>
          <w:bCs w:val="false"/>
          <w:i w:val="false"/>
          <w:iCs w:val="false"/>
          <w:color w:val="181410"/>
          <w:sz w:val="22"/>
          <w:szCs w:val="22"/>
          <w:rtl/>
        </w:rPr>
        <w:t xml:space="preserve">ولم يكن عمر بن الخطاب رضي الله عنه بعيدًا عن هذا المسلك، بل زاد عليه صراحةً في السؤال نفسه؛ فكان إذا عُرضت عليه القضية يبدأ بـ: «هل ورد فيها شيء عن رسول الله صلى الله عليه وسلم؟»، فإن وُجد له حديثٌ ترك رأيه وأخذ به، وإن لم يجد اجتهد بعد استفراغ الوسع. والسؤال بصيغته هذه ليس إجراءً شكليًا، بل اعترافٌ عملي بأن رأي عمر - رغم مكانته وفقهه - لا يملك أن يبتدئ به الحكم، وإنما يُستدعى فقط حين يُغلَق باب النص.</w:t>
      </w:r>
    </w:p>
    <w:p>
      <w:pPr>
        <w:bidi/>
        <w:spacing w:after="100" w:before="200" w:line="300"/>
        <w:jc w:val="right"/>
      </w:pPr>
      <w:r>
        <w:rPr>
          <w:rFonts w:ascii="Amiri" w:cs="Amiri" w:eastAsia="Amiri" w:hAnsi="Amiri"/>
          <w:b/>
          <w:bCs/>
          <w:i w:val="false"/>
          <w:iCs w:val="false"/>
          <w:color w:val="152C54"/>
          <w:sz w:val="22"/>
          <w:szCs w:val="22"/>
          <w:rtl/>
        </w:rPr>
        <w:t xml:space="preserve">من الممارسة إلى النظرية</w:t>
      </w:r>
    </w:p>
    <w:p>
      <w:pPr>
        <w:bidi/>
        <w:spacing w:after="140" w:before="0" w:line="300"/>
        <w:jc w:val="both"/>
      </w:pPr>
      <w:r>
        <w:rPr>
          <w:rFonts w:ascii="Amiri" w:cs="Amiri" w:eastAsia="Amiri" w:hAnsi="Amiri"/>
          <w:b w:val="false"/>
          <w:bCs w:val="false"/>
          <w:i w:val="false"/>
          <w:iCs w:val="false"/>
          <w:color w:val="181410"/>
          <w:sz w:val="22"/>
          <w:szCs w:val="22"/>
          <w:rtl/>
        </w:rPr>
        <w:t xml:space="preserve">هذا التدرج - لا مجرد ذكر السنة إلى جانب الكتاب - هو ما تحوّل لاحقًا إلى نظرية مراتب الأدلة عند الأصوليين؛ فالفقيه حين يقرأ اليوم أن السنة مقدَّمة على الإجماع والاجتهاد، إنما يقرأ صياغةً متأخرة لِما كان أبو بكر يمارسه دون أن يحتاج إلى تسميته. والفارق بين أن نعرف هذا الترتيب من كتب الأصول وأن نراه في سلوك خليفتين متعاقبين فارقٌ جوهري: الأول معرفةٌ بحجية الترتيب، والثاني شهادةٌ على أنه لم يكن يومًا نظرية مفروضة على الممارسة، بل كان الممارسة ذاتها قبل أن تُصاغ نظرية. ولهذا كانت سيرة أبي بكر وعمر رضي الله عنهما دليلًا لا يُستغنى عنه، لا لأنها تُخبرنا بما ينبغي أن يكون، بل لأنها تُثبت أن هذا الترتيب كان بالفعل هو الواقع المعيش.</w:t>
      </w:r>
    </w:p>
    <w:tbl>
      <w:tblPr>
        <w:tblW w:type="pct" w:w="100%"/>
        <w:tblBorders>
          <w:top w:val="single" w:color="152C54" w:sz="6"/>
          <w:left w:val="single" w:color="152C54" w:sz="24"/>
          <w:bottom w:val="single" w:color="152C54" w:sz="6"/>
          <w:right w:val="single" w:color="152C54"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80" w:before="0" w:line="300"/>
              <w:jc w:val="both"/>
            </w:pPr>
            <w:r>
              <w:rPr>
                <w:rFonts w:ascii="Amiri" w:cs="Amiri" w:eastAsia="Amiri" w:hAnsi="Amiri"/>
                <w:b/>
                <w:bCs/>
                <w:i w:val="false"/>
                <w:iCs w:val="false"/>
                <w:color w:val="0D2143"/>
                <w:sz w:val="22"/>
                <w:szCs w:val="22"/>
                <w:rtl/>
              </w:rPr>
              <w:t xml:space="preserve">الاجتهاد عند فقدان النص:</w:t>
            </w:r>
            <w:r>
              <w:rPr>
                <w:rFonts w:ascii="Amiri" w:cs="Amiri" w:eastAsia="Amiri" w:hAnsi="Amiri"/>
                <w:b w:val="false"/>
                <w:bCs w:val="false"/>
                <w:i w:val="false"/>
                <w:iCs w:val="false"/>
                <w:color w:val="181410"/>
                <w:sz w:val="22"/>
                <w:szCs w:val="22"/>
                <w:rtl/>
              </w:rPr>
              <w:t xml:space="preserve"> بذل الفقيه وسعه في استنباط الحكم بعد التحقق من خلو المسألة من نصٍّ صريح في الكتاب أو السنة؛ وهو - كما دلّت عليه سيرة أبي بكر وعمر - محطة أخيرة في الترتيب، لا بديل متاح في أي محطة سواها.</w:t>
            </w:r>
          </w:p>
        </w:tc>
      </w:tr>
    </w:tbl>
    <w:p>
      <w:pPr>
        <w:spacing w:after="140"/>
      </w:pPr>
    </w:p>
    <w:tbl>
      <w:tblPr>
        <w:tblW w:type="pct" w:w="100%"/>
        <w:tblBorders>
          <w:top w:val="single" w:color="E3C780" w:sz="6"/>
          <w:left w:val="single" w:color="E3C780" w:sz="24"/>
          <w:bottom w:val="single" w:color="E3C780" w:sz="6"/>
          <w:right w:val="single" w:color="E3C780"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0D2143"/>
                <w:sz w:val="18"/>
                <w:szCs w:val="18"/>
                <w:rtl/>
              </w:rPr>
              <w:t xml:space="preserve">الواجب على المسلم</w:t>
            </w:r>
          </w:p>
          <w:p>
            <w:pPr>
              <w:bidi/>
              <w:spacing w:after="0" w:before="0" w:line="300"/>
              <w:jc w:val="both"/>
            </w:pPr>
            <w:r>
              <w:rPr>
                <w:rFonts w:ascii="Amiri" w:cs="Amiri" w:eastAsia="Amiri" w:hAnsi="Amiri"/>
                <w:b w:val="false"/>
                <w:bCs w:val="false"/>
                <w:i w:val="false"/>
                <w:iCs w:val="false"/>
                <w:color w:val="181410"/>
                <w:sz w:val="22"/>
                <w:szCs w:val="22"/>
                <w:rtl/>
              </w:rPr>
              <w:t xml:space="preserve">ألا يُقدّم رأيه أو رأي غيره على نصٍّ من كتابٍ أو سنة، اقتداءً بمن كان أقدر الناس على الاجتهاد فما استعمله إلا بعد أن أعياه طلب النص؛ فإن كان هذا حال أبي بكر وعمر رضي الله عنهما، فمن دونهما أولى بالتثبت وأحرى بالتؤدة.</w:t>
            </w:r>
          </w:p>
        </w:tc>
      </w:tr>
    </w:tbl>
    <w:p>
      <w:pPr>
        <w:spacing w:after="160"/>
      </w:pPr>
    </w:p>
    <w:p>
      <w:pPr>
        <w:pStyle w:val="Heading2"/>
        <w:bidi/>
        <w:spacing w:after="140" w:before="320"/>
        <w:jc w:val="right"/>
      </w:pPr>
      <w:bookmarkStart w:name="bm_faqrah_20" w:id="1030"/>
      <w:r>
        <w:rPr>
          <w:rFonts w:ascii="Aref Ruqaa" w:cs="Aref Ruqaa" w:eastAsia="Aref Ruqaa" w:hAnsi="Aref Ruqaa"/>
          <w:b/>
          <w:bCs/>
          <w:i w:val="false"/>
          <w:iCs w:val="false"/>
          <w:color w:val="0D2143"/>
          <w:sz w:val="28"/>
          <w:szCs w:val="28"/>
          <w:rtl/>
        </w:rPr>
        <w:t xml:space="preserve">المبحث الثالث: نقل التابعين للسنة النبوية وحفظهم إياها</w:t>
      </w:r>
      <w:bookmarkEnd w:id="1030"/>
    </w:p>
    <w:p>
      <w:pPr>
        <w:bidi/>
        <w:spacing w:after="140" w:before="0" w:line="300"/>
        <w:jc w:val="both"/>
      </w:pPr>
      <w:r>
        <w:rPr>
          <w:rFonts w:ascii="Amiri" w:cs="Amiri" w:eastAsia="Amiri" w:hAnsi="Amiri"/>
          <w:b w:val="false"/>
          <w:bCs w:val="false"/>
          <w:i w:val="false"/>
          <w:iCs w:val="false"/>
          <w:color w:val="181410"/>
          <w:sz w:val="22"/>
          <w:szCs w:val="22"/>
          <w:rtl/>
        </w:rPr>
        <w:t xml:space="preserve">ثمة فارقٌ دقيق بين ناقلٍ للسنة يروي عمّن لم يلقه، وناقلٍ عاصر من رأى النبي صلى الله عليه وسلم وسمع منه مباشرة؛ والتابعون كانوا من الصنف الثاني، وهذا وحده يمنح نقلهم وزنًا لا يُدانيه نقل من جاء بعدهم مهما بلغت دقته. فهم لم ينقلوا نصوصًا مجردة، بل نقلوا - إلى جانبها - طريقة فهم الصحابة لها وتطبيقهم إياها، وهو ما لا يُستفاد من النص وحده.</w:t>
      </w:r>
    </w:p>
    <w:p>
      <w:pPr>
        <w:bidi/>
        <w:spacing w:after="140" w:before="0" w:line="300"/>
        <w:jc w:val="both"/>
      </w:pPr>
      <w:r>
        <w:rPr>
          <w:rFonts w:ascii="Amiri" w:cs="Amiri" w:eastAsia="Amiri" w:hAnsi="Amiri"/>
          <w:b w:val="false"/>
          <w:bCs w:val="false"/>
          <w:i w:val="false"/>
          <w:iCs w:val="false"/>
          <w:color w:val="181410"/>
          <w:sz w:val="22"/>
          <w:szCs w:val="22"/>
          <w:rtl/>
        </w:rPr>
        <w:t xml:space="preserve">ويُظهر هذا الوعي بوضوح قول سعيد بن المسيب رحمه الله، وهو من أعلم التابعين بأقضية الصحابة وفتاويهم: «ما من أمرٍ إلا ولي فيه سنةٌ من رسول الله صلى الله عليه وسلم، أو قولٌ من الصحابة». ولافتٌ أنه يذكر الأمرين معًا في نَفَسٍ واحد - سنة النبي وقول الصحابي - لا لأنه يساوي بينهما في المرتبة، بل لأن معرفته بأحدهما كانت غالبًا لا تنفك عن معرفته بالآخر: فكيفية تطبيق السنة عمليًا لا تُعرف في الغالب إلا من خلال ما نُقل عن الصحابة من تطبيقها.</w:t>
      </w:r>
    </w:p>
    <w:p>
      <w:pPr>
        <w:bidi/>
        <w:spacing w:after="140" w:before="0" w:line="300"/>
        <w:jc w:val="both"/>
      </w:pPr>
      <w:r>
        <w:rPr>
          <w:rFonts w:ascii="Amiri" w:cs="Amiri" w:eastAsia="Amiri" w:hAnsi="Amiri"/>
          <w:b w:val="false"/>
          <w:bCs w:val="false"/>
          <w:i w:val="false"/>
          <w:iCs w:val="false"/>
          <w:color w:val="181410"/>
          <w:sz w:val="22"/>
          <w:szCs w:val="22"/>
          <w:rtl/>
        </w:rPr>
        <w:t xml:space="preserve">ويُنسب إلى الحسن البصري رحمه الله، وهو ممن اشتهر بتقواه وزهده من التابعين، أنه كان يعلّم تلاميذه أن السنة ميزانٌ يُوزن به الحق من الباطل، وأن ما وافقها فهو المعتبر وما خالفها فهو مردود - وإن كان هذا المعنى قد اشتهر عنه في كتب أهل العلم دون إسنادٍ محدد يمكن تعيينه بدقة. وحتى مع هذا التحفظ في الإسناد، يبقى المعنى صادقًا على منهج جيلٍ كامل لا على قول فرد: فمعيار الحسن هذا هو نفسه معيار سعيد بن المسيب وأمثاله، وإن اختلفت العبارة.</w:t>
      </w:r>
    </w:p>
    <w:p>
      <w:pPr>
        <w:bidi/>
        <w:spacing w:after="140" w:before="0" w:line="300"/>
        <w:jc w:val="both"/>
      </w:pPr>
      <w:r>
        <w:rPr>
          <w:rFonts w:ascii="Amiri" w:cs="Amiri" w:eastAsia="Amiri" w:hAnsi="Amiri"/>
          <w:b w:val="false"/>
          <w:bCs w:val="false"/>
          <w:i w:val="false"/>
          <w:iCs w:val="false"/>
          <w:color w:val="181410"/>
          <w:sz w:val="22"/>
          <w:szCs w:val="22"/>
          <w:rtl/>
        </w:rPr>
        <w:t xml:space="preserve">وبهذا يتضح أن هذا الجيل لم يكن مجرد جسرٍ يعبر عليه اللفظ من عصرٍ إلى عصر، بل كان الحلقة التي حفظت مع اللفظ سياقه وتطبيقه، وهو ما سيحتاجه علماء الحديث بعد قرنٍ أو أكثر حين يشرعون في غربلة الروايات والتحقق من رجالها؛ إذ لم يكن بالإمكان بناء ذلك الصرح النقدي المتأخر لولا أن جيلًا كاملًا سبقه ورثةً أمناء لا نقلة عابرين.</w:t>
      </w:r>
    </w:p>
    <w:tbl>
      <w:tblPr>
        <w:tblW w:type="pct" w:w="100%"/>
        <w:tblBorders>
          <w:top w:val="single" w:color="E3C780" w:sz="6"/>
          <w:left w:val="single" w:color="E3C780" w:sz="24"/>
          <w:bottom w:val="single" w:color="E3C780" w:sz="6"/>
          <w:right w:val="single" w:color="E3C780"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0D2143"/>
                <w:sz w:val="18"/>
                <w:szCs w:val="18"/>
                <w:rtl/>
              </w:rPr>
              <w:t xml:space="preserve">الواجب على المسلم</w:t>
            </w:r>
          </w:p>
          <w:p>
            <w:pPr>
              <w:bidi/>
              <w:spacing w:after="0" w:before="0" w:line="300"/>
              <w:jc w:val="both"/>
            </w:pPr>
            <w:r>
              <w:rPr>
                <w:rFonts w:ascii="Amiri" w:cs="Amiri" w:eastAsia="Amiri" w:hAnsi="Amiri"/>
                <w:b w:val="false"/>
                <w:bCs w:val="false"/>
                <w:i w:val="false"/>
                <w:iCs w:val="false"/>
                <w:color w:val="181410"/>
                <w:sz w:val="22"/>
                <w:szCs w:val="22"/>
                <w:rtl/>
              </w:rPr>
              <w:t xml:space="preserve">أن يعلم طالب العلم أن قيمة النقل عن السلف ليست في عبارته وحدها، بل في السياق الذي يحمله معه؛ فلا يكتفِ بحفظ الألفاظ، وليتحرَّ في نسبة الأقوال إلى أصحابها الدقة نفسها التي فرّق بها التابعون بين ما ثبت عندهم إسنادُه وما اشتهر دون تعيين قائله.</w:t>
            </w:r>
          </w:p>
        </w:tc>
      </w:tr>
    </w:tbl>
    <w:p>
      <w:pPr>
        <w:spacing w:after="160"/>
      </w:pPr>
    </w:p>
    <w:p>
      <w:pPr>
        <w:pStyle w:val="Heading2"/>
        <w:bidi/>
        <w:spacing w:after="140" w:before="320"/>
        <w:jc w:val="right"/>
      </w:pPr>
      <w:bookmarkStart w:name="bm_faqrah_21" w:id="1031"/>
      <w:r>
        <w:rPr>
          <w:rFonts w:ascii="Aref Ruqaa" w:cs="Aref Ruqaa" w:eastAsia="Aref Ruqaa" w:hAnsi="Aref Ruqaa"/>
          <w:b/>
          <w:bCs/>
          <w:i w:val="false"/>
          <w:iCs w:val="false"/>
          <w:color w:val="0D2143"/>
          <w:sz w:val="28"/>
          <w:szCs w:val="28"/>
          <w:rtl/>
        </w:rPr>
        <w:t xml:space="preserve">المبحث الرابع: أثر التزام السلف بالسنة في توحيد الأمة وتماسكها</w:t>
      </w:r>
      <w:bookmarkEnd w:id="1031"/>
    </w:p>
    <w:p>
      <w:pPr>
        <w:bidi/>
        <w:spacing w:after="140" w:before="0" w:line="300"/>
        <w:jc w:val="both"/>
      </w:pPr>
      <w:r>
        <w:rPr>
          <w:rFonts w:ascii="Amiri" w:cs="Amiri" w:eastAsia="Amiri" w:hAnsi="Amiri"/>
          <w:b w:val="false"/>
          <w:bCs w:val="false"/>
          <w:i w:val="false"/>
          <w:iCs w:val="false"/>
          <w:color w:val="181410"/>
          <w:sz w:val="22"/>
          <w:szCs w:val="22"/>
          <w:rtl/>
        </w:rPr>
        <w:t xml:space="preserve">لكل رأيٍ صاحب، وهذه وحدها كافية لتفسير عجز الآراء عن حسم الخلاف: فحين يُحتكم إلى رأي فلان، يبقى في الأفق سؤالٌ عن سبب ترجيح رأيه دون رأي غيره. أما السنة فلا تحمل هذا العيب؛ إذ لا تُنسب إلى طرفٍ من أطراف النزاع فيُتَّهم بالتحيز، ولا يملك أحدٌ أن يدّعي فيها حظًّا أوفر من غيره. ومن هذه الخاصية بالذات استمد التمسك بها قدرته على جمع الكلمة، لا على مجرد تنظيم العبادة.</w:t>
      </w:r>
    </w:p>
    <w:p>
      <w:pPr>
        <w:bidi/>
        <w:spacing w:after="140" w:before="0" w:line="300"/>
        <w:jc w:val="both"/>
      </w:pPr>
      <w:r>
        <w:rPr>
          <w:rFonts w:ascii="Amiri" w:cs="Amiri" w:eastAsia="Amiri" w:hAnsi="Amiri"/>
          <w:b w:val="false"/>
          <w:bCs w:val="false"/>
          <w:i w:val="false"/>
          <w:iCs w:val="false"/>
          <w:color w:val="181410"/>
          <w:sz w:val="22"/>
          <w:szCs w:val="22"/>
          <w:rtl/>
        </w:rPr>
        <w:t xml:space="preserve">وقد عبّر الإمام الأوزاعي، أحد أئمة أتباع التابعين، عن هذا المعنى بعبارةٍ لا تحتمل التأويل: «عليكَ بآثارِ مَن سَلَف، وإنْ رَفَضَكَ الناسُ، وإيَّاكَ وآراءَ الرجالِ، وإنْ زَخْرَفُوا لكَ القولَ بالبِدَع» (الآجري، الشريعة). ولافتٌ في هذه العبارة أنها لا تشترط أن يوافقك الناس على تمسكك بالأثر - بل تفترض العكس - وأنها تصف مخالفة الأثر بـ«الزخرفة» لا بحسن القصد؛ أي أن جمال العبارة أو انتشار القول لا يمنحه شرعية إن جانب هدي من سلف.</w:t>
      </w:r>
    </w:p>
    <w:p>
      <w:pPr>
        <w:bidi/>
        <w:spacing w:after="140" w:before="0" w:line="300"/>
        <w:jc w:val="both"/>
      </w:pPr>
      <w:r>
        <w:rPr>
          <w:rFonts w:ascii="Amiri" w:cs="Amiri" w:eastAsia="Amiri" w:hAnsi="Amiri"/>
          <w:b w:val="false"/>
          <w:bCs w:val="false"/>
          <w:i w:val="false"/>
          <w:iCs w:val="false"/>
          <w:color w:val="181410"/>
          <w:sz w:val="22"/>
          <w:szCs w:val="22"/>
          <w:rtl/>
        </w:rPr>
        <w:t xml:space="preserve">ولم تكن هذه القناعة عند الأوزاعي وحده معزولةً عن سياقها؛ فقد شارك فيها عامة أئمة عصره، لأنهم أدركوا أمرًا بسيطًا في ظاهره: أن اختلاف الاجتهادات لا مفر منه في أي أمة حية، لكن هذا الاختلاف لا يتحول إلى فُرقة إلا حين يفتقر إلى ميزانٍ يحتكم إليه الجميع دون استثناء. والسنة كانت هذا الميزان بعينه، لا لأنها أوثق دليلًا فحسب، بل لأنها الدليل الوحيد الذي لا يملك أحدٌ في الأمة أن يدّعي احتكاره أو تفسيره وفق هواه دون رادّ.</w:t>
      </w:r>
    </w:p>
    <w:p>
      <w:pPr>
        <w:bidi/>
        <w:spacing w:after="140" w:before="0" w:line="300"/>
        <w:jc w:val="both"/>
      </w:pPr>
      <w:r>
        <w:rPr>
          <w:rFonts w:ascii="Amiri" w:cs="Amiri" w:eastAsia="Amiri" w:hAnsi="Amiri"/>
          <w:b w:val="false"/>
          <w:bCs w:val="false"/>
          <w:i w:val="false"/>
          <w:iCs w:val="false"/>
          <w:color w:val="181410"/>
          <w:sz w:val="22"/>
          <w:szCs w:val="22"/>
          <w:rtl/>
        </w:rPr>
        <w:t xml:space="preserve">فوظيفة السنة هنا تتجاوز كونها مصدر أحكامٍ إلى كونها أداة ضبطٍ اجتماعي: تمنع الخلاف الفقهي من أن ينقلب خلافًا على الهوية، لأنها - خلافًا لكل رأيٍ بشري - لا طرف فيها يُغالَب ولا صاحب لها يُخصَم.</w:t>
      </w:r>
    </w:p>
    <w:tbl>
      <w:tblPr>
        <w:tblW w:type="pct" w:w="100%"/>
        <w:tblBorders>
          <w:top w:val="single" w:color="E3C780" w:sz="6"/>
          <w:left w:val="single" w:color="E3C780" w:sz="24"/>
          <w:bottom w:val="single" w:color="E3C780" w:sz="6"/>
          <w:right w:val="single" w:color="E3C780"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0D2143"/>
                <w:sz w:val="18"/>
                <w:szCs w:val="18"/>
                <w:rtl/>
              </w:rPr>
              <w:t xml:space="preserve">الواجب على المسلم</w:t>
            </w:r>
          </w:p>
          <w:p>
            <w:pPr>
              <w:bidi/>
              <w:spacing w:after="0" w:before="0" w:line="300"/>
              <w:jc w:val="both"/>
            </w:pPr>
            <w:r>
              <w:rPr>
                <w:rFonts w:ascii="Amiri" w:cs="Amiri" w:eastAsia="Amiri" w:hAnsi="Amiri"/>
                <w:b w:val="false"/>
                <w:bCs w:val="false"/>
                <w:i w:val="false"/>
                <w:iCs w:val="false"/>
                <w:color w:val="181410"/>
                <w:sz w:val="22"/>
                <w:szCs w:val="22"/>
                <w:rtl/>
              </w:rPr>
              <w:t xml:space="preserve">أن يتذكر عند كل خلافٍ يعرض له أن مرجعية السنة لا تُقاس بمن قالها من الناس، بل بكونها الميزان الذي لا يملكه فريقٌ دون فريق؛ فيرد النزاع إليها لا إلى من يُحسن تزيين الرأي، عملًا بوصية الأوزاعي «عليك بآثار من سلف، وإن رفضك الناس».</w:t>
            </w:r>
          </w:p>
        </w:tc>
      </w:tr>
    </w:tbl>
    <w:p>
      <w:pPr>
        <w:spacing w:after="160"/>
      </w:pPr>
    </w:p>
    <w:p>
      <w:pPr>
        <w:pStyle w:val="Heading2"/>
        <w:bidi/>
        <w:spacing w:after="140" w:before="320"/>
        <w:jc w:val="right"/>
      </w:pPr>
      <w:bookmarkStart w:name="bm_faqrah_22" w:id="1032"/>
      <w:r>
        <w:rPr>
          <w:rFonts w:ascii="Aref Ruqaa" w:cs="Aref Ruqaa" w:eastAsia="Aref Ruqaa" w:hAnsi="Aref Ruqaa"/>
          <w:b/>
          <w:bCs/>
          <w:i w:val="false"/>
          <w:iCs w:val="false"/>
          <w:color w:val="0D2143"/>
          <w:sz w:val="28"/>
          <w:szCs w:val="28"/>
          <w:rtl/>
        </w:rPr>
        <w:t xml:space="preserve">المبحث الخامس: جهود العلماء في تدوين السنة وحفظها عبر الأجيال</w:t>
      </w:r>
      <w:bookmarkEnd w:id="1032"/>
    </w:p>
    <w:p>
      <w:pPr>
        <w:bidi/>
        <w:spacing w:after="140" w:before="0" w:line="300"/>
        <w:jc w:val="both"/>
      </w:pPr>
      <w:r>
        <w:rPr>
          <w:rFonts w:ascii="Amiri" w:cs="Amiri" w:eastAsia="Amiri" w:hAnsi="Amiri"/>
          <w:b w:val="false"/>
          <w:bCs w:val="false"/>
          <w:i w:val="false"/>
          <w:iCs w:val="false"/>
          <w:color w:val="181410"/>
          <w:sz w:val="22"/>
          <w:szCs w:val="22"/>
          <w:rtl/>
        </w:rPr>
        <w:t xml:space="preserve">جيل التابعين، كما تقدم، حمل السنة حملًا أمينًا لسياقها؛ لكن الأمانة الشفوية - مهما بلغت دقتها - تظل عرضة لعارضين اثنين لم يكونا قائمين بالقدر نفسه في العصر الأول: اتساع رقعة الإسلام حتى تباعدت الأمصار، وتكاثر الروايات حتى اختلط بعضها ببعض. وهذان العارضان بالذات - لا مجرد الحرص على الحفظ - هما ما دفع العلماء إلى نقلةٍ نوعية: من حفظٍ يتوارثه الأفراد إلى تدوينٍ تضبطه قواعد.</w:t>
      </w:r>
    </w:p>
    <w:p>
      <w:pPr>
        <w:bidi/>
        <w:spacing w:after="140" w:before="0" w:line="300"/>
        <w:jc w:val="both"/>
      </w:pPr>
      <w:r>
        <w:rPr>
          <w:rFonts w:ascii="Amiri" w:cs="Amiri" w:eastAsia="Amiri" w:hAnsi="Amiri"/>
          <w:b w:val="false"/>
          <w:bCs w:val="false"/>
          <w:i w:val="false"/>
          <w:iCs w:val="false"/>
          <w:color w:val="181410"/>
          <w:sz w:val="22"/>
          <w:szCs w:val="22"/>
          <w:rtl/>
        </w:rPr>
        <w:t xml:space="preserve">وكان الإمام مالك بن أنس رحمه الله في طليعة من قام بهذه النقلة، فكتب «الموطأ» منتقيًا فيه الأحاديث الصحيحة الثابتة، مرتبًا إياه ترتيبًا فقهيًا جعله - إلى جانب كونه مرجعًا حديثيًا - من أوائل المصنفات الجامعة بين رواية الحديث والاستنباط منه. ثم جاء الإمام الشافعي رحمه الله فخطا خطوةً أبعد: لم يكتفِ بجمع السنة، بل سأل سؤالًا أعمق - كيف يُستنبط الحكم من الكتاب والسنة أصلًا؟ - وأجاب عنه في «الرسالة» بمنهجٍ صار أصلًا لعلم أصول الفقه بعد ذلك.</w:t>
      </w:r>
    </w:p>
    <w:p>
      <w:pPr>
        <w:bidi/>
        <w:spacing w:after="140" w:before="0" w:line="300"/>
        <w:jc w:val="both"/>
      </w:pPr>
      <w:r>
        <w:rPr>
          <w:rFonts w:ascii="Amiri" w:cs="Amiri" w:eastAsia="Amiri" w:hAnsi="Amiri"/>
          <w:b w:val="false"/>
          <w:bCs w:val="false"/>
          <w:i w:val="false"/>
          <w:iCs w:val="false"/>
          <w:color w:val="181410"/>
          <w:sz w:val="22"/>
          <w:szCs w:val="22"/>
          <w:rtl/>
        </w:rPr>
        <w:t xml:space="preserve">وعلى هذا الأساس بنى علماء الحديث، وفي مقدمتهم البخاري ومسلم رحمهما الله، صرحًا نقديًا صارمًا: اشترط البخاري اتصال السند وعدالة الراوي وضبطه، وسار مسلم على نهجٍ قريبٍ من هذه الدقة، حتى بلغ علما الجرح والتعديل ومصطلح الحديث على أيديهما ذروة نضجهما واطّراد قواعدهما، فصار بالإمكان تمييز الصحيح من الضعيف بمعايير يمكن تعلّمها وتطبيقها، لا بالحدس أو حسن الظن.</w:t>
      </w:r>
    </w:p>
    <w:tbl>
      <w:tblPr>
        <w:tblW w:type="pct" w:w="100%"/>
        <w:tblBorders>
          <w:top w:val="single" w:color="A9812A" w:sz="6"/>
          <w:left w:val="single" w:color="A9812A" w:sz="24"/>
          <w:bottom w:val="single" w:color="A9812A" w:sz="6"/>
          <w:right w:val="single" w:color="A9812A" w:sz="6"/>
          <w:insideH w:val="single" w:color="auto" w:sz="4"/>
          <w:insideV w:val="single" w:color="auto" w:sz="4"/>
        </w:tblBorders>
      </w:tblPr>
      <w:tblGrid>
        <w:gridCol w:w="100"/>
      </w:tblGrid>
      <w:tr>
        <w:tc>
          <w:tcPr>
            <w:shd w:fill="FFFFFF" w:val="clear"/>
            <w:tcMar>
              <w:top w:type="dxa" w:w="160"/>
              <w:left w:type="dxa" w:w="200"/>
              <w:bottom w:type="dxa" w:w="160"/>
              <w:right w:type="dxa" w:w="200"/>
            </w:tcMar>
          </w:tcPr>
          <w:p>
            <w:pPr>
              <w:bidi/>
              <w:spacing w:after="100" w:before="0" w:line="300"/>
              <w:jc w:val="right"/>
            </w:pPr>
          </w:p>
        </w:tc>
      </w:tr>
    </w:tbl>
    <w:p>
      <w:pPr>
        <w:spacing w:after="140"/>
      </w:pPr>
    </w:p>
    <w:p>
      <w:pPr>
        <w:bidi/>
        <w:spacing w:after="100" w:before="200" w:line="300"/>
        <w:jc w:val="right"/>
      </w:pPr>
      <w:r>
        <w:rPr>
          <w:rFonts w:ascii="Amiri" w:cs="Amiri" w:eastAsia="Amiri" w:hAnsi="Amiri"/>
          <w:b/>
          <w:bCs/>
          <w:i w:val="false"/>
          <w:iCs w:val="false"/>
          <w:color w:val="152C54"/>
          <w:sz w:val="22"/>
          <w:szCs w:val="22"/>
          <w:rtl/>
        </w:rPr>
        <w:t xml:space="preserve">خاتمة الفصل</w:t>
      </w:r>
    </w:p>
    <w:p>
      <w:pPr>
        <w:bidi/>
        <w:spacing w:after="140" w:before="0" w:line="300"/>
        <w:jc w:val="both"/>
      </w:pPr>
      <w:r>
        <w:rPr>
          <w:rFonts w:ascii="Amiri" w:cs="Amiri" w:eastAsia="Amiri" w:hAnsi="Amiri"/>
          <w:b w:val="false"/>
          <w:bCs w:val="false"/>
          <w:i w:val="false"/>
          <w:iCs w:val="false"/>
          <w:color w:val="181410"/>
          <w:sz w:val="22"/>
          <w:szCs w:val="22"/>
          <w:rtl/>
        </w:rPr>
        <w:t xml:space="preserve">إن الخيط الذي يربط هذه المباحث الخمسة ليس كونها جميعًا تتحدث عن السنة، بل كونها تُثبت مجتمعةً دعوى واحدة: أن حجية السنة لم تكن مسألة نظرية احتاجت إقناع جيل الصحابة والتابعين بها، بل كانت افتراضًا عاشوا عليه قبل أن يُكتب. سيرتهم بهذا دليلٌ من طبقةٍ تخالف أدلة الأصوليين المتأخرين: فالأصولي يستنبط الحجية من النص، وسيرة الصحابي والتابعي تكشفها وهي تُمارَس فعلًا بلا وسيطٍ نظري بينها وبين واقع الحياة؛ ولذلك لا تُقرأ هذه السير تاريخًا يُستأنس به، بل شاهدًا لا تكتمل قضية حجية السنة بدونه.</w:t>
      </w:r>
    </w:p>
    <w:p>
      <w:pPr>
        <w:bidi/>
        <w:spacing w:after="140" w:before="0" w:line="300"/>
        <w:jc w:val="both"/>
      </w:pPr>
      <w:r>
        <w:rPr>
          <w:rFonts w:ascii="Amiri" w:cs="Amiri" w:eastAsia="Amiri" w:hAnsi="Amiri"/>
          <w:b w:val="false"/>
          <w:bCs w:val="false"/>
          <w:i w:val="false"/>
          <w:iCs w:val="false"/>
          <w:color w:val="181410"/>
          <w:sz w:val="22"/>
          <w:szCs w:val="22"/>
          <w:rtl/>
        </w:rPr>
        <w:t xml:space="preserve">وحين تدوّنت السنة أخيرًا على يد مالك والشافعي والبخاري ومسلم، لم يكن ذلك مرحلة منفصلة عما سبقها، بل الثمرة التي لم يكن لها أن تنضج لولا جذورها في التزام الصحابة، وقضاء أبي بكر وعمر رضي الله عنهما، وأمانة التابعين، ووظيفة السنة الجامعة للأمة. فمن أراد اليوم أن يفهم لماذا تحتل السنة هذه المكانة في التشريع، فلن يجد جوابًا وافيًا في كتب الأصول وحدها، بل سيحتاج أن يعود إلى هذا التاريخ العملي، حيث كانت الحجية تُمارَس قبل أن تُبرهن.</w:t>
      </w:r>
    </w:p>
    <w:tbl>
      <w:tblPr>
        <w:tblW w:type="pct" w:w="100%"/>
        <w:tblBorders>
          <w:top w:val="single" w:color="E3C780" w:sz="6"/>
          <w:left w:val="single" w:color="E3C780" w:sz="24"/>
          <w:bottom w:val="single" w:color="E3C780" w:sz="6"/>
          <w:right w:val="single" w:color="E3C780"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0D2143"/>
                <w:sz w:val="18"/>
                <w:szCs w:val="18"/>
                <w:rtl/>
              </w:rPr>
              <w:t xml:space="preserve">الواجب على المسلم</w:t>
            </w:r>
          </w:p>
          <w:p>
            <w:pPr>
              <w:bidi/>
              <w:spacing w:after="0" w:before="0" w:line="300"/>
              <w:jc w:val="both"/>
            </w:pPr>
            <w:r>
              <w:rPr>
                <w:rFonts w:ascii="Amiri" w:cs="Amiri" w:eastAsia="Amiri" w:hAnsi="Amiri"/>
                <w:b w:val="false"/>
                <w:bCs w:val="false"/>
                <w:i w:val="false"/>
                <w:iCs w:val="false"/>
                <w:color w:val="181410"/>
                <w:sz w:val="22"/>
                <w:szCs w:val="22"/>
                <w:rtl/>
              </w:rPr>
              <w:t xml:space="preserve">أن يستحضر أن ما بين يديه من أحاديث صحيحة موثقة إنما وصله عبر سلسلة أماناتٍ متصلة، أول حلقاتها صحابيٌّ رفض أن يقضي برأيه قبل أن يسأل عن سنة، وآخرها محدّثٌ اشترط الاتصال والعدالة والضبط؛ فلا يقطع هذه السلسلة بنسبة قولٍ إلى السنة أو إلى أحدٍ من السلف دون تثبت، ولْيرجع فيما أشكل عليه إلى أهل الاختصاص.</w:t>
            </w:r>
          </w:p>
        </w:tc>
      </w:tr>
    </w:tbl>
    <w:p>
      <w:pPr>
        <w:spacing w:after="160"/>
      </w:pPr>
    </w:p>
    <w:p>
      <w:pPr>
        <w:pStyle w:val="Heading1"/>
        <w:pageBreakBefore/>
        <w:bidi/>
        <w:spacing w:after="160" w:before="0"/>
        <w:jc w:val="right"/>
      </w:pPr>
      <w:bookmarkStart w:name="bm_fasl5" w:id="1033"/>
      <w:r>
        <w:rPr>
          <w:rFonts w:ascii="Aref Ruqaa" w:cs="Aref Ruqaa" w:eastAsia="Aref Ruqaa" w:hAnsi="Aref Ruqaa"/>
          <w:b/>
          <w:bCs/>
          <w:i w:val="false"/>
          <w:iCs w:val="false"/>
          <w:color w:val="0A1830"/>
          <w:sz w:val="34"/>
          <w:szCs w:val="34"/>
          <w:rtl/>
        </w:rPr>
        <w:t xml:space="preserve">الفصل الخامس — الشبهات حول حجية السنة النبوية والرد عليها بالأدلة</w:t>
      </w:r>
      <w:bookmarkEnd w:id="1033"/>
    </w:p>
    <w:p>
      <w:pPr>
        <w:bidi/>
        <w:spacing w:after="140" w:before="0" w:line="300"/>
        <w:jc w:val="both"/>
      </w:pPr>
      <w:r>
        <w:rPr>
          <w:rFonts w:ascii="Amiri" w:cs="Amiri" w:eastAsia="Amiri" w:hAnsi="Amiri"/>
          <w:b w:val="false"/>
          <w:bCs w:val="false"/>
          <w:i w:val="false"/>
          <w:iCs w:val="false"/>
          <w:color w:val="181410"/>
          <w:sz w:val="22"/>
          <w:szCs w:val="22"/>
          <w:rtl/>
        </w:rPr>
        <w:t xml:space="preserve">لكل ركنٍ من أركان الدين خصومٌ يحاولون زعزعته، وقد نالت السنةَ النبويةَ حصةٌ موفورة من هذا الابتلاء؛ فهي - بعد كتاب الله عز وجل - الأصل الثاني الذي تُبنى عليه الأحكام: تُفسِّر مجمَل القرآن، وتُفصِّل مُبهَمه، وتُقيِّد مُطلقَه، وتُنشئ من الأحكام ما سكت القرآن عن تفصيله. وقد أجمعت الأمة، من عصر الصحابة إلى يومنا هذا، على أن هذا المقام لا يُنازَع فيه، لكن الإجماع على حجية شيء لا يعني انقطاع الطعن فيه؛ فكل مصدرٍ عظيم الأثر مطمعٌ لمن أراد هدم الدين من أساسه، وقد تنوعت طرائق الطعن في السنة بتنوع أزمنة القائلين بها وثقافاتهم: فمن قائلٍ يزعم أن القرآن وحده كافٍ فلا حاجة معه إلى نصٍّ آخر، إلى مشككٍ في أن يكون ما نُقل إلينا بعد أربعة عشر قرنًا صحيح النسبة إلى قائله، إلى من يزن السنة بميزان عقله الخاص فيرد منها ما لم يستوعبه، إلى من يحتج بوجود تعارضٍ ظاهري بين حديثين على انهيار المنظومة كلها، وأخيرًا إلى من يشكك في نقاء متونها من الدخيل الوافد عليها من ثقافاتٍ أخرى. والمتأمل في هذه الشبهات الخمس يلحظ أنها ليست مبحثًا واحدًا يتكرر بصيغ مختلفة، بل سُلّمٌ متدرج: فمن سلَّم بأن السنة مصدرٌ في الأصل، انتقل شكه إلى صحة ما وصل منها؛ ومن سلَّم بصحة النقل، انتقل شكه إلى موافقته للعقل؛ ومن سلَّم بذلك، انتقل شكه إلى اتساقها مع نفسها؛ ومن سلَّم بهذا كله، بقي له أن يشكك في نقاء مصدرها من كل دخيل. وهذا الفصل يتتبع هذا السلّم درجةً درجة، فيسوق كل شبهةٍ في أقوى ما تُصاغ به، قبل أن يكشف موضع الخلل فيها.</w:t>
      </w:r>
    </w:p>
    <w:p>
      <w:pPr>
        <w:pStyle w:val="Heading2"/>
        <w:bidi/>
        <w:spacing w:after="140" w:before="320"/>
        <w:jc w:val="right"/>
      </w:pPr>
      <w:bookmarkStart w:name="bm_faqrah_23" w:id="1034"/>
      <w:r>
        <w:rPr>
          <w:rFonts w:ascii="Aref Ruqaa" w:cs="Aref Ruqaa" w:eastAsia="Aref Ruqaa" w:hAnsi="Aref Ruqaa"/>
          <w:b/>
          <w:bCs/>
          <w:i w:val="false"/>
          <w:iCs w:val="false"/>
          <w:color w:val="0D2143"/>
          <w:sz w:val="28"/>
          <w:szCs w:val="28"/>
          <w:rtl/>
        </w:rPr>
        <w:t xml:space="preserve">المبحث الأول: شبهة الاكتفاء بالقرآن الكريم عن السنة النبوية</w:t>
      </w:r>
      <w:bookmarkEnd w:id="1034"/>
    </w:p>
    <w:p>
      <w:pPr>
        <w:bidi/>
        <w:spacing w:after="140" w:before="0" w:line="300"/>
        <w:jc w:val="both"/>
      </w:pPr>
      <w:r>
        <w:rPr>
          <w:rFonts w:ascii="Amiri" w:cs="Amiri" w:eastAsia="Amiri" w:hAnsi="Amiri"/>
          <w:b w:val="false"/>
          <w:bCs w:val="false"/>
          <w:i w:val="false"/>
          <w:iCs w:val="false"/>
          <w:color w:val="181410"/>
          <w:sz w:val="22"/>
          <w:szCs w:val="22"/>
          <w:rtl/>
        </w:rPr>
        <w:t xml:space="preserve">تطالعنا في العصر الحديث دعوى الاكتفاء بالقرآن الكريم عن السنة، ولها جذورٌ عند طوائف قديمة سبقت عصرنا بقرون. وأقوى ما تُصاغ به هذه الدعوى ليس مجرد الاستشهاد بآيةٍ مفردة، بل استدلالٌ متكامل: فالقرآن يصف نفسه بأنه ما فرَّط في شيء، </w:t>
      </w:r>
      <w:r>
        <w:rPr>
          <w:rFonts w:ascii="Amiri Quran" w:cs="Amiri Quran" w:eastAsia="Amiri Quran" w:hAnsi="Amiri Quran"/>
          <w:b w:val="false"/>
          <w:bCs w:val="false"/>
          <w:i w:val="false"/>
          <w:iCs w:val="false"/>
          <w:color w:val="0D2143"/>
          <w:sz w:val="26"/>
          <w:szCs w:val="26"/>
          <w:rtl/>
        </w:rPr>
        <w:t xml:space="preserve">﴿مَا فَرَّطْنَا فِي الْكِتَابِ مِنْ شَيْءٍ﴾</w:t>
      </w:r>
      <w:r>
        <w:rPr>
          <w:rFonts w:ascii="Cairo" w:cs="Cairo" w:eastAsia="Cairo" w:hAnsi="Cairo"/>
          <w:b/>
          <w:bCs/>
          <w:i w:val="false"/>
          <w:iCs w:val="false"/>
          <w:color w:val="8A6A1F"/>
          <w:sz w:val="16"/>
          <w:szCs w:val="16"/>
          <w:rtl/>
        </w:rPr>
        <w:t xml:space="preserve"> [الأنعام: 38]</w:t>
      </w:r>
      <w:r>
        <w:rPr>
          <w:rFonts w:ascii="Amiri" w:cs="Amiri" w:eastAsia="Amiri" w:hAnsi="Amiri"/>
          <w:b w:val="false"/>
          <w:bCs w:val="false"/>
          <w:i w:val="false"/>
          <w:iCs w:val="false"/>
          <w:color w:val="181410"/>
          <w:sz w:val="22"/>
          <w:szCs w:val="22"/>
          <w:rtl/>
        </w:rPr>
        <w:t xml:space="preserve">، وهذا - في نظر أصحاب الدعوى - وعدٌ بالكفاية والاستغناء؛ فإذا صحّ هذا الوعد، وأُلزم المسلم في الوقت ذاته بالرجوع إلى منظومة أخرى ضخمة من النصوص المنقولة آحادًا عبر أجيال ليستنبط منها ما لم يجده صريحًا في كتاب ربه، فقد انتقض الوعد من أصله؛ إذ صار كمال الدين وبيانه رهينًا بمادةٍ أدنى يقينًا من القرآن ذاته، لأن القرآن تواتر لفظًا وحرفًا، بينما نُقل معظم السنة آحادًا جيلًا بعد جيل، ولم يبلغ كثيرٌ منه درجة التواتر التي بلغها القرآن. فكيف - يتساءل أصحاب هذه الدعوى - يُبنى الدين الواحد على مصدرين متفاوتي اليقين، ويُجعل الأدنى يقينًا حاكمًا أحيانًا على الأعلى، بتخصيص عمومه وتقييد مطلقه؟</w:t>
      </w:r>
    </w:p>
    <w:p>
      <w:pPr>
        <w:bidi/>
        <w:spacing w:after="100" w:before="200" w:line="300"/>
        <w:jc w:val="right"/>
      </w:pPr>
      <w:r>
        <w:rPr>
          <w:rFonts w:ascii="Amiri" w:cs="Amiri" w:eastAsia="Amiri" w:hAnsi="Amiri"/>
          <w:b/>
          <w:bCs/>
          <w:i w:val="false"/>
          <w:iCs w:val="false"/>
          <w:color w:val="152C54"/>
          <w:sz w:val="22"/>
          <w:szCs w:val="22"/>
          <w:rtl/>
        </w:rPr>
        <w:t xml:space="preserve">وجه الرد</w:t>
      </w:r>
    </w:p>
    <w:p>
      <w:pPr>
        <w:bidi/>
        <w:spacing w:after="140" w:before="0" w:line="300"/>
        <w:jc w:val="both"/>
      </w:pPr>
      <w:r>
        <w:rPr>
          <w:rFonts w:ascii="Amiri" w:cs="Amiri" w:eastAsia="Amiri" w:hAnsi="Amiri"/>
          <w:b w:val="false"/>
          <w:bCs w:val="false"/>
          <w:i w:val="false"/>
          <w:iCs w:val="false"/>
          <w:color w:val="181410"/>
          <w:sz w:val="22"/>
          <w:szCs w:val="22"/>
          <w:rtl/>
        </w:rPr>
        <w:t xml:space="preserve">وأول ما يُقال في هذا الاستدلال أنه يحمل لفظ «الكتاب» في الآية على القرآن حصرًا، وهذا خلاف ما قرره جمهور المفسرين؛ فقد نقل ابن كثير عن ابن عباس رضي الله عنهما وغيره أن المراد بـ«الكتاب» هاهنا هو اللوح المحفوظ، أي علم الله المحيط بكل شيء، لا مصحفٌ بين دفتين. لكن هذا وحده ردٌّ جزئي، لأنه - وإن رجّحه أكثر المفسرين - ليس محل إجماعٍ حرفي، وسيقول قائل: ولو سلّمنا جدلًا أن المراد القرآن، أفلا يزال الإشكال قائمًا؟</w:t>
      </w:r>
    </w:p>
    <w:tbl>
      <w:tblPr>
        <w:tblW w:type="pct" w:w="100%"/>
        <w:tblBorders>
          <w:top w:val="single" w:color="A9812A" w:sz="6"/>
          <w:left w:val="single" w:color="A9812A" w:sz="24"/>
          <w:bottom w:val="single" w:color="A9812A" w:sz="6"/>
          <w:right w:val="single" w:color="A9812A" w:sz="6"/>
          <w:insideH w:val="single" w:color="auto" w:sz="4"/>
          <w:insideV w:val="single" w:color="auto" w:sz="4"/>
        </w:tblBorders>
      </w:tblPr>
      <w:tblGrid>
        <w:gridCol w:w="100"/>
      </w:tblGrid>
      <w:tr>
        <w:tc>
          <w:tcPr>
            <w:shd w:fill="FFFFFF" w:val="clear"/>
            <w:tcMar>
              <w:top w:type="dxa" w:w="160"/>
              <w:left w:type="dxa" w:w="200"/>
              <w:bottom w:type="dxa" w:w="160"/>
              <w:right w:type="dxa" w:w="200"/>
            </w:tcMar>
          </w:tcPr>
          <w:p>
            <w:pPr>
              <w:bidi/>
              <w:spacing w:after="100" w:before="0" w:line="300"/>
              <w:jc w:val="right"/>
            </w:pPr>
          </w:p>
        </w:tc>
      </w:tr>
    </w:tbl>
    <w:p>
      <w:pPr>
        <w:spacing w:after="140"/>
      </w:pPr>
    </w:p>
    <w:p>
      <w:pPr>
        <w:bidi/>
        <w:spacing w:after="140" w:before="0" w:line="300"/>
        <w:jc w:val="both"/>
      </w:pPr>
      <w:r>
        <w:rPr>
          <w:rFonts w:ascii="Amiri" w:cs="Amiri" w:eastAsia="Amiri" w:hAnsi="Amiri"/>
          <w:b w:val="false"/>
          <w:bCs w:val="false"/>
          <w:i w:val="false"/>
          <w:iCs w:val="false"/>
          <w:color w:val="181410"/>
          <w:sz w:val="22"/>
          <w:szCs w:val="22"/>
          <w:rtl/>
        </w:rPr>
        <w:t xml:space="preserve">والجواب الأعمق لا يُطلب من تفسير لفظةٍ واحدة، بل من اختبار الدعوى بنفسها: فليُطالَب من يقول بكفاية القرآن وحده أن يستخرج من نصوصه صفة صلاةٍ كاملة - عدد ركعاتها، مواضع سجودها، صيغة تشهدها - أو أن يستخرج نصاب الزكاة ومقاديرها في كل صنفٍ من أصناف المال؛ فسيجد نفسه عاجزًا، لا لضعفٍ في فهمه، بل لأن القرآن لم يُسق أصلًا لهذا الغرض. إن الآية تصف كمال الهدى في أصوله الكلية - العقيدة، والأخلاق، وقواعد التشريع العامة - لا استيعاب كل جزئيةٍ عملية بنصٍّ صريح؛ ومطالبةُ نصٍّ بأن يفعل ما لم يقصد فعله، ثم اتهامه بالنقص حين لا يفعله، مغالطةٌ في أصل الاستدلال، لا كشفٌ عن عيبٍ في النص.</w:t>
      </w:r>
    </w:p>
    <w:p>
      <w:pPr>
        <w:bidi/>
        <w:spacing w:after="140" w:before="0" w:line="300"/>
        <w:jc w:val="both"/>
      </w:pPr>
      <w:r>
        <w:rPr>
          <w:rFonts w:ascii="Amiri" w:cs="Amiri" w:eastAsia="Amiri" w:hAnsi="Amiri"/>
          <w:b w:val="false"/>
          <w:bCs w:val="false"/>
          <w:i w:val="false"/>
          <w:iCs w:val="false"/>
          <w:color w:val="181410"/>
          <w:sz w:val="22"/>
          <w:szCs w:val="22"/>
          <w:rtl/>
        </w:rPr>
        <w:t xml:space="preserve">وثمّة نكتةٌ أعمق تُسقط الدعوى من أساسها: إن «الاكتفاء بالقرآن وحده» منهجٌ يزعم أصحابه أنه مستمَدٌّ من القرآن نفسه، فإذا كان القرآن ذاته يأمر بطاعة الرسول صلى الله عليه وسلم أمرًا مستقلًّا غير معلَّق على موافقته لظاهر آيةٍ أخرى - كما في قوله تعالى: </w:t>
      </w:r>
      <w:r>
        <w:rPr>
          <w:rFonts w:ascii="Amiri Quran" w:cs="Amiri Quran" w:eastAsia="Amiri Quran" w:hAnsi="Amiri Quran"/>
          <w:b w:val="false"/>
          <w:bCs w:val="false"/>
          <w:i w:val="false"/>
          <w:iCs w:val="false"/>
          <w:color w:val="0D2143"/>
          <w:sz w:val="26"/>
          <w:szCs w:val="26"/>
          <w:rtl/>
        </w:rPr>
        <w:t xml:space="preserve">﴿وَمَا آتَاكُمُ الرَّسُولُ فَخُذُوهُ وَمَا نَهَاكُمْ عَنْهُ فَانتَهُوا﴾</w:t>
      </w:r>
      <w:r>
        <w:rPr>
          <w:rFonts w:ascii="Cairo" w:cs="Cairo" w:eastAsia="Cairo" w:hAnsi="Cairo"/>
          <w:b/>
          <w:bCs/>
          <w:i w:val="false"/>
          <w:iCs w:val="false"/>
          <w:color w:val="8A6A1F"/>
          <w:sz w:val="16"/>
          <w:szCs w:val="16"/>
          <w:rtl/>
        </w:rPr>
        <w:t xml:space="preserve"> [الحشر: 7]</w:t>
      </w:r>
      <w:r>
        <w:rPr>
          <w:rFonts w:ascii="Amiri" w:cs="Amiri" w:eastAsia="Amiri" w:hAnsi="Amiri"/>
          <w:b w:val="false"/>
          <w:bCs w:val="false"/>
          <w:i w:val="false"/>
          <w:iCs w:val="false"/>
          <w:color w:val="181410"/>
          <w:sz w:val="22"/>
          <w:szCs w:val="22"/>
          <w:rtl/>
        </w:rPr>
        <w:t xml:space="preserve">، وقوله: </w:t>
      </w:r>
      <w:r>
        <w:rPr>
          <w:rFonts w:ascii="Amiri Quran" w:cs="Amiri Quran" w:eastAsia="Amiri Quran" w:hAnsi="Amiri Quran"/>
          <w:b w:val="false"/>
          <w:bCs w:val="false"/>
          <w:i w:val="false"/>
          <w:iCs w:val="false"/>
          <w:color w:val="0D2143"/>
          <w:sz w:val="26"/>
          <w:szCs w:val="26"/>
          <w:rtl/>
        </w:rPr>
        <w:t xml:space="preserve">﴿مَنْ يُطِعِ الرَّسُولَ فَقَدْ أَطَاعَ اللَّهَ﴾</w:t>
      </w:r>
      <w:r>
        <w:rPr>
          <w:rFonts w:ascii="Cairo" w:cs="Cairo" w:eastAsia="Cairo" w:hAnsi="Cairo"/>
          <w:b/>
          <w:bCs/>
          <w:i w:val="false"/>
          <w:iCs w:val="false"/>
          <w:color w:val="8A6A1F"/>
          <w:sz w:val="16"/>
          <w:szCs w:val="16"/>
          <w:rtl/>
        </w:rPr>
        <w:t xml:space="preserve"> [النساء: 80]</w:t>
      </w:r>
      <w:r>
        <w:rPr>
          <w:rFonts w:ascii="Amiri" w:cs="Amiri" w:eastAsia="Amiri" w:hAnsi="Amiri"/>
          <w:b w:val="false"/>
          <w:bCs w:val="false"/>
          <w:i w:val="false"/>
          <w:iCs w:val="false"/>
          <w:color w:val="181410"/>
          <w:sz w:val="22"/>
          <w:szCs w:val="22"/>
          <w:rtl/>
        </w:rPr>
        <w:t xml:space="preserve"> - فإن الأخذ بالقرآن وحده، على حقيقته، يقتضي الأخذ بما جاء به الرسول صلى الله عليه وسلم من بيانٍ وتفصيل؛ ومن ثمّ فإن دعوى «القرآن وحده» ليست بديلًا عن السنة، بل هي - إذا صدق أصحابها في التزامها - طريقٌ يُفضي إليها حتمًا. فالمنهج يهدم نفسه بنفسه: من ادّعى الاكتفاء بالقرآن، وجد القرآن يأمره بما يتجاوز هذا الاكتفاء.</w:t>
      </w:r>
    </w:p>
    <w:p>
      <w:pPr>
        <w:bidi/>
        <w:spacing w:after="140" w:before="0" w:line="300"/>
        <w:jc w:val="both"/>
      </w:pPr>
      <w:r>
        <w:rPr>
          <w:rFonts w:ascii="Amiri" w:cs="Amiri" w:eastAsia="Amiri" w:hAnsi="Amiri"/>
          <w:b w:val="false"/>
          <w:bCs w:val="false"/>
          <w:i w:val="false"/>
          <w:iCs w:val="false"/>
          <w:color w:val="181410"/>
          <w:sz w:val="22"/>
          <w:szCs w:val="22"/>
          <w:rtl/>
        </w:rPr>
        <w:t xml:space="preserve">يبقى الاعتراض الأدق، وهو التفاوت في درجة اليقين بين نصٍّ تواتر لفظه كالقرآن، وأخبارٍ آحاد نقلها الثقات جيلًا بعد جيل. وهذا فرقٌ حقيقي لا ينبغي دفعه بالمكابرة، لكنه لا يمس حجية السنة في العمل، لأن الأحكام العملية - كما قرر الأصوليون قاطبة - لا تُشترط لها درجة اليقين القطعي المشترطة في أصول الاعتقاد، بل يكفي فيها غلبة الظن الناشئة عن صحة السند وضبط رواته، وهذا هو الحال في كل قضاءٍ إنساني يُبنى على شهادةٍ وبيّنة لا على مشاهدةٍ حسية مباشرة. على أن جوهر السنة العملية - صفة الصلاة، ومقادير الزكاة، ومناسك الحج - لم يصلنا بطريق آحادٍ منفرد أصلًا، بل بلغ درجة التواتر العملي: توارثت الأمة كلها، خلفًا عن سلف، أداء هذه العبادات على هيئةٍ واحدة متصلة إلى عصر النبوة، وهذا تواترٌ بالفعل لا يقل يقينًا عن تواتر اللفظ، بل قد يفوقه، لأنه شهادة أمةٍ بأسرها في كل جيل، لا شهادة رواةٍ معدودين. فما ظنّه المعترض ثغرة، هو في حقيقته موضع القوة.</w:t>
      </w:r>
    </w:p>
    <w:p>
      <w:pPr>
        <w:bidi/>
        <w:spacing w:after="140" w:before="0" w:line="300"/>
        <w:jc w:val="both"/>
      </w:pPr>
      <w:r>
        <w:rPr>
          <w:rFonts w:ascii="Amiri" w:cs="Amiri" w:eastAsia="Amiri" w:hAnsi="Amiri"/>
          <w:b w:val="false"/>
          <w:bCs w:val="false"/>
          <w:i w:val="false"/>
          <w:iCs w:val="false"/>
          <w:color w:val="181410"/>
          <w:sz w:val="22"/>
          <w:szCs w:val="22"/>
          <w:rtl/>
        </w:rPr>
        <w:t xml:space="preserve">ولو كان في الأمر ما يسوّغ الاكتفاء بالقرآن، لظهر ذلك في القرون الثلاثة المفضلة، حيث كان الصحابة والتابعون أعرف الناس بمقاصد التنزيل وأشدهم حرصًا على اتباعه؛ فلم يُعرف عن أحدٍ منهم أنه استغنى بظاهر القرآن عن بيان النبي صلى الله عليه وسلم. وهذا ليس مجرد سابقةٍ تاريخية تُستأنس بها، بل دليلٌ عملي: فمن عاصر التنزيل وعاين أسبابه، وهو أعلم الناس بمراده، هو أول من كان ينبغي أن يهتدي إلى الاستغناء عن السنة لو كان فيه مندوحة، فامتناعه عن ذلك برهانٌ على تعذّره.</w:t>
      </w:r>
    </w:p>
    <w:p>
      <w:pPr>
        <w:bidi/>
        <w:spacing w:after="100" w:before="200" w:line="300"/>
        <w:jc w:val="right"/>
      </w:pPr>
      <w:r>
        <w:rPr>
          <w:rFonts w:ascii="Amiri" w:cs="Amiri" w:eastAsia="Amiri" w:hAnsi="Amiri"/>
          <w:b/>
          <w:bCs/>
          <w:i w:val="false"/>
          <w:iCs w:val="false"/>
          <w:color w:val="152C54"/>
          <w:sz w:val="22"/>
          <w:szCs w:val="22"/>
          <w:rtl/>
        </w:rPr>
        <w:t xml:space="preserve">أثر هذا في فهم الوحي</w:t>
      </w:r>
    </w:p>
    <w:p>
      <w:pPr>
        <w:bidi/>
        <w:spacing w:after="140" w:before="0" w:line="300"/>
        <w:jc w:val="both"/>
      </w:pPr>
      <w:r>
        <w:rPr>
          <w:rFonts w:ascii="Amiri" w:cs="Amiri" w:eastAsia="Amiri" w:hAnsi="Amiri"/>
          <w:b w:val="false"/>
          <w:bCs w:val="false"/>
          <w:i w:val="false"/>
          <w:iCs w:val="false"/>
          <w:color w:val="181410"/>
          <w:sz w:val="22"/>
          <w:szCs w:val="22"/>
          <w:rtl/>
        </w:rPr>
        <w:t xml:space="preserve">وثمة أثرٌ لا يقل خطورة عن أصل الشبهة: فرفض السنة لا يُبقي القرآن وحده حاكمًا، بل يفتح الباب لكل قارئٍ أن يكون هو المرجع في فهم النص، بلا ضابطٍ نبوي يوحّد الفهم؛ فتتحول وحدة المصدر - التي أراد أصحاب هذه الدعوى تحقيقها بنبذ السنة - إلى تعددٍ لا ينضبط، لأن كل فريقٍ سيدّعي أن فهمه هو ظاهر القرآن. والمفارقة أن من ادّعى حماية القرآن من الزيادة عليه، فتح عليه أبواب التأويل التي لا حارس لها.</w:t>
      </w:r>
    </w:p>
    <w:tbl>
      <w:tblPr>
        <w:tblW w:type="pct" w:w="100%"/>
        <w:tblBorders>
          <w:top w:val="single" w:color="E3C780" w:sz="6"/>
          <w:left w:val="single" w:color="E3C780" w:sz="24"/>
          <w:bottom w:val="single" w:color="E3C780" w:sz="6"/>
          <w:right w:val="single" w:color="E3C780"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0D2143"/>
                <w:sz w:val="18"/>
                <w:szCs w:val="18"/>
                <w:rtl/>
              </w:rPr>
              <w:t xml:space="preserve">الواجب على المسلم</w:t>
            </w:r>
          </w:p>
          <w:p>
            <w:pPr>
              <w:bidi/>
              <w:spacing w:after="0" w:before="0" w:line="300"/>
              <w:jc w:val="both"/>
            </w:pPr>
            <w:r>
              <w:rPr>
                <w:rFonts w:ascii="Amiri" w:cs="Amiri" w:eastAsia="Amiri" w:hAnsi="Amiri"/>
                <w:b w:val="false"/>
                <w:bCs w:val="false"/>
                <w:i w:val="false"/>
                <w:iCs w:val="false"/>
                <w:color w:val="181410"/>
                <w:sz w:val="22"/>
                <w:szCs w:val="22"/>
                <w:rtl/>
              </w:rPr>
              <w:t xml:space="preserve">يجب على المسلم أن يعتقد جازمًا أن السنة وحيٌ من الله، شارحةٌ لكتابه لا منازعة له، وأن يدرك أن دعوى «الاكتفاء بالقرآن» تنهار من داخلها قبل أن تُنقض من خارجها؛ فليجمع بين الكتاب والسنة كما جمع بينهما سلف هذه الأمة، فهما مصدرا التشريع اللذان لا ينفك أحدهما عن الآخر.</w:t>
            </w:r>
          </w:p>
        </w:tc>
      </w:tr>
    </w:tbl>
    <w:p>
      <w:pPr>
        <w:spacing w:after="160"/>
      </w:pPr>
    </w:p>
    <w:p>
      <w:pPr>
        <w:pStyle w:val="Heading2"/>
        <w:bidi/>
        <w:spacing w:after="140" w:before="320"/>
        <w:jc w:val="right"/>
      </w:pPr>
      <w:bookmarkStart w:name="bm_faqrah_24" w:id="1035"/>
      <w:r>
        <w:rPr>
          <w:rFonts w:ascii="Aref Ruqaa" w:cs="Aref Ruqaa" w:eastAsia="Aref Ruqaa" w:hAnsi="Aref Ruqaa"/>
          <w:b/>
          <w:bCs/>
          <w:i w:val="false"/>
          <w:iCs w:val="false"/>
          <w:color w:val="0D2143"/>
          <w:sz w:val="28"/>
          <w:szCs w:val="28"/>
          <w:rtl/>
        </w:rPr>
        <w:t xml:space="preserve">المبحث الثاني: شبهة التشكيك في صحة الأحاديث النبوية وضبط رواتها</w:t>
      </w:r>
      <w:bookmarkEnd w:id="1035"/>
    </w:p>
    <w:p>
      <w:pPr>
        <w:bidi/>
        <w:spacing w:after="140" w:before="0" w:line="300"/>
        <w:jc w:val="both"/>
      </w:pPr>
      <w:r>
        <w:rPr>
          <w:rFonts w:ascii="Amiri" w:cs="Amiri" w:eastAsia="Amiri" w:hAnsi="Amiri"/>
          <w:b w:val="false"/>
          <w:bCs w:val="false"/>
          <w:i w:val="false"/>
          <w:iCs w:val="false"/>
          <w:color w:val="181410"/>
          <w:sz w:val="22"/>
          <w:szCs w:val="22"/>
          <w:rtl/>
        </w:rPr>
        <w:t xml:space="preserve">فإن سلّم المعترض بأن السنة، من حيث المبدأ، مصدرٌ لا غنى عنه - وقد رأينا في المبحث السابق أن التسليم بهذا يكاد يكون مفروضًا عليه - انتقل شكه درجةً؛ فلم يعد ينكر حجية السنة في ذاتها، بل يشكك في أن ما بين أيدينا اليوم، بعد أربعة عشر قرنًا، هو فعلًا كلام النبي صلى الله عليه وسلم على وجهه. وأقوى ما يُقال في هذا أن النقل الشفهي، مهما حَسُنت النية، عرضةٌ للتحريف والنسيان بحكم طبيعته البشرية؛ وقد أثبتت دراسات علم النفس المعرفي أن الذاكرة لا تسجل الوقائع كشريط تسجيل، بل تعيد بناءها في كل استرجاع، فيتسلل إليها التحريف اللاإرادي دون أن يشعر صاحبها بأنه حرّف شيئًا؛ فكيف بخبرٍ تناقلته أجيالٌ متعاقبة عبر رواةٍ متفاوتين في الذكاء والدين والضبط؟ والأدهى من هذا أن التاريخ الإسلامي نفسه يشهد بوقوع الوضع والاختلاق فعلًا: فقد دوّن العلماء أنفسهم آلاف الأحاديث الموضوعة، ونسبوها إلى غلاةٍ سياسيين ومتعصبةٍ مذهبيين ووعّاظٍ أرادوا الترغيب والترهيب؛ فإذا كان هذا حال ما اكتُشف، فما أدرانا أن ما لم يُكتشف أقل منه أو أكثر؟</w:t>
      </w:r>
    </w:p>
    <w:p>
      <w:pPr>
        <w:bidi/>
        <w:spacing w:after="100" w:before="200" w:line="300"/>
        <w:jc w:val="right"/>
      </w:pPr>
      <w:r>
        <w:rPr>
          <w:rFonts w:ascii="Amiri" w:cs="Amiri" w:eastAsia="Amiri" w:hAnsi="Amiri"/>
          <w:b/>
          <w:bCs/>
          <w:i w:val="false"/>
          <w:iCs w:val="false"/>
          <w:color w:val="152C54"/>
          <w:sz w:val="22"/>
          <w:szCs w:val="22"/>
          <w:rtl/>
        </w:rPr>
        <w:t xml:space="preserve">كيف واجه العلماء هذا الاحتمال؟</w:t>
      </w:r>
    </w:p>
    <w:tbl>
      <w:tblPr>
        <w:tblW w:type="pct" w:w="100%"/>
        <w:tblBorders>
          <w:top w:val="single" w:color="152C54" w:sz="6"/>
          <w:left w:val="single" w:color="152C54" w:sz="24"/>
          <w:bottom w:val="single" w:color="152C54" w:sz="6"/>
          <w:right w:val="single" w:color="152C54"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tc>
      </w:tr>
    </w:tbl>
    <w:p>
      <w:pPr>
        <w:spacing w:after="140"/>
      </w:pPr>
    </w:p>
    <w:p>
      <w:pPr>
        <w:bidi/>
        <w:spacing w:after="140" w:before="0" w:line="300"/>
        <w:jc w:val="both"/>
      </w:pPr>
      <w:r>
        <w:rPr>
          <w:rFonts w:ascii="Amiri" w:cs="Amiri" w:eastAsia="Amiri" w:hAnsi="Amiri"/>
          <w:b w:val="false"/>
          <w:bCs w:val="false"/>
          <w:i w:val="false"/>
          <w:iCs w:val="false"/>
          <w:color w:val="181410"/>
          <w:sz w:val="22"/>
          <w:szCs w:val="22"/>
          <w:rtl/>
        </w:rPr>
        <w:t xml:space="preserve">والملاحظ أن هذا الاعتراض يفترض ضمنًا أن الأمة تركت النقل الشفهي جاريًا بلا رقابة، فاكتشفت الوضع صدفةً أو تأخرًا؛ وهذا افتراضٌ يكذّبه واقع التاريخ العلمي للحديث. فمنذ أن بدأت دواعٍ سياسية ومذهبية للكذب على النبي صلى الله عليه وسلم تظهر في القرن الأول الهجري، انتبه علماء الحديث إلى الخطر مبكرًا، وأسّسوا لأجل هذا الوعي منظومةً متكاملة اصطُلح عليها بـ«علم الإسناد»، تضمنت شروطًا لقبول الرواية لا تقل دقةً عن أي منهجٍ نقدي حديث: عدالة الراوي في دينه وخُلقه، وضبطه في حفظه وإتقانه، واتصال سنده دون انقطاعٍ يُخفي مجهولًا، وسلامة متنه من الشذوذ والعلة الخفية. وليست هذه شروطًا نظرية، بل طُبِّقت عمليًّا عبر تدوين تراجم عشرات الآلاف من الرواة، تُثبت مواليدهم ووفياتهم ورحلاتهم وشيوخهم وتلاميذهم، حتى أمكن التحقق من إمكان لقاء الراوي بمن روى عنه، فيُكشف بذلك من ادّعى السماع من شيخٍ لم يدركه أصلًا.</w:t>
      </w:r>
    </w:p>
    <w:p>
      <w:pPr>
        <w:bidi/>
        <w:spacing w:after="140" w:before="0" w:line="300"/>
        <w:jc w:val="both"/>
      </w:pPr>
      <w:r>
        <w:rPr>
          <w:rFonts w:ascii="Amiri" w:cs="Amiri" w:eastAsia="Amiri" w:hAnsi="Amiri"/>
          <w:b w:val="false"/>
          <w:bCs w:val="false"/>
          <w:i w:val="false"/>
          <w:iCs w:val="false"/>
          <w:color w:val="181410"/>
          <w:sz w:val="22"/>
          <w:szCs w:val="22"/>
          <w:rtl/>
        </w:rPr>
        <w:t xml:space="preserve">أما التحريف اللاإرادي الذي يخشاه علم النفس المعرفي في الشهادة الفردية، فقد احتاط له منهج المحدثين بأداةٍ لم يكن عالم النفس بحاجة إليها لأنه يدرس شاهدًا واحدًا: المقارنة بين الطرق المتعددة. فالحديث الواحد قد يرويه عشرات الرواة في عصورٍ وأمصارٍ متباعدة، فإذا اجتمعت رواياتهم على لفظٍ واحد أو معنى واحد مع تعذر التواطؤ بينهم، دلّ ذلك على ضبط الأصل؛ وإذا خالفت رواية راوٍ روايةَ من هو أوثق منه وأكثر عددًا، حُكم عليها بالشذوذ. وهذا بعينه منطق «التوثيق التقاطعي» الذي يعتمده المؤرخون والمحققون اليوم لتمييز الرواية الصادقة من المنحرفة، لا بالثقة بذاكرة فردٍ واحد، بل بمقابلة الروايات المستقلة بعضها ببعض.</w:t>
      </w:r>
    </w:p>
    <w:p>
      <w:pPr>
        <w:bidi/>
        <w:spacing w:after="140" w:before="0" w:line="300"/>
        <w:jc w:val="both"/>
      </w:pPr>
      <w:r>
        <w:rPr>
          <w:rFonts w:ascii="Amiri" w:cs="Amiri" w:eastAsia="Amiri" w:hAnsi="Amiri"/>
          <w:b w:val="false"/>
          <w:bCs w:val="false"/>
          <w:i w:val="false"/>
          <w:iCs w:val="false"/>
          <w:color w:val="181410"/>
          <w:sz w:val="22"/>
          <w:szCs w:val="22"/>
          <w:rtl/>
        </w:rPr>
        <w:t xml:space="preserve">وفي هذا المعنى تحديدًا يجيء قول الإمام الشافعي رحمه الله: «أَجْمَعَ الْمُسْلِمُونَ عَلَى أَنَّ مَنِ اسْتَبَانَتْ لَهُ سُنَّةُ رَسُولِ اللَّهِ ﷺ لَمْ يَكُنْ لَهُ أَنْ يَدَعَهَا لِقَوْلِ أَحَدٍ» (الشافعي، الرسالة)؛ فهو نصٌّ في أن الإجماع انعقد على الحجية بعد الاستبانة لا قبلها، أي بعد أن يمرّ الخبر بمصفاة النقد التي وصفناها، لا بمجرد وروده. وهذا يكشف أن العلماء لم يُرسلوا القبول إرسالًا، بل جعلوه معلَّقًا على تحقق شرط الثبوت، وهو ذاته ما يطالب به المعترض حين يطلب دليلًا على الوثوق.</w:t>
      </w:r>
    </w:p>
    <w:p>
      <w:pPr>
        <w:bidi/>
        <w:spacing w:after="140" w:before="0" w:line="300"/>
        <w:jc w:val="both"/>
      </w:pPr>
      <w:r>
        <w:rPr>
          <w:rFonts w:ascii="Amiri" w:cs="Amiri" w:eastAsia="Amiri" w:hAnsi="Amiri"/>
          <w:b w:val="false"/>
          <w:bCs w:val="false"/>
          <w:i w:val="false"/>
          <w:iCs w:val="false"/>
          <w:color w:val="181410"/>
          <w:sz w:val="22"/>
          <w:szCs w:val="22"/>
          <w:rtl/>
        </w:rPr>
        <w:t xml:space="preserve">ويبقى الاعتراض الأخطر: أن الأمة نفسها تعترف بوجود آلاف الأحاديث الموضوعة، أفلا يكون هذا دليل فشل النظام لا نجاحه؟ والجواب معكوسٌ تمامًا لما يُظن: فالتزوير الذي لا يُكتشف لا يُعرف عدده ولا يُصنَّف ولا تُؤلَّف فيه الكتب، وإنما يُعرف عدد الموضوعات ومصنِّفوها ودوافعهم لأن جهاز النقد نجح في كشفهم، لا لأنه أخفق في صدّهم. فوجود مصنفاتٍ متخصصة في نقد الأحاديث الموضوعة، تحصي المتون المكذوبة وتُسمّي واضعيها وتكشف دوافعهم السياسية والمذهبية، ليس شاهد ضعفٍ في منظومة النقد، بل شاهد قوتها؛ فمن يستدل بوجود الوضع على الشك في الصحيح كله، إنما يحتج بثمرة النقد على إبطال أصل النقد الذي أنتج هذه الثمرة.</w:t>
      </w:r>
    </w:p>
    <w:p>
      <w:pPr>
        <w:bidi/>
        <w:spacing w:after="140" w:before="0" w:line="300"/>
        <w:jc w:val="both"/>
      </w:pPr>
      <w:r>
        <w:rPr>
          <w:rFonts w:ascii="Amiri" w:cs="Amiri" w:eastAsia="Amiri" w:hAnsi="Amiri"/>
          <w:b w:val="false"/>
          <w:bCs w:val="false"/>
          <w:i w:val="false"/>
          <w:iCs w:val="false"/>
          <w:color w:val="181410"/>
          <w:sz w:val="22"/>
          <w:szCs w:val="22"/>
          <w:rtl/>
        </w:rPr>
        <w:t xml:space="preserve">وثمّة خلطٌ منطقي في أصل الشبهة ينبغي كشفه: فهي تسوّي بين إمكان الخطأ في المبدأ - وهذا لازمٌ لكل نقلٍ بشري، حتى نقل المخطوطات ونقل الاكتشاف العلمي نفسه عبر التكرار والتحقق - وبين احتمال وقوع خطأ منهجي غير مكتشَف في كل حديثٍ صحّحه المحدثون، وهذا لا يلزم من الأول؛ فكل معرفة إنسانية منقولة تحتمل الخطأ في المبدأ، ومع ذلك لا يُطالَب الطب ولا التاريخ ولا القانون بيقينٍ مطلق قبل الاعتماد على شهادةٍ موثوقة، وإنما يُطالَب بمنهجٍ يُقلّل احتمال الخطأ إلى أدنى درجة ممكنة، وهذا بعينه ما أنجزه علم الحديث بمنهجٍ لم يُعرف له نظير في توثيق نقلٍ بشري عبر هذا المدى الزمني الطويل. ولذلك كان علماء هذه الأمة، على تفاوت طبقاتهم، يرون في التهاون بالسنة بعد ثبوتها خطرًا عظيمًا؛ يقول الإمام أحمد بن حنبل رحمه الله: «مَنْ رَدَّ حَدِيثَ رَسُولِ اللَّهِ ﷺ فَهُوَ عَلَى شَفَا هَلَكَةٍ»، وما ذلك إلا لعلمهم بأن ما وصل إليهم قد اجتاز هذا التمحيص الشديد، فصار رده بعد ثبوته ردًّا لكلام النبي صلى الله عليه وسلم نفسه، لا لمجرد نقلٍ مشكوكٍ فيه.</w:t>
      </w:r>
    </w:p>
    <w:p>
      <w:pPr>
        <w:bidi/>
        <w:spacing w:after="100" w:before="200" w:line="300"/>
        <w:jc w:val="right"/>
      </w:pPr>
      <w:r>
        <w:rPr>
          <w:rFonts w:ascii="Amiri" w:cs="Amiri" w:eastAsia="Amiri" w:hAnsi="Amiri"/>
          <w:b/>
          <w:bCs/>
          <w:i w:val="false"/>
          <w:iCs w:val="false"/>
          <w:color w:val="152C54"/>
          <w:sz w:val="22"/>
          <w:szCs w:val="22"/>
          <w:rtl/>
        </w:rPr>
        <w:t xml:space="preserve">بين الشك المشروع والشك المطلق</w:t>
      </w:r>
    </w:p>
    <w:p>
      <w:pPr>
        <w:bidi/>
        <w:spacing w:after="140" w:before="0" w:line="300"/>
        <w:jc w:val="both"/>
      </w:pPr>
      <w:r>
        <w:rPr>
          <w:rFonts w:ascii="Amiri" w:cs="Amiri" w:eastAsia="Amiri" w:hAnsi="Amiri"/>
          <w:b w:val="false"/>
          <w:bCs w:val="false"/>
          <w:i w:val="false"/>
          <w:iCs w:val="false"/>
          <w:color w:val="181410"/>
          <w:sz w:val="22"/>
          <w:szCs w:val="22"/>
          <w:rtl/>
        </w:rPr>
        <w:t xml:space="preserve">وحاصل الأمر أن ثمة فرقًا جوهريًّا بين شكٍّ مشروع يُبنى عليه التمحيص - وهو ما فعله المحدثون أنفسهم حين ميّزوا الصحيح من الضعيف والموضوع - وبين شكٍّ مطلق يُسقط المنظومة كلها بذريعة أن بعض أجزائها لم يثبت. فوجود علمٍ متخصص يفرز الروايات ليس عيبًا يُستدل به على انهيار النقل، بل هو بذاته البرهان على أن الأمة واجهت احتمال الخطأ بمنهجٍ لا بإنكارٍ ولا بتسليمٍ أعمى؛ فمن يحتج بوجود الضعيف والموضوع على رد الصحيح، يقلب الحجة على نفسه، لأن هذا التمييز عينه هو أثر المنهج الذي يطعن فيه.</w:t>
      </w:r>
    </w:p>
    <w:tbl>
      <w:tblPr>
        <w:tblW w:type="pct" w:w="100%"/>
        <w:tblBorders>
          <w:top w:val="single" w:color="E3C780" w:sz="6"/>
          <w:left w:val="single" w:color="E3C780" w:sz="24"/>
          <w:bottom w:val="single" w:color="E3C780" w:sz="6"/>
          <w:right w:val="single" w:color="E3C780"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0D2143"/>
                <w:sz w:val="18"/>
                <w:szCs w:val="18"/>
                <w:rtl/>
              </w:rPr>
              <w:t xml:space="preserve">الواجب على المسلم</w:t>
            </w:r>
          </w:p>
          <w:p>
            <w:pPr>
              <w:bidi/>
              <w:spacing w:after="0" w:before="0" w:line="300"/>
              <w:jc w:val="both"/>
            </w:pPr>
            <w:r>
              <w:rPr>
                <w:rFonts w:ascii="Amiri" w:cs="Amiri" w:eastAsia="Amiri" w:hAnsi="Amiri"/>
                <w:b w:val="false"/>
                <w:bCs w:val="false"/>
                <w:i w:val="false"/>
                <w:iCs w:val="false"/>
                <w:color w:val="181410"/>
                <w:sz w:val="22"/>
                <w:szCs w:val="22"/>
                <w:rtl/>
              </w:rPr>
              <w:t xml:space="preserve">يجب على المسلم أن يثق بمنهج هذه الأمة في حفظ سنة نبيها صلى الله عليه وسلم، فعلم الإسناد والجرح والتعديل حصنٌ علمي فريد لم تُعرف الأمم بمثله؛ وأن يفرّق بين تشكيكٍ يستهدف المنهج نفسه وهو باطل، وبين نقدٍ علمي داخل المنهج وهو عين ما بناه أهل الحديث، فلا يُخدع بدعوى الشك المطلق التي تنكر الفارق بين الاثنين.</w:t>
            </w:r>
          </w:p>
        </w:tc>
      </w:tr>
    </w:tbl>
    <w:p>
      <w:pPr>
        <w:spacing w:after="160"/>
      </w:pPr>
    </w:p>
    <w:p>
      <w:pPr>
        <w:pStyle w:val="Heading2"/>
        <w:bidi/>
        <w:spacing w:after="140" w:before="320"/>
        <w:jc w:val="right"/>
      </w:pPr>
      <w:bookmarkStart w:name="bm_faqrah_25" w:id="1036"/>
      <w:r>
        <w:rPr>
          <w:rFonts w:ascii="Aref Ruqaa" w:cs="Aref Ruqaa" w:eastAsia="Aref Ruqaa" w:hAnsi="Aref Ruqaa"/>
          <w:b/>
          <w:bCs/>
          <w:i w:val="false"/>
          <w:iCs w:val="false"/>
          <w:color w:val="0D2143"/>
          <w:sz w:val="28"/>
          <w:szCs w:val="28"/>
          <w:rtl/>
        </w:rPr>
        <w:t xml:space="preserve">المبحث الثالث: شبهة التعارض بين السنة والعقل</w:t>
      </w:r>
      <w:bookmarkEnd w:id="1036"/>
    </w:p>
    <w:p>
      <w:pPr>
        <w:bidi/>
        <w:spacing w:after="140" w:before="0" w:line="300"/>
        <w:jc w:val="both"/>
      </w:pPr>
      <w:r>
        <w:rPr>
          <w:rFonts w:ascii="Amiri" w:cs="Amiri" w:eastAsia="Amiri" w:hAnsi="Amiri"/>
          <w:b w:val="false"/>
          <w:bCs w:val="false"/>
          <w:i w:val="false"/>
          <w:iCs w:val="false"/>
          <w:color w:val="181410"/>
          <w:sz w:val="22"/>
          <w:szCs w:val="22"/>
          <w:rtl/>
        </w:rPr>
        <w:t xml:space="preserve">وقد يُسلّم المعترض بعد هذا كله بأن السنة مصدرٌ، وأن ما ثبت منها ثبت بمنهجٍ رصين، لكنه ينتقل بشكه درجةً أخرى فيقول: ليكن النقل صحيحًا سندًا، لكن ماذا لو كان متنه مما يأباه العقل؟ وأقوى ما يصاغ به هذا الاعتراض ليس مجرد استغراب حكمٍ لم تُدرَك حكمته - فهذا لا يعدو قصور فهمٍ لا يستحق أن يُسمى تعارضًا - بل صورةٌ أدق: أن بعض المتون، على صحة أسانيدها، تحمل في ظاهرها ما يصطدم بحكمٍ عقلي يراه العقلاء ضروريًّا لا يحتمل التردد؛ وحين يقع مثل هذا التصادم، يكون الترجيح - في نظر المعترض - واجبًا لصالح الطرف الأوثق يقينًا: فالنقل، مهما بلغت دقة سنده، وصل إلينا عبر رواةٍ بشرٍ وألفاظٍ قابلة لتعدد الفهم، بينما الحكم العقلي الضروري بديهيٌّ لا واسطة فيه بين العقل ومدركه؛ فكيف يُقدَّم الأقل يقينًا على الأكثر يقينًا، بدعوى التأويل مهما تكلّفنا في تخريجه؟</w:t>
      </w:r>
    </w:p>
    <w:p>
      <w:pPr>
        <w:bidi/>
        <w:spacing w:after="100" w:before="200" w:line="300"/>
        <w:jc w:val="right"/>
      </w:pPr>
      <w:r>
        <w:rPr>
          <w:rFonts w:ascii="Amiri" w:cs="Amiri" w:eastAsia="Amiri" w:hAnsi="Amiri"/>
          <w:b/>
          <w:bCs/>
          <w:i w:val="false"/>
          <w:iCs w:val="false"/>
          <w:color w:val="152C54"/>
          <w:sz w:val="22"/>
          <w:szCs w:val="22"/>
          <w:rtl/>
        </w:rPr>
        <w:t xml:space="preserve">الأصل الذي بُني عليه الرد</w:t>
      </w:r>
    </w:p>
    <w:p>
      <w:pPr>
        <w:bidi/>
        <w:spacing w:after="140" w:before="0" w:line="300"/>
        <w:jc w:val="both"/>
      </w:pPr>
      <w:r>
        <w:rPr>
          <w:rFonts w:ascii="Amiri" w:cs="Amiri" w:eastAsia="Amiri" w:hAnsi="Amiri"/>
          <w:b w:val="false"/>
          <w:bCs w:val="false"/>
          <w:i w:val="false"/>
          <w:iCs w:val="false"/>
          <w:color w:val="181410"/>
          <w:sz w:val="22"/>
          <w:szCs w:val="22"/>
          <w:rtl/>
        </w:rPr>
        <w:t xml:space="preserve">والجواب عن هذا لا يبدأ بإنكار وقوع الاصطدام الظاهري، بل بتحليل بنيته المنطقية. فالنقل الصحيح والعقل الصريح مصدرهما واحد، هو الله خالق العقل ومنزّل الوحي، ومن المحال عقلًا أن يتناقض فعلا الحكيم الواحد تناقضًا حقيقيًّا؛ فإذا ظهر تعارض، فهو - بالضرورة المنطقية - بين أمرين لا يمكن أن يكونا معًا على ما ادُّعي لهما: إما أن النقل لم يثبت ثبوتًا يقينيًّا كما زُعم، أو أن الحكم العقلي ليس في الحقيقة ضروريًّا بديهيًّا كما ظُنّ، بل هو نتيجة مقدماتٍ مكتسبة يمكن أن تخطئ. وقد قرر شيخ الإسلام ابن تيمية رحمه الله هذا الأصل بدقةٍ في كتابه «درء تعارض العقل والنقل» بقوله: «لَا يَجُوزُ أَنْ يَتَعَارَضَ صَرِيحُ الْمَعْقُولِ وَصَحِيحُ الْمَنْقُولِ، وَإِنْ تَعَارَضَا فَإِمَّا الْجَمْعُ، وَإِمَّا التَّوَقُّفُ، وَإِمَّا تَقْدِيمُ الْعَقْلِ إِذَا لَمْ يَكُنِ النَّقْلُ صَحِيحًا أَوْ لَمْ يَكُنِ الْعَقْلُ صَرِيحًا». فالنص لم يُطلق تقديم العقل مجردًا، بل قيّده بشرطين معًا: انتفاء صحة النقل، وانتفاء صراحة العقل؛ وهذا فرقٌ جوهري عمن يظن أن ابن تيمية يمنح العقل حق النقض متى استُشكل نصٌّ.</w:t>
      </w:r>
    </w:p>
    <w:p>
      <w:pPr>
        <w:bidi/>
        <w:spacing w:after="140" w:before="0" w:line="300"/>
        <w:jc w:val="both"/>
      </w:pPr>
      <w:r>
        <w:rPr>
          <w:rFonts w:ascii="Amiri" w:cs="Amiri" w:eastAsia="Amiri" w:hAnsi="Amiri"/>
          <w:b w:val="false"/>
          <w:bCs w:val="false"/>
          <w:i w:val="false"/>
          <w:iCs w:val="false"/>
          <w:color w:val="181410"/>
          <w:sz w:val="22"/>
          <w:szCs w:val="22"/>
          <w:rtl/>
        </w:rPr>
        <w:t xml:space="preserve">وهنا يتبين موضع الخلل في الصياغة القوية للشبهة: فهي تفترض أن كل حكمٍ يشعر به المرء بديهيًّا هو بالفعل «صريح العقل» بالمعنى الاصطلاحي الدقيق، أي الحكم الضروري الذي لا يختلف فيه عاقلان مهما اختلفت ثقافتاهما وعصراهما؛ والحق أن أكثر ما يُظن تعارضه مع العقل ليس من هذا القبيل، بل هو مما استقر في الذهن بالإلف والعادة والبيئة الثقافية، فيُخيَّل لصاحبه أنه بداهةٌ عقلية، وما هو إلا مألوفٌ اجتماعي اكتسى ثوب اليقين.</w:t>
      </w:r>
    </w:p>
    <w:tbl>
      <w:tblPr>
        <w:tblW w:type="pct" w:w="100%"/>
        <w:tblBorders>
          <w:top w:val="single" w:color="8C3B2E" w:sz="6"/>
          <w:left w:val="single" w:color="8C3B2E" w:sz="24"/>
          <w:bottom w:val="single" w:color="8C3B2E" w:sz="6"/>
          <w:right w:val="single" w:color="8C3B2E" w:sz="6"/>
          <w:insideH w:val="single" w:color="auto" w:sz="4"/>
          <w:insideV w:val="single" w:color="auto" w:sz="4"/>
        </w:tblBorders>
      </w:tblPr>
      <w:tblGrid>
        <w:gridCol w:w="100"/>
      </w:tblGrid>
      <w:tr>
        <w:tc>
          <w:tcPr>
            <w:shd w:fill="FBF7EE" w:val="clear"/>
            <w:tcMar>
              <w:top w:type="dxa" w:w="160"/>
              <w:left w:type="dxa" w:w="200"/>
              <w:bottom w:type="dxa" w:w="160"/>
              <w:right w:type="dxa" w:w="200"/>
            </w:tcMar>
          </w:tcPr>
          <w:p>
            <w:pPr>
              <w:bidi/>
              <w:spacing w:after="100" w:before="0" w:line="300"/>
              <w:jc w:val="right"/>
            </w:pPr>
          </w:p>
        </w:tc>
      </w:tr>
    </w:tbl>
    <w:p>
      <w:pPr>
        <w:spacing w:after="140"/>
      </w:pPr>
    </w:p>
    <w:p>
      <w:pPr>
        <w:bidi/>
        <w:spacing w:after="140" w:before="0" w:line="300"/>
        <w:jc w:val="both"/>
      </w:pPr>
      <w:r>
        <w:rPr>
          <w:rFonts w:ascii="Amiri" w:cs="Amiri" w:eastAsia="Amiri" w:hAnsi="Amiri"/>
          <w:b w:val="false"/>
          <w:bCs w:val="false"/>
          <w:i w:val="false"/>
          <w:iCs w:val="false"/>
          <w:color w:val="181410"/>
          <w:sz w:val="22"/>
          <w:szCs w:val="22"/>
          <w:rtl/>
        </w:rPr>
        <w:t xml:space="preserve">ولنأخذ مثالًا واقعيًّا لا افتراضيًّا: أحكام المواريث المبيّنة في السنة تفصيلًا لمجمل القرآن، حيث قد يستشكل بعض الناس تفاوت الأنصبة بين الورثة تفاوتًا لا يبدو منسجمًا - للوهلة الأولى - مع حدسٍ مساواتي عام. لكن هذا الاستشكال، عند تحليله، ليس تصادمًا مع حكمٍ عقلي ضروري، لأن العقل الصريح لا يفرض بذاته نظرية توزيعية بعينها توجب المساواة الحسابية في كل حال؛ هذا حكمٌ قيمي مكتسب، لا بداهة عقلية يشترك فيها كل العقلاء بالضرورة، بدليل أن نظم التوارث البشرية عبر التاريخ لم تتفق عليه. فما يبدو تعارضًا مع «العقل» هو - عند التحقيق - تعارضٌ مع افتراضٍ ثقافي لم يُختبر نقده، لا مع حكمٍ عقلي لا يحتمل غيره.</w:t>
      </w:r>
    </w:p>
    <w:p>
      <w:pPr>
        <w:bidi/>
        <w:spacing w:after="140" w:before="0" w:line="300"/>
        <w:jc w:val="both"/>
      </w:pPr>
      <w:r>
        <w:rPr>
          <w:rFonts w:ascii="Amiri" w:cs="Amiri" w:eastAsia="Amiri" w:hAnsi="Amiri"/>
          <w:b w:val="false"/>
          <w:bCs w:val="false"/>
          <w:i w:val="false"/>
          <w:iCs w:val="false"/>
          <w:color w:val="181410"/>
          <w:sz w:val="22"/>
          <w:szCs w:val="22"/>
          <w:rtl/>
        </w:rPr>
        <w:t xml:space="preserve">وهذا لا يعني إسقاط دور العقل في فهم النصوص والاستنباط منها، فذلك وظيفته المشروعة؛ لكنه يعني أن العقل ليس حَكَمًا مستقلًّا يُسقط نصًّا ثابتًا لمجرد أنه لم يُدرك كل حكمته، فالإنسان محدود العقل بطبيعته، وقد يأتيه الوحي بما يعلو على مداركه دون أن يناقضها، كما يعجز عن الإحاطة بكل حكمة الله في خلقه وتدبيره الكوني مع تسليمه به.</w:t>
      </w:r>
    </w:p>
    <w:p>
      <w:pPr>
        <w:bidi/>
        <w:spacing w:after="100" w:before="200" w:line="300"/>
        <w:jc w:val="right"/>
      </w:pPr>
      <w:r>
        <w:rPr>
          <w:rFonts w:ascii="Amiri" w:cs="Amiri" w:eastAsia="Amiri" w:hAnsi="Amiri"/>
          <w:b/>
          <w:bCs/>
          <w:i w:val="false"/>
          <w:iCs w:val="false"/>
          <w:color w:val="152C54"/>
          <w:sz w:val="22"/>
          <w:szCs w:val="22"/>
          <w:rtl/>
        </w:rPr>
        <w:t xml:space="preserve">حين يضيق العقل عن الإحاطة</w:t>
      </w:r>
    </w:p>
    <w:p>
      <w:pPr>
        <w:bidi/>
        <w:spacing w:after="140" w:before="0" w:line="300"/>
        <w:jc w:val="both"/>
      </w:pPr>
      <w:r>
        <w:rPr>
          <w:rFonts w:ascii="Amiri" w:cs="Amiri" w:eastAsia="Amiri" w:hAnsi="Amiri"/>
          <w:b w:val="false"/>
          <w:bCs w:val="false"/>
          <w:i w:val="false"/>
          <w:iCs w:val="false"/>
          <w:color w:val="181410"/>
          <w:sz w:val="22"/>
          <w:szCs w:val="22"/>
          <w:rtl/>
        </w:rPr>
        <w:t xml:space="preserve">وخلاصة القول أن دعوى «تحكيم العقل» في قبول السنة أو ردها، إن أُطلقت بلا ضابطٍ يميّز الضروري من المكتسب، أفضت إلى تعطيل الشريعة بالكلية؛ إذ سيدّعي كل مخالفٍ أن عقله يأبى ما يخالف هواه أو مألوفه. ومنهج أهل السنة تقديم النقل الثابت على ما يُظن تعارضه مع العقل، مع بذل الجهد في فهم النص والتماس حكمته، لا التسرع بردّه لمجرد الاستغراب الأول.</w:t>
      </w:r>
    </w:p>
    <w:tbl>
      <w:tblPr>
        <w:tblW w:type="pct" w:w="100%"/>
        <w:tblBorders>
          <w:top w:val="single" w:color="E3C780" w:sz="6"/>
          <w:left w:val="single" w:color="E3C780" w:sz="24"/>
          <w:bottom w:val="single" w:color="E3C780" w:sz="6"/>
          <w:right w:val="single" w:color="E3C780"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0D2143"/>
                <w:sz w:val="18"/>
                <w:szCs w:val="18"/>
                <w:rtl/>
              </w:rPr>
              <w:t xml:space="preserve">الواجب على المسلم</w:t>
            </w:r>
          </w:p>
          <w:p>
            <w:pPr>
              <w:bidi/>
              <w:spacing w:after="0" w:before="0" w:line="300"/>
              <w:jc w:val="both"/>
            </w:pPr>
            <w:r>
              <w:rPr>
                <w:rFonts w:ascii="Amiri" w:cs="Amiri" w:eastAsia="Amiri" w:hAnsi="Amiri"/>
                <w:b w:val="false"/>
                <w:bCs w:val="false"/>
                <w:i w:val="false"/>
                <w:iCs w:val="false"/>
                <w:color w:val="181410"/>
                <w:sz w:val="22"/>
                <w:szCs w:val="22"/>
                <w:rtl/>
              </w:rPr>
              <w:t xml:space="preserve">يجب على المسلم أن يوقن أن السنة الصحيحة لا تتعارض مع العقل الصريح أبدًا، وأن يميز - عند وجود إشكالٍ ظاهري - بين ما هو بداهةٌ عقلية حقًّا وبين ما هو مألوفٌ اكتسى ثوب البداهة، فيتهم فهمه القاصر أو حكمه المكتسب، لا النص الثابت، سالكًا مسلك التسليم مع الاجتهاد في طلب الفهم.</w:t>
            </w:r>
          </w:p>
        </w:tc>
      </w:tr>
    </w:tbl>
    <w:p>
      <w:pPr>
        <w:spacing w:after="160"/>
      </w:pPr>
    </w:p>
    <w:p>
      <w:pPr>
        <w:pStyle w:val="Heading2"/>
        <w:bidi/>
        <w:spacing w:after="140" w:before="320"/>
        <w:jc w:val="right"/>
      </w:pPr>
      <w:bookmarkStart w:name="bm_faqrah_26" w:id="1037"/>
      <w:r>
        <w:rPr>
          <w:rFonts w:ascii="Aref Ruqaa" w:cs="Aref Ruqaa" w:eastAsia="Aref Ruqaa" w:hAnsi="Aref Ruqaa"/>
          <w:b/>
          <w:bCs/>
          <w:i w:val="false"/>
          <w:iCs w:val="false"/>
          <w:color w:val="0D2143"/>
          <w:sz w:val="28"/>
          <w:szCs w:val="28"/>
          <w:rtl/>
        </w:rPr>
        <w:t xml:space="preserve">المبحث الرابع: شبهة تناقض الأحاديث النبوية بعضها ببعض</w:t>
      </w:r>
      <w:bookmarkEnd w:id="1037"/>
    </w:p>
    <w:p>
      <w:pPr>
        <w:bidi/>
        <w:spacing w:after="140" w:before="0" w:line="300"/>
        <w:jc w:val="both"/>
      </w:pPr>
      <w:r>
        <w:rPr>
          <w:rFonts w:ascii="Amiri" w:cs="Amiri" w:eastAsia="Amiri" w:hAnsi="Amiri"/>
          <w:b w:val="false"/>
          <w:bCs w:val="false"/>
          <w:i w:val="false"/>
          <w:iCs w:val="false"/>
          <w:color w:val="181410"/>
          <w:sz w:val="22"/>
          <w:szCs w:val="22"/>
          <w:rtl/>
        </w:rPr>
        <w:t xml:space="preserve">وقد يتنازل المعترض عن دعوى تعارض السنة مع العقل، فيقرّ أن كثيرًا مما ظنّه الناس تعارضًا هو من قبيل المألوف لا البداهة، لكنه ينتقل بشكه درجةً أخرى، فيعيد صياغة اعتراضه في صورةٍ أضيق وأصعب دفعًا: ليست القضية أن حديثًا يخالف عقلًا، بل أن حديثين ثابتين، كلاهما بلغ درجة القبول عند المحدثين، يبدو أحدهما ناقضًا للآخر، فأين وحدة المصدر التي يُفترض أن الوحي منزّهٌ بها عن التناقض؟ والأخطر من مجرد رصد أمثلةٍ على هذا التعارض الظاهري أن يُقال: إن منهج العلماء أنفسهم في معالجة هذا الإشكال - بالجمع تارة، وبالترجيح تارة، وبدعوى النسخ تارة أخرى - مرنٌ إلى حدٍّ يجعله قادرًا على «تبرير» أي تعارضٍ يُطرح عليه مهما بلغت حدته؛ فإذا كانت الأداة قادرة دائمًا على إنتاج تسويةٍ ما بين أي نصين مهما تناقضا ظاهريًّا، أفلا يكون هذا دليل مرونةٍ مصطنعة لا اتساقٍ حقيقي؟ بعبارةٍ أخرى: منهجٌ لا يمكن أن يَفشَل أبدًا في إيجاد مخرج، هو منهجٌ مشكوكٌ في كونه يصف واقع النصوص، لا منهجٌ يتحايل عليها لإنقاذ دعوى العصمة من التناقض.</w:t>
      </w:r>
    </w:p>
    <w:p>
      <w:pPr>
        <w:bidi/>
        <w:spacing w:after="100" w:before="200" w:line="300"/>
        <w:jc w:val="right"/>
      </w:pPr>
      <w:r>
        <w:rPr>
          <w:rFonts w:ascii="Amiri" w:cs="Amiri" w:eastAsia="Amiri" w:hAnsi="Amiri"/>
          <w:b/>
          <w:bCs/>
          <w:i w:val="false"/>
          <w:iCs w:val="false"/>
          <w:color w:val="152C54"/>
          <w:sz w:val="22"/>
          <w:szCs w:val="22"/>
          <w:rtl/>
        </w:rPr>
        <w:t xml:space="preserve">منهج العلماء في التعارض الظاهر</w:t>
      </w:r>
    </w:p>
    <w:p>
      <w:pPr>
        <w:bidi/>
        <w:spacing w:after="140" w:before="0" w:line="300"/>
        <w:jc w:val="both"/>
      </w:pPr>
      <w:r>
        <w:rPr>
          <w:rFonts w:ascii="Amiri" w:cs="Amiri" w:eastAsia="Amiri" w:hAnsi="Amiri"/>
          <w:b w:val="false"/>
          <w:bCs w:val="false"/>
          <w:i w:val="false"/>
          <w:iCs w:val="false"/>
          <w:color w:val="181410"/>
          <w:sz w:val="22"/>
          <w:szCs w:val="22"/>
          <w:rtl/>
        </w:rPr>
        <w:t xml:space="preserve">وللرد على هذا يجب أولًا التفريق بين منهجٍ يُنتج تسوياتٍ مخصَّصة لكل حالةٍ بعينها بلا ضابطٍ عام - وهذا هو التحايل الذي يخشاه المعترض بحق - وبين منهجٍ يطبّق قواعد مقررة سلفًا، مستقلة عن أي نصين بعينهما، ثم يجد أنها تُنتج حلًّا لهذه الحالة أو تلك. والقواعد التي اعتمدها علماء «مختلف الحديث» - وقد صُنّف في هذا الباب كتاب «اختلاف الحديث» للإمام الشافعي رحمه الله، وكتاب «تأويل مختلف الحديث» لابن قتيبة رحمه الله، من أوائل ما تأسس عليه هذا الفن - من هذا القبيل: فالجمع لا يُقبل إلا إذا استند إلى قرينةٍ مستقلة تُميّز بين حالتي النصين، لا إلى مجرد الرغبة في التوفيق؛ والترجيح يُبنى على معايير سابقة الوضع كعدد الرواة وقوة ضبطهم وقرب سندهم من المتن الأصلي، لا على أي النصين أقرب إلى مراد الناظر؛ والنسخ لا يُدّعى إلا بمعرفة التاريخ وتسلسل الوقائع تسلسلًا مستقلًّا عن مضمون النصين نفسه.</w:t>
      </w:r>
    </w:p>
    <w:p>
      <w:pPr>
        <w:bidi/>
        <w:spacing w:after="140" w:before="0" w:line="300"/>
        <w:jc w:val="both"/>
      </w:pPr>
      <w:r>
        <w:rPr>
          <w:rFonts w:ascii="Amiri" w:cs="Amiri" w:eastAsia="Amiri" w:hAnsi="Amiri"/>
          <w:b w:val="false"/>
          <w:bCs w:val="false"/>
          <w:i w:val="false"/>
          <w:iCs w:val="false"/>
          <w:color w:val="181410"/>
          <w:sz w:val="22"/>
          <w:szCs w:val="22"/>
          <w:rtl/>
        </w:rPr>
        <w:t xml:space="preserve">ومن الأمثلة الواضحة على أن الجمع هنا مضبوطٌ لا متعسف، مسألة صيام يوم الجمعة: فقد جاء عن النبي صلى الله عليه وسلم النهي عن إفراد يوم الجمعة بالصيام، وجاء في حديثٍ آخر جواز صيامه مع يومٍ قبله أو بعده. والجمع بينهما لم يُخترع بلا سند لغوي، بل استند إلى قرينةٍ نصيةٍ صريحة في الحديث نفسه، وهي لفظ «الإفراد» الوارد في النهي، فحُمل النهي على حالة الانفراد وحدها، والإذن على حالة الاقتران بيومٍ آخر؛ وهذا جمعٌ تفرضه دلالة اللفظ ذاته، لا تفرضه رغبةٌ في تجنب التعارض بأي ثمن.</w:t>
      </w:r>
    </w:p>
    <w:p>
      <w:pPr>
        <w:bidi/>
        <w:spacing w:after="140" w:before="0" w:line="300"/>
        <w:jc w:val="both"/>
      </w:pPr>
      <w:r>
        <w:rPr>
          <w:rFonts w:ascii="Amiri" w:cs="Amiri" w:eastAsia="Amiri" w:hAnsi="Amiri"/>
          <w:b w:val="false"/>
          <w:bCs w:val="false"/>
          <w:i w:val="false"/>
          <w:iCs w:val="false"/>
          <w:color w:val="181410"/>
          <w:sz w:val="22"/>
          <w:szCs w:val="22"/>
          <w:rtl/>
        </w:rPr>
        <w:t xml:space="preserve">ويبقى السؤال الأهم: أليس منهجٌ يجد دائمًا مخرجًا مشبوهًا في مرونته؟ والجواب أن هذا الوصف غير دقيق واقعيًّا؛ فالمحدثون لم يلتزموا إيجاد تسويةٍ لكل تعارضٍ مهما كان الثمن، بل حكموا - في غير موضع - بضعف أحد الحديثين أو شذوذه حين تعذّر الجمع بقرينةٍ معتبرة وتعذّر الترجيح بمعيارٍ مقبول، فضحّوا بأحد النصين بدل التحايل عليه؛ وهذا وحده كافٍ لنفي تهمة التحايل غير المشروط، لأن المنهج الذي يتحايل دائمًا لا يُقدم أبدًا على التضحية بنص. يضاف إلى هذا أن قواعد الجمع والترجيح والنسخ ليست حكرًا على علماء الحديث يستعملونها متى شاءوا، بل هي ذاتها المبادئ التي يستعملها أي ناقدٍ نصي أو مؤرخٍ حين يواجه وثيقتين متعارضتين ظاهريًّا في أي تراثٍ إنساني آخر؛ وقد طُبّقت هذه القواعد عند علماء متباعدين زمانًا ومكانًا ومذهبًا، فتلاقت أحكامهم غالبًا على الحل ذاته رغم استقلالهم، وهذا التقارب بين نظرٍ مستقل هو ما يميّز المنهج العلمي المنضبط عن التبرير المخصَّص لكل مناسبة.</w:t>
      </w:r>
    </w:p>
    <w:tbl>
      <w:tblPr>
        <w:tblW w:type="pct" w:w="100%"/>
        <w:tblBorders>
          <w:top w:val="single" w:color="A9812A" w:sz="6"/>
          <w:left w:val="single" w:color="A9812A" w:sz="24"/>
          <w:bottom w:val="single" w:color="A9812A" w:sz="6"/>
          <w:right w:val="single" w:color="A9812A" w:sz="6"/>
          <w:insideH w:val="single" w:color="auto" w:sz="4"/>
          <w:insideV w:val="single" w:color="auto" w:sz="4"/>
        </w:tblBorders>
      </w:tblPr>
      <w:tblGrid>
        <w:gridCol w:w="100"/>
      </w:tblGrid>
      <w:tr>
        <w:tc>
          <w:tcPr>
            <w:shd w:fill="FFFFFF" w:val="clear"/>
            <w:tcMar>
              <w:top w:type="dxa" w:w="160"/>
              <w:left w:type="dxa" w:w="200"/>
              <w:bottom w:type="dxa" w:w="160"/>
              <w:right w:type="dxa" w:w="200"/>
            </w:tcMar>
          </w:tcPr>
          <w:p>
            <w:pPr>
              <w:bidi/>
              <w:spacing w:after="100" w:before="0" w:line="300"/>
              <w:jc w:val="right"/>
            </w:pPr>
          </w:p>
        </w:tc>
      </w:tr>
    </w:tbl>
    <w:p>
      <w:pPr>
        <w:spacing w:after="140"/>
      </w:pPr>
    </w:p>
    <w:p>
      <w:pPr>
        <w:bidi/>
        <w:spacing w:after="100" w:before="200" w:line="300"/>
        <w:jc w:val="right"/>
      </w:pPr>
      <w:r>
        <w:rPr>
          <w:rFonts w:ascii="Amiri" w:cs="Amiri" w:eastAsia="Amiri" w:hAnsi="Amiri"/>
          <w:b/>
          <w:bCs/>
          <w:i w:val="false"/>
          <w:iCs w:val="false"/>
          <w:color w:val="152C54"/>
          <w:sz w:val="22"/>
          <w:szCs w:val="22"/>
          <w:rtl/>
        </w:rPr>
        <w:t xml:space="preserve">شهادة العلم نفسه على اتساقه</w:t>
      </w:r>
    </w:p>
    <w:p>
      <w:pPr>
        <w:bidi/>
        <w:spacing w:after="140" w:before="0" w:line="300"/>
        <w:jc w:val="both"/>
      </w:pPr>
      <w:r>
        <w:rPr>
          <w:rFonts w:ascii="Amiri" w:cs="Amiri" w:eastAsia="Amiri" w:hAnsi="Amiri"/>
          <w:b w:val="false"/>
          <w:bCs w:val="false"/>
          <w:i w:val="false"/>
          <w:iCs w:val="false"/>
          <w:color w:val="181410"/>
          <w:sz w:val="22"/>
          <w:szCs w:val="22"/>
          <w:rtl/>
        </w:rPr>
        <w:t xml:space="preserve">ويحسن التذكير بأن وجود علمٍ مستقل باسم «مختلف الحديث» هو بذاته أعظم رد على من يزعم أن التعارض الظاهري دليل ضعف السنة؛ فلو كانت الأمة قد تجاهلت هذا الإشكال أو تجاوزته دون معالجة، لكان في ذلك موضع مطعن حقيقي؛ أما وقد تصدى له العلماء بمنهجٍ مقيَّد بضوابط سابقة الوضع، لا بتبريرٍ مخصَّص، فذلك دليل اتساق هذا التراث لا اضطرابه.</w:t>
      </w:r>
    </w:p>
    <w:tbl>
      <w:tblPr>
        <w:tblW w:type="pct" w:w="100%"/>
        <w:tblBorders>
          <w:top w:val="single" w:color="E3C780" w:sz="6"/>
          <w:left w:val="single" w:color="E3C780" w:sz="24"/>
          <w:bottom w:val="single" w:color="E3C780" w:sz="6"/>
          <w:right w:val="single" w:color="E3C780"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0D2143"/>
                <w:sz w:val="18"/>
                <w:szCs w:val="18"/>
                <w:rtl/>
              </w:rPr>
              <w:t xml:space="preserve">الواجب على المسلم</w:t>
            </w:r>
          </w:p>
          <w:p>
            <w:pPr>
              <w:bidi/>
              <w:spacing w:after="0" w:before="0" w:line="300"/>
              <w:jc w:val="both"/>
            </w:pPr>
            <w:r>
              <w:rPr>
                <w:rFonts w:ascii="Amiri" w:cs="Amiri" w:eastAsia="Amiri" w:hAnsi="Amiri"/>
                <w:b w:val="false"/>
                <w:bCs w:val="false"/>
                <w:i w:val="false"/>
                <w:iCs w:val="false"/>
                <w:color w:val="181410"/>
                <w:sz w:val="22"/>
                <w:szCs w:val="22"/>
                <w:rtl/>
              </w:rPr>
              <w:t xml:space="preserve">يجب على المسلم إذا وقف على حديثين يظن بينهما تعارضًا ألّا يبادر برد أحدهما أو الشك فيهما جميعًا، بل يرجع إلى أهل العلم وكتب مختلف الحديث ليعرف وجه الجمع أو الترجيح أو النسخ، موقنًا أن هذا المنهج مضبوطٌ بقواعد سابقة على كل خلافٍ بعينه، لا مصنوعٌ لأجل إنقاذ نصٍّ بعينه من مأزقه.</w:t>
            </w:r>
          </w:p>
        </w:tc>
      </w:tr>
    </w:tbl>
    <w:p>
      <w:pPr>
        <w:spacing w:after="160"/>
      </w:pPr>
    </w:p>
    <w:p>
      <w:pPr>
        <w:pStyle w:val="Heading2"/>
        <w:bidi/>
        <w:spacing w:after="140" w:before="320"/>
        <w:jc w:val="right"/>
      </w:pPr>
      <w:bookmarkStart w:name="bm_faqrah_27" w:id="1038"/>
      <w:r>
        <w:rPr>
          <w:rFonts w:ascii="Aref Ruqaa" w:cs="Aref Ruqaa" w:eastAsia="Aref Ruqaa" w:hAnsi="Aref Ruqaa"/>
          <w:b/>
          <w:bCs/>
          <w:i w:val="false"/>
          <w:iCs w:val="false"/>
          <w:color w:val="0D2143"/>
          <w:sz w:val="28"/>
          <w:szCs w:val="28"/>
          <w:rtl/>
        </w:rPr>
        <w:t xml:space="preserve">المبحث الخامس: شبهة تأثير الإسرائيليات في متون الأحاديث والتفسير</w:t>
      </w:r>
      <w:bookmarkEnd w:id="1038"/>
    </w:p>
    <w:p>
      <w:pPr>
        <w:bidi/>
        <w:spacing w:after="140" w:before="0" w:line="300"/>
        <w:jc w:val="both"/>
      </w:pPr>
      <w:r>
        <w:rPr>
          <w:rFonts w:ascii="Amiri" w:cs="Amiri" w:eastAsia="Amiri" w:hAnsi="Amiri"/>
          <w:b w:val="false"/>
          <w:bCs w:val="false"/>
          <w:i w:val="false"/>
          <w:iCs w:val="false"/>
          <w:color w:val="181410"/>
          <w:sz w:val="22"/>
          <w:szCs w:val="22"/>
          <w:rtl/>
        </w:rPr>
        <w:t xml:space="preserve">وإذا سُلّم بأن الأحاديث الثابتة متسقة فيما بينها لا تناقض فيها، بقيت شبهةٌ أعمق من كل ما سبق، لا تطعن في اتساق السنة الداخلي، بل في نقاء مصدرها الخارجي: فربما لم يتناقض النصان، لكن هل يخلو مضمونهما معًا من أثرٍ دخيل تسرب إليهما من ثقافاتٍ أخرى محيطة بالبيئة التي نشأ فيها الإسلام؟ وأدق ما يُصاغ به هذا الاعتراض ليس الزعم بأن راويًا كذب متعمدًا ونسب إلى النبي صلى الله عليه وسلم قصةً يهودية بعينها - فهذا احتيالٌ صريح يكشفه علم الإسناد كما كشف غيره من الوضع - بل احتمالٌ أدق وأصعب رصدًا: أن البيئة التي عاش فيها بعض الرواة كانت مشبعةً بروايات أهل الكتاب عن الأنبياء والأمم السابقة، فتسرب تأثير هذه الأجواء لا في صورة قصةٍ منقولة بلفظها، بل في صياغة بعض التفاصيل أو الألفاظ أثناء النقل الشفهي نفسه، تسربًا لا واعيًا لا يترك أثرًا في السند لأنه ليس تزويرًا في السلسلة، بل تلوّنٌ في المضمون؛ فكيف يكشف علمُ الإسناد - وهو أداة تدقق في سلسلة النقل - أثرًا من هذا النوع لا يقع في السلسلة أصلًا بل في نسيج المتن؟</w:t>
      </w:r>
    </w:p>
    <w:tbl>
      <w:tblPr>
        <w:tblW w:type="pct" w:w="100%"/>
        <w:tblBorders>
          <w:top w:val="single" w:color="152C54" w:sz="6"/>
          <w:left w:val="single" w:color="152C54" w:sz="24"/>
          <w:bottom w:val="single" w:color="152C54" w:sz="6"/>
          <w:right w:val="single" w:color="152C54"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tc>
      </w:tr>
    </w:tbl>
    <w:p>
      <w:pPr>
        <w:spacing w:after="140"/>
      </w:pPr>
    </w:p>
    <w:p>
      <w:pPr>
        <w:bidi/>
        <w:spacing w:after="100" w:before="200" w:line="300"/>
        <w:jc w:val="right"/>
      </w:pPr>
      <w:r>
        <w:rPr>
          <w:rFonts w:ascii="Amiri" w:cs="Amiri" w:eastAsia="Amiri" w:hAnsi="Amiri"/>
          <w:b/>
          <w:bCs/>
          <w:i w:val="false"/>
          <w:iCs w:val="false"/>
          <w:color w:val="152C54"/>
          <w:sz w:val="22"/>
          <w:szCs w:val="22"/>
          <w:rtl/>
        </w:rPr>
        <w:t xml:space="preserve">الفرق الذي غفلت عنه الشبهة</w:t>
      </w:r>
    </w:p>
    <w:p>
      <w:pPr>
        <w:bidi/>
        <w:spacing w:after="140" w:before="0" w:line="300"/>
        <w:jc w:val="both"/>
      </w:pPr>
      <w:r>
        <w:rPr>
          <w:rFonts w:ascii="Amiri" w:cs="Amiri" w:eastAsia="Amiri" w:hAnsi="Amiri"/>
          <w:b w:val="false"/>
          <w:bCs w:val="false"/>
          <w:i w:val="false"/>
          <w:iCs w:val="false"/>
          <w:color w:val="181410"/>
          <w:sz w:val="22"/>
          <w:szCs w:val="22"/>
          <w:rtl/>
        </w:rPr>
        <w:t xml:space="preserve">والجواب أن هذا الاعتراض، على دقته، يغفل أن نقد المحدثين لم يقتصر على السند، بل امتد إلى المتن نفسه بأداةٍ مصممة خصيصًا لرصد هذا النوع من الانحراف الدقيق: فحين يُقارَن متن الحديث الواحد عبر طرقه المتعددة، وتُكتشف زيادةٌ في بعض الطرق لم ترد في أوثقها وأكثرها ضبطًا، حكم النقاد على تلك الزيادة بـ«الشذوذ»، أي أنها من صنع الراوي لا من أصل الحديث؛ وحين توجد علةٌ خفية تفسر كيف تسربت لفظةٌ أو تفصيلٌ إلى المتن رغم سلامة ظاهر إسناده، سُمّي هذا «العلة»، وهو باب مستقل من أدق أبواب علوم الحديث، مخصَّص بالذات لكشف ما لا يظهر في مجرد فحص السلسلة. فنقد المتن - لا نقد السند وحده - هو الأداة التي تتصدى تحديدًا لاحتمال «التلوّن اللاواعي» الذي يفترضه الاعتراض، ولم يكن هذا الباب غائبًا عن منهج المحدثين، بل كان من أرفع ما تميزوا به.</w:t>
      </w:r>
    </w:p>
    <w:p>
      <w:pPr>
        <w:bidi/>
        <w:spacing w:after="140" w:before="0" w:line="300"/>
        <w:jc w:val="both"/>
      </w:pPr>
      <w:r>
        <w:rPr>
          <w:rFonts w:ascii="Amiri" w:cs="Amiri" w:eastAsia="Amiri" w:hAnsi="Amiri"/>
          <w:b w:val="false"/>
          <w:bCs w:val="false"/>
          <w:i w:val="false"/>
          <w:iCs w:val="false"/>
          <w:color w:val="181410"/>
          <w:sz w:val="22"/>
          <w:szCs w:val="22"/>
          <w:rtl/>
        </w:rPr>
        <w:t xml:space="preserve">وثمّة ملاحظة منهجية لا تقل أهمية: أن مجرد التشابه الموضوعي بين خبرٍ نبوي وخبرٍ سابقٍ عند أهل الكتاب لا يستلزم بذاته تأثرًا أو دخيلاً، لأن الإسلام لا يزعم انقطاعًا عن الرسالات السابقة، بل يزعم امتدادًا لها وتصحيحًا لما دخل عليها من تحريف؛ فتشابه بعض أخبار الأنبياء السابقين بين القرآن والسنة من جهة، وما بقي صحيحًا من أصول التوراة والإنجيل من جهةٍ أخرى، متوقَّعٌ ابتداءً على مقتضى دعوى الإسلام نفسها، ولا يصلح دليلًا على استعارة، كما لا يصلح تشابه شهادتين صادقتين عن حادثةٍ واحدة دليلًا على تواطؤ الشاهدين أو استعارة أحدهما من الآخر. فالاعتراض، إن أُطلق بلا ضابطٍ، ينقلب معيارًا لا يمكن أن يتخلف: إذ سيُحسب كل تشابه دليل تأثر، ولو كان مجرد تلاقي حقٍّ مع حق.</w:t>
      </w:r>
    </w:p>
    <w:p>
      <w:pPr>
        <w:bidi/>
        <w:spacing w:after="140" w:before="0" w:line="300"/>
        <w:jc w:val="both"/>
      </w:pPr>
      <w:r>
        <w:rPr>
          <w:rFonts w:ascii="Amiri" w:cs="Amiri" w:eastAsia="Amiri" w:hAnsi="Amiri"/>
          <w:b w:val="false"/>
          <w:bCs w:val="false"/>
          <w:i w:val="false"/>
          <w:iCs w:val="false"/>
          <w:color w:val="181410"/>
          <w:sz w:val="22"/>
          <w:szCs w:val="22"/>
          <w:rtl/>
        </w:rPr>
        <w:t xml:space="preserve">وهذا يقودنا إلى الفارق الجوهري الذي يحسم المسألة: أن العلماء أنفسهم لم يعامِلوا مادة القصص والتفسير بنفس ما عاملوا به متون الحديث المسنَد. فحين ينقل مفسرٌ خبرًا عن قصص الأنبياء عن بعض من عُرفوا بالرواية عن أهل الكتاب، فهو ناقلٌ له تحت باب الاستئناس المصرَّح به، دون أن يُلزم نفسه بشرط تعدد الطرق المستقلة وسلامتها من الشذوذ، لأنه لا يزعم أصلًا أن هذا الخبر سنةٌ نبوية محتجّة بها؛ بينما لا يقبل محدثٌ متنًا في دواوين السنة المعتمدة إلا بعد أن يجتاز هذا الفحص الصارم. فالتساهل الذي يُستدل به على «تسرب» الإسرائيليات إنما وقع في حقلٍ أعلن أهله صراحةً أنهم لا يُخضعونه لشرط الاحتجاج، لا في الحقل الذي أُخضع لهذا الشرط؛ وهذا ليس تناقضًا في منهج العلماء، بل هو عين اتساقه: تشدد حيث يُراد الاحتجاج، وتسامح معلن حيث لا يُراد إلا العلم والعبرة. ولم يكتف العلماء بهذا الفصل الضمني، بل صرّحوا به: فنجد من نقل الإسرائيليات في تفسيره ينبّه القارئ صراحةً إلى أنها لا تُعتمد في عقيدةٍ ولا حكم، وأنها للعلم والاستئناس لا غير.</w:t>
      </w:r>
    </w:p>
    <w:p>
      <w:pPr>
        <w:bidi/>
        <w:spacing w:after="100" w:before="200" w:line="300"/>
        <w:jc w:val="right"/>
      </w:pPr>
      <w:r>
        <w:rPr>
          <w:rFonts w:ascii="Amiri" w:cs="Amiri" w:eastAsia="Amiri" w:hAnsi="Amiri"/>
          <w:b/>
          <w:bCs/>
          <w:i w:val="false"/>
          <w:iCs w:val="false"/>
          <w:color w:val="152C54"/>
          <w:sz w:val="22"/>
          <w:szCs w:val="22"/>
          <w:rtl/>
        </w:rPr>
        <w:t xml:space="preserve">ثلاثة أقسام تضبط المسألة</w:t>
      </w:r>
    </w:p>
    <w:p>
      <w:pPr>
        <w:bidi/>
        <w:spacing w:after="140" w:before="0" w:line="300"/>
        <w:jc w:val="both"/>
      </w:pPr>
      <w:r>
        <w:rPr>
          <w:rFonts w:ascii="Amiri" w:cs="Amiri" w:eastAsia="Amiri" w:hAnsi="Amiri"/>
          <w:b w:val="false"/>
          <w:bCs w:val="false"/>
          <w:i w:val="false"/>
          <w:iCs w:val="false"/>
          <w:color w:val="181410"/>
          <w:sz w:val="22"/>
          <w:szCs w:val="22"/>
          <w:rtl/>
        </w:rPr>
        <w:t xml:space="preserve">وقد قسّم أهل العلم الإسرائيليات - من حيث موافقتها للشريعة أو مخالفتها - إلى ثلاثة أقسام: ما وافق شرعنا فهو مقبول لموافقته لا لكونه إسرائيليًّا، وما خالف شرعنا فهو مردود، وما سكت عنه شرعنا فيجوز الحديث به على سبيل الاستئناس دون تصديقٍ ولا تكذيب. وهذا التقسيم يبيّن أن وجود هذا النوع من الروايات في بعض كتب التفسير ليس دليل اختلاط السنة بالدخيل، بل نتاج وعيٍ ميّز بين حقل الحديث المسنَد المحتج به وحقل القصص المستأنس به؛ وهو ذاته الفارق الذي فصّلناه آنفًا، فصار هذا التقسيم تطبيقًا عمليًّا له لا مجرد قاعدةٍ نظرية منفصلة عنه.</w:t>
      </w:r>
    </w:p>
    <w:p>
      <w:pPr>
        <w:bidi/>
        <w:spacing w:after="140" w:before="0" w:line="300"/>
        <w:jc w:val="both"/>
      </w:pPr>
      <w:r>
        <w:rPr>
          <w:rFonts w:ascii="Amiri" w:cs="Amiri" w:eastAsia="Amiri" w:hAnsi="Amiri"/>
          <w:b w:val="false"/>
          <w:bCs w:val="false"/>
          <w:i w:val="false"/>
          <w:iCs w:val="false"/>
          <w:color w:val="181410"/>
          <w:sz w:val="22"/>
          <w:szCs w:val="22"/>
          <w:rtl/>
        </w:rPr>
        <w:t xml:space="preserve">وبهذا يكتمل السلّم الذي افتُتح به هذا الفصل: من شكٍّ في أصل الحجية، إلى شكٍّ في صحة النقل، إلى شكٍّ في موافقته للعقل، إلى شكٍّ في اتساقه الداخلي، إلى شكٍّ في نقاء مصدره؛ وقد تبين في كل درجةٍ أن الشبهة، حين تُصاغ في أقوى صورها، لا تصمد أمام تحليلٍ يكشف بنيتها المنطقية، وأن جهود علماء هذه الأمة عبر القرون لم تكن ردود أفعالٍ دفاعية متأخرة، بل منهجًا استباقيًّا واعيًا بمواطن الإشكال قبل أن يُثيرها المعترضون أنفسهم.</w:t>
      </w:r>
    </w:p>
    <w:tbl>
      <w:tblPr>
        <w:tblW w:type="pct" w:w="100%"/>
        <w:tblBorders>
          <w:top w:val="single" w:color="E3C780" w:sz="6"/>
          <w:left w:val="single" w:color="E3C780" w:sz="24"/>
          <w:bottom w:val="single" w:color="E3C780" w:sz="6"/>
          <w:right w:val="single" w:color="E3C780"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0D2143"/>
                <w:sz w:val="18"/>
                <w:szCs w:val="18"/>
                <w:rtl/>
              </w:rPr>
              <w:t xml:space="preserve">الواجب على المسلم</w:t>
            </w:r>
          </w:p>
          <w:p>
            <w:pPr>
              <w:bidi/>
              <w:spacing w:after="0" w:before="0" w:line="300"/>
              <w:jc w:val="both"/>
            </w:pPr>
            <w:r>
              <w:rPr>
                <w:rFonts w:ascii="Amiri" w:cs="Amiri" w:eastAsia="Amiri" w:hAnsi="Amiri"/>
                <w:b w:val="false"/>
                <w:bCs w:val="false"/>
                <w:i w:val="false"/>
                <w:iCs w:val="false"/>
                <w:color w:val="181410"/>
                <w:sz w:val="22"/>
                <w:szCs w:val="22"/>
                <w:rtl/>
              </w:rPr>
              <w:t xml:space="preserve">يجب على المسلم أن يفرّق بين ما ثبت من السنة بالسند الصحيح المعتمد في كتب الحديث، وبين ما وقع في بعض كتب التفسير والقصص من إسرائيليات لا يُحتج بها، مدركًا أن هذا التمييز نفسه أثرٌ من آثار الدقة التي ميزت منهج هذه الأمة في حفظ وحيها من كل ما يخالطه أو يشوبه، لا ثغرة يُستدل بها على التشكيك فيه.</w:t>
            </w:r>
          </w:p>
        </w:tc>
      </w:tr>
    </w:tbl>
    <w:p>
      <w:pPr>
        <w:spacing w:after="160"/>
      </w:pPr>
    </w:p>
    <w:p>
      <w:pPr>
        <w:pStyle w:val="Heading1"/>
        <w:pageBreakBefore/>
        <w:bidi/>
        <w:spacing w:after="160" w:before="0"/>
        <w:jc w:val="right"/>
      </w:pPr>
      <w:bookmarkStart w:name="bm_fasl6" w:id="1039"/>
      <w:r>
        <w:rPr>
          <w:rFonts w:ascii="Aref Ruqaa" w:cs="Aref Ruqaa" w:eastAsia="Aref Ruqaa" w:hAnsi="Aref Ruqaa"/>
          <w:b/>
          <w:bCs/>
          <w:i w:val="false"/>
          <w:iCs w:val="false"/>
          <w:color w:val="0A1830"/>
          <w:sz w:val="34"/>
          <w:szCs w:val="34"/>
          <w:rtl/>
        </w:rPr>
        <w:t xml:space="preserve">الفصل السادس — دور السنة النبوية في بناء القيم والأخلاق والتربية والقيادة</w:t>
      </w:r>
      <w:bookmarkEnd w:id="1039"/>
    </w:p>
    <w:p>
      <w:pPr>
        <w:pStyle w:val="Heading2"/>
        <w:bidi/>
        <w:spacing w:after="140" w:before="320"/>
        <w:jc w:val="right"/>
      </w:pPr>
      <w:bookmarkStart w:name="bm_faqrah_28" w:id="1040"/>
      <w:r>
        <w:rPr>
          <w:rFonts w:ascii="Aref Ruqaa" w:cs="Aref Ruqaa" w:eastAsia="Aref Ruqaa" w:hAnsi="Aref Ruqaa"/>
          <w:b/>
          <w:bCs/>
          <w:i w:val="false"/>
          <w:iCs w:val="false"/>
          <w:color w:val="0D2143"/>
          <w:sz w:val="28"/>
          <w:szCs w:val="28"/>
          <w:rtl/>
        </w:rPr>
        <w:t xml:space="preserve">المبحث الأول: دور السنة النبوية في ترسيخ القيم والأخلاق الإسلامية</w:t>
      </w:r>
      <w:bookmarkEnd w:id="1040"/>
    </w:p>
    <w:p>
      <w:pPr>
        <w:bidi/>
        <w:spacing w:after="140" w:before="0" w:line="300"/>
        <w:jc w:val="both"/>
      </w:pPr>
      <w:r>
        <w:rPr>
          <w:rFonts w:ascii="Amiri" w:cs="Amiri" w:eastAsia="Amiri" w:hAnsi="Amiri"/>
          <w:b w:val="false"/>
          <w:bCs w:val="false"/>
          <w:i w:val="false"/>
          <w:iCs w:val="false"/>
          <w:color w:val="181410"/>
          <w:sz w:val="22"/>
          <w:szCs w:val="22"/>
          <w:rtl/>
        </w:rPr>
        <w:t xml:space="preserve">
أثبت الفصل الأول من هذا الكتاب حجية السنة النبوية وأدلة وجوب اتباعها، وبيّن أنها وحي يُعمل به كما يُعمل بالقرآن، وليس الغرض هنا العودة إلى ذلك الاستدلال، بل تتبع أثره: ماذا يعني عمليًا أن يكون هدي النبي صلى الله عليه وسلم وحيًا معمولًا به لا مجرد سيرة تُروى؟ أول ما يظهر من هذا الأثر أن القيم الإسلامية لم تبقَ معاني مجردة تُستنبط من عمومات القرآن، بل صارت صورًا محسوسة رآها الصحابة رأي العين في مواقف بعينها، وسمعوها في عبارات محددة لا تحتمل التأويل، فتحول الخُلق من مفهوم إلى مشهد. يقول الله تعالى: </w:t>
      </w:r>
      <w:r>
        <w:rPr>
          <w:rFonts w:ascii="Amiri Quran" w:cs="Amiri Quran" w:eastAsia="Amiri Quran" w:hAnsi="Amiri Quran"/>
          <w:b w:val="false"/>
          <w:bCs w:val="false"/>
          <w:i w:val="false"/>
          <w:iCs w:val="false"/>
          <w:color w:val="0D2143"/>
          <w:sz w:val="26"/>
          <w:szCs w:val="26"/>
          <w:rtl/>
        </w:rPr>
        <w:t xml:space="preserve">﴿وَمَا آتَاكُمُ الرَّسُولُ فَخُذُوهُ وَمَا نَهَاكُمْ عَنْهُ فَانتَهُوا﴾</w:t>
      </w:r>
      <w:r>
        <w:rPr>
          <w:rFonts w:ascii="Cairo" w:cs="Cairo" w:eastAsia="Cairo" w:hAnsi="Cairo"/>
          <w:b/>
          <w:bCs/>
          <w:i w:val="false"/>
          <w:iCs w:val="false"/>
          <w:color w:val="8A6A1F"/>
          <w:sz w:val="16"/>
          <w:szCs w:val="16"/>
          <w:rtl/>
        </w:rPr>
        <w:t xml:space="preserve"> [الحشر: 7]</w:t>
      </w:r>
      <w:r>
        <w:rPr>
          <w:rFonts w:ascii="Amiri" w:cs="Amiri" w:eastAsia="Amiri" w:hAnsi="Amiri"/>
          <w:b w:val="false"/>
          <w:bCs w:val="false"/>
          <w:i w:val="false"/>
          <w:iCs w:val="false"/>
          <w:color w:val="181410"/>
          <w:sz w:val="22"/>
          <w:szCs w:val="22"/>
          <w:rtl/>
        </w:rPr>
        <w:t xml:space="preserve">، وأخبر النبي صلى الله عليه وسلم عن نفسه بقوله: «أَلَا إِنِّي أُوتِيتُ الْكِتَابَ وَمِثْلَهُ مَعَهُ» رواه أبو داود، فجعل هديه في القول والفعل من جنس ما يجب الأخذ به كالكتاب سواء. وهذا هو الفارق الذي تنفرد به السنة عن أي خطاب أخلاقي آخر: أنها لا تكتفي بتقرير القيمة، بل تُري كيف تتحرك في موقف واقعي، وكيف تُوازَن حين تتعارض مع قيمة أخرى، وهذا ما لا يبلغه الوعظ المجرد مهما بولغ في تحسين لفظه.
</w:t>
      </w:r>
    </w:p>
    <w:p>
      <w:pPr>
        <w:bidi/>
        <w:spacing w:after="100" w:before="200" w:line="300"/>
        <w:jc w:val="right"/>
      </w:pPr>
      <w:r>
        <w:rPr>
          <w:rFonts w:ascii="Amiri" w:cs="Amiri" w:eastAsia="Amiri" w:hAnsi="Amiri"/>
          <w:b/>
          <w:bCs/>
          <w:i w:val="false"/>
          <w:iCs w:val="false"/>
          <w:color w:val="152C54"/>
          <w:sz w:val="22"/>
          <w:szCs w:val="22"/>
          <w:rtl/>
        </w:rPr>
        <w:t xml:space="preserve">الأدلة</w:t>
      </w:r>
    </w:p>
    <w:p>
      <w:pPr>
        <w:bidi/>
        <w:spacing w:after="140" w:before="0" w:line="300"/>
        <w:jc w:val="both"/>
      </w:pPr>
      <w:r>
        <w:rPr>
          <w:rFonts w:ascii="Amiri" w:cs="Amiri" w:eastAsia="Amiri" w:hAnsi="Amiri"/>
          <w:b w:val="false"/>
          <w:bCs w:val="false"/>
          <w:i w:val="false"/>
          <w:iCs w:val="false"/>
          <w:color w:val="181410"/>
          <w:sz w:val="22"/>
          <w:szCs w:val="22"/>
          <w:rtl/>
        </w:rPr>
        <w:t xml:space="preserve">
يتضح هذا المنهج في ثلاثة نصوص تبني كل واحدة منها القيمة على نحو مختلف عن مجرد الأمر بها. ففي الصدق، لم يقل النبي صلى الله عليه وسلم "اصدقوا" فحسب، بل رسم سلسلة سببية متدرجة: «إِنَّ الصِّدْقَ يَهْدِي إِلَى الْبِرِّ، وَإِنَّ الْبِرَّ يَهْدِي إِلَى الْجَنَّةِ» رواه البخاري ومسلم، فالصدق هنا ليس غاية في نفسه بل بداية طريق: فعل متكرر يُنتج مَلَكة راسخة هي البر، وهذه المَلَكة هي التي تُفضي إلى العاقبة الحسنى، فالنص نظرية في تكوّن الخُلق لا مجرد توجيه إليه. وفي الرحمة جاء التوسيع بدل الأمر: «الرَّاحِمُونَ يَرْحَمُهُمُ الرَّحْمَٰنُ، ارْحَمُوا مَنْ فِي الْأَرْضِ يَرْحَمْكُمْ مَنْ فِي السَّمَاءِ» رواه أبو داود والترمذي، ولافتٌ أن العبارة لم تقل "ارحموا المؤمنين" أو "ارحموا إخوانكم"، بل أطلقت الدائرة إلى "من في الأرض"، فسدّت بذلك على النفس منفذًا كانت لتلجأ إليه لو تُركت القيمة عامة غير محددة النطاق: منفذ ترشيد الرحمة بحسب هوية المرحوم. أما العدل فجاء بصيغة استعارية لا تزيينية: «اتَّقُوا الظُّلْمَ فَإِنَّ الظُّلْمَ ظُلُمَاتٌ يَوْمَ الْقِيَامَةِ» رواه مسلم، فالنص لا يصف الظلم بأنه "قبيح" أو "محرّم"، بل يحوّله إلى عمى حسي في اللحظة التي يكون فيها البصر أشد ما يحتاجه الإنسان، وهذا التطابق بين طبيعة الذنب وطبيعة العقوبة هو ما يجعل النهي عن الظلم يُستشعر لا يُستذكر فقط.
</w:t>
      </w:r>
    </w:p>
    <w:p>
      <w:pPr>
        <w:bidi/>
        <w:spacing w:after="140" w:before="0" w:line="300"/>
        <w:jc w:val="both"/>
      </w:pPr>
      <w:r>
        <w:rPr>
          <w:rFonts w:ascii="Amiri" w:cs="Amiri" w:eastAsia="Amiri" w:hAnsi="Amiri"/>
          <w:b w:val="false"/>
          <w:bCs w:val="false"/>
          <w:i w:val="false"/>
          <w:iCs w:val="false"/>
          <w:color w:val="181410"/>
          <w:sz w:val="22"/>
          <w:szCs w:val="22"/>
          <w:rtl/>
        </w:rPr>
        <w:t xml:space="preserve">
ولم تبق هذه المعاني حبيسة القول، فقد كان تواضع النبي صلى الله عليه وسلم في مجالسه ترجمة عملية لها: يجلس بين أصحابه فلا يتميز عليهم بموضع، ويقف للصغار ويمازحهم، ويخفض جناحه لضعفاء الناس ومساكينهم. وقيمة هذا المسلك لا تكمن في كونه مثالًا محببًا يُستأنس به، بل في أنه يزيل عذرًا كان يمكن أن يتذرع به من يعلو مقامه: أن رفعة المكانة تبرر شيئًا من الترفع. فحين يُرى صاحب أعلى مكانة يمارس التواضع بلا تكلف، تسقط حجة كل من دونه في التمسك بكبريائه، وهذا أثر لا يبلغه الأمر بالتواضع مهما تكرر.
</w:t>
      </w:r>
    </w:p>
    <w:p>
      <w:pPr>
        <w:bidi/>
        <w:spacing w:after="100" w:before="200" w:line="300"/>
        <w:jc w:val="right"/>
      </w:pPr>
      <w:r>
        <w:rPr>
          <w:rFonts w:ascii="Amiri" w:cs="Amiri" w:eastAsia="Amiri" w:hAnsi="Amiri"/>
          <w:b/>
          <w:bCs/>
          <w:i w:val="false"/>
          <w:iCs w:val="false"/>
          <w:color w:val="152C54"/>
          <w:sz w:val="22"/>
          <w:szCs w:val="22"/>
          <w:rtl/>
        </w:rPr>
        <w:t xml:space="preserve">فوائد ومسائل</w:t>
      </w:r>
    </w:p>
    <w:p>
      <w:pPr>
        <w:bidi/>
        <w:spacing w:after="140" w:before="0" w:line="300"/>
        <w:jc w:val="both"/>
      </w:pPr>
      <w:r>
        <w:rPr>
          <w:rFonts w:ascii="Amiri" w:cs="Amiri" w:eastAsia="Amiri" w:hAnsi="Amiri"/>
          <w:b w:val="false"/>
          <w:bCs w:val="false"/>
          <w:i w:val="false"/>
          <w:iCs w:val="false"/>
          <w:color w:val="181410"/>
          <w:sz w:val="22"/>
          <w:szCs w:val="22"/>
          <w:rtl/>
        </w:rPr>
        <w:t xml:space="preserve">
والمتأمل في هذه النصوص الثلاثة يلحظ أنها ليست قائمة قيم متجاورة كما تُعرض الفضائل في كتب الأخلاق العامة، بل منظومة متماسكة يعضد بعضها بعضًا: فالصدق يُنتج مَلَكة راسخة هي البر، وهذه المَلَكة هي التي تصون الرحمة من الانحراف إلى المحاباة، وتصون العدل من الانحراف إلى القسوة، فكل قيمة منها تُعين على استقامة أخواتها لا مجرد ترافقها. وهذا الفارق بين "منظومة" و"قائمة" هو ما يمنح القيم النبوية قدرتها على الثبات: فمن ضعُف فيه خلق واحد من هذه المنظومة لم يفقده وحده، بل اهتز البناء كله من أساسه، خلافًا لمن يحفظ فضيلة بمعزل عن أخواتها فيسهل عليه أن يمارسها في موطن ويتخلى عنها في آخر دون أن يشعر بتناقض. وهذا هو السرّ في أن السنة لم تكتفِ بتعداد الفضائل، بل ربطت بعضها ببعض حتى صار الأخذ بواحدة منها بابًا إلى سائرها.
</w:t>
      </w:r>
    </w:p>
    <w:tbl>
      <w:tblPr>
        <w:tblW w:type="pct" w:w="100%"/>
        <w:tblBorders>
          <w:top w:val="single" w:color="E3C780" w:sz="6"/>
          <w:left w:val="single" w:color="E3C780" w:sz="24"/>
          <w:bottom w:val="single" w:color="E3C780" w:sz="6"/>
          <w:right w:val="single" w:color="E3C780"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0D2143"/>
                <w:sz w:val="18"/>
                <w:szCs w:val="18"/>
                <w:rtl/>
              </w:rPr>
              <w:t xml:space="preserve">الواجب على المسلم</w:t>
            </w:r>
          </w:p>
          <w:p>
            <w:pPr>
              <w:bidi/>
              <w:spacing w:after="0" w:before="0" w:line="300"/>
              <w:jc w:val="both"/>
            </w:pPr>
            <w:r>
              <w:rPr>
                <w:rFonts w:ascii="Amiri" w:cs="Amiri" w:eastAsia="Amiri" w:hAnsi="Amiri"/>
                <w:b w:val="false"/>
                <w:bCs w:val="false"/>
                <w:i w:val="false"/>
                <w:iCs w:val="false"/>
                <w:color w:val="181410"/>
                <w:sz w:val="22"/>
                <w:szCs w:val="22"/>
                <w:rtl/>
              </w:rPr>
              <w:t xml:space="preserve">
يجب على المسلم أن يتخذ من أخلاق النبي صلى الله عليه وسلم منهجًا عمليًا يسير عليه في صدقه وأمانته ورحمته وعدله وتواضعه، لا معانٍ يرددها دون أن تتحول إلى سلوك، فبقدر قربه من هديه صلى الله عليه وسلم في أخلاقه يكمل إيمانه، وبقدر بعده عنه يضعف أثر إيمانه في واقع حياته ومعاملته للناس.
</w:t>
            </w:r>
          </w:p>
        </w:tc>
      </w:tr>
    </w:tbl>
    <w:p>
      <w:pPr>
        <w:spacing w:after="160"/>
      </w:pPr>
    </w:p>
    <w:p>
      <w:pPr>
        <w:pStyle w:val="Heading2"/>
        <w:bidi/>
        <w:spacing w:after="140" w:before="320"/>
        <w:jc w:val="right"/>
      </w:pPr>
      <w:bookmarkStart w:name="bm_faqrah_29" w:id="1041"/>
      <w:r>
        <w:rPr>
          <w:rFonts w:ascii="Aref Ruqaa" w:cs="Aref Ruqaa" w:eastAsia="Aref Ruqaa" w:hAnsi="Aref Ruqaa"/>
          <w:b/>
          <w:bCs/>
          <w:i w:val="false"/>
          <w:iCs w:val="false"/>
          <w:color w:val="0D2143"/>
          <w:sz w:val="28"/>
          <w:szCs w:val="28"/>
          <w:rtl/>
        </w:rPr>
        <w:t xml:space="preserve">المبحث الثاني: السنة النبوية مرجعية تربوية وتعليمية</w:t>
      </w:r>
      <w:bookmarkEnd w:id="1041"/>
    </w:p>
    <w:p>
      <w:pPr>
        <w:bidi/>
        <w:spacing w:after="140" w:before="0" w:line="300"/>
        <w:jc w:val="both"/>
      </w:pPr>
      <w:r>
        <w:rPr>
          <w:rFonts w:ascii="Amiri" w:cs="Amiri" w:eastAsia="Amiri" w:hAnsi="Amiri"/>
          <w:b w:val="false"/>
          <w:bCs w:val="false"/>
          <w:i w:val="false"/>
          <w:iCs w:val="false"/>
          <w:color w:val="181410"/>
          <w:sz w:val="22"/>
          <w:szCs w:val="22"/>
          <w:rtl/>
        </w:rPr>
        <w:t xml:space="preserve">
حين يُقال إن السنة مرجعية تربوية، فليس المقصود أن فيها نصوصًا تتحدث عن التربية كموضوع من الموضوعات، بل أن طريقة النبي صلى الله عليه وسلم في التعامل مع أصحابه كانت في ذاتها منهجًا، بصرف النظر عن مضمون كل موقف على حدة. فالفرق بين "معلّم يملك معلومات صحيحة عن التربية" و"معلّم تصدر طريقته في التعامل عن منهج متسق" فرق جوهري، والنبي صلى الله عليه وسلم كان من الصنف الثاني: أسلوبه في تصحيح الخطأ، وفي إيصال المعرفة، وفي ضبط العلاقات الاجتماعية بين أصحابه، كان يصدر عن مبدأ واحد يتكرر في صور مختلفة، لا عن اجتهادات متفرقة بحسب الموقف.
</w:t>
      </w:r>
    </w:p>
    <w:p>
      <w:pPr>
        <w:bidi/>
        <w:spacing w:after="100" w:before="200" w:line="300"/>
        <w:jc w:val="right"/>
      </w:pPr>
      <w:r>
        <w:rPr>
          <w:rFonts w:ascii="Amiri" w:cs="Amiri" w:eastAsia="Amiri" w:hAnsi="Amiri"/>
          <w:b/>
          <w:bCs/>
          <w:i w:val="false"/>
          <w:iCs w:val="false"/>
          <w:color w:val="152C54"/>
          <w:sz w:val="22"/>
          <w:szCs w:val="22"/>
          <w:rtl/>
        </w:rPr>
        <w:t xml:space="preserve">الأدلة</w:t>
      </w:r>
    </w:p>
    <w:p>
      <w:pPr>
        <w:bidi/>
        <w:spacing w:after="140" w:before="0" w:line="300"/>
        <w:jc w:val="both"/>
      </w:pPr>
      <w:r>
        <w:rPr>
          <w:rFonts w:ascii="Amiri" w:cs="Amiri" w:eastAsia="Amiri" w:hAnsi="Amiri"/>
          <w:b w:val="false"/>
          <w:bCs w:val="false"/>
          <w:i w:val="false"/>
          <w:iCs w:val="false"/>
          <w:color w:val="181410"/>
          <w:sz w:val="22"/>
          <w:szCs w:val="22"/>
          <w:rtl/>
        </w:rPr>
        <w:t xml:space="preserve">
يظهر هذا المبدأ أولًا في المصدر الذي اختاره النبي صلى الله عليه وسلم للرفق، وهو مصدر لا يقبل المساومة: فحين عالج أخطاء أصحابه باللين ولم يعنّفهم ولم يفضحهم، لم يقدّم الرفق على أنه أسلوب أنجع من غيره، بل ردّه إلى صفة إلهية بقوله: «إِنَّ اللَّهَ رَفِيقٌ يُحِبُّ الرِّفْقَ فِي الْأَمْرِ كُلِّهِ» رواه البخاري. وهذا فارق دقيق يغيب عن كثير من نظريات التربية الحديثة التي تُبرر الرفق بنتائجه النفسية المرجوّة، فيبقى خيارًا قابلًا للتراجع عنه متى بدت القسوة أجدى؛ أما حين يُربط الرفق باسم من أسماء الله، فإنه يخرج من دائرة التكتيك القابل للاستبدال إلى دائرة الخُلق اللازم، ولهذا لم يكن رفقه صلى الله عليه وسلم تساهلًا في نقل الحق، بل وسيلته الوحيدة لإيصاله. وثانيًا: لم يكن يكتفي بالأمر قولًا، بل كان يسبق أصحابه إلى الفعل، فيصوم ويعلّمهم كيف يصومون، ويقوم الليل ويحثهم على قيامه، وهذا التقديم للفعل على القول ليس مجرد "قدوة حسنة" بالمعنى العام، بل هو الدليل العملي على أن المطلوب ممكن التحقق، فلا يبقى للمخاطَب أن يتحصن خلف دعوى أن التكليف فوق الطاقة، إذ رآه مُنجزًا أمامه. وثالثًا: وجّه النبي صلى الله عليه وسلم السلوك الاجتماعي بربطه بأصل الإيمان لا بآداب السلوك، فقال: «مَنْ كَانَ يُؤْمِنُ بِاللَّهِ وَالْيَوْمِ الْآخِرِ فَلْيُكْرِمْ جَارَهُ» متفق عليه، وهذا الربط يرفع إكرام الجار من باب المروءة الاجتماعية التي يمكن التهاون فيها إلى باب من أبواب الإيمان الذي لا مجال للتهاون فيه، فيتحول الرقيب من خارجي إلى داخلي: لا يحسن المرء جواره خشية عتاب الناس، بل خشية أن ينتقص من إيمانه.
</w:t>
      </w:r>
    </w:p>
    <w:p>
      <w:pPr>
        <w:bidi/>
        <w:spacing w:after="100" w:before="200" w:line="300"/>
        <w:jc w:val="right"/>
      </w:pPr>
      <w:r>
        <w:rPr>
          <w:rFonts w:ascii="Amiri" w:cs="Amiri" w:eastAsia="Amiri" w:hAnsi="Amiri"/>
          <w:b/>
          <w:bCs/>
          <w:i w:val="false"/>
          <w:iCs w:val="false"/>
          <w:color w:val="152C54"/>
          <w:sz w:val="22"/>
          <w:szCs w:val="22"/>
          <w:rtl/>
        </w:rPr>
        <w:t xml:space="preserve">فوائد ومسائل</w:t>
      </w:r>
    </w:p>
    <w:p>
      <w:pPr>
        <w:bidi/>
        <w:spacing w:after="140" w:before="0" w:line="300"/>
        <w:jc w:val="both"/>
      </w:pPr>
      <w:r>
        <w:rPr>
          <w:rFonts w:ascii="Amiri" w:cs="Amiri" w:eastAsia="Amiri" w:hAnsi="Amiri"/>
          <w:b w:val="false"/>
          <w:bCs w:val="false"/>
          <w:i w:val="false"/>
          <w:iCs w:val="false"/>
          <w:color w:val="181410"/>
          <w:sz w:val="22"/>
          <w:szCs w:val="22"/>
          <w:rtl/>
        </w:rPr>
        <w:t xml:space="preserve">
والذي يجمع هذه الصور الثلاث أن كلًا منها يعالج ثغرة بعينها في التربية المجردة: الأولى تمنع الرفق من أن يتحول إلى مزاج متقلب، والثانية تمنع التعليم من أن يبقى وعدًا لم يُختبر، والثالثة تمنع السلوك الاجتماعي من أن يبقى تحسينًا شكليًا لا صلة له بجوهر الدين. ومن أدق ما يُستفاد هنا أن الرفق في هذا المنهج لم يكن يومًا رديفًا للتساهل، فقد كان صلى الله عليه وسلم حازمًا في أصل الحق رفيقًا في وسيلة إيصاله، وهذا الجمع بين الحزم والرفق أعسر مما يظنه من يسوّي بينهما وبين مجرد اللطف في المعاملة؛ فالتربية التي تكتفي بالتلطف دون حزم في الجوهر تُربي جيلًا لينًا لا صلبًا، والتربية التي تكتفي بالحزم دون رفق تُربي جيلًا خائفًا لا واعيًا، والسنة وحدها جمعت بين الأمرين بلا تفريط في أحدهما لحساب الآخر.
</w:t>
      </w:r>
    </w:p>
    <w:tbl>
      <w:tblPr>
        <w:tblW w:type="pct" w:w="100%"/>
        <w:tblBorders>
          <w:top w:val="single" w:color="E3C780" w:sz="6"/>
          <w:left w:val="single" w:color="E3C780" w:sz="24"/>
          <w:bottom w:val="single" w:color="E3C780" w:sz="6"/>
          <w:right w:val="single" w:color="E3C780"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0D2143"/>
                <w:sz w:val="18"/>
                <w:szCs w:val="18"/>
                <w:rtl/>
              </w:rPr>
              <w:t xml:space="preserve">الواجب على المسلم</w:t>
            </w:r>
          </w:p>
          <w:p>
            <w:pPr>
              <w:bidi/>
              <w:spacing w:after="0" w:before="0" w:line="300"/>
              <w:jc w:val="both"/>
            </w:pPr>
            <w:r>
              <w:rPr>
                <w:rFonts w:ascii="Amiri" w:cs="Amiri" w:eastAsia="Amiri" w:hAnsi="Amiri"/>
                <w:b w:val="false"/>
                <w:bCs w:val="false"/>
                <w:i w:val="false"/>
                <w:iCs w:val="false"/>
                <w:color w:val="181410"/>
                <w:sz w:val="22"/>
                <w:szCs w:val="22"/>
                <w:rtl/>
              </w:rPr>
              <w:t xml:space="preserve">
يجب على من تولى مسؤولية التربية والتعليم في بيته أو مجتمعه أن يقتدي بمنهج النبي صلى الله عليه وسلم في الجمع بين الرفق والحزم، وبين التوجيه والقدوة العملية، وأن يستحضر أن أثر التربية بالفعل أبلغ من أثرها بالقول، وأن حسن المعاملة مع الأهل والجيران والناس جميعًا جزء من كمال الإيمان لا زيادة عليه.
</w:t>
            </w:r>
          </w:p>
        </w:tc>
      </w:tr>
    </w:tbl>
    <w:p>
      <w:pPr>
        <w:spacing w:after="160"/>
      </w:pPr>
    </w:p>
    <w:p>
      <w:pPr>
        <w:pStyle w:val="Heading2"/>
        <w:bidi/>
        <w:spacing w:after="140" w:before="320"/>
        <w:jc w:val="right"/>
      </w:pPr>
      <w:bookmarkStart w:name="bm_faqrah_30" w:id="1042"/>
      <w:r>
        <w:rPr>
          <w:rFonts w:ascii="Aref Ruqaa" w:cs="Aref Ruqaa" w:eastAsia="Aref Ruqaa" w:hAnsi="Aref Ruqaa"/>
          <w:b/>
          <w:bCs/>
          <w:i w:val="false"/>
          <w:iCs w:val="false"/>
          <w:color w:val="0D2143"/>
          <w:sz w:val="28"/>
          <w:szCs w:val="28"/>
          <w:rtl/>
        </w:rPr>
        <w:t xml:space="preserve">المبحث الثالث: نموذج القيادة الحكيمة في هدي النبي ﷺ</w:t>
      </w:r>
      <w:bookmarkEnd w:id="1042"/>
    </w:p>
    <w:p>
      <w:pPr>
        <w:bidi/>
        <w:spacing w:after="140" w:before="0" w:line="300"/>
        <w:jc w:val="both"/>
      </w:pPr>
      <w:r>
        <w:rPr>
          <w:rFonts w:ascii="Amiri" w:cs="Amiri" w:eastAsia="Amiri" w:hAnsi="Amiri"/>
          <w:b w:val="false"/>
          <w:bCs w:val="false"/>
          <w:i w:val="false"/>
          <w:iCs w:val="false"/>
          <w:color w:val="181410"/>
          <w:sz w:val="22"/>
          <w:szCs w:val="22"/>
          <w:rtl/>
        </w:rPr>
        <w:t xml:space="preserve">
إذا كان المبحثان السابقان قد تناولا السنة في مقام الخُلق الفردي ومقام التربية والتعليم، فإن هذا المبحث ينقل النظر إلى مقام ثالث أشد اختبارًا لصدق القيم: مقام اتخاذ القرار تحت الضغط، حين تتزاحم المصالح، ويضيق الوقت، وتتعارض الرحمة أحيانًا مع الحزم، والمشورة مع سرعة الحسم. ففي هذا المقام وحده يتبين هل كانت القيم النبوية شعارات تُرفع في السعة، أم مبادئ تصمد في الشدة؛ وقد صمدت، وهذا ما تقدمه سيرته صلى الله عليه وسلم في القيادة، لا بوصفها فضيلة إضافية إلى ما سبق، بل بوصفها الاختبار الذي كشف حقيقة تلك القيم.
</w:t>
      </w:r>
    </w:p>
    <w:p>
      <w:pPr>
        <w:bidi/>
        <w:spacing w:after="100" w:before="200" w:line="300"/>
        <w:jc w:val="right"/>
      </w:pPr>
      <w:r>
        <w:rPr>
          <w:rFonts w:ascii="Amiri" w:cs="Amiri" w:eastAsia="Amiri" w:hAnsi="Amiri"/>
          <w:b/>
          <w:bCs/>
          <w:i w:val="false"/>
          <w:iCs w:val="false"/>
          <w:color w:val="152C54"/>
          <w:sz w:val="22"/>
          <w:szCs w:val="22"/>
          <w:rtl/>
        </w:rPr>
        <w:t xml:space="preserve">الأدلة</w:t>
      </w:r>
    </w:p>
    <w:p>
      <w:pPr>
        <w:bidi/>
        <w:spacing w:after="140" w:before="0" w:line="300"/>
        <w:jc w:val="both"/>
      </w:pPr>
      <w:r>
        <w:rPr>
          <w:rFonts w:ascii="Amiri" w:cs="Amiri" w:eastAsia="Amiri" w:hAnsi="Amiri"/>
          <w:b w:val="false"/>
          <w:bCs w:val="false"/>
          <w:i w:val="false"/>
          <w:iCs w:val="false"/>
          <w:color w:val="181410"/>
          <w:sz w:val="22"/>
          <w:szCs w:val="22"/>
          <w:rtl/>
        </w:rPr>
        <w:t xml:space="preserve">
ففي غزوة الأحزاب، حين حاصرت القبائل المتحالفة المدينة من كل جانب، لم يكن جواب النبي صلى الله عليه وسلم للأزمة "الهدوء" بالمعنى العام الذي لا يفيد شيئًا عمليًا، بل كان جوابًا مركبًا من إجراءين محددين: تشاور يوزّع عبء القرار فلا يُترك لعقل واحد يرزح تحت وطأة الفزع، والأخذ بالأسباب المادية والمعنوية يحوّل الانتظار القلق إلى فعل منظم. وهذا الفرق بين "الهدوء" كشعار و"الهدوء" كإجراء هو ما يميز القيادة الحكيمة عن مجرد ضبط النفس. أما في بدر، فقد استشار النبي صلى الله عليه وسلم أصحابه في موضع نزول الجيش، وهي مسألة تدبير حربي لا وحي، فلما أشار عليه أحدهم بموضع أنسب استجاب وترك رأيه الأول، والمهم هنا ليس أنه استشار، بل في أي شيء استشار: في ما كان مجالًا للرأي والخبرة، لا فيما نزل به الوحي؛ وهذا التمييز بين ما لا يقبل المشورة وما يجب أن يُستفتى فيه أهل الرأي هو بالضبط ما تفتقر إليه كثير من دعاوى "القيادة التشاركية" المعاصرة، إذ تُطرح المشورة أحيانًا شكلًا في أمور محسومة سلفًا، فتكون استشارة بلا أثر، بخلاف مشورته صلى الله عليه وسلم التي غيّرت القرار فعلًا. وأبلغ من هذا كله موقفه في قصة المرأة المخزومية التي سرقت، إذ قال: «لَوْ أَنَّ فَاطِمَةَ بِنْتَ مُحَمَّدٍ سَرَقَتْ لَقَطَعْتُ يَدَهَا» متفق عليه. ولم يكتفِ بقول عام كـ"العدل واجب على الجميع"، بل سمّى الاستثناء الوحيد الذي كان يمكن أن يُغري بالمحاباة، وهو أقرب الناس إليه وأحبهم إلى قلبه، فأغلق بذلك الباب الذي تدخل منه أكثر مظالم الأرض: باب "هذه حالة استثنائية". فالسياسة التي تعلن "القانون يطبَّق على الجميع" دعوى لا تُختبر إلا حين يقع بالفعل من يستحق أن يُستثنى، والنبي صلى الله عليه وسلم لم ينتظر ذلك الاختبار، بل بادر إليه بنفسه فسمّى ابنته.
</w:t>
      </w:r>
    </w:p>
    <w:p>
      <w:pPr>
        <w:bidi/>
        <w:spacing w:after="100" w:before="200" w:line="300"/>
        <w:jc w:val="right"/>
      </w:pPr>
      <w:r>
        <w:rPr>
          <w:rFonts w:ascii="Amiri" w:cs="Amiri" w:eastAsia="Amiri" w:hAnsi="Amiri"/>
          <w:b/>
          <w:bCs/>
          <w:i w:val="false"/>
          <w:iCs w:val="false"/>
          <w:color w:val="152C54"/>
          <w:sz w:val="22"/>
          <w:szCs w:val="22"/>
          <w:rtl/>
        </w:rPr>
        <w:t xml:space="preserve">فوائد ومسائل</w:t>
      </w:r>
    </w:p>
    <w:p>
      <w:pPr>
        <w:bidi/>
        <w:spacing w:after="140" w:before="0" w:line="300"/>
        <w:jc w:val="both"/>
      </w:pPr>
      <w:r>
        <w:rPr>
          <w:rFonts w:ascii="Amiri" w:cs="Amiri" w:eastAsia="Amiri" w:hAnsi="Amiri"/>
          <w:b w:val="false"/>
          <w:bCs w:val="false"/>
          <w:i w:val="false"/>
          <w:iCs w:val="false"/>
          <w:color w:val="181410"/>
          <w:sz w:val="22"/>
          <w:szCs w:val="22"/>
          <w:rtl/>
        </w:rPr>
        <w:t xml:space="preserve">
والفارق بين هذا النموذج القيادي وما يشبهه ظاهرًا من أدبيات الإدارة الحديثة أن الأخيرة تُقدَّم عادة كأساليب تُختار لجدواها، فيسهل التخلي عنها إذا بدا أن القسوة أنفع أو أن الاستئثار بالقرار أسرع؛ أما في هدي النبي صلى الله عليه وسلم فإن المشورة والعدل ليسا أسلوبين من بين أساليب متاحة، بل التزامان ثبت صمودهما في أشد المواطن اختبارًا: في الحصار، وفي ساحة القتال، وفي قضية تمسّ أقرب الناس إليه. وهذا هو ما يمنح القيادة الرشيدة في الإسلام صفة الثبات: أنها لا تتبدل بتبدل الظرف، فالحازم فيها حازم في الشدة والرخاء، والعادل فيها عادل مع القريب والبعيد سواء، وهذا بخلاف كل قيادة تحكمها المصلحة الآنية، إذ تصلح في السعة وتنهار عند أول اختبار حقيقي لها.
</w:t>
      </w:r>
    </w:p>
    <w:tbl>
      <w:tblPr>
        <w:tblW w:type="pct" w:w="100%"/>
        <w:tblBorders>
          <w:top w:val="single" w:color="E3C780" w:sz="6"/>
          <w:left w:val="single" w:color="E3C780" w:sz="24"/>
          <w:bottom w:val="single" w:color="E3C780" w:sz="6"/>
          <w:right w:val="single" w:color="E3C780"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0D2143"/>
                <w:sz w:val="18"/>
                <w:szCs w:val="18"/>
                <w:rtl/>
              </w:rPr>
              <w:t xml:space="preserve">الواجب على المسلم</w:t>
            </w:r>
          </w:p>
          <w:p>
            <w:pPr>
              <w:bidi/>
              <w:spacing w:after="0" w:before="0" w:line="300"/>
              <w:jc w:val="both"/>
            </w:pPr>
            <w:r>
              <w:rPr>
                <w:rFonts w:ascii="Amiri" w:cs="Amiri" w:eastAsia="Amiri" w:hAnsi="Amiri"/>
                <w:b w:val="false"/>
                <w:bCs w:val="false"/>
                <w:i w:val="false"/>
                <w:iCs w:val="false"/>
                <w:color w:val="181410"/>
                <w:sz w:val="22"/>
                <w:szCs w:val="22"/>
                <w:rtl/>
              </w:rPr>
              <w:t xml:space="preserve">
يجب على كل من تولى قيادة أو مسؤولية، صغرت أو كبرت، أن يستلهم من هدي النبي صلى الله عليه وسلم الصبر عند الأزمات، والمشورة في اتخاذ القرار، والعدل في التطبيق دون محاباة، فبهذا الجمع تتحقق القيادة الرشيدة التي ترضي الله وتحفظ مصالح الناس وتصون تماسك المجتمع.
</w:t>
            </w:r>
          </w:p>
        </w:tc>
      </w:tr>
    </w:tbl>
    <w:p>
      <w:pPr>
        <w:spacing w:after="160"/>
      </w:pPr>
    </w:p>
    <w:p>
      <w:pPr>
        <w:bidi/>
        <w:spacing w:after="140" w:before="0" w:line="300"/>
        <w:jc w:val="both"/>
      </w:pPr>
      <w:r>
        <w:rPr>
          <w:rFonts w:ascii="Amiri" w:cs="Amiri" w:eastAsia="Amiri" w:hAnsi="Amiri"/>
          <w:b w:val="false"/>
          <w:bCs w:val="false"/>
          <w:i w:val="false"/>
          <w:iCs w:val="false"/>
          <w:color w:val="181410"/>
          <w:sz w:val="22"/>
          <w:szCs w:val="22"/>
          <w:rtl/>
        </w:rPr>
        <w:t xml:space="preserve">
يبدو من مجموع ما تقدم أن ما يجمع هذه الأبواب الثلاثة ليس اشتراكها في مصدر واحد هو السنة النبوية فحسب، بل اشتراكها في آلية واحدة صنعت لها سلطانها التربوي والقيادي معًا: أنها لا تكتفي بتقرير المعنى، بل تُلبسه موقفًا بعينه، له أشخاصه وظرفه ونتيجته، بحيث يتعذّر على من يريد التهرب من الإلزام أن يُخرج نفسه من الحكم بدعوى العموم. فحين يقرن النبي صلى الله عليه وسلم الصدق بالبر والبر بالجنة، وحين يعلّم أصحابه بالفعل قبل القول، وحين يسمّي ابنته بعينها في معرض الحديث عن العدل، فإنه في كل هذه المواقف يسدّ أوسع منفذ تفلت منه القيم حين تُترك عامة مجردة: منفذ التعميم الذي يسمح لكل واحد أن يظن نفسه خارج دائرة الحكم. وهذا هو الفارق بين أثر السنة وأثر أي منظومة قيم أو نظرية إدارية وضعها البشر مهما حسنت صياغتها: أن الأولى وقائع منقولة بالسند، محفوظة من التحريف، لا يملك أحد أن يعيد تشكيلها بما يوافق هواه، والثانية اجتهاد قابل للتطويع كلما تبدلت المصلحة. وإذا كان القارئ قد عرف من الفصل الأول أن السنة حجة يجب اتباعها، فقد آن له في ختام هذا الفصل أن يدرك لماذا كان هذا الاتباع، مع ثقله، ميسورًا: لأنه اقتداء بنموذج معاش لا انقياد لقاعدة مجردة، ولأنه اتباع لمن رآه أقرب الناس إليه يصدق كما يأمر، ويرفق كما يعظ، ويعدل ولو في نفسه وفي أحب الناس إليه.
</w:t>
      </w:r>
    </w:p>
    <w:p>
      <w:pPr>
        <w:pStyle w:val="Heading1"/>
        <w:pageBreakBefore/>
        <w:bidi/>
        <w:spacing w:after="160" w:before="0"/>
        <w:jc w:val="right"/>
      </w:pPr>
      <w:bookmarkStart w:name="bm_fasl7" w:id="1043"/>
      <w:r>
        <w:rPr>
          <w:rFonts w:ascii="Aref Ruqaa" w:cs="Aref Ruqaa" w:eastAsia="Aref Ruqaa" w:hAnsi="Aref Ruqaa"/>
          <w:b/>
          <w:bCs/>
          <w:i w:val="false"/>
          <w:iCs w:val="false"/>
          <w:color w:val="0A1830"/>
          <w:sz w:val="34"/>
          <w:szCs w:val="34"/>
          <w:rtl/>
        </w:rPr>
        <w:t xml:space="preserve">الفصل السابع — وسائل تعزيز الالتزام بالسنة النبوية في العصر الحاضر</w:t>
      </w:r>
      <w:bookmarkEnd w:id="1043"/>
    </w:p>
    <w:p>
      <w:pPr>
        <w:bidi/>
        <w:spacing w:after="140" w:before="0" w:line="300"/>
        <w:jc w:val="both"/>
      </w:pPr>
      <w:r>
        <w:rPr>
          <w:rFonts w:ascii="Amiri" w:cs="Amiri" w:eastAsia="Amiri" w:hAnsi="Amiri"/>
          <w:b w:val="false"/>
          <w:bCs w:val="false"/>
          <w:i w:val="false"/>
          <w:iCs w:val="false"/>
          <w:color w:val="181410"/>
          <w:sz w:val="22"/>
          <w:szCs w:val="22"/>
          <w:rtl/>
        </w:rPr>
        <w:t xml:space="preserve">استقر في الفصول الماضية أن السنة النبوية وحيٌ من الله، شارحة للقرآن ومكملة له، واجبة الاتباع بنص الكتاب والسنة وإجماع الأمة. غير أن تقرير هذا الأصل، مهما بولغ في تحقيقه علميًا، يبقى ناقصًا ما لم يترجم إلى واقع تحيا فيه السنة في القلوب والبيوت والمجالس، لا في بطون الكتب وحدها. وهذا الفصل الأخير من الكتاب معنيّ بهذا الانتقال: من التقرير إلى الترسيخ، ومن معرفة الحجية إلى عيش الاتباع. غير أن الوسائل التي يتيحها العصر لهذا الترسيخ -من إعلام ومناهج ومؤسسات وبحث وتربية- ليست خيرًا مضمونًا بذاتها؛ فكثرة القنوات لا تعني بالضرورة صحة ما يجري فيها ولا عمق ما يُغرس بها، وقد يكون اتساع الانتشار سببًا في تخفيف الأمانة العلمية بقدر ما هو سبب في اتساع النفع. فحُسن استعمال هذه الوسائل، لا مجرد توفرها، هو ما يجعلها معينة على المقصد؛ وهذا ما تتناوله مباحث هذا الفصل الخمسة: الإعلام والتقنية، والمناهج التعليمية، والمؤسسات الدينية والمجتمعية، والبحث العلمي، وغرس حب السنة في نفوس الشباب.</w:t>
      </w:r>
    </w:p>
    <w:p>
      <w:pPr>
        <w:pStyle w:val="Heading2"/>
        <w:bidi/>
        <w:spacing w:after="140" w:before="320"/>
        <w:jc w:val="right"/>
      </w:pPr>
      <w:bookmarkStart w:name="bm_faqrah_31" w:id="1044"/>
      <w:r>
        <w:rPr>
          <w:rFonts w:ascii="Aref Ruqaa" w:cs="Aref Ruqaa" w:eastAsia="Aref Ruqaa" w:hAnsi="Aref Ruqaa"/>
          <w:b/>
          <w:bCs/>
          <w:i w:val="false"/>
          <w:iCs w:val="false"/>
          <w:color w:val="0D2143"/>
          <w:sz w:val="28"/>
          <w:szCs w:val="28"/>
          <w:rtl/>
        </w:rPr>
        <w:t xml:space="preserve">المبحث الأول: دور الإعلام والتقنية الحديثة في نشر السنة النبوية</w:t>
      </w:r>
      <w:bookmarkEnd w:id="1044"/>
    </w:p>
    <w:p>
      <w:pPr>
        <w:bidi/>
        <w:spacing w:after="140" w:before="0" w:line="300"/>
        <w:jc w:val="both"/>
      </w:pPr>
      <w:r>
        <w:rPr>
          <w:rFonts w:ascii="Amiri" w:cs="Amiri" w:eastAsia="Amiri" w:hAnsi="Amiri"/>
          <w:b w:val="false"/>
          <w:bCs w:val="false"/>
          <w:i w:val="false"/>
          <w:iCs w:val="false"/>
          <w:color w:val="181410"/>
          <w:sz w:val="22"/>
          <w:szCs w:val="22"/>
          <w:rtl/>
        </w:rPr>
        <w:t xml:space="preserve">لم يعد تبليغ الحديث الواحد يحتاج إلى رحلة كرحلة أبي أيوب الأنصاري إلى مصر، ولا إلى مجلس يُعقد فيحضره من حضر؛ فبضغطة واحدة يبلغ المقطع الواحد ملايين الشاشات في اللحظة نفسها. وهذا تحول هائل في الأداة، لكنه لا يغيّر طبيعة المسؤولية التي تحكم نقل كلام النبي صلى الله عليه وسلم، بل يرفع درجتها؛ فسرعة الوسيلة تعني سرعة الخطأ إن وقع كما تعني سرعة الحق إن أُصيب. فالمنصة الإعلامية، من حيث هي أداة تبليغ، امتداد لمقصد شرعي أصيل عرفته الأمة منذ عهد النبوة؛ ومن حيث هي حقل مفتوح لا رقيب عليه إلا نية ناقله وعلمه، موضع خطر لا يقل عن فرصتها.</w:t>
      </w:r>
    </w:p>
    <w:p>
      <w:pPr>
        <w:bidi/>
        <w:spacing w:after="100" w:before="200" w:line="300"/>
        <w:jc w:val="right"/>
      </w:pPr>
      <w:r>
        <w:rPr>
          <w:rFonts w:ascii="Amiri" w:cs="Amiri" w:eastAsia="Amiri" w:hAnsi="Amiri"/>
          <w:b/>
          <w:bCs/>
          <w:i w:val="false"/>
          <w:iCs w:val="false"/>
          <w:color w:val="152C54"/>
          <w:sz w:val="22"/>
          <w:szCs w:val="22"/>
          <w:rtl/>
        </w:rPr>
        <w:t xml:space="preserve">الأصل الشرعي</w:t>
      </w:r>
    </w:p>
    <w:p>
      <w:pPr>
        <w:bidi/>
        <w:spacing w:after="140" w:before="0" w:line="300"/>
        <w:jc w:val="both"/>
      </w:pPr>
      <w:r>
        <w:rPr>
          <w:rFonts w:ascii="Amiri" w:cs="Amiri" w:eastAsia="Amiri" w:hAnsi="Amiri"/>
          <w:b w:val="false"/>
          <w:bCs w:val="false"/>
          <w:i w:val="false"/>
          <w:iCs w:val="false"/>
          <w:color w:val="181410"/>
          <w:sz w:val="22"/>
          <w:szCs w:val="22"/>
          <w:rtl/>
        </w:rPr>
        <w:t xml:space="preserve">يدل على وجوب استعمال أنجع الوسائل المتاحة في التبليغ قوله تعالى: </w:t>
      </w:r>
      <w:r>
        <w:rPr>
          <w:rFonts w:ascii="Amiri Quran" w:cs="Amiri Quran" w:eastAsia="Amiri Quran" w:hAnsi="Amiri Quran"/>
          <w:b w:val="false"/>
          <w:bCs w:val="false"/>
          <w:i w:val="false"/>
          <w:iCs w:val="false"/>
          <w:color w:val="0D2143"/>
          <w:sz w:val="26"/>
          <w:szCs w:val="26"/>
          <w:rtl/>
        </w:rPr>
        <w:t xml:space="preserve">﴿وَمَا آتَاكُمُ الرَّسُولُ فَخُذُوهُ وَمَا نَهَاكُمْ عَنْهُ فَانْتَهُوا﴾</w:t>
      </w:r>
      <w:r>
        <w:rPr>
          <w:rFonts w:ascii="Cairo" w:cs="Cairo" w:eastAsia="Cairo" w:hAnsi="Cairo"/>
          <w:b/>
          <w:bCs/>
          <w:i w:val="false"/>
          <w:iCs w:val="false"/>
          <w:color w:val="8A6A1F"/>
          <w:sz w:val="16"/>
          <w:szCs w:val="16"/>
          <w:rtl/>
        </w:rPr>
        <w:t xml:space="preserve"> [الحشر: 7]</w:t>
      </w:r>
      <w:r>
        <w:rPr>
          <w:rFonts w:ascii="Amiri" w:cs="Amiri" w:eastAsia="Amiri" w:hAnsi="Amiri"/>
          <w:b w:val="false"/>
          <w:bCs w:val="false"/>
          <w:i w:val="false"/>
          <w:iCs w:val="false"/>
          <w:color w:val="181410"/>
          <w:sz w:val="22"/>
          <w:szCs w:val="22"/>
          <w:rtl/>
        </w:rPr>
        <w:t xml:space="preserve">، إذ لا يتحقق الأخذ إلا بعد المعرفة، ولا تتحقق المعرفة للناس كافة إلا بتبليغهم بأيسر الوسائل وأوسعها انتشارًا. ويؤكد هذا المعنى قول النبي صلى الله عليه وسلم: «بَلِّغُوا عَنِّي وَلَوْ آيَةً» رواه البخاري عن عبد الله بن عمرو رضي الله عنهما، وهو أمر مطلق غير مقيد بوسيلة، فيدخل فيه التلفاز والإذاعة والمنصة الرقمية دخول اللسان المباشر والكتابة سواء. ولم يقف هذا الفهم عند حدود النظر؛ فقد كان الشيخ ابن باز رحمه الله، على تحفظه المعروف في غير هذا الباب، من أشد الناس حثًا على الاستفادة من الإذاعة والتلفاز في نشر تعاليم الإسلام، إذ رأى في اتساع دائرة البلوغ ما لا تبلغه المجالس التقليدية مهما كثرت.</w:t>
      </w:r>
    </w:p>
    <w:p>
      <w:pPr>
        <w:bidi/>
        <w:spacing w:after="100" w:before="200" w:line="300"/>
        <w:jc w:val="right"/>
      </w:pPr>
      <w:r>
        <w:rPr>
          <w:rFonts w:ascii="Amiri" w:cs="Amiri" w:eastAsia="Amiri" w:hAnsi="Amiri"/>
          <w:b/>
          <w:bCs/>
          <w:i w:val="false"/>
          <w:iCs w:val="false"/>
          <w:color w:val="152C54"/>
          <w:sz w:val="22"/>
          <w:szCs w:val="22"/>
          <w:rtl/>
        </w:rPr>
        <w:t xml:space="preserve">بين اتساع الانتشار وسلامة النقل</w:t>
      </w:r>
    </w:p>
    <w:p>
      <w:pPr>
        <w:bidi/>
        <w:spacing w:after="140" w:before="0" w:line="300"/>
        <w:jc w:val="both"/>
      </w:pPr>
      <w:r>
        <w:rPr>
          <w:rFonts w:ascii="Amiri" w:cs="Amiri" w:eastAsia="Amiri" w:hAnsi="Amiri"/>
          <w:b w:val="false"/>
          <w:bCs w:val="false"/>
          <w:i w:val="false"/>
          <w:iCs w:val="false"/>
          <w:color w:val="181410"/>
          <w:sz w:val="22"/>
          <w:szCs w:val="22"/>
          <w:rtl/>
        </w:rPr>
        <w:t xml:space="preserve">غير أن اتساع دائرة التبليغ لا يغني عن سؤال أهم: من يتولى النقل، وبأي علم؟ فالحديث الذي كان لا يخرج من يد راويه قديمًا إلا بعد سلسلة من التثبت -سماعًا وضبطًا وعرضًا على أهل الفن- أصبح اليوم يخرج من يد ناشر قد لا يعرف من علم الحديث إلا اسمه، فيُقتطع من سياقه، أو يُنسب لغير قائله، أو يُصحَّح ما لم يصح، ثم ينتشر بسرعة تجاوز قدرة أهل العلم على تصحيحه وبيان حاله؛ فتسبق الشبهة تصحيحها بساعات، وربما بأيام، وقد لا يبلغ التصحيح من بلغه الخطأ أصلًا. وثمة فرق جوهري بين التعرض للنص والتربية عليه: فالمقطع العابر على شاشة الهاتف قد يُطلع المشاهد على لفظ حديث، لكنه نادرًا ما يورثه فقه هذا الحديث وموضعه من الشريعة وضوابط العمل به، وتلك تربية لا تحصل بمجرد المشاهدة العابرة مهما تكررت. ومن هنا يفترق أثر المؤسسة العلمية الموثوقة -كمجمع فقهي أو دار إفتاء لها سند معلوم ومسؤولية محددة- عن أثر الحساب الفردي الذي قد يبلغ من المتابعين ما لا تبلغه المؤسسة؛ فانتشاره الواسع لا يمنحه صفة الأهلية التي تمنحها المؤسسة لأهلها، وكثرة المتابعين ظاهرة إحصائية لا شهادة علمية.</w:t>
      </w:r>
    </w:p>
    <w:p>
      <w:pPr>
        <w:bidi/>
        <w:spacing w:after="140" w:before="0" w:line="300"/>
        <w:jc w:val="both"/>
      </w:pPr>
      <w:r>
        <w:rPr>
          <w:rFonts w:ascii="Amiri" w:cs="Amiri" w:eastAsia="Amiri" w:hAnsi="Amiri"/>
          <w:b w:val="false"/>
          <w:bCs w:val="false"/>
          <w:i w:val="false"/>
          <w:iCs w:val="false"/>
          <w:color w:val="181410"/>
          <w:sz w:val="22"/>
          <w:szCs w:val="22"/>
          <w:rtl/>
        </w:rPr>
        <w:t xml:space="preserve">ولهذا فإن حسن توظيف هذه الوسائل لا يقاس بمقدار انتشارها، بل بثلاثة: أمانة ناقلها العلمية، ووضوح مصدر ما ينقل، وقدرته على التمييز بين ما هو تعريف عابر بالسنة وما هو تربية عليها. ومن نعمة الله في هذا العصر أن مصادر السنة -من موسوعات الحديث الرقمية إلى تطبيقات التخريج- أصبحت في متناول من لا يصل إلى مكتبة متخصصة، وهذا فتح ينبغي شكره بحسن استعماله، لا الاكتفاء به عن طلب العلم على أهله.</w:t>
      </w:r>
    </w:p>
    <w:tbl>
      <w:tblPr>
        <w:tblW w:type="pct" w:w="100%"/>
        <w:tblBorders>
          <w:top w:val="single" w:color="E3C780" w:sz="6"/>
          <w:left w:val="single" w:color="E3C780" w:sz="24"/>
          <w:bottom w:val="single" w:color="E3C780" w:sz="6"/>
          <w:right w:val="single" w:color="E3C780"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0D2143"/>
                <w:sz w:val="18"/>
                <w:szCs w:val="18"/>
                <w:rtl/>
              </w:rPr>
              <w:t xml:space="preserve">الواجب على المسلم</w:t>
            </w:r>
          </w:p>
          <w:p>
            <w:pPr>
              <w:bidi/>
              <w:spacing w:after="0" w:before="0" w:line="300"/>
              <w:jc w:val="both"/>
            </w:pPr>
            <w:r>
              <w:rPr>
                <w:rFonts w:ascii="Amiri" w:cs="Amiri" w:eastAsia="Amiri" w:hAnsi="Amiri"/>
                <w:b w:val="false"/>
                <w:bCs w:val="false"/>
                <w:i w:val="false"/>
                <w:iCs w:val="false"/>
                <w:color w:val="181410"/>
                <w:sz w:val="22"/>
                <w:szCs w:val="22"/>
                <w:rtl/>
              </w:rPr>
              <w:t xml:space="preserve">من آتاه الله علمًا بالسنة أو منحه منبرًا أو منصة، فحقٌّ عليه أن يجعلها في خدمة تبليغ هدي النبي صلى الله عليه وسلم، امتثالًا لأمره «بَلِّغُوا عَنِّي وَلَوْ آيَةً»، مقرونًا ذلك بالتثبت قبل النقل، والتحقق من المصدر، والاعتراف بحدود علمه فلا يتصدر لما ليس أهلًا له؛ فالوسيلة مهما اتسعت لا تغني عن الأمانة، وقد تكون أداة هدم بقدر ما هي أداة بناء.</w:t>
            </w:r>
          </w:p>
        </w:tc>
      </w:tr>
    </w:tbl>
    <w:p>
      <w:pPr>
        <w:spacing w:after="160"/>
      </w:pPr>
    </w:p>
    <w:p>
      <w:pPr>
        <w:pStyle w:val="Heading2"/>
        <w:bidi/>
        <w:spacing w:after="140" w:before="320"/>
        <w:jc w:val="right"/>
      </w:pPr>
      <w:bookmarkStart w:name="bm_faqrah_32" w:id="1045"/>
      <w:r>
        <w:rPr>
          <w:rFonts w:ascii="Aref Ruqaa" w:cs="Aref Ruqaa" w:eastAsia="Aref Ruqaa" w:hAnsi="Aref Ruqaa"/>
          <w:b/>
          <w:bCs/>
          <w:i w:val="false"/>
          <w:iCs w:val="false"/>
          <w:color w:val="0D2143"/>
          <w:sz w:val="28"/>
          <w:szCs w:val="28"/>
          <w:rtl/>
        </w:rPr>
        <w:t xml:space="preserve">المبحث الثاني: المناهج التعليمية ودورها في تعزيز الالتزام بالسنة</w:t>
      </w:r>
      <w:bookmarkEnd w:id="1045"/>
    </w:p>
    <w:p>
      <w:pPr>
        <w:bidi/>
        <w:spacing w:after="140" w:before="0" w:line="300"/>
        <w:jc w:val="both"/>
      </w:pPr>
      <w:r>
        <w:rPr>
          <w:rFonts w:ascii="Amiri" w:cs="Amiri" w:eastAsia="Amiri" w:hAnsi="Amiri"/>
          <w:b w:val="false"/>
          <w:bCs w:val="false"/>
          <w:i w:val="false"/>
          <w:iCs w:val="false"/>
          <w:color w:val="181410"/>
          <w:sz w:val="22"/>
          <w:szCs w:val="22"/>
          <w:rtl/>
        </w:rPr>
        <w:t xml:space="preserve">يمضي كثير من الطلاب اثنتي عشرة سنة دراسية أو أكثر يمرون خلالها على شيء من السنة النبوية في مقرر أو كتاب، ثم يتخرجون وقد حفظوا ألفاظًا لا تعدو أن تكون مادة امتحان، دون أن يتكوّن لديهم حسّ شرعي يمكّنهم من التعامل مع نص نبوي جديد يصادفهم بعد ذلك. وهذه فجوة حقيقية بين حضور السنة في المنهج وحضورها في السلوك، لا يسدّها توسيع عدد الأحاديث المقررة، بل تغيير طريقة تناولها: من نص يُحفظ إلى معنى يُفهم ثم يُمارس. والمناهج التي تكتفي بالحفظ المجرد، مهما بلغت مادتها، تصنع ذاكرة بلا تربية، وذلك تحصيل ناقص لا يفي بما دلّت عليه النصوص في هذا الباب.</w:t>
      </w:r>
    </w:p>
    <w:p>
      <w:pPr>
        <w:bidi/>
        <w:spacing w:after="100" w:before="200" w:line="300"/>
        <w:jc w:val="right"/>
      </w:pPr>
      <w:r>
        <w:rPr>
          <w:rFonts w:ascii="Amiri" w:cs="Amiri" w:eastAsia="Amiri" w:hAnsi="Amiri"/>
          <w:b/>
          <w:bCs/>
          <w:i w:val="false"/>
          <w:iCs w:val="false"/>
          <w:color w:val="152C54"/>
          <w:sz w:val="22"/>
          <w:szCs w:val="22"/>
          <w:rtl/>
        </w:rPr>
        <w:t xml:space="preserve">أصل الجمع بين تعليم الكتاب والحكمة</w:t>
      </w:r>
    </w:p>
    <w:p>
      <w:pPr>
        <w:bidi/>
        <w:spacing w:after="140" w:before="0" w:line="300"/>
        <w:jc w:val="both"/>
      </w:pPr>
      <w:r>
        <w:rPr>
          <w:rFonts w:ascii="Amiri" w:cs="Amiri" w:eastAsia="Amiri" w:hAnsi="Amiri"/>
          <w:b w:val="false"/>
          <w:bCs w:val="false"/>
          <w:i w:val="false"/>
          <w:iCs w:val="false"/>
          <w:color w:val="181410"/>
          <w:sz w:val="22"/>
          <w:szCs w:val="22"/>
          <w:rtl/>
        </w:rPr>
        <w:t xml:space="preserve">قال الله تعالى في معرض بيان مهمة النبي صلى الله عليه وسلم: </w:t>
      </w:r>
      <w:r>
        <w:rPr>
          <w:rFonts w:ascii="Amiri Quran" w:cs="Amiri Quran" w:eastAsia="Amiri Quran" w:hAnsi="Amiri Quran"/>
          <w:b w:val="false"/>
          <w:bCs w:val="false"/>
          <w:i w:val="false"/>
          <w:iCs w:val="false"/>
          <w:color w:val="0D2143"/>
          <w:sz w:val="26"/>
          <w:szCs w:val="26"/>
          <w:rtl/>
        </w:rPr>
        <w:t xml:space="preserve">﴿وَيُعَلِّمُهُمُ الْكِتَابَ وَالْحِكْمَةَ﴾</w:t>
      </w:r>
      <w:r>
        <w:rPr>
          <w:rFonts w:ascii="Cairo" w:cs="Cairo" w:eastAsia="Cairo" w:hAnsi="Cairo"/>
          <w:b/>
          <w:bCs/>
          <w:i w:val="false"/>
          <w:iCs w:val="false"/>
          <w:color w:val="8A6A1F"/>
          <w:sz w:val="16"/>
          <w:szCs w:val="16"/>
          <w:rtl/>
        </w:rPr>
        <w:t xml:space="preserve"> [البقرة: 129]</w:t>
      </w:r>
      <w:r>
        <w:rPr>
          <w:rFonts w:ascii="Amiri" w:cs="Amiri" w:eastAsia="Amiri" w:hAnsi="Amiri"/>
          <w:b w:val="false"/>
          <w:bCs w:val="false"/>
          <w:i w:val="false"/>
          <w:iCs w:val="false"/>
          <w:color w:val="181410"/>
          <w:sz w:val="22"/>
          <w:szCs w:val="22"/>
          <w:rtl/>
        </w:rPr>
        <w:t xml:space="preserve">. وقد ذهب جمع من أهل التفسير، ومنهم الإمام الشافعي رحمه الله في كتابه "الرسالة"، إلى أن المراد بـ"الحكمة" في هذه الآية وأمثالها هو سنة رسول الله صلى الله عليه وسلم، وهو قول رُوي أيضًا عن قتادة، ونقله ابن كثير رحمه الله في تفسيره. فالآية على هذا تقرن بين تعليم القرآن وتعليم السنة قرنًا لا انفكاك فيه، بحيث لا يكون المنهج سليمًا وهو يفرد أحدهما عن الآخر. ويؤكد هذا القرن قول النبي صلى الله عليه وسلم: «خَيْرُكُمْ مَنْ تَعَلَّمَ الْقُرْآنَ وَعَلَّمَهُ» رواه البخاري عن عثمان بن عفان رضي الله عنه؛ إذ لا يستقيم تعلم القرآن على وجهه إلا بمعرفة ما بيّنته السنة من مجمله وعامه ومطلقه، فتعليم السنة داخل في هذا الحديث من جهة كونها شارحة للقرآن كما تقدم تفصيله. ويزيده تأكيدًا قوله صلى الله عليه وسلم: «مَنْ سَلَكَ طَرِيقًا يَلْتَمِسُ فِيهِ عِلْمًا سَهَّلَ اللَّهُ لَهُ بِهِ طَرِيقًا إِلَى الْجَنَّةِ» رواه مسلم عن أبي هريرة رضي الله عنه، وطلب علم السنة أخص أفراد هذا العموم.</w:t>
      </w:r>
    </w:p>
    <w:p>
      <w:pPr>
        <w:bidi/>
        <w:spacing w:after="100" w:before="200" w:line="300"/>
        <w:jc w:val="right"/>
      </w:pPr>
      <w:r>
        <w:rPr>
          <w:rFonts w:ascii="Amiri" w:cs="Amiri" w:eastAsia="Amiri" w:hAnsi="Amiri"/>
          <w:b/>
          <w:bCs/>
          <w:i w:val="false"/>
          <w:iCs w:val="false"/>
          <w:color w:val="152C54"/>
          <w:sz w:val="22"/>
          <w:szCs w:val="22"/>
          <w:rtl/>
        </w:rPr>
        <w:t xml:space="preserve">من الحفظ إلى الممارسة</w:t>
      </w:r>
    </w:p>
    <w:p>
      <w:pPr>
        <w:bidi/>
        <w:spacing w:after="140" w:before="0" w:line="300"/>
        <w:jc w:val="both"/>
      </w:pPr>
      <w:r>
        <w:rPr>
          <w:rFonts w:ascii="Amiri" w:cs="Amiri" w:eastAsia="Amiri" w:hAnsi="Amiri"/>
          <w:b w:val="false"/>
          <w:bCs w:val="false"/>
          <w:i w:val="false"/>
          <w:iCs w:val="false"/>
          <w:color w:val="181410"/>
          <w:sz w:val="22"/>
          <w:szCs w:val="22"/>
          <w:rtl/>
        </w:rPr>
        <w:t xml:space="preserve">فإذا استقر هذا الأصل، فالسؤال العملي هو: كيف يُدمج؟ والجواب يقتضي تدرجًا لا يجوز إغفاله؛ ففي الصغر يُبدأ بالأحاديث القصيرة الجامعة في الأدب والخلق، لا لأنها أسهل حفظًا فحسب، بل لأنها أقرب إلى تجربة الطفل اليومية فيسهل ربطها بسلوكه. وفي المراهقة والمرحلة الجامعية يُرتقى إلى شيء من مصطلح الحديث وأصول التعامل مع النصوص، حتى يخرج الطالب ولديه أداة تمكّنه من مواجهة ما يصادفه بعد ذلك من روايات متداولة لا يعرف صحيحها من ضعيفها. أما إذا اقتصر المنهج -في أي مرحلة- على تكديس المتون دون هذا البناء التدريجي، فإنه ينتج حفظة لا فقهاء، وهذا بعينه أحد أسباب ضعف تمسك كثير من الناشئة بالسنة رغم مرورهم على شيء منها في مقرراتهم؛ فالمعرفة الظاهرة بلا أداة فهم لا تصمد أمام أول شبهة تعرض لصاحبها.</w:t>
      </w:r>
    </w:p>
    <w:tbl>
      <w:tblPr>
        <w:tblW w:type="pct" w:w="100%"/>
        <w:tblBorders>
          <w:top w:val="single" w:color="E3C780" w:sz="6"/>
          <w:left w:val="single" w:color="E3C780" w:sz="24"/>
          <w:bottom w:val="single" w:color="E3C780" w:sz="6"/>
          <w:right w:val="single" w:color="E3C780"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0D2143"/>
                <w:sz w:val="18"/>
                <w:szCs w:val="18"/>
                <w:rtl/>
              </w:rPr>
              <w:t xml:space="preserve">الواجب على المسلم</w:t>
            </w:r>
          </w:p>
          <w:p>
            <w:pPr>
              <w:bidi/>
              <w:spacing w:after="0" w:before="0" w:line="300"/>
              <w:jc w:val="both"/>
            </w:pPr>
            <w:r>
              <w:rPr>
                <w:rFonts w:ascii="Amiri" w:cs="Amiri" w:eastAsia="Amiri" w:hAnsi="Amiri"/>
                <w:b w:val="false"/>
                <w:bCs w:val="false"/>
                <w:i w:val="false"/>
                <w:iCs w:val="false"/>
                <w:color w:val="181410"/>
                <w:sz w:val="22"/>
                <w:szCs w:val="22"/>
                <w:rtl/>
              </w:rPr>
              <w:t xml:space="preserve">على القائمين على التعليم، وعلى الآباء والمربين، أن يجعلوا للسنة موضعًا أصيلًا في بناء الناشئة، لا حفظًا يُمتحن فيه ثم يُنسى، بل فهمًا يتدرج مع العمر حتى يورث حسًا شرعيًا يقي صاحبه من الانقياد لكل ما يُعرض عليه؛ اقتداءً بقوله تعالى </w:t>
            </w:r>
            <w:r>
              <w:rPr>
                <w:rFonts w:ascii="Amiri Quran" w:cs="Amiri Quran" w:eastAsia="Amiri Quran" w:hAnsi="Amiri Quran"/>
                <w:b w:val="false"/>
                <w:bCs w:val="false"/>
                <w:i w:val="false"/>
                <w:iCs w:val="false"/>
                <w:color w:val="0D2143"/>
                <w:sz w:val="26"/>
                <w:szCs w:val="26"/>
                <w:rtl/>
              </w:rPr>
              <w:t xml:space="preserve">﴿وَيُعَلِّمُهُمُ الْكِتَابَ وَالْحِكْمَةَ﴾</w:t>
            </w:r>
            <w:r>
              <w:rPr>
                <w:rFonts w:ascii="Amiri" w:cs="Amiri" w:eastAsia="Amiri" w:hAnsi="Amiri"/>
                <w:b w:val="false"/>
                <w:bCs w:val="false"/>
                <w:i w:val="false"/>
                <w:iCs w:val="false"/>
                <w:color w:val="181410"/>
                <w:sz w:val="22"/>
                <w:szCs w:val="22"/>
                <w:rtl/>
              </w:rPr>
              <w:t xml:space="preserve">، وامتثالًا لهدي النبي صلى الله عليه وسلم في تعليم أصحابه دينهم علمًا وعملًا معًا.</w:t>
            </w:r>
          </w:p>
        </w:tc>
      </w:tr>
    </w:tbl>
    <w:p>
      <w:pPr>
        <w:spacing w:after="160"/>
      </w:pPr>
    </w:p>
    <w:p>
      <w:pPr>
        <w:pStyle w:val="Heading2"/>
        <w:bidi/>
        <w:spacing w:after="140" w:before="320"/>
        <w:jc w:val="right"/>
      </w:pPr>
      <w:bookmarkStart w:name="bm_faqrah_33" w:id="1046"/>
      <w:r>
        <w:rPr>
          <w:rFonts w:ascii="Aref Ruqaa" w:cs="Aref Ruqaa" w:eastAsia="Aref Ruqaa" w:hAnsi="Aref Ruqaa"/>
          <w:b/>
          <w:bCs/>
          <w:i w:val="false"/>
          <w:iCs w:val="false"/>
          <w:color w:val="0D2143"/>
          <w:sz w:val="28"/>
          <w:szCs w:val="28"/>
          <w:rtl/>
        </w:rPr>
        <w:t xml:space="preserve">المبحث الثالث: دور المؤسسات الدينية والمجتمعية في ترسيخ السنة</w:t>
      </w:r>
      <w:bookmarkEnd w:id="1046"/>
    </w:p>
    <w:p>
      <w:pPr>
        <w:bidi/>
        <w:spacing w:after="140" w:before="0" w:line="300"/>
        <w:jc w:val="both"/>
      </w:pPr>
      <w:r>
        <w:rPr>
          <w:rFonts w:ascii="Amiri" w:cs="Amiri" w:eastAsia="Amiri" w:hAnsi="Amiri"/>
          <w:b w:val="false"/>
          <w:bCs w:val="false"/>
          <w:i w:val="false"/>
          <w:iCs w:val="false"/>
          <w:color w:val="181410"/>
          <w:sz w:val="22"/>
          <w:szCs w:val="22"/>
          <w:rtl/>
        </w:rPr>
        <w:t xml:space="preserve">لا يثبت التزام الفرد بالسنة في فراغ اجتماعي؛ فالإنسان يقوى بمن حوله ويضعف بضعفهم، ولذلك كان المسجد في عهد النبوة جامعًا لوظائف يصعب اليوم أن يؤديها منبر واحد: فيه يُتعلم العلم، وفيه يُذكر الله، وفيه تُحل الخصومات وتُعقد الأخوة. وما زالت هذه الوظيفة قائمة، لكنها تعددت أشكالها بتعدد المؤسسات: مسجد، ومركز دعوة، وجمعية خيرية، وهيئة علمية؛ وهذا التعدد نفسه يحمل خطر التنافس على الأتباع والتبرعات بقدر ما يحمل فرصة التكامل، فليس كل تعدد مؤسسي إثراءً؛ قد يكون تشتيتًا للجهد إذا غاب التنسيق.</w:t>
      </w:r>
    </w:p>
    <w:p>
      <w:pPr>
        <w:bidi/>
        <w:spacing w:after="100" w:before="200" w:line="300"/>
        <w:jc w:val="right"/>
      </w:pPr>
      <w:r>
        <w:rPr>
          <w:rFonts w:ascii="Amiri" w:cs="Amiri" w:eastAsia="Amiri" w:hAnsi="Amiri"/>
          <w:b/>
          <w:bCs/>
          <w:i w:val="false"/>
          <w:iCs w:val="false"/>
          <w:color w:val="152C54"/>
          <w:sz w:val="22"/>
          <w:szCs w:val="22"/>
          <w:rtl/>
        </w:rPr>
        <w:t xml:space="preserve">أصل التعاون المؤسسي</w:t>
      </w:r>
    </w:p>
    <w:p>
      <w:pPr>
        <w:bidi/>
        <w:spacing w:after="140" w:before="0" w:line="300"/>
        <w:jc w:val="both"/>
      </w:pPr>
      <w:r>
        <w:rPr>
          <w:rFonts w:ascii="Amiri" w:cs="Amiri" w:eastAsia="Amiri" w:hAnsi="Amiri"/>
          <w:b w:val="false"/>
          <w:bCs w:val="false"/>
          <w:i w:val="false"/>
          <w:iCs w:val="false"/>
          <w:color w:val="181410"/>
          <w:sz w:val="22"/>
          <w:szCs w:val="22"/>
          <w:rtl/>
        </w:rPr>
        <w:t xml:space="preserve">الأصل في مشروعية هذا التعاون قوله تعالى: </w:t>
      </w:r>
      <w:r>
        <w:rPr>
          <w:rFonts w:ascii="Amiri Quran" w:cs="Amiri Quran" w:eastAsia="Amiri Quran" w:hAnsi="Amiri Quran"/>
          <w:b w:val="false"/>
          <w:bCs w:val="false"/>
          <w:i w:val="false"/>
          <w:iCs w:val="false"/>
          <w:color w:val="0D2143"/>
          <w:sz w:val="26"/>
          <w:szCs w:val="26"/>
          <w:rtl/>
        </w:rPr>
        <w:t xml:space="preserve">﴿وَتَعَاوَنُوا عَلَى الْبِرِّ وَالتَّقْوَىٰ وَلَا تَعَاوَنُوا عَلَى الْإِثْمِ وَالْعُدْوَانِ﴾</w:t>
      </w:r>
      <w:r>
        <w:rPr>
          <w:rFonts w:ascii="Cairo" w:cs="Cairo" w:eastAsia="Cairo" w:hAnsi="Cairo"/>
          <w:b/>
          <w:bCs/>
          <w:i w:val="false"/>
          <w:iCs w:val="false"/>
          <w:color w:val="8A6A1F"/>
          <w:sz w:val="16"/>
          <w:szCs w:val="16"/>
          <w:rtl/>
        </w:rPr>
        <w:t xml:space="preserve"> [المائدة: 2]</w:t>
      </w:r>
      <w:r>
        <w:rPr>
          <w:rFonts w:ascii="Amiri" w:cs="Amiri" w:eastAsia="Amiri" w:hAnsi="Amiri"/>
          <w:b w:val="false"/>
          <w:bCs w:val="false"/>
          <w:i w:val="false"/>
          <w:iCs w:val="false"/>
          <w:color w:val="181410"/>
          <w:sz w:val="22"/>
          <w:szCs w:val="22"/>
          <w:rtl/>
        </w:rPr>
        <w:t xml:space="preserve">، ونشر السنة وترسيخها في المجتمع من أجلّ صور البر، فيدخل تظافر جهود المؤسسات عليه تحت عموم هذا الأمر. ومن أخص صور هذا التعاون حلقات الذكر والعلم في المساجد، وقد جاء في فضلها قول النبي صلى الله عليه وسلم: «إِذَا مَرَرْتُمْ بِرِيَاضِ الْجَنَّةِ فَارْتَعُوا، قَالُوا: وَمَا رِيَاضُ الْجَنَّةِ؟ قَالَ: حِلَقُ الذِّكْرِ» رواه الترمذي وحسّنه، عن أنس بن مالك رضي الله عنه؛ ففيه تشبيه بديع يرفع من قدر هذه الحلقات التي يُتلى فيها كتاب الله وتُشرح فيها سنة رسوله. وقد كان النبي صلى الله عليه وسلم يلازم أصحابه في مثل هذه المجالس، يعلمهم ويجيب أسئلتهم، وهو هدي يقرر أصل مشروعية الدروس المنظمة بوصفها امتدادًا لمجالسه صلى الله عليه وسلم لا ابتداعًا معاصرًا منقطع الصلة به.</w:t>
      </w:r>
    </w:p>
    <w:p>
      <w:pPr>
        <w:bidi/>
        <w:spacing w:after="100" w:before="200" w:line="300"/>
        <w:jc w:val="right"/>
      </w:pPr>
      <w:r>
        <w:rPr>
          <w:rFonts w:ascii="Amiri" w:cs="Amiri" w:eastAsia="Amiri" w:hAnsi="Amiri"/>
          <w:b/>
          <w:bCs/>
          <w:i w:val="false"/>
          <w:iCs w:val="false"/>
          <w:color w:val="152C54"/>
          <w:sz w:val="22"/>
          <w:szCs w:val="22"/>
          <w:rtl/>
        </w:rPr>
        <w:t xml:space="preserve">الأثر حين تتكامل الجهود، والخلل حين تتفرق</w:t>
      </w:r>
    </w:p>
    <w:p>
      <w:pPr>
        <w:bidi/>
        <w:spacing w:after="140" w:before="0" w:line="300"/>
        <w:jc w:val="both"/>
      </w:pPr>
      <w:r>
        <w:rPr>
          <w:rFonts w:ascii="Amiri" w:cs="Amiri" w:eastAsia="Amiri" w:hAnsi="Amiri"/>
          <w:b w:val="false"/>
          <w:bCs w:val="false"/>
          <w:i w:val="false"/>
          <w:iCs w:val="false"/>
          <w:color w:val="181410"/>
          <w:sz w:val="22"/>
          <w:szCs w:val="22"/>
          <w:rtl/>
        </w:rPr>
        <w:t xml:space="preserve">وتزداد قيمة هذه المؤسسات حين تصبح هي المرجع الذي يُحتكم إليه فيما يُتداول خارجها؛ فالحساب الفردي الواسع الانتشار الذي مرّ ذكره في المبحث الأول يستمد كثيرًا من مادته -أو ينبغي أن يستمدها- من دروس هذه الحلقات وفتاوى هذه الهيئات، فتكون المؤسسة مصدر الضبط، والمنصة وسيلة النشر، لا العكس. أما حين تُترك المنصات الفردية تُنتج مادتها الشرعية بمعزل عن أي مرجعية مؤسسية، فإن أول ما يضيع هو معيار المساءلة: فالمؤسسة يمكن أن تُسأل عن خطئها وتُصحح مسارها، أما الحساب الذي يظهر اليوم وقد يختفي غدًا فلا يبقى بعد اختفائه من يُحاسَب. ومن هنا فإن أعظم ما تقدمه المؤسسة الدينية في هذا العصر ليس مجرد الدرس، بل الأهلية المستمرة والمساءلة الممكنة، وكلاهما مفقود غالبًا في العمل الفردي مهما حسنت نيته. ومما ينبغي التنبه له أن هذا التكامل مطلوب بين المؤسسات نفسها لا بينها وبين الأفراد فحسب؛ فتعدد الجهات العاملة في ساحة واحدة دون تنسيق يبدد الجهد ويكرر العمل نفسه بدل أن يوسّع دائرته.</w:t>
      </w:r>
    </w:p>
    <w:tbl>
      <w:tblPr>
        <w:tblW w:type="pct" w:w="100%"/>
        <w:tblBorders>
          <w:top w:val="single" w:color="E3C780" w:sz="6"/>
          <w:left w:val="single" w:color="E3C780" w:sz="24"/>
          <w:bottom w:val="single" w:color="E3C780" w:sz="6"/>
          <w:right w:val="single" w:color="E3C780"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0D2143"/>
                <w:sz w:val="18"/>
                <w:szCs w:val="18"/>
                <w:rtl/>
              </w:rPr>
              <w:t xml:space="preserve">الواجب على المسلم</w:t>
            </w:r>
          </w:p>
          <w:p>
            <w:pPr>
              <w:bidi/>
              <w:spacing w:after="0" w:before="0" w:line="300"/>
              <w:jc w:val="both"/>
            </w:pPr>
            <w:r>
              <w:rPr>
                <w:rFonts w:ascii="Amiri" w:cs="Amiri" w:eastAsia="Amiri" w:hAnsi="Amiri"/>
                <w:b w:val="false"/>
                <w:bCs w:val="false"/>
                <w:i w:val="false"/>
                <w:iCs w:val="false"/>
                <w:color w:val="181410"/>
                <w:sz w:val="22"/>
                <w:szCs w:val="22"/>
                <w:rtl/>
              </w:rPr>
              <w:t xml:space="preserve">على المؤسسات الدينية والمجتمعية أن تتعاون فيما بينها، وأن تكون هي المرجع الذي يضبط ما يُنشر عنها وباسمها في الفضاء العام، امتثالًا لقوله تعالى </w:t>
            </w:r>
            <w:r>
              <w:rPr>
                <w:rFonts w:ascii="Amiri Quran" w:cs="Amiri Quran" w:eastAsia="Amiri Quran" w:hAnsi="Amiri Quran"/>
                <w:b w:val="false"/>
                <w:bCs w:val="false"/>
                <w:i w:val="false"/>
                <w:iCs w:val="false"/>
                <w:color w:val="0D2143"/>
                <w:sz w:val="26"/>
                <w:szCs w:val="26"/>
                <w:rtl/>
              </w:rPr>
              <w:t xml:space="preserve">﴿وَتَعَاوَنُوا عَلَى الْبِرِّ وَالتَّقْوَىٰ﴾</w:t>
            </w:r>
            <w:r>
              <w:rPr>
                <w:rFonts w:ascii="Amiri" w:cs="Amiri" w:eastAsia="Amiri" w:hAnsi="Amiri"/>
                <w:b w:val="false"/>
                <w:bCs w:val="false"/>
                <w:i w:val="false"/>
                <w:iCs w:val="false"/>
                <w:color w:val="181410"/>
                <w:sz w:val="22"/>
                <w:szCs w:val="22"/>
                <w:rtl/>
              </w:rPr>
              <w:t xml:space="preserve">، وحرصًا على إحياء حلقات الذكر التي بشّر النبي صلى الله عليه وسلم أهلها بأنها رياض الجنة؛ فبقدر ما تثبت هذه المؤسسات أهليتها ومساءلتها، تكون صمام أمان لما سواها من وسائل.</w:t>
            </w:r>
          </w:p>
        </w:tc>
      </w:tr>
    </w:tbl>
    <w:p>
      <w:pPr>
        <w:spacing w:after="160"/>
      </w:pPr>
    </w:p>
    <w:p>
      <w:pPr>
        <w:pStyle w:val="Heading2"/>
        <w:bidi/>
        <w:spacing w:after="140" w:before="320"/>
        <w:jc w:val="right"/>
      </w:pPr>
      <w:bookmarkStart w:name="bm_faqrah_34" w:id="1047"/>
      <w:r>
        <w:rPr>
          <w:rFonts w:ascii="Aref Ruqaa" w:cs="Aref Ruqaa" w:eastAsia="Aref Ruqaa" w:hAnsi="Aref Ruqaa"/>
          <w:b/>
          <w:bCs/>
          <w:i w:val="false"/>
          <w:iCs w:val="false"/>
          <w:color w:val="0D2143"/>
          <w:sz w:val="28"/>
          <w:szCs w:val="28"/>
          <w:rtl/>
        </w:rPr>
        <w:t xml:space="preserve">المبحث الرابع: دور البحوث العلمية في خدمة السنة النبوية</w:t>
      </w:r>
      <w:bookmarkEnd w:id="1047"/>
    </w:p>
    <w:p>
      <w:pPr>
        <w:bidi/>
        <w:spacing w:after="140" w:before="0" w:line="300"/>
        <w:jc w:val="both"/>
      </w:pPr>
      <w:r>
        <w:rPr>
          <w:rFonts w:ascii="Amiri" w:cs="Amiri" w:eastAsia="Amiri" w:hAnsi="Amiri"/>
          <w:b w:val="false"/>
          <w:bCs w:val="false"/>
          <w:i w:val="false"/>
          <w:iCs w:val="false"/>
          <w:color w:val="181410"/>
          <w:sz w:val="22"/>
          <w:szCs w:val="22"/>
          <w:rtl/>
        </w:rPr>
        <w:t xml:space="preserve">إذا كانت وسائل الإعلام، كما تقدم، قادرة على نشر الخطأ بالسرعة نفسها التي تنشر بها الحق، فإن البحث العلمي هو الجهة الوحيدة القادرة على تصحيح هذا الخطأ تصحيحًا موثوقًا؛ لكنه تصحيح بطيء بطبيعته، لأنه يقوم على التحقق لا على السرعة. وهذا تفاوت في الإيقاع لا مفر منه: فالمنشور الواحد قد يبلغ ملايين الشاشات في ساعة، بينما يحتاج تحقيق روايته أو تخريج حكمها إلى أسابيع أو أشهر من عمل متخصص، فيسبق الخطأ تصحيحه دائمًا تقريبًا. ومع ذلك فإن هذا لا يقلل من قيمة البحث، بل يزيدها؛ إذ لولا وجود هذا الجهد البطيء الرصين لبقي الخطأ بلا نقيض يُرجع إليه، ولتحوّل الانتشار السريع إلى معيار وحيد للصحة، وهو معيار باطل.</w:t>
      </w:r>
    </w:p>
    <w:p>
      <w:pPr>
        <w:bidi/>
        <w:spacing w:after="100" w:before="200" w:line="300"/>
        <w:jc w:val="right"/>
      </w:pPr>
      <w:r>
        <w:rPr>
          <w:rFonts w:ascii="Amiri" w:cs="Amiri" w:eastAsia="Amiri" w:hAnsi="Amiri"/>
          <w:b/>
          <w:bCs/>
          <w:i w:val="false"/>
          <w:iCs w:val="false"/>
          <w:color w:val="152C54"/>
          <w:sz w:val="22"/>
          <w:szCs w:val="22"/>
          <w:rtl/>
        </w:rPr>
        <w:t xml:space="preserve">مسوّغ التأمل والبحث</w:t>
      </w:r>
    </w:p>
    <w:p>
      <w:pPr>
        <w:bidi/>
        <w:spacing w:after="140" w:before="0" w:line="300"/>
        <w:jc w:val="both"/>
      </w:pPr>
      <w:r>
        <w:rPr>
          <w:rFonts w:ascii="Amiri" w:cs="Amiri" w:eastAsia="Amiri" w:hAnsi="Amiri"/>
          <w:b w:val="false"/>
          <w:bCs w:val="false"/>
          <w:i w:val="false"/>
          <w:iCs w:val="false"/>
          <w:color w:val="181410"/>
          <w:sz w:val="22"/>
          <w:szCs w:val="22"/>
          <w:rtl/>
        </w:rPr>
        <w:t xml:space="preserve">يشير إلى مشروعية هذا التأمل قوله تعالى: </w:t>
      </w:r>
      <w:r>
        <w:rPr>
          <w:rFonts w:ascii="Amiri Quran" w:cs="Amiri Quran" w:eastAsia="Amiri Quran" w:hAnsi="Amiri Quran"/>
          <w:b w:val="false"/>
          <w:bCs w:val="false"/>
          <w:i w:val="false"/>
          <w:iCs w:val="false"/>
          <w:color w:val="0D2143"/>
          <w:sz w:val="26"/>
          <w:szCs w:val="26"/>
          <w:rtl/>
        </w:rPr>
        <w:t xml:space="preserve">﴿وَفِي أَنفُسِكُمْ أَفَلَا تُبْصِرُونَ﴾</w:t>
      </w:r>
      <w:r>
        <w:rPr>
          <w:rFonts w:ascii="Cairo" w:cs="Cairo" w:eastAsia="Cairo" w:hAnsi="Cairo"/>
          <w:b/>
          <w:bCs/>
          <w:i w:val="false"/>
          <w:iCs w:val="false"/>
          <w:color w:val="8A6A1F"/>
          <w:sz w:val="16"/>
          <w:szCs w:val="16"/>
          <w:rtl/>
        </w:rPr>
        <w:t xml:space="preserve"> [الذاريات: 21]</w:t>
      </w:r>
      <w:r>
        <w:rPr>
          <w:rFonts w:ascii="Amiri" w:cs="Amiri" w:eastAsia="Amiri" w:hAnsi="Amiri"/>
          <w:b w:val="false"/>
          <w:bCs w:val="false"/>
          <w:i w:val="false"/>
          <w:iCs w:val="false"/>
          <w:color w:val="181410"/>
          <w:sz w:val="22"/>
          <w:szCs w:val="22"/>
          <w:rtl/>
        </w:rPr>
        <w:t xml:space="preserve">، فالتفكر في وحي الله المنقول لا يقل مشروعية عن التفكر في آياته المشهودة في الآفاق والأنفس، وكلاهما طريق إلى مزيد بصيرة. وقد يكشف هذا التأمل العلمي عن أوجه في بعض النصوص النبوية تزيد وضوح دلالتها وعمق الاعتبار بها، من غير أن يكون ذلك أصلًا في إثبات حجيتها، إذ الحجية تثبت بطريقها الخاص كما يأتي بيانه. ويستمد هذا الباب أصله أيضًا من قوله صلى الله عليه وسلم: «مَنْ سَلَكَ طَرِيقًا يَلْتَمِسُ فِيهِ عِلْمًا سَهَّلَ اللَّهُ لَهُ بِهِ طَرِيقًا إِلَى الْجَنَّةِ» رواه مسلم عن أبي هريرة رضي الله عنه؛ فالبحث المتخصص أخص مصاديق هذا العلم الذي وُعد صاحبه بتيسير طريقه إلى الجنة، وإن تفاوتت مراتب طالبيه بين متعلم مبتدئ وباحث متخصص.</w:t>
      </w:r>
    </w:p>
    <w:p>
      <w:pPr>
        <w:bidi/>
        <w:spacing w:after="100" w:before="200" w:line="300"/>
        <w:jc w:val="right"/>
      </w:pPr>
      <w:r>
        <w:rPr>
          <w:rFonts w:ascii="Amiri" w:cs="Amiri" w:eastAsia="Amiri" w:hAnsi="Amiri"/>
          <w:b/>
          <w:bCs/>
          <w:i w:val="false"/>
          <w:iCs w:val="false"/>
          <w:color w:val="152C54"/>
          <w:sz w:val="22"/>
          <w:szCs w:val="22"/>
          <w:rtl/>
        </w:rPr>
        <w:t xml:space="preserve">ضوابط لا يُتجاوزها</w:t>
      </w:r>
    </w:p>
    <w:p>
      <w:pPr>
        <w:bidi/>
        <w:spacing w:after="140" w:before="0" w:line="300"/>
        <w:jc w:val="both"/>
      </w:pPr>
      <w:r>
        <w:rPr>
          <w:rFonts w:ascii="Amiri" w:cs="Amiri" w:eastAsia="Amiri" w:hAnsi="Amiri"/>
          <w:b w:val="false"/>
          <w:bCs w:val="false"/>
          <w:i w:val="false"/>
          <w:iCs w:val="false"/>
          <w:color w:val="181410"/>
          <w:sz w:val="22"/>
          <w:szCs w:val="22"/>
          <w:rtl/>
        </w:rPr>
        <w:t xml:space="preserve">ينقسم هذا البحث إلى حقول متمايزة لا ينبغي الخلط بينها: تحقيق حديثي يُعنى بثبوت النص وضبط ألفاظه، وفقه حديثي يُعنى باستنباط الأحكام منه، ودراسات مقارنة تُعنى بما ورد في السنة من إشارات يمكن مقاربتها بالعلوم التجريبية. وهذا الحقل الأخير هو الأخطر إن لم يُضبط؛ فمن السهل أن ينزلق الباحث المتحمس إلى تعليق ثبوت الحديث أو حجيته على موافقة نظرية علمية قائمة اليوم، مع أن النظريات العلمية متغيرة بطبيعتها، فإذا نُقضت النظرية غدًا انقلبت الحجة على صاحبها وأُسيء إلى النص من حيث أراد نصرته. فالمنهج السليم أن تثبت حجية الحديث بأدلتها الخاصة أولًا، ثم يُنظر بعد ذلك -بحذر- فيما قد يتوافق معه من معطى علمي، لا العكس. ومن هنا تنشأ صلة مباشرة بين هذا المبحث والمبحث الأول: فما تنتجه المراكز البحثية من تحقيق وتخريج هو المادة التي تمنح المنصة الإعلامية مصداقيتها إن استندت إليه، أو تكشف عوارها إن أعرضت عنه؛ فبغير بحث رصين يغذي الإعلام، يتحول الانتشار الواسع إلى صدى بلا مصدر.</w:t>
      </w:r>
    </w:p>
    <w:tbl>
      <w:tblPr>
        <w:tblW w:type="pct" w:w="100%"/>
        <w:tblBorders>
          <w:top w:val="single" w:color="E3C780" w:sz="6"/>
          <w:left w:val="single" w:color="E3C780" w:sz="24"/>
          <w:bottom w:val="single" w:color="E3C780" w:sz="6"/>
          <w:right w:val="single" w:color="E3C780"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0D2143"/>
                <w:sz w:val="18"/>
                <w:szCs w:val="18"/>
                <w:rtl/>
              </w:rPr>
              <w:t xml:space="preserve">الواجب على المسلم</w:t>
            </w:r>
          </w:p>
          <w:p>
            <w:pPr>
              <w:bidi/>
              <w:spacing w:after="0" w:before="0" w:line="300"/>
              <w:jc w:val="both"/>
            </w:pPr>
            <w:r>
              <w:rPr>
                <w:rFonts w:ascii="Amiri" w:cs="Amiri" w:eastAsia="Amiri" w:hAnsi="Amiri"/>
                <w:b w:val="false"/>
                <w:bCs w:val="false"/>
                <w:i w:val="false"/>
                <w:iCs w:val="false"/>
                <w:color w:val="181410"/>
                <w:sz w:val="22"/>
                <w:szCs w:val="22"/>
                <w:rtl/>
              </w:rPr>
              <w:t xml:space="preserve">على أهل العلم والباحثين، وعلى من يقدر على دعمهم من المؤسسات، أن يوجهوا جهدهم إلى تحقيق السنة وتخريجها وضبط الاستنباط منها، مدركين أن هذا العمل البطيء هو الضامن الوحيد لصحة ما ينتشر سريعًا؛ فبغيره يبقى الحق والخطأ سواء عند من لا أداة له للتمييز بينهما.</w:t>
            </w:r>
          </w:p>
        </w:tc>
      </w:tr>
    </w:tbl>
    <w:p>
      <w:pPr>
        <w:spacing w:after="160"/>
      </w:pPr>
    </w:p>
    <w:p>
      <w:pPr>
        <w:pStyle w:val="Heading2"/>
        <w:bidi/>
        <w:spacing w:after="140" w:before="320"/>
        <w:jc w:val="right"/>
      </w:pPr>
      <w:bookmarkStart w:name="bm_faqrah_35" w:id="1048"/>
      <w:r>
        <w:rPr>
          <w:rFonts w:ascii="Aref Ruqaa" w:cs="Aref Ruqaa" w:eastAsia="Aref Ruqaa" w:hAnsi="Aref Ruqaa"/>
          <w:b/>
          <w:bCs/>
          <w:i w:val="false"/>
          <w:iCs w:val="false"/>
          <w:color w:val="0D2143"/>
          <w:sz w:val="28"/>
          <w:szCs w:val="28"/>
          <w:rtl/>
        </w:rPr>
        <w:t xml:space="preserve">المبحث الخامس: غرس حب السنة النبوية في نفوس الشباب</w:t>
      </w:r>
      <w:bookmarkEnd w:id="1048"/>
    </w:p>
    <w:p>
      <w:pPr>
        <w:bidi/>
        <w:spacing w:after="140" w:before="0" w:line="300"/>
        <w:jc w:val="both"/>
      </w:pPr>
      <w:r>
        <w:rPr>
          <w:rFonts w:ascii="Amiri" w:cs="Amiri" w:eastAsia="Amiri" w:hAnsi="Amiri"/>
          <w:b w:val="false"/>
          <w:bCs w:val="false"/>
          <w:i w:val="false"/>
          <w:iCs w:val="false"/>
          <w:color w:val="181410"/>
          <w:sz w:val="22"/>
          <w:szCs w:val="22"/>
          <w:rtl/>
        </w:rPr>
        <w:t xml:space="preserve">تكشف المباحث الأربعة المتقدمة أن وسائل تبليغ السنة وتعليمها وترسيخها قد بلغت في هذا العصر اتساعًا لم تعرفه الأمة من قبل، وأن كل وسيلة منها تحمل في طيها فرصة وخطرًا معًا. غير أن هذا الاتساع كله لا يصنع بذاته قلبًا محبًا لرسول الله صلى الله عليه وسلم؛ فالشاب الذي يمر يوميًا على عشرات المقاطع التي تذكر السنة قد يكون أبعد عن التعلق القلبي بها من شاب رأى أباه أو معلمه يطبقها في تفصيل صغير من تفاصيل يومه. فبين التعرض للمحتوى والتشرب بمعناه مسافة لا يقطعها كثرة المشاهدة، بل تقطعها القدوة الحية؛ وهذا هو الفارق الذي تتوقف عليه ثمرة كل ما تقدم من وسائل.</w:t>
      </w:r>
    </w:p>
    <w:p>
      <w:pPr>
        <w:bidi/>
        <w:spacing w:after="100" w:before="200" w:line="300"/>
        <w:jc w:val="right"/>
      </w:pPr>
      <w:r>
        <w:rPr>
          <w:rFonts w:ascii="Amiri" w:cs="Amiri" w:eastAsia="Amiri" w:hAnsi="Amiri"/>
          <w:b/>
          <w:bCs/>
          <w:i w:val="false"/>
          <w:iCs w:val="false"/>
          <w:color w:val="152C54"/>
          <w:sz w:val="22"/>
          <w:szCs w:val="22"/>
          <w:rtl/>
        </w:rPr>
        <w:t xml:space="preserve">الأسوة أصل الاتباع</w:t>
      </w:r>
    </w:p>
    <w:p>
      <w:pPr>
        <w:bidi/>
        <w:spacing w:after="140" w:before="0" w:line="300"/>
        <w:jc w:val="both"/>
      </w:pPr>
      <w:r>
        <w:rPr>
          <w:rFonts w:ascii="Amiri" w:cs="Amiri" w:eastAsia="Amiri" w:hAnsi="Amiri"/>
          <w:b w:val="false"/>
          <w:bCs w:val="false"/>
          <w:i w:val="false"/>
          <w:iCs w:val="false"/>
          <w:color w:val="181410"/>
          <w:sz w:val="22"/>
          <w:szCs w:val="22"/>
          <w:rtl/>
        </w:rPr>
        <w:t xml:space="preserve">الأصل الأكبر في هذا الباب قوله تعالى: </w:t>
      </w:r>
      <w:r>
        <w:rPr>
          <w:rFonts w:ascii="Amiri Quran" w:cs="Amiri Quran" w:eastAsia="Amiri Quran" w:hAnsi="Amiri Quran"/>
          <w:b w:val="false"/>
          <w:bCs w:val="false"/>
          <w:i w:val="false"/>
          <w:iCs w:val="false"/>
          <w:color w:val="0D2143"/>
          <w:sz w:val="26"/>
          <w:szCs w:val="26"/>
          <w:rtl/>
        </w:rPr>
        <w:t xml:space="preserve">﴿لَقَدْ كَانَ لَكُمْ فِي رَسُولِ اللَّهِ أُسْوَةٌ حَسَنَةٌ﴾</w:t>
      </w:r>
      <w:r>
        <w:rPr>
          <w:rFonts w:ascii="Cairo" w:cs="Cairo" w:eastAsia="Cairo" w:hAnsi="Cairo"/>
          <w:b/>
          <w:bCs/>
          <w:i w:val="false"/>
          <w:iCs w:val="false"/>
          <w:color w:val="8A6A1F"/>
          <w:sz w:val="16"/>
          <w:szCs w:val="16"/>
          <w:rtl/>
        </w:rPr>
        <w:t xml:space="preserve"> [الأحزاب: 21]</w:t>
      </w:r>
      <w:r>
        <w:rPr>
          <w:rFonts w:ascii="Amiri" w:cs="Amiri" w:eastAsia="Amiri" w:hAnsi="Amiri"/>
          <w:b w:val="false"/>
          <w:bCs w:val="false"/>
          <w:i w:val="false"/>
          <w:iCs w:val="false"/>
          <w:color w:val="181410"/>
          <w:sz w:val="22"/>
          <w:szCs w:val="22"/>
          <w:rtl/>
        </w:rPr>
        <w:t xml:space="preserve">؛ فمحبة السنة، في جوهرها، ليست معرفة تُكتسب بل اقتداء يُغرس، بأن يرى الشاب في النبي صلى الله عليه وسلم أسوته في عبادته وخلقه ومعاملته قبل أن يراه موضوع درس. وقد توارثت الأمة الترغيب في اغتنام الشباب بالطاعة، وإن كان بعض ما رُوي في هذا المعنى من ألفاظ خاصة قد تكلم فيه أهل الحديث سندًا، فالمعوَّل عليه في التربية أصل المعنى الثابت بأدلة أخرى، لا الوقوف على لفظ بعينه اختُلف في ثبوته. وأقرب ما يُقرّب هذا الاقتداء إلى نفس الشاب أن يُعرض عليه هدي النبي صلى الله عليه وسلم في أدق تفاصيل حياته لا في كبرياتها فقط؛ فقد ثبت عن عائشة رضي الله عنها أنها قالت: «كَانَ النَّبِيُّ صَلَّى اللَّهُ عَلَيْهِ وَسَلَّمَ يَذْكُرُ اللَّهَ عَلَى كُلِّ أَحْيَانِهِ» رواه مسلم في كتاب الحيض؛ فذكر الله في حياته لم يكن لحظات معدودة يُستحضر فيها، بل حالًا ملازمة لا تنقطع، وهذه هي الصورة التي إذا استقرت في وجدان الشاب دفعته إلى الاقتداء في دقيق أمره قبل جليله.</w:t>
      </w:r>
    </w:p>
    <w:tbl>
      <w:tblPr>
        <w:tblW w:type="pct" w:w="100%"/>
        <w:tblBorders>
          <w:top w:val="single" w:color="A9812A" w:sz="6"/>
          <w:left w:val="single" w:color="A9812A" w:sz="24"/>
          <w:bottom w:val="single" w:color="A9812A" w:sz="6"/>
          <w:right w:val="single" w:color="A9812A" w:sz="6"/>
          <w:insideH w:val="single" w:color="auto" w:sz="4"/>
          <w:insideV w:val="single" w:color="auto" w:sz="4"/>
        </w:tblBorders>
      </w:tblPr>
      <w:tblGrid>
        <w:gridCol w:w="100"/>
      </w:tblGrid>
      <w:tr>
        <w:tc>
          <w:tcPr>
            <w:shd w:fill="FFFFFF" w:val="clear"/>
            <w:tcMar>
              <w:top w:type="dxa" w:w="160"/>
              <w:left w:type="dxa" w:w="200"/>
              <w:bottom w:type="dxa" w:w="160"/>
              <w:right w:type="dxa" w:w="200"/>
            </w:tcMar>
          </w:tcPr>
          <w:p>
            <w:pPr>
              <w:bidi/>
              <w:spacing w:after="100" w:before="0" w:line="300"/>
              <w:jc w:val="right"/>
            </w:pPr>
          </w:p>
        </w:tc>
      </w:tr>
    </w:tbl>
    <w:p>
      <w:pPr>
        <w:spacing w:after="140"/>
      </w:pPr>
    </w:p>
    <w:p>
      <w:pPr>
        <w:bidi/>
        <w:spacing w:after="100" w:before="200" w:line="300"/>
        <w:jc w:val="right"/>
      </w:pPr>
      <w:r>
        <w:rPr>
          <w:rFonts w:ascii="Amiri" w:cs="Amiri" w:eastAsia="Amiri" w:hAnsi="Amiri"/>
          <w:b/>
          <w:bCs/>
          <w:i w:val="false"/>
          <w:iCs w:val="false"/>
          <w:color w:val="152C54"/>
          <w:sz w:val="22"/>
          <w:szCs w:val="22"/>
          <w:rtl/>
        </w:rPr>
        <w:t xml:space="preserve">من المحاور الأربعة إلى القلب الواحد</w:t>
      </w:r>
    </w:p>
    <w:p>
      <w:pPr>
        <w:bidi/>
        <w:spacing w:after="140" w:before="0" w:line="300"/>
        <w:jc w:val="both"/>
      </w:pPr>
      <w:r>
        <w:rPr>
          <w:rFonts w:ascii="Amiri" w:cs="Amiri" w:eastAsia="Amiri" w:hAnsi="Amiri"/>
          <w:b w:val="false"/>
          <w:bCs w:val="false"/>
          <w:i w:val="false"/>
          <w:iCs w:val="false"/>
          <w:color w:val="181410"/>
          <w:sz w:val="22"/>
          <w:szCs w:val="22"/>
          <w:rtl/>
        </w:rPr>
        <w:t xml:space="preserve">يجتمع في تنشئة الشاب على حب السنة كل ما تقدم من محاور: المنصة الإعلامية والمدرسة والمسجد ومركز البحث العلمي، وكل محور منها عاجز وحده عن أداء المهمة كاملة. فالإعلام قد يُعرّف الشاب بالسنة لكنه لا يربيه عليها إن تُرك وحده، والمنهج قد يمتحنه فيها لكنه لا يورثه حبها إن اقتصر على الحفظ، والمؤسسة قد تحتضنه لكنها لا تصل إليه إن غاب عنها، والبحث قد يوثق له النص لكنه لا يحرك به قلبه. وحين تتضافر هذه المحاور بدل أن يعمل كل منها بمعزل عن الآخر، تتحول من مصادر معلومات متوازية إلى بيئة واحدة متماسكة، وهي البيئة التي ينشأ فيها الاقتداء لا مجرد الاطلاع. وقد كان الصحابة رضي الله عنهم يتعلمون من أفعال النبي صلى الله عليه وسلم كما يتعلمون من أقواله، بل ربما كان أثر مشاهدتهم له أعمق من أثر سماعهم منه؛ وهذا أصل ينبغي أن يُستعاد اليوم: أن يكون الكبار أنفسهم -آباءً ومعلمين ودعاة- ممن يُرى فيهم تطبيق السنة قبل أن يُسمع منهم الحديث عنها، فقدوة صامتة أبلغ في نفس الشاب من خطاب طويل لا يقترن بفعل.</w:t>
      </w:r>
    </w:p>
    <w:tbl>
      <w:tblPr>
        <w:tblW w:type="pct" w:w="100%"/>
        <w:tblBorders>
          <w:top w:val="single" w:color="E3C780" w:sz="6"/>
          <w:left w:val="single" w:color="E3C780" w:sz="24"/>
          <w:bottom w:val="single" w:color="E3C780" w:sz="6"/>
          <w:right w:val="single" w:color="E3C780"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0D2143"/>
                <w:sz w:val="18"/>
                <w:szCs w:val="18"/>
                <w:rtl/>
              </w:rPr>
              <w:t xml:space="preserve">الواجب على المسلم</w:t>
            </w:r>
          </w:p>
          <w:p>
            <w:pPr>
              <w:bidi/>
              <w:spacing w:after="0" w:before="0" w:line="300"/>
              <w:jc w:val="both"/>
            </w:pPr>
            <w:r>
              <w:rPr>
                <w:rFonts w:ascii="Amiri" w:cs="Amiri" w:eastAsia="Amiri" w:hAnsi="Amiri"/>
                <w:b w:val="false"/>
                <w:bCs w:val="false"/>
                <w:i w:val="false"/>
                <w:iCs w:val="false"/>
                <w:color w:val="181410"/>
                <w:sz w:val="22"/>
                <w:szCs w:val="22"/>
                <w:rtl/>
              </w:rPr>
              <w:t xml:space="preserve">على كل من وليَ أمر شاب أو شابة -أبًا أو مربيًا أو داعية- أن يغرس في قلب من وَلِيَه محبة رسول الله صلى الله عليه وسلم وتعلق القلب بسنته، اقتداءً بقوله تعالى </w:t>
            </w:r>
            <w:r>
              <w:rPr>
                <w:rFonts w:ascii="Amiri Quran" w:cs="Amiri Quran" w:eastAsia="Amiri Quran" w:hAnsi="Amiri Quran"/>
                <w:b w:val="false"/>
                <w:bCs w:val="false"/>
                <w:i w:val="false"/>
                <w:iCs w:val="false"/>
                <w:color w:val="0D2143"/>
                <w:sz w:val="26"/>
                <w:szCs w:val="26"/>
                <w:rtl/>
              </w:rPr>
              <w:t xml:space="preserve">﴿لَقَدْ كَانَ لَكُمْ فِي رَسُولِ اللَّهِ أُسْوَةٌ حَسَنَةٌ﴾</w:t>
            </w:r>
            <w:r>
              <w:rPr>
                <w:rFonts w:ascii="Amiri" w:cs="Amiri" w:eastAsia="Amiri" w:hAnsi="Amiri"/>
                <w:b w:val="false"/>
                <w:bCs w:val="false"/>
                <w:i w:val="false"/>
                <w:iCs w:val="false"/>
                <w:color w:val="181410"/>
                <w:sz w:val="22"/>
                <w:szCs w:val="22"/>
                <w:rtl/>
              </w:rPr>
              <w:t xml:space="preserve">، لا بخطاب يُلقى بل بأثر يُرى. فهذا الجيل هو الأمانة التي ستحمل السنة إلى من بعده، وحفظها في قلبه اليوم حفظ لها في الأمة غدًا. وقد تبين على امتداد هذا الكتاب أن السنة النبوية وحي من الله، شارحة للقرآن ومكملة له، واجبة الاتباع بنص الكتاب والسنة وإجماع الأمة؛ وتبين في هذا الفصل أن حفظ هذا الأصل لا يكتمل بتقريره في الأذهان، بل بترجمته إلى قلب يحب، ولسان يبلغ، ويد تعمل. وتلك أمانة لا تسقط بانقضاء جيل، بل تنتقل حية من صدر إلى صدر، إلى أن يرث الله الأرض ومن عليها، وهو خير الوارثين.</w:t>
            </w:r>
          </w:p>
        </w:tc>
      </w:tr>
    </w:tbl>
    <w:p>
      <w:pPr>
        <w:spacing w:after="160"/>
      </w:pPr>
    </w:p>
    <w:p>
      <w:pPr>
        <w:pStyle w:val="Heading1"/>
        <w:pageBreakBefore/>
        <w:bidi/>
        <w:spacing w:after="200" w:before="0"/>
        <w:jc w:val="right"/>
      </w:pPr>
      <w:bookmarkStart w:name="bm_khatimah" w:id="1049"/>
      <w:r>
        <w:rPr>
          <w:rFonts w:ascii="Aref Ruqaa" w:cs="Aref Ruqaa" w:eastAsia="Aref Ruqaa" w:hAnsi="Aref Ruqaa"/>
          <w:b/>
          <w:bCs/>
          <w:i w:val="false"/>
          <w:iCs w:val="false"/>
          <w:color w:val="0D2143"/>
          <w:sz w:val="32"/>
          <w:szCs w:val="32"/>
          <w:rtl/>
        </w:rPr>
        <w:t xml:space="preserve">خاتمة الكتاب</w:t>
      </w:r>
      <w:bookmarkEnd w:id="1049"/>
    </w:p>
    <w:p>
      <w:pPr>
        <w:bidi/>
        <w:spacing w:after="140" w:before="0" w:line="300"/>
        <w:jc w:val="both"/>
      </w:pPr>
      <w:r>
        <w:rPr>
          <w:rFonts w:ascii="Amiri" w:cs="Amiri" w:eastAsia="Amiri" w:hAnsi="Amiri"/>
          <w:b w:val="false"/>
          <w:bCs w:val="false"/>
          <w:i w:val="false"/>
          <w:iCs w:val="false"/>
          <w:color w:val="181410"/>
          <w:sz w:val="22"/>
          <w:szCs w:val="22"/>
          <w:rtl/>
        </w:rPr>
        <w:t xml:space="preserve">ليست فصول هذا الكتاب مسائل متفرقة يجمعها غلاف واحد، بل هي حلقات متتابعة لغرض واحد: أن يخرج القارئ منها وقد صار عنده - لا مجرد اعتقاد بأن السنة حجة - بل قدرة على أن يحمل هذا الاعتقاد في المواقف التي تختبره فعلاً: في اختلاف العلماء، وفي مجادلة الشاك، وفي محاولته أن يكون اتباعه للسنة خُلقاً لا شعاراً.</w:t>
      </w:r>
    </w:p>
    <w:p>
      <w:pPr>
        <w:bidi/>
        <w:spacing w:after="140" w:before="0" w:line="300"/>
        <w:jc w:val="both"/>
      </w:pPr>
      <w:r>
        <w:rPr>
          <w:rFonts w:ascii="Amiri" w:cs="Amiri" w:eastAsia="Amiri" w:hAnsi="Amiri"/>
          <w:b w:val="false"/>
          <w:bCs w:val="false"/>
          <w:i w:val="false"/>
          <w:iCs w:val="false"/>
          <w:color w:val="181410"/>
          <w:sz w:val="22"/>
          <w:szCs w:val="22"/>
          <w:rtl/>
        </w:rPr>
        <w:t xml:space="preserve">فحين تُقرأ هذه الفصول فرادى، قد يُخيَّل للقارئ أنه أمام كتابين لا كتاب واحد: كتاب عقدي يقرر أن السنة وحي لا يُرد، وكتاب فقهي تاريخي يعترف بأن أئمة الأمة أنفسهم اختلفوا في العمل ببعض ما صح من الحديث. والحق أن هذا العمل لم يُكتب ليُزيل هذا التقابل، بل ليبيّن أنه لا تقابل فيه من الأصل: فالقطع إنما هو في مصدر السنة ووجوب اتباعها، أما ثبوت حديث بعينه ودلالته على مسألة بعينها فمجالٌ للاجتهاد البشري الذي لا يُخلّ بذلك القطع في شيء. من لم يفرّق بين البابين ظل حائراً كلما رأى خلافاً بين الأئمة، ومن فرّق بينهما صار عنده مكان لكل شيء: للنص القطعي مكانه، وللاجتهاد في فهمه مكانه، وللاختلاف السائغ فيه مكانه أيضاً.</w:t>
      </w:r>
    </w:p>
    <w:p>
      <w:pPr>
        <w:bidi/>
        <w:spacing w:after="140" w:before="0" w:line="300"/>
        <w:jc w:val="both"/>
      </w:pPr>
      <w:r>
        <w:rPr>
          <w:rFonts w:ascii="Amiri" w:cs="Amiri" w:eastAsia="Amiri" w:hAnsi="Amiri"/>
          <w:b w:val="false"/>
          <w:bCs w:val="false"/>
          <w:i w:val="false"/>
          <w:iCs w:val="false"/>
          <w:color w:val="181410"/>
          <w:sz w:val="22"/>
          <w:szCs w:val="22"/>
          <w:rtl/>
        </w:rPr>
        <w:t xml:space="preserve">وهذا التمييز نفسه هو الذي يحفظ المسلم من طرفين في تعامله مع من يشكك في السنة أو يقصّر في اتباعها: طرف الغلظة التي تحسب كل سؤال طعناً، وطرف التميّع الذي يحسب كل شبهة وجيهة. والصحابة والتابعون - وهم أعلم الناس بمقام السنة - لم يكونوا في اتباعها جامدين ولا في جدالهم عمن خالفهم فظّين، بل فرّقوا بين مقام العلم ومقام الدعوة، فاحتجّوا بالنص في موضعه ورفقوا بالمخاطَب في موضعه. ومن أراد أن يتحقق من أن هذا ليس دعوى نظرية فلينظر في سيرتهم، لا في كلام من كتب عنهم فحسب.</w:t>
      </w:r>
    </w:p>
    <w:p>
      <w:pPr>
        <w:bidi/>
        <w:spacing w:after="140" w:before="0" w:line="300"/>
        <w:jc w:val="both"/>
      </w:pPr>
      <w:r>
        <w:rPr>
          <w:rFonts w:ascii="Amiri" w:cs="Amiri" w:eastAsia="Amiri" w:hAnsi="Amiri"/>
          <w:b w:val="false"/>
          <w:bCs w:val="false"/>
          <w:i w:val="false"/>
          <w:iCs w:val="false"/>
          <w:color w:val="181410"/>
          <w:sz w:val="22"/>
          <w:szCs w:val="22"/>
          <w:rtl/>
        </w:rPr>
        <w:t xml:space="preserve">وإذا كان القارئ قد دخل هذا الكتاب وهو يبحث عن جواب لسؤال واحد: هل السنة حجة؟ - فإني أرجو أن يخرج منه وقد صار عنده جواب لسؤال أكبر: كيف أعيش وأنا مقتنع بذلك؟ فالشبهات التي تُثار اليوم حول السنة لن تنتهي بردٍّ علمي وحده ما لم يقترن بخُلق يُرى، وبقيادة تُمارَس، وبتربية تُورَث؛ ولهذا لم يكن الحديث عن وسائل تعزيز الالتزام بالسنة كلاماً زائداً يُختم به الكتاب، بل هو الغاية التي من أجلها كُتبت الفصول السابقة جميعاً: فالبرهان العقدي لا يُراد لذاته، وإنما ليُثمر اتباعاً، والاتباع لا يثبت في مجتمع إلا حين يتحول من موقف فردي إلى ممارسة تتناقلها البيوت والمدارس والمؤسسات.</w:t>
      </w:r>
    </w:p>
    <w:p>
      <w:pPr>
        <w:bidi/>
        <w:spacing w:after="140" w:before="0" w:line="300"/>
        <w:jc w:val="both"/>
      </w:pPr>
      <w:r>
        <w:rPr>
          <w:rFonts w:ascii="Amiri" w:cs="Amiri" w:eastAsia="Amiri" w:hAnsi="Amiri"/>
          <w:b w:val="false"/>
          <w:bCs w:val="false"/>
          <w:i w:val="false"/>
          <w:iCs w:val="false"/>
          <w:color w:val="181410"/>
          <w:sz w:val="22"/>
          <w:szCs w:val="22"/>
          <w:rtl/>
        </w:rPr>
        <w:t xml:space="preserve">وقد بذلتُ في جمع هذه الفصول وترتيبها ما استطعت من جهد، غير أني أعلم أن العلم بحجية السنة أوسع من أن يحيط به كتاب، وأن التوفيق لاتباعها فضل من الله لا يبلغه اجتهاد كاتب ولا حسن ترتيبه. فما كان في هذا العمل من صواب فمن الله تعالى وحده، وما كان فيه من خطأ أو قصور فمني ومن الشيطان، وأستغفر الله منه، وأسأله سبحانه أن يجعل هذا الكتاب سبباً في أن يزداد قارئه تعلقاً بسنة نبيه صلى الله عليه وسلم، اعتقاداً في القلب، ونطقاً باللسان، وعملاً بالجوارح.</w:t>
      </w:r>
    </w:p>
    <w:p>
      <w:pPr>
        <w:bidi/>
        <w:spacing w:after="140" w:before="0" w:line="300"/>
        <w:jc w:val="both"/>
      </w:pPr>
      <w:r>
        <w:rPr>
          <w:rFonts w:ascii="Amiri" w:cs="Amiri" w:eastAsia="Amiri" w:hAnsi="Amiri"/>
          <w:b w:val="false"/>
          <w:bCs w:val="false"/>
          <w:i w:val="false"/>
          <w:iCs w:val="false"/>
          <w:color w:val="181410"/>
          <w:sz w:val="22"/>
          <w:szCs w:val="22"/>
          <w:rtl/>
        </w:rPr>
        <w:t xml:space="preserve">وَآخِرُ دَعْوَانَا أَنِ الْحَمْدُ لِلَّهِ رَبِّ الْعَالَمِينَ</w:t>
      </w:r>
    </w:p>
    <w:p>
      <w:pPr>
        <w:pStyle w:val="Heading1"/>
        <w:pageBreakBefore/>
        <w:bidi/>
        <w:spacing w:after="200" w:before="0"/>
        <w:jc w:val="right"/>
      </w:pPr>
      <w:bookmarkStart w:name="bm_bibliography" w:id="1050"/>
      <w:r>
        <w:rPr>
          <w:rFonts w:ascii="Aref Ruqaa" w:cs="Aref Ruqaa" w:eastAsia="Aref Ruqaa" w:hAnsi="Aref Ruqaa"/>
          <w:b/>
          <w:bCs/>
          <w:i w:val="false"/>
          <w:iCs w:val="false"/>
          <w:color w:val="0D2143"/>
          <w:sz w:val="32"/>
          <w:szCs w:val="32"/>
          <w:rtl/>
        </w:rPr>
        <w:t xml:space="preserve">قائمة المصادر</w:t>
      </w:r>
      <w:bookmarkEnd w:id="1050"/>
    </w:p>
    <w:p>
      <w:pPr>
        <w:bidi/>
        <w:spacing w:after="140" w:before="0" w:line="300"/>
        <w:jc w:val="both"/>
      </w:pPr>
      <w:r>
        <w:rPr>
          <w:rFonts w:ascii="Amiri" w:cs="Amiri" w:eastAsia="Amiri" w:hAnsi="Amiri"/>
          <w:b w:val="false"/>
          <w:bCs w:val="false"/>
          <w:i w:val="false"/>
          <w:iCs w:val="false"/>
          <w:color w:val="181410"/>
          <w:sz w:val="22"/>
          <w:szCs w:val="22"/>
          <w:rtl/>
        </w:rPr>
        <w:t xml:space="preserve">مصادر الآيات والأحاديث والآثار والأقوال العلمية المصرَّح بها في هذا الكتاب، والمصادر والمراجع التي استُفيد منها في إعداده:</w:t>
      </w:r>
    </w:p>
    <w:p>
      <w:pPr>
        <w:pStyle w:val="Heading3"/>
        <w:bidi/>
        <w:spacing w:after="120" w:before="260"/>
        <w:jc w:val="right"/>
      </w:pPr>
      <w:bookmarkStart w:name="bm_5" w:id="1051"/>
      <w:r>
        <w:rPr>
          <w:rFonts w:ascii="Aref Ruqaa" w:cs="Aref Ruqaa" w:eastAsia="Aref Ruqaa" w:hAnsi="Aref Ruqaa"/>
          <w:b/>
          <w:bCs/>
          <w:i w:val="false"/>
          <w:iCs w:val="false"/>
          <w:color w:val="0D2143"/>
          <w:sz w:val="23"/>
          <w:szCs w:val="23"/>
          <w:rtl/>
        </w:rPr>
        <w:t xml:space="preserve">دواوين السنة المروي عنها في هذا الكتاب</w:t>
      </w:r>
      <w:bookmarkEnd w:id="1051"/>
    </w:p>
    <w:p>
      <w:pPr>
        <w:pStyle w:val="ListParagraph"/>
        <w:numPr>
          <w:ilvl w:val="0"/>
          <w:numId w:val="2"/>
        </w:numPr>
        <w:bidi/>
        <w:spacing w:after="90" w:line="300"/>
        <w:jc w:val="both"/>
      </w:pPr>
      <w:r>
        <w:rPr>
          <w:rFonts w:ascii="Amiri" w:cs="Amiri" w:eastAsia="Amiri" w:hAnsi="Amiri"/>
          <w:b w:val="false"/>
          <w:bCs w:val="false"/>
          <w:i/>
          <w:iCs/>
          <w:color w:val="181410"/>
          <w:sz w:val="22"/>
          <w:szCs w:val="22"/>
          <w:rtl/>
        </w:rPr>
        <w:t xml:space="preserve">صحيح البخاري</w:t>
      </w:r>
      <w:r>
        <w:rPr>
          <w:rFonts w:ascii="Amiri" w:cs="Amiri" w:eastAsia="Amiri" w:hAnsi="Amiri"/>
          <w:b w:val="false"/>
          <w:bCs w:val="false"/>
          <w:i w:val="false"/>
          <w:iCs w:val="false"/>
          <w:color w:val="181410"/>
          <w:sz w:val="22"/>
          <w:szCs w:val="22"/>
          <w:rtl/>
        </w:rPr>
        <w:t xml:space="preserve"> — للإمام محمد بن إسماعيل البخاري رحمه الله.</w:t>
      </w:r>
    </w:p>
    <w:p>
      <w:pPr>
        <w:pStyle w:val="ListParagraph"/>
        <w:numPr>
          <w:ilvl w:val="0"/>
          <w:numId w:val="2"/>
        </w:numPr>
        <w:bidi/>
        <w:spacing w:after="90" w:line="300"/>
        <w:jc w:val="both"/>
      </w:pPr>
      <w:r>
        <w:rPr>
          <w:rFonts w:ascii="Amiri" w:cs="Amiri" w:eastAsia="Amiri" w:hAnsi="Amiri"/>
          <w:b w:val="false"/>
          <w:bCs w:val="false"/>
          <w:i/>
          <w:iCs/>
          <w:color w:val="181410"/>
          <w:sz w:val="22"/>
          <w:szCs w:val="22"/>
          <w:rtl/>
        </w:rPr>
        <w:t xml:space="preserve">صحيح مسلم</w:t>
      </w:r>
      <w:r>
        <w:rPr>
          <w:rFonts w:ascii="Amiri" w:cs="Amiri" w:eastAsia="Amiri" w:hAnsi="Amiri"/>
          <w:b w:val="false"/>
          <w:bCs w:val="false"/>
          <w:i w:val="false"/>
          <w:iCs w:val="false"/>
          <w:color w:val="181410"/>
          <w:sz w:val="22"/>
          <w:szCs w:val="22"/>
          <w:rtl/>
        </w:rPr>
        <w:t xml:space="preserve"> — للإمام مسلم بن الحجاج النيسابوري رحمه الله.</w:t>
      </w:r>
    </w:p>
    <w:p>
      <w:pPr>
        <w:pStyle w:val="ListParagraph"/>
        <w:numPr>
          <w:ilvl w:val="0"/>
          <w:numId w:val="2"/>
        </w:numPr>
        <w:bidi/>
        <w:spacing w:after="90" w:line="300"/>
        <w:jc w:val="both"/>
      </w:pPr>
      <w:r>
        <w:rPr>
          <w:rFonts w:ascii="Amiri" w:cs="Amiri" w:eastAsia="Amiri" w:hAnsi="Amiri"/>
          <w:b w:val="false"/>
          <w:bCs w:val="false"/>
          <w:i/>
          <w:iCs/>
          <w:color w:val="181410"/>
          <w:sz w:val="22"/>
          <w:szCs w:val="22"/>
          <w:rtl/>
        </w:rPr>
        <w:t xml:space="preserve">سنن أبي داود</w:t>
      </w:r>
      <w:r>
        <w:rPr>
          <w:rFonts w:ascii="Amiri" w:cs="Amiri" w:eastAsia="Amiri" w:hAnsi="Amiri"/>
          <w:b w:val="false"/>
          <w:bCs w:val="false"/>
          <w:i w:val="false"/>
          <w:iCs w:val="false"/>
          <w:color w:val="181410"/>
          <w:sz w:val="22"/>
          <w:szCs w:val="22"/>
          <w:rtl/>
        </w:rPr>
        <w:t xml:space="preserve"> — للإمام أبي داود سليمان بن الأشعث السجستاني رحمه الله.</w:t>
      </w:r>
    </w:p>
    <w:p>
      <w:pPr>
        <w:pStyle w:val="ListParagraph"/>
        <w:numPr>
          <w:ilvl w:val="0"/>
          <w:numId w:val="2"/>
        </w:numPr>
        <w:bidi/>
        <w:spacing w:after="90" w:line="300"/>
        <w:jc w:val="both"/>
      </w:pPr>
      <w:r>
        <w:rPr>
          <w:rFonts w:ascii="Amiri" w:cs="Amiri" w:eastAsia="Amiri" w:hAnsi="Amiri"/>
          <w:b w:val="false"/>
          <w:bCs w:val="false"/>
          <w:i/>
          <w:iCs/>
          <w:color w:val="181410"/>
          <w:sz w:val="22"/>
          <w:szCs w:val="22"/>
          <w:rtl/>
        </w:rPr>
        <w:t xml:space="preserve">جامع الترمذي</w:t>
      </w:r>
      <w:r>
        <w:rPr>
          <w:rFonts w:ascii="Amiri" w:cs="Amiri" w:eastAsia="Amiri" w:hAnsi="Amiri"/>
          <w:b w:val="false"/>
          <w:bCs w:val="false"/>
          <w:i w:val="false"/>
          <w:iCs w:val="false"/>
          <w:color w:val="181410"/>
          <w:sz w:val="22"/>
          <w:szCs w:val="22"/>
          <w:rtl/>
        </w:rPr>
        <w:t xml:space="preserve"> — للإمام أبي عيسى محمد بن عيسى الترمذي رحمه الله.</w:t>
      </w:r>
    </w:p>
    <w:p>
      <w:pPr>
        <w:pStyle w:val="ListParagraph"/>
        <w:numPr>
          <w:ilvl w:val="0"/>
          <w:numId w:val="2"/>
        </w:numPr>
        <w:bidi/>
        <w:spacing w:after="90" w:line="300"/>
        <w:jc w:val="both"/>
      </w:pPr>
      <w:r>
        <w:rPr>
          <w:rFonts w:ascii="Amiri" w:cs="Amiri" w:eastAsia="Amiri" w:hAnsi="Amiri"/>
          <w:b w:val="false"/>
          <w:bCs w:val="false"/>
          <w:i/>
          <w:iCs/>
          <w:color w:val="181410"/>
          <w:sz w:val="22"/>
          <w:szCs w:val="22"/>
          <w:rtl/>
        </w:rPr>
        <w:t xml:space="preserve">سنن ابن ماجه</w:t>
      </w:r>
      <w:r>
        <w:rPr>
          <w:rFonts w:ascii="Amiri" w:cs="Amiri" w:eastAsia="Amiri" w:hAnsi="Amiri"/>
          <w:b w:val="false"/>
          <w:bCs w:val="false"/>
          <w:i w:val="false"/>
          <w:iCs w:val="false"/>
          <w:color w:val="181410"/>
          <w:sz w:val="22"/>
          <w:szCs w:val="22"/>
          <w:rtl/>
        </w:rPr>
        <w:t xml:space="preserve"> — للإمام محمد بن يزيد ابن ماجه القزويني رحمه الله.</w:t>
      </w:r>
    </w:p>
    <w:p>
      <w:pPr>
        <w:pStyle w:val="ListParagraph"/>
        <w:numPr>
          <w:ilvl w:val="0"/>
          <w:numId w:val="2"/>
        </w:numPr>
        <w:bidi/>
        <w:spacing w:after="90" w:line="300"/>
        <w:jc w:val="both"/>
      </w:pPr>
      <w:r>
        <w:rPr>
          <w:rFonts w:ascii="Amiri" w:cs="Amiri" w:eastAsia="Amiri" w:hAnsi="Amiri"/>
          <w:b w:val="false"/>
          <w:bCs w:val="false"/>
          <w:i/>
          <w:iCs/>
          <w:color w:val="181410"/>
          <w:sz w:val="22"/>
          <w:szCs w:val="22"/>
          <w:rtl/>
        </w:rPr>
        <w:t xml:space="preserve">موطأ الإمام مالك</w:t>
      </w:r>
      <w:r>
        <w:rPr>
          <w:rFonts w:ascii="Amiri" w:cs="Amiri" w:eastAsia="Amiri" w:hAnsi="Amiri"/>
          <w:b w:val="false"/>
          <w:bCs w:val="false"/>
          <w:i w:val="false"/>
          <w:iCs w:val="false"/>
          <w:color w:val="181410"/>
          <w:sz w:val="22"/>
          <w:szCs w:val="22"/>
          <w:rtl/>
        </w:rPr>
        <w:t xml:space="preserve"> — للإمام مالك بن أنس رحمه الله.</w:t>
      </w:r>
    </w:p>
    <w:p>
      <w:pPr>
        <w:pStyle w:val="Heading3"/>
        <w:bidi/>
        <w:spacing w:after="120" w:before="260"/>
        <w:jc w:val="right"/>
      </w:pPr>
      <w:bookmarkStart w:name="bm_6" w:id="1052"/>
      <w:r>
        <w:rPr>
          <w:rFonts w:ascii="Aref Ruqaa" w:cs="Aref Ruqaa" w:eastAsia="Aref Ruqaa" w:hAnsi="Aref Ruqaa"/>
          <w:b/>
          <w:bCs/>
          <w:i w:val="false"/>
          <w:iCs w:val="false"/>
          <w:color w:val="0D2143"/>
          <w:sz w:val="23"/>
          <w:szCs w:val="23"/>
          <w:rtl/>
        </w:rPr>
        <w:t xml:space="preserve">مصادر ومراجع أخرى استُفيد منها في إعداد الكتاب</w:t>
      </w:r>
      <w:bookmarkEnd w:id="1052"/>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الاعتصام — الإمام الشاطبي رحمه الله.</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تلبيس إبليس — ابن الجوزي رحمه الله.</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جامع العلوم والحكم — ابن رجب الحنبلي رحمه الله.</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اقتضاء الصراط المستقيم لمخالفة أصحاب الجحيم — شيخ الإسلام ابن تيمية رحمه الله.</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الإبانة عن شريعة الفرقة الناجية ومجانبة الفرق المذمومة — ابن بطة العكبري رحمه الله.</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فتح الباري في شرح صحيح البخاري — الحافظ ابن حجر العسقلاني رحمه الله.</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صحيح البخاري — الإمام البخاري رحمه الله.</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صحيح مسلم — الإمام مسلم رحمه الله.</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مجموع الفتاوى — شيخ الإسلام ابن تيمية رحمه الله.</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سنن الدارمي — الإمام الدارمي رحمه الله.</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شرح السنة — الإمام البربهاري رحمه الله.</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المدخل إلى السنن الكبرى — الإمام البيهقي رحمه الله.</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الكامل في ضعفاء الرجال — ابن عدي الجرجاني رحمه الله.</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الرسالة — الإمام الشافعي رحمه الله.</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الفصل في الملل والأهواء والنحل — ابن حزم الأندلسي رحمه الله.</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درء تعارض العقل والنقل — شيخ الإسلام ابن تيمية رحمه الله.</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الباعث الحثيث شرح اختصار علوم الحديث — الحافظ ابن كثير رحمه الله.</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التبيان في أقسام القرآن — ابن القيم الجوزية رحمه الله.</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السنن الكبرى — الإمام النسائي رحمه الله.</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العلل ومعرفة الرجال — الإمام أحمد بن حنبل رحمه الله.</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الأربعون النووية — الإمام النووي رحمه الله.</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السنن الصغرى (المجتبى) — الإمام النسائي رحمه الله.</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الموافقات — الإمام الشاطبي رحمه الله.</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الحوادث والبدع — الإمام الطرطوشي رحمه الله.</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التوحيد — الإمام ابن خزيمة رحمه الله.</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إعلام الموقعين عن رب العالمين — ابن القيم الجوزية رحمه الله.</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حلية الأولياء وطبقات الأصفياء — أبو نعيم الأصبهاني رحمه الله.</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صفة الصفوة — ابن الجوزي رحمه الله.</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الشريعة — الإمام أبي بكر الآجري رحمه الله.</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المغني في فقه الإمام أحمد — ابن قدامة المقدسي رحمه الله.</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المنهاج في شرح صحيح مسلم بن الحجاج — الإمام النووي رحمه الله.</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الروض الأنف في تفسير السيرة النبوية لابن هشام — السهيلي رحمه الله.</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السنة — عبد الله بن الإمام أحمد بن حنبل رحمهما الله.</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العقيدة الطحاوية، وشرحها لابن أبي العز — الإمام الطحاوي رحمه الله.</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معارج القبول بشرح سلم الوصول — الشيخ حافظ حكمي رحمه الله.</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الإحكام في أصول الأحكام — ابن حزم الأندلسي رحمه الله.</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الأصول من علم الأصول — الشيخ ابن عثيمين رحمه الله.</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تاريخ بغداد — الخطيب البغدادي رحمه الله.</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الفوائد — ابن القيم الجوزية رحمه الله.</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روضة الطالبين وعمدة المفتين — الإمام النووي رحمه الله.</w:t>
      </w:r>
    </w:p>
    <w:p>
      <w:pPr>
        <w:pStyle w:val="Heading3"/>
        <w:bidi/>
        <w:spacing w:after="120" w:before="260"/>
        <w:jc w:val="right"/>
      </w:pPr>
      <w:bookmarkStart w:name="bm_7" w:id="1053"/>
      <w:r>
        <w:rPr>
          <w:rFonts w:ascii="Aref Ruqaa" w:cs="Aref Ruqaa" w:eastAsia="Aref Ruqaa" w:hAnsi="Aref Ruqaa"/>
          <w:b/>
          <w:bCs/>
          <w:i w:val="false"/>
          <w:iCs w:val="false"/>
          <w:color w:val="0D2143"/>
          <w:sz w:val="23"/>
          <w:szCs w:val="23"/>
          <w:rtl/>
        </w:rPr>
        <w:t xml:space="preserve">أئمة وعلماء مذكورون في الكتاب</w:t>
      </w:r>
      <w:bookmarkEnd w:id="1053"/>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الإمام أحمد بن حنبل، والإمام مالك بن أنس، والإمام الشافعي، والإمام أبو حنيفة النعمان.</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شيخ الإسلام ابن تيمية، وابن القيم الجوزية، والحافظ ابن كثير، والحافظ ابن حجر العسقلاني.</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عبد الله بن مسعود، وعمر بن الخطاب، وأبو بكر الصديق، وسعيد بن المسيب، وعائشة رضي الله عنهم أجمعين.</w:t>
      </w:r>
    </w:p>
    <w:tbl>
      <w:tblPr>
        <w:tblW w:type="pct" w:w="100%"/>
        <w:tblBorders>
          <w:top w:val="single" w:color="C39A3C" w:sz="6"/>
          <w:left w:val="single" w:color="C39A3C" w:sz="24"/>
          <w:bottom w:val="single" w:color="C39A3C" w:sz="6"/>
          <w:right w:val="single" w:color="C39A3C" w:sz="6"/>
          <w:insideH w:val="single" w:color="auto" w:sz="4"/>
          <w:insideV w:val="single" w:color="auto" w:sz="4"/>
        </w:tblBorders>
      </w:tblPr>
      <w:tblGrid>
        <w:gridCol w:w="100"/>
      </w:tblGrid>
      <w:tr>
        <w:tc>
          <w:tcPr>
            <w:shd w:fill="EFE4C9" w:val="clear"/>
            <w:tcMar>
              <w:top w:type="dxa" w:w="160"/>
              <w:left w:type="dxa" w:w="200"/>
              <w:bottom w:type="dxa" w:w="160"/>
              <w:right w:type="dxa" w:w="200"/>
            </w:tcMar>
          </w:tcPr>
          <w:p>
            <w:pPr>
              <w:bidi/>
              <w:spacing w:after="0" w:before="0" w:line="300"/>
              <w:jc w:val="both"/>
            </w:pPr>
            <w:r>
              <w:rPr>
                <w:rFonts w:ascii="Amiri" w:cs="Amiri" w:eastAsia="Amiri" w:hAnsi="Amiri"/>
                <w:b w:val="false"/>
                <w:bCs w:val="false"/>
                <w:i/>
                <w:iCs/>
                <w:color w:val="6B6152"/>
                <w:sz w:val="18"/>
                <w:szCs w:val="18"/>
                <w:rtl/>
              </w:rPr>
              <w:t xml:space="preserve">القسم الأول من هذه القائمة مستخلص من النصوص الصريحة الواردة في متن الكتاب، والقسم الثاني قائمة بمراجع علمية عامة في موضوع الكتاب استُفيد منها في إعداده. وقد صُححت فيها نسبة عنوانين إلى مؤلفيهما الصحيحين بعد المراجعة العلمية (الإبانة عن شريعة الفرقة الناجية لابن بطة العكبري لا لأبي الحسن الأشعري، وتاريخ بغداد للخطيب البغدادي)، وصُحح عنوان مؤلَّف ثالث (الحوادث والبدع للطرطوشي)، تحرياً للدقة العلمية.</w:t>
            </w:r>
          </w:p>
        </w:tc>
      </w:tr>
    </w:tbl>
    <w:p>
      <w:pPr>
        <w:spacing w:after="140"/>
      </w:pPr>
    </w:p>
    <w:p>
      <w:pPr>
        <w:spacing w:after="800"/>
      </w:pPr>
    </w:p>
    <w:p>
      <w:pPr>
        <w:bidi/>
        <w:spacing w:after="300" w:before="0" w:line="300"/>
        <w:jc w:val="center"/>
      </w:pPr>
      <w:r>
        <w:rPr>
          <w:rFonts w:ascii="Amiri Quran" w:cs="Amiri Quran" w:eastAsia="Amiri Quran" w:hAnsi="Amiri Quran"/>
          <w:b w:val="false"/>
          <w:bCs w:val="false"/>
          <w:i w:val="false"/>
          <w:iCs w:val="false"/>
          <w:color w:val="8A6A1F"/>
          <w:sz w:val="22"/>
          <w:szCs w:val="22"/>
          <w:rtl/>
        </w:rPr>
        <w:t xml:space="preserve">وَآخِرُ دَعْوَانَا أَنِ الْحَمْدُ لِلَّهِ رَبِّ الْعَالَمِينَ</w:t>
      </w:r>
    </w:p>
    <w:p>
      <w:pPr>
        <w:bidi/>
        <w:spacing w:after="260"/>
        <w:jc w:val="center"/>
      </w:pPr>
      <w:r>
        <w:rPr>
          <w:rFonts w:ascii="Aref Ruqaa" w:cs="Aref Ruqaa" w:eastAsia="Aref Ruqaa" w:hAnsi="Aref Ruqaa"/>
          <w:b/>
          <w:bCs/>
          <w:i w:val="false"/>
          <w:iCs w:val="false"/>
          <w:color w:val="0A1830"/>
          <w:sz w:val="36"/>
          <w:szCs w:val="36"/>
          <w:rtl/>
        </w:rPr>
        <w:t xml:space="preserve">تم الكتاب بحمد الله</w:t>
      </w:r>
    </w:p>
    <w:p>
      <w:pPr>
        <w:bidi/>
        <w:spacing w:after="400" w:before="0" w:line="300"/>
        <w:jc w:val="center"/>
      </w:pPr>
      <w:r>
        <w:rPr>
          <w:rFonts w:ascii="Amiri" w:cs="Amiri" w:eastAsia="Amiri" w:hAnsi="Amiri"/>
          <w:b w:val="false"/>
          <w:bCs w:val="false"/>
          <w:i w:val="false"/>
          <w:iCs w:val="false"/>
          <w:color w:val="3A3226"/>
          <w:sz w:val="20"/>
          <w:szCs w:val="20"/>
          <w:rtl/>
        </w:rPr>
        <w:t xml:space="preserve">إيضاح المحجة في حجية السنة النبوية — تأليف راجي عفو ربه الغفور أحمد بن إبراهيم السليميدراسة في حجية السنة النبوية وأدلة وجوب اتباعها ومكانتها في التشريع الإسلامي، في سبعة فصول.جامعة الملك العالمية — Al-Mulk International University</w:t>
      </w:r>
    </w:p>
    <w:p>
      <w:pPr>
        <w:bidi/>
        <w:spacing w:after="160" w:before="0" w:line="300"/>
        <w:jc w:val="center"/>
      </w:pPr>
      <w:r>
        <w:rPr>
          <w:rFonts w:ascii="Amiri" w:cs="Amiri" w:eastAsia="Amiri" w:hAnsi="Amiri"/>
          <w:b w:val="false"/>
          <w:bCs w:val="false"/>
          <w:i w:val="false"/>
          <w:iCs w:val="false"/>
          <w:color w:val="6B6152"/>
          <w:sz w:val="16"/>
          <w:szCs w:val="16"/>
          <w:rtl/>
        </w:rPr>
        <w:t xml:space="preserve">إيضاح المحجة في حجية السنة النبوية · النسخة الملكية الفاخرة · جامعة الملك العالمية · جميع الحقوق محفوظة للمؤلف</w:t>
      </w:r>
    </w:p>
    <w:p>
      <w:pPr>
        <w:spacing w:after="400"/>
      </w:pPr>
    </w:p>
    <w:p>
      <w:pPr>
        <w:bidi/>
        <w:spacing w:after="300" w:before="0" w:line="300"/>
        <w:jc w:val="center"/>
      </w:pPr>
      <w:r>
        <w:rPr>
          <w:rFonts w:ascii="Amiri" w:cs="Amiri" w:eastAsia="Amiri" w:hAnsi="Amiri"/>
          <w:b/>
          <w:bCs/>
          <w:i w:val="false"/>
          <w:iCs w:val="false"/>
          <w:color w:val="A9812A"/>
          <w:sz w:val="16"/>
          <w:szCs w:val="16"/>
          <w:rtl/>
        </w:rPr>
        <w:t xml:space="preserve">سلسلة مؤلفات الإمام أحمد بن إبراهيم السليمي · الكتاب (53)</w:t>
      </w:r>
    </w:p>
    <w:p>
      <w:pPr>
        <w:bidi/>
        <w:spacing w:after="300"/>
        <w:jc w:val="center"/>
      </w:pPr>
      <w:r>
        <w:rPr>
          <w:rFonts w:ascii="Aref Ruqaa" w:cs="Aref Ruqaa" w:eastAsia="Aref Ruqaa" w:hAnsi="Aref Ruqaa"/>
          <w:b/>
          <w:bCs/>
          <w:i w:val="false"/>
          <w:iCs w:val="false"/>
          <w:color w:val="0A1830"/>
          <w:sz w:val="34"/>
          <w:szCs w:val="34"/>
          <w:rtl/>
        </w:rPr>
        <w:t xml:space="preserve">إيضاح المحجة في حجية السنة النبوية</w:t>
      </w:r>
    </w:p>
    <w:p>
      <w:pPr>
        <w:bidi/>
        <w:spacing w:after="400" w:before="0" w:line="300"/>
        <w:jc w:val="both"/>
      </w:pPr>
      <w:r>
        <w:rPr>
          <w:rFonts w:ascii="Amiri" w:cs="Amiri" w:eastAsia="Amiri" w:hAnsi="Amiri"/>
          <w:b w:val="false"/>
          <w:bCs w:val="false"/>
          <w:i w:val="false"/>
          <w:iCs w:val="false"/>
          <w:color w:val="3A3226"/>
          <w:sz w:val="20"/>
          <w:szCs w:val="20"/>
          <w:rtl/>
        </w:rPr>
        <w:t xml:space="preserve">
      دراسة مستقلة في حجية السنة النبوية ومكانتها التشريعية، تجمع أدلة وجوب اتباعها من الكتاب والسنة وإجماع الأمة، وتبيّن أسباب اختلاف بعض الأئمة في العمل ببعض الأحاديث، وترسم منهج التعامل مع المخالفين بالحكمة والرفق، وتستعرض منهج الصحابة والتابعين في اتباع السنة وتطبيقها، وترد على الشبهات المثارة حول حجيتها في هذا العصر، وتبيّن أثرها في بناء القيم والأخلاق والتربية والقيادة، ووسائل تعزيز الالتزام بها في المجتمعات المعاصرة.
    </w:t>
      </w:r>
    </w:p>
    <w:p>
      <w:pPr>
        <w:bidi/>
        <w:spacing w:after="400" w:before="0" w:line="300"/>
        <w:jc w:val="center"/>
      </w:pPr>
      <w:r>
        <w:rPr>
          <w:rFonts w:ascii="Amiri" w:cs="Amiri" w:eastAsia="Amiri" w:hAnsi="Amiri"/>
          <w:b w:val="false"/>
          <w:bCs w:val="false"/>
          <w:i w:val="false"/>
          <w:iCs w:val="false"/>
          <w:color w:val="C39A3C"/>
          <w:sz w:val="22"/>
          <w:szCs w:val="22"/>
          <w:rtl/>
        </w:rPr>
        <w:t xml:space="preserve">۞</w:t>
      </w:r>
    </w:p>
    <w:p>
      <w:pPr>
        <w:bidi/>
        <w:spacing w:after="80" w:before="0" w:line="300"/>
        <w:jc w:val="right"/>
      </w:pPr>
      <w:r>
        <w:rPr>
          <w:rFonts w:ascii="Amiri" w:cs="Amiri" w:eastAsia="Amiri" w:hAnsi="Amiri"/>
          <w:b/>
          <w:bCs/>
          <w:i w:val="false"/>
          <w:iCs w:val="false"/>
          <w:color w:val="8A6A1F"/>
          <w:sz w:val="16"/>
          <w:szCs w:val="16"/>
          <w:rtl/>
        </w:rPr>
        <w:t xml:space="preserve">عن المؤلف</w:t>
      </w:r>
    </w:p>
    <w:p>
      <w:pPr>
        <w:bidi/>
        <w:spacing w:after="400" w:before="0" w:line="300"/>
        <w:jc w:val="both"/>
      </w:pPr>
      <w:r>
        <w:rPr>
          <w:rFonts w:ascii="Amiri" w:cs="Amiri" w:eastAsia="Amiri" w:hAnsi="Amiri"/>
          <w:b w:val="false"/>
          <w:bCs w:val="false"/>
          <w:i w:val="false"/>
          <w:iCs w:val="false"/>
          <w:color w:val="3A3226"/>
          <w:sz w:val="18"/>
          <w:szCs w:val="18"/>
          <w:rtl/>
        </w:rPr>
        <w:t xml:space="preserve">راجي عفو ربه الغفور أحمد بن إبراهيم السليمي، عُني بالتأليف في العقيدة وعلوم السنة النبوية وتقريبها لطلبة العلم وعموم المسلمين، أسأل الله أن ينفع به.</w:t>
      </w:r>
    </w:p>
    <w:p>
      <w:pPr>
        <w:bidi/>
        <w:spacing w:after="400" w:before="0" w:line="300"/>
        <w:jc w:val="center"/>
      </w:pPr>
      <w:r>
        <w:rPr>
          <w:rFonts w:ascii="Amiri" w:cs="Amiri" w:eastAsia="Amiri" w:hAnsi="Amiri"/>
          <w:b w:val="false"/>
          <w:bCs w:val="false"/>
          <w:i/>
          <w:iCs/>
          <w:color w:val="6B6152"/>
          <w:sz w:val="16"/>
          <w:szCs w:val="16"/>
          <w:rtl/>
        </w:rPr>
        <w:t xml:space="preserve">من سلسلة مؤلفات الإمام أحمد بن إبراهيم السليمي — مجموعة مصنفاته في العقيدة وعلوم القرآن الكريم والسنة النبوية.</w:t>
      </w:r>
    </w:p>
    <w:p>
      <w:pPr>
        <w:bidi/>
        <w:spacing w:after="120" w:before="0" w:line="300"/>
        <w:jc w:val="right"/>
      </w:pPr>
      <w:r>
        <w:rPr>
          <w:rFonts w:ascii="Amiri" w:cs="Amiri" w:eastAsia="Amiri" w:hAnsi="Amiri"/>
          <w:b w:val="false"/>
          <w:bCs w:val="false"/>
          <w:i w:val="false"/>
          <w:iCs w:val="false"/>
          <w:color w:val="3A3226"/>
          <w:sz w:val="18"/>
          <w:szCs w:val="18"/>
          <w:rtl/>
        </w:rPr>
        <w:t xml:space="preserve">الناشر: جامعة الملك العالمية — Al-Mulk International University</w:t>
      </w:r>
    </w:p>
    <w:p>
      <w:pPr>
        <w:bidi/>
        <w:spacing w:after="120" w:before="0" w:line="300"/>
        <w:jc w:val="right"/>
      </w:pPr>
      <w:r>
        <w:rPr>
          <w:rFonts w:ascii="Amiri" w:cs="Amiri" w:eastAsia="Amiri" w:hAnsi="Amiri"/>
          <w:b w:val="false"/>
          <w:bCs w:val="false"/>
          <w:i w:val="false"/>
          <w:iCs w:val="false"/>
          <w:color w:val="3A3226"/>
          <w:sz w:val="18"/>
          <w:szCs w:val="18"/>
          <w:rtl/>
        </w:rPr>
        <w:t xml:space="preserve">السلسلة: سلسلة مؤلفات الإمام أحمد بن إبراهيم السليمي — الكتاب (53)</w:t>
      </w:r>
    </w:p>
    <w:p>
      <w:pPr>
        <w:bidi/>
        <w:spacing w:after="120" w:before="0" w:line="300"/>
        <w:jc w:val="right"/>
      </w:pPr>
      <w:r>
        <w:rPr>
          <w:rFonts w:ascii="Amiri" w:cs="Amiri" w:eastAsia="Amiri" w:hAnsi="Amiri"/>
          <w:b w:val="false"/>
          <w:bCs w:val="false"/>
          <w:i w:val="false"/>
          <w:iCs w:val="false"/>
          <w:color w:val="3A3226"/>
          <w:sz w:val="18"/>
          <w:szCs w:val="18"/>
          <w:rtl/>
        </w:rPr>
        <w:t xml:space="preserve">الإصدار: النسخة الملكية الفاخرة</w:t>
      </w:r>
    </w:p>
    <w:p>
      <w:pPr>
        <w:bidi/>
        <w:spacing w:after="300" w:before="0" w:line="300"/>
        <w:jc w:val="center"/>
      </w:pPr>
      <w:r>
        <w:rPr>
          <w:rFonts w:ascii="Amiri" w:cs="Amiri" w:eastAsia="Amiri" w:hAnsi="Amiri"/>
          <w:b w:val="false"/>
          <w:bCs w:val="false"/>
          <w:i/>
          <w:iCs/>
          <w:color w:val="6B6152"/>
          <w:sz w:val="16"/>
          <w:szCs w:val="16"/>
          <w:rtl/>
        </w:rPr>
        <w:t xml:space="preserve">ISBN 978-1-7345678-6-1</w:t>
      </w:r>
    </w:p>
    <w:p>
      <w:pPr>
        <w:spacing w:after="160"/>
        <w:jc w:val="center"/>
      </w:pPr>
      <w:r>
        <w:drawing>
          <wp:inline distT="0" distB="0" distL="0" distR="0">
            <wp:extent cx="533400" cy="533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 cy="533400"/>
                    </a:xfrm>
                    <a:prstGeom prst="rect">
                      <a:avLst/>
                    </a:prstGeom>
                  </pic:spPr>
                </pic:pic>
              </a:graphicData>
            </a:graphic>
          </wp:inline>
        </w:drawing>
      </w:r>
    </w:p>
    <w:p>
      <w:pPr>
        <w:bidi/>
        <w:spacing w:after="200" w:before="0" w:line="300"/>
        <w:jc w:val="center"/>
      </w:pPr>
      <w:r>
        <w:rPr>
          <w:rFonts w:ascii="Amiri" w:cs="Amiri" w:eastAsia="Amiri" w:hAnsi="Amiri"/>
          <w:b/>
          <w:bCs/>
          <w:i w:val="false"/>
          <w:iCs w:val="false"/>
          <w:color w:val="8A6A1F"/>
          <w:sz w:val="18"/>
          <w:szCs w:val="18"/>
          <w:rtl/>
        </w:rPr>
        <w:t xml:space="preserve">جامعة الملك العالمية</w:t>
      </w:r>
    </w:p>
    <w:p>
      <w:pPr>
        <w:pStyle w:val="Heading1"/>
        <w:pageBreakBefore/>
        <w:bidi/>
        <w:spacing w:after="200" w:before="0"/>
        <w:jc w:val="right"/>
      </w:pPr>
      <w:bookmarkStart w:name="bm_native_index" w:id="1054"/>
      <w:r>
        <w:rPr>
          <w:rFonts w:ascii="Aref Ruqaa" w:cs="Aref Ruqaa" w:eastAsia="Aref Ruqaa" w:hAnsi="Aref Ruqaa"/>
          <w:b/>
          <w:bCs/>
          <w:i w:val="false"/>
          <w:iCs w:val="false"/>
          <w:color w:val="0D2143"/>
          <w:sz w:val="32"/>
          <w:szCs w:val="32"/>
          <w:rtl/>
        </w:rPr>
        <w:t xml:space="preserve">الفهرس التحليلي</w:t>
      </w:r>
      <w:bookmarkEnd w:id="1054"/>
    </w:p>
    <w:p>
      <w:pPr>
        <w:bidi/>
        <w:spacing w:after="110"/>
        <w:jc w:val="right"/>
      </w:pPr>
      <w:r>
        <w:rPr>
          <w:rFonts w:ascii="Amiri" w:cs="Amiri" w:eastAsia="Amiri" w:hAnsi="Amiri"/>
          <w:b w:val="false"/>
          <w:bCs w:val="false"/>
          <w:i w:val="false"/>
          <w:iCs w:val="false"/>
          <w:color w:val="3A3226"/>
          <w:sz w:val="22"/>
          <w:szCs w:val="22"/>
          <w:rtl/>
        </w:rPr>
        <w:t xml:space="preserve">المبحث الأول: دلالة القرآن الكريم على حجية السنة النبوية</w:t>
      </w:r>
      <w:r>
        <w:rPr>
          <w:rtl/>
        </w:rPr>
        <w:ptab w:alignment="left" w:relativeTo="margin" w:leader="dot"/>
      </w:r>
      <w:r>
        <w:fldChar w:fldCharType="begin" w:dirty="true"/>
        <w:instrText xml:space="preserve">PAGEREF bm_faqrah_1</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المبحث الثاني: دلالة السنة النبوية على حجية نفسها</w:t>
      </w:r>
      <w:r>
        <w:rPr>
          <w:rtl/>
        </w:rPr>
        <w:ptab w:alignment="left" w:relativeTo="margin" w:leader="dot"/>
      </w:r>
      <w:r>
        <w:fldChar w:fldCharType="begin" w:dirty="true"/>
        <w:instrText xml:space="preserve">PAGEREF bm_faqrah_2</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المبحث الثالث: إجماع الأمة وأقوال الأئمة في الاحتجاج بالسنة</w:t>
      </w:r>
      <w:r>
        <w:rPr>
          <w:rtl/>
        </w:rPr>
        <w:ptab w:alignment="left" w:relativeTo="margin" w:leader="dot"/>
      </w:r>
      <w:r>
        <w:fldChar w:fldCharType="begin" w:dirty="true"/>
        <w:instrText xml:space="preserve">PAGEREF bm_faqrah_3</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المبحث الرابع: وظيفة السنة في بيان القرآن وتفسيره وتفصيل أحكامه</w:t>
      </w:r>
      <w:r>
        <w:rPr>
          <w:rtl/>
        </w:rPr>
        <w:ptab w:alignment="left" w:relativeTo="margin" w:leader="dot"/>
      </w:r>
      <w:r>
        <w:fldChar w:fldCharType="begin" w:dirty="true"/>
        <w:instrText xml:space="preserve">PAGEREF bm_faqrah_4</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المبحث الخامس: استقلال السنة بالتشريع فيما لم يرد فيه نص قرآني</w:t>
      </w:r>
      <w:r>
        <w:rPr>
          <w:rtl/>
        </w:rPr>
        <w:ptab w:alignment="left" w:relativeTo="margin" w:leader="dot"/>
      </w:r>
      <w:r>
        <w:fldChar w:fldCharType="begin" w:dirty="true"/>
        <w:instrText xml:space="preserve">PAGEREF bm_faqrah_5</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المبحث السادس: موقف الأئمة الأربعة ومنهجهم في التعامل مع السنة</w:t>
      </w:r>
      <w:r>
        <w:rPr>
          <w:rtl/>
        </w:rPr>
        <w:ptab w:alignment="left" w:relativeTo="margin" w:leader="dot"/>
      </w:r>
      <w:r>
        <w:fldChar w:fldCharType="begin" w:dirty="true"/>
        <w:instrText xml:space="preserve">PAGEREF bm_faqrah_6</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المبحث السابع: حجية السنة على جميع المسلمين في كل عصر ومصر</w:t>
      </w:r>
      <w:r>
        <w:rPr>
          <w:rtl/>
        </w:rPr>
        <w:ptab w:alignment="left" w:relativeTo="margin" w:leader="dot"/>
      </w:r>
      <w:r>
        <w:fldChar w:fldCharType="begin" w:dirty="true"/>
        <w:instrText xml:space="preserve">PAGEREF bm_faqrah_7</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المبحث الأول: عدم بلوغ الحديث إلى الإمام</w:t>
      </w:r>
      <w:r>
        <w:rPr>
          <w:rtl/>
        </w:rPr>
        <w:ptab w:alignment="left" w:relativeTo="margin" w:leader="dot"/>
      </w:r>
      <w:r>
        <w:fldChar w:fldCharType="begin" w:dirty="true"/>
        <w:instrText xml:space="preserve">PAGEREF bm_faqrah_8</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المبحث الثاني: ضعف السند أو عدم ثبوت الحديث</w:t>
      </w:r>
      <w:r>
        <w:rPr>
          <w:rtl/>
        </w:rPr>
        <w:ptab w:alignment="left" w:relativeTo="margin" w:leader="dot"/>
      </w:r>
      <w:r>
        <w:fldChar w:fldCharType="begin" w:dirty="true"/>
        <w:instrText xml:space="preserve">PAGEREF bm_faqrah_9</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المبحث الثالث: معارضة الحديث لما هو أقوى منه سندًا أو دلالة</w:t>
      </w:r>
      <w:r>
        <w:rPr>
          <w:rtl/>
        </w:rPr>
        <w:ptab w:alignment="left" w:relativeTo="margin" w:leader="dot"/>
      </w:r>
      <w:r>
        <w:fldChar w:fldCharType="begin" w:dirty="true"/>
        <w:instrText xml:space="preserve">PAGEREF bm_faqrah_10</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المبحث الرابع: عدم وضوح الدلالة واشتباه المعنى</w:t>
      </w:r>
      <w:r>
        <w:rPr>
          <w:rtl/>
        </w:rPr>
        <w:ptab w:alignment="left" w:relativeTo="margin" w:leader="dot"/>
      </w:r>
      <w:r>
        <w:fldChar w:fldCharType="begin" w:dirty="true"/>
        <w:instrText xml:space="preserve">PAGEREF bm_faqrah_11</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المبحث الخامس: اشتراط شروط خاصة في تطبيق الحديث</w:t>
      </w:r>
      <w:r>
        <w:rPr>
          <w:rtl/>
        </w:rPr>
        <w:ptab w:alignment="left" w:relativeTo="margin" w:leader="dot"/>
      </w:r>
      <w:r>
        <w:fldChar w:fldCharType="begin" w:dirty="true"/>
        <w:instrText xml:space="preserve">PAGEREF bm_faqrah_12</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المبحث الأول: أهمية التمييز بين أنواع المخالفين</w:t>
      </w:r>
      <w:r>
        <w:rPr>
          <w:rtl/>
        </w:rPr>
        <w:ptab w:alignment="left" w:relativeTo="margin" w:leader="dot"/>
      </w:r>
      <w:r>
        <w:fldChar w:fldCharType="begin" w:dirty="true"/>
        <w:instrText xml:space="preserve">PAGEREF bm_faqrah_13</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المبحث الثاني: ضرورة الحكمة في التعامل مع أهل المخالفات</w:t>
      </w:r>
      <w:r>
        <w:rPr>
          <w:rtl/>
        </w:rPr>
        <w:ptab w:alignment="left" w:relativeTo="margin" w:leader="dot"/>
      </w:r>
      <w:r>
        <w:fldChar w:fldCharType="begin" w:dirty="true"/>
        <w:instrText xml:space="preserve">PAGEREF bm_faqrah_14</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المبحث الثالث: تحري الحكمة في النصيحة والدعوة</w:t>
      </w:r>
      <w:r>
        <w:rPr>
          <w:rtl/>
        </w:rPr>
        <w:ptab w:alignment="left" w:relativeTo="margin" w:leader="dot"/>
      </w:r>
      <w:r>
        <w:fldChar w:fldCharType="begin" w:dirty="true"/>
        <w:instrText xml:space="preserve">PAGEREF bm_faqrah_15</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المبحث الرابع: توجيه المخالف بالرفق وتقديم الأدلة المقنعة</w:t>
      </w:r>
      <w:r>
        <w:rPr>
          <w:rtl/>
        </w:rPr>
        <w:ptab w:alignment="left" w:relativeTo="margin" w:leader="dot"/>
      </w:r>
      <w:r>
        <w:fldChar w:fldCharType="begin" w:dirty="true"/>
        <w:instrText xml:space="preserve">PAGEREF bm_faqrah_16</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المبحث الخامس: تفهم دوافع المخالفين والتماس الأعذار لمن لم يتعمد المخالفة</w:t>
      </w:r>
      <w:r>
        <w:rPr>
          <w:rtl/>
        </w:rPr>
        <w:ptab w:alignment="left" w:relativeTo="margin" w:leader="dot"/>
      </w:r>
      <w:r>
        <w:fldChar w:fldCharType="begin" w:dirty="true"/>
        <w:instrText xml:space="preserve">PAGEREF bm_faqrah_17</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المبحث الأول: التزام الصحابة رضي الله عنهم بالسنة النبوية وأثره في صيانة الشريعة</w:t>
      </w:r>
      <w:r>
        <w:rPr>
          <w:rtl/>
        </w:rPr>
        <w:ptab w:alignment="left" w:relativeTo="margin" w:leader="dot"/>
      </w:r>
      <w:r>
        <w:fldChar w:fldCharType="begin" w:dirty="true"/>
        <w:instrText xml:space="preserve">PAGEREF bm_faqrah_18</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المبحث الثاني: السنة النبوية مرجعًا أساسيًا للصحابة في الفتوى والقضاء</w:t>
      </w:r>
      <w:r>
        <w:rPr>
          <w:rtl/>
        </w:rPr>
        <w:ptab w:alignment="left" w:relativeTo="margin" w:leader="dot"/>
      </w:r>
      <w:r>
        <w:fldChar w:fldCharType="begin" w:dirty="true"/>
        <w:instrText xml:space="preserve">PAGEREF bm_faqrah_19</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المبحث الثالث: نقل التابعين للسنة النبوية وحفظهم إياها</w:t>
      </w:r>
      <w:r>
        <w:rPr>
          <w:rtl/>
        </w:rPr>
        <w:ptab w:alignment="left" w:relativeTo="margin" w:leader="dot"/>
      </w:r>
      <w:r>
        <w:fldChar w:fldCharType="begin" w:dirty="true"/>
        <w:instrText xml:space="preserve">PAGEREF bm_faqrah_20</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المبحث الرابع: أثر التزام السلف بالسنة في توحيد الأمة وتماسكها</w:t>
      </w:r>
      <w:r>
        <w:rPr>
          <w:rtl/>
        </w:rPr>
        <w:ptab w:alignment="left" w:relativeTo="margin" w:leader="dot"/>
      </w:r>
      <w:r>
        <w:fldChar w:fldCharType="begin" w:dirty="true"/>
        <w:instrText xml:space="preserve">PAGEREF bm_faqrah_21</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المبحث الخامس: جهود العلماء في تدوين السنة وحفظها عبر الأجيال</w:t>
      </w:r>
      <w:r>
        <w:rPr>
          <w:rtl/>
        </w:rPr>
        <w:ptab w:alignment="left" w:relativeTo="margin" w:leader="dot"/>
      </w:r>
      <w:r>
        <w:fldChar w:fldCharType="begin" w:dirty="true"/>
        <w:instrText xml:space="preserve">PAGEREF bm_faqrah_22</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المبحث الأول: شبهة الاكتفاء بالقرآن الكريم عن السنة النبوية</w:t>
      </w:r>
      <w:r>
        <w:rPr>
          <w:rtl/>
        </w:rPr>
        <w:ptab w:alignment="left" w:relativeTo="margin" w:leader="dot"/>
      </w:r>
      <w:r>
        <w:fldChar w:fldCharType="begin" w:dirty="true"/>
        <w:instrText xml:space="preserve">PAGEREF bm_faqrah_23</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المبحث الثاني: شبهة التشكيك في صحة الأحاديث النبوية وضبط رواتها</w:t>
      </w:r>
      <w:r>
        <w:rPr>
          <w:rtl/>
        </w:rPr>
        <w:ptab w:alignment="left" w:relativeTo="margin" w:leader="dot"/>
      </w:r>
      <w:r>
        <w:fldChar w:fldCharType="begin" w:dirty="true"/>
        <w:instrText xml:space="preserve">PAGEREF bm_faqrah_24</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المبحث الثالث: شبهة التعارض بين السنة والعقل</w:t>
      </w:r>
      <w:r>
        <w:rPr>
          <w:rtl/>
        </w:rPr>
        <w:ptab w:alignment="left" w:relativeTo="margin" w:leader="dot"/>
      </w:r>
      <w:r>
        <w:fldChar w:fldCharType="begin" w:dirty="true"/>
        <w:instrText xml:space="preserve">PAGEREF bm_faqrah_25</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المبحث الرابع: شبهة تناقض الأحاديث النبوية بعضها ببعض</w:t>
      </w:r>
      <w:r>
        <w:rPr>
          <w:rtl/>
        </w:rPr>
        <w:ptab w:alignment="left" w:relativeTo="margin" w:leader="dot"/>
      </w:r>
      <w:r>
        <w:fldChar w:fldCharType="begin" w:dirty="true"/>
        <w:instrText xml:space="preserve">PAGEREF bm_faqrah_26</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المبحث الخامس: شبهة تأثير الإسرائيليات في متون الأحاديث والتفسير</w:t>
      </w:r>
      <w:r>
        <w:rPr>
          <w:rtl/>
        </w:rPr>
        <w:ptab w:alignment="left" w:relativeTo="margin" w:leader="dot"/>
      </w:r>
      <w:r>
        <w:fldChar w:fldCharType="begin" w:dirty="true"/>
        <w:instrText xml:space="preserve">PAGEREF bm_faqrah_27</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المبحث الأول: دور السنة النبوية في ترسيخ القيم والأخلاق الإسلامية</w:t>
      </w:r>
      <w:r>
        <w:rPr>
          <w:rtl/>
        </w:rPr>
        <w:ptab w:alignment="left" w:relativeTo="margin" w:leader="dot"/>
      </w:r>
      <w:r>
        <w:fldChar w:fldCharType="begin" w:dirty="true"/>
        <w:instrText xml:space="preserve">PAGEREF bm_faqrah_28</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المبحث الثاني: السنة النبوية مرجعية تربوية وتعليمية</w:t>
      </w:r>
      <w:r>
        <w:rPr>
          <w:rtl/>
        </w:rPr>
        <w:ptab w:alignment="left" w:relativeTo="margin" w:leader="dot"/>
      </w:r>
      <w:r>
        <w:fldChar w:fldCharType="begin" w:dirty="true"/>
        <w:instrText xml:space="preserve">PAGEREF bm_faqrah_29</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المبحث الثالث: نموذج القيادة الحكيمة في هدي النبي ﷺ</w:t>
      </w:r>
      <w:r>
        <w:rPr>
          <w:rtl/>
        </w:rPr>
        <w:ptab w:alignment="left" w:relativeTo="margin" w:leader="dot"/>
      </w:r>
      <w:r>
        <w:fldChar w:fldCharType="begin" w:dirty="true"/>
        <w:instrText xml:space="preserve">PAGEREF bm_faqrah_30</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المبحث الأول: دور الإعلام والتقنية الحديثة في نشر السنة النبوية</w:t>
      </w:r>
      <w:r>
        <w:rPr>
          <w:rtl/>
        </w:rPr>
        <w:ptab w:alignment="left" w:relativeTo="margin" w:leader="dot"/>
      </w:r>
      <w:r>
        <w:fldChar w:fldCharType="begin" w:dirty="true"/>
        <w:instrText xml:space="preserve">PAGEREF bm_faqrah_31</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المبحث الثاني: المناهج التعليمية ودورها في تعزيز الالتزام بالسنة</w:t>
      </w:r>
      <w:r>
        <w:rPr>
          <w:rtl/>
        </w:rPr>
        <w:ptab w:alignment="left" w:relativeTo="margin" w:leader="dot"/>
      </w:r>
      <w:r>
        <w:fldChar w:fldCharType="begin" w:dirty="true"/>
        <w:instrText xml:space="preserve">PAGEREF bm_faqrah_32</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المبحث الثالث: دور المؤسسات الدينية والمجتمعية في ترسيخ السنة</w:t>
      </w:r>
      <w:r>
        <w:rPr>
          <w:rtl/>
        </w:rPr>
        <w:ptab w:alignment="left" w:relativeTo="margin" w:leader="dot"/>
      </w:r>
      <w:r>
        <w:fldChar w:fldCharType="begin" w:dirty="true"/>
        <w:instrText xml:space="preserve">PAGEREF bm_faqrah_33</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المبحث الرابع: دور البحوث العلمية في خدمة السنة النبوية</w:t>
      </w:r>
      <w:r>
        <w:rPr>
          <w:rtl/>
        </w:rPr>
        <w:ptab w:alignment="left" w:relativeTo="margin" w:leader="dot"/>
      </w:r>
      <w:r>
        <w:fldChar w:fldCharType="begin" w:dirty="true"/>
        <w:instrText xml:space="preserve">PAGEREF bm_faqrah_34</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المبحث الخامس: غرس حب السنة النبوية في نفوس الشباب</w:t>
      </w:r>
      <w:r>
        <w:rPr>
          <w:rtl/>
        </w:rPr>
        <w:ptab w:alignment="left" w:relativeTo="margin" w:leader="dot"/>
      </w:r>
      <w:r>
        <w:fldChar w:fldCharType="begin" w:dirty="true"/>
        <w:instrText xml:space="preserve">PAGEREF bm_faqrah_35</w:instrText>
        <w:fldChar w:fldCharType="end"/>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Cairo" w:cs="Cairo" w:eastAsia="Cairo" w:hAnsi="Cairo"/>
        <w:color w:val="8A6A1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jc w:val="center"/>
    </w:pPr>
    <w:r>
      <w:rPr>
        <w:rFonts w:ascii="Cairo" w:cs="Cairo" w:eastAsia="Cairo" w:hAnsi="Cairo"/>
        <w:b w:val="false"/>
        <w:bCs w:val="false"/>
        <w:i w:val="false"/>
        <w:iCs w:val="false"/>
        <w:color w:val="6B6152"/>
        <w:sz w:val="16"/>
        <w:szCs w:val="16"/>
        <w:rtl/>
      </w:rPr>
      <w:t xml:space="preserve">إيضاح المحجة في حجية السنة النبوية</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431" w:hanging="316"/>
      </w:pPr>
      <w:rPr>
        <w:color w:val="A9812A"/>
      </w:rPr>
    </w:lvl>
  </w:abstractNum>
  <w:abstractNum w:abstractNumId="3" w15:restartNumberingAfterBreak="0">
    <w:multiLevelType w:val="hybridMultilevel"/>
    <w:lvl w:ilvl="0" w15:tentative="1">
      <w:start w:val="1"/>
      <w:numFmt w:val="decimal"/>
      <w:lvlText w:val="%1."/>
      <w:lvlJc w:val="right"/>
      <w:pPr>
        <w:ind w:right="431" w:hanging="316"/>
      </w:pPr>
      <w:rPr>
        <w:b/>
        <w:bCs/>
        <w:color w:val="152C54"/>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miri" w:cs="Amiri" w:eastAsia="Amiri" w:hAnsi="Amiri"/>
        <w:color w:val="181410"/>
        <w:sz w:val="22"/>
        <w:szCs w:val="22"/>
        <w:rtl/>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jc w:val="right"/>
    </w:pPr>
    <w:rPr>
      <w:rFonts w:ascii="Aref Ruqaa" w:cs="Aref Ruqaa" w:eastAsia="Aref Ruqaa" w:hAnsi="Aref Ruqaa"/>
      <w:b/>
      <w:bCs/>
      <w:color w:val="0A1830"/>
      <w:sz w:val="32"/>
      <w:szCs w:val="32"/>
      <w:rtl/>
    </w:rPr>
  </w:style>
  <w:style w:type="paragraph" w:styleId="Heading2">
    <w:name w:val="Heading 2"/>
    <w:basedOn w:val="Normal"/>
    <w:next w:val="Normal"/>
    <w:qFormat/>
    <w:pPr>
      <w:pBdr>
        <w:bottom w:val="single" w:color="C39A3C" w:sz="8" w:space="4"/>
      </w:pBdr>
      <w:spacing w:after="140" w:before="300"/>
      <w:jc w:val="right"/>
    </w:pPr>
    <w:rPr>
      <w:rFonts w:ascii="Aref Ruqaa" w:cs="Aref Ruqaa" w:eastAsia="Aref Ruqaa" w:hAnsi="Aref Ruqaa"/>
      <w:b/>
      <w:bCs/>
      <w:color w:val="0D2143"/>
      <w:sz w:val="28"/>
      <w:szCs w:val="28"/>
      <w:rtl/>
    </w:rPr>
  </w:style>
  <w:style w:type="paragraph" w:styleId="Heading3">
    <w:name w:val="Heading 3"/>
    <w:basedOn w:val="Normal"/>
    <w:next w:val="Normal"/>
    <w:qFormat/>
    <w:pPr>
      <w:spacing w:after="120" w:before="260"/>
      <w:jc w:val="right"/>
    </w:pPr>
    <w:rPr>
      <w:rFonts w:ascii="Cairo" w:cs="Cairo" w:eastAsia="Cairo" w:hAnsi="Cairo"/>
      <w:b/>
      <w:bCs/>
      <w:color w:val="8A6A1F"/>
      <w:sz w:val="23"/>
      <w:szCs w:val="23"/>
      <w:rtl/>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e5483f31982fc34f4964a9d0a70230e5eede8af.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إيضاح المحجة في حجية السنة النبوية</dc:title>
  <dc:creator>أحمد بن إبراهيم السليمي</dc:creator>
  <dc:description>إيضاح المحجة في حجية السنة النبوية — تأليف راجي عفو ربه الغفور أحمد بن إبراهيم السليمي</dc:description>
  <cp:lastModifiedBy>Un-named</cp:lastModifiedBy>
  <cp:revision>1</cp:revision>
  <dcterms:created xsi:type="dcterms:W3CDTF">2026-07-31T16:40:01.617Z</dcterms:created>
  <dcterms:modified xsi:type="dcterms:W3CDTF">2026-07-31T16:40:01.618Z</dcterms:modified>
</cp:coreProperties>
</file>

<file path=docProps/custom.xml><?xml version="1.0" encoding="utf-8"?>
<Properties xmlns="http://schemas.openxmlformats.org/officeDocument/2006/custom-properties" xmlns:vt="http://schemas.openxmlformats.org/officeDocument/2006/docPropsVTypes"/>
</file>