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0"/>
                <w:color w:val="B08625"/>
                <w:spacing w:val="14"/>
                <w:caps/>
              </w:rPr>
              <w:t>STRATEGIC IMPLEMENTATION BLUEPRINT · 2028–2050</w:t>
            </w:r>
          </w:p>
          <w:p>
            <w:pPr>
              <w:jc w:val="center"/>
              <w:spacing w:before="500" w:after="0"/>
            </w:pPr>
            <w:r>
              <w:rPr>
                <w:rFonts w:ascii="Cinzel" w:hAnsi="Cinzel"/>
                <w:b/>
                <w:color w:val="B08625"/>
                <w:sz w:val="20"/>
                <w:caps/>
                <w:spacing w:val="14"/>
              </w:rPr>
              <w:t>AL-MULK</w:t>
            </w:r>
          </w:p>
          <w:p>
            <w:pPr>
              <w:jc w:val="center"/>
              <w:spacing w:before="0" w:after="500"/>
            </w:pPr>
            <w:r>
              <w:rPr>
                <w:rFonts w:ascii="Cinzel" w:hAnsi="Cinzel"/>
                <w:b/>
                <w:color w:val="B08625"/>
                <w:sz w:val="20"/>
                <w:caps/>
                <w:spacing w:val="14"/>
              </w:rPr>
              <w:t>INTERNATIONAL UNIVERSITY</w:t>
            </w:r>
          </w:p>
          <w:p>
            <w:pPr>
              <w:jc w:val="center"/>
              <w:spacing w:before="300" w:after="100"/>
            </w:pPr>
            <w:r>
              <w:rPr>
                <w:rFonts w:ascii="Cormorant Garamond" w:hAnsi="Cormorant Garamond"/>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0"/>
                <w:caps/>
                <w:spacing w:val="14"/>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0"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0"/>
          <w:caps/>
          <w:spacing w:val="14"/>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0"/>
          <w:caps/>
          <w:spacing w:val="14"/>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0"/>
          <w:caps/>
          <w:spacing w:val="14"/>
        </w:rPr>
        <w:t xml:space="preserve">Typesetting &amp; Publication Design:</w:t>
      </w:r>
      <w:r>
        <w:t xml:space="preserve"> </w:t>
      </w:r>
      <w:r>
        <w:t xml:space="preserve">Prepared in-house by the AMIU Office of Institutional Planning, using the AMIU institutional style system (Cinzel monumental display, Cormorant Garamond editorial headings, Bitstream Charter body serif, navy/gold institutional palette).</w:t>
      </w:r>
    </w:p>
    <w:p>
      <w:pPr>
        <w:pStyle w:val="BodyText"/>
        <w:jc w:val="both"/>
      </w:pPr>
      <w:r>
        <w:rPr>
          <w:bCs/>
          <w:b/>
          <w:color w:val="B08625"/>
          <w:sz w:val="20"/>
          <w:caps/>
          <w:spacing w:val="14"/>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foreword"/>
    <w:p>
      <w:pPr>
        <w:pStyle w:val="Heading2"/>
      </w:pPr>
      <w:r>
        <w:t xml:space="preserve">Foreword</w:t>
      </w:r>
    </w:p>
    <w:p>
      <w:pPr>
        <w:pStyle w:val="FirstParagraph"/>
        <w:jc w:val="both"/>
      </w:pPr>
      <w:r>
        <w:rPr>
          <w:iCs/>
          <w:i/>
        </w:rPr>
        <w:t xml:space="preserve">By the Supreme Strategic Planning Council</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bicameral Senate with eighteen fixed seats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6"/>
    <w:bookmarkStart w:id="27" w:name="founders-message"/>
    <w:p>
      <w:pPr>
        <w:pStyle w:val="Heading2"/>
      </w:pPr>
      <w:r>
        <w:t xml:space="preserve">Founder’s Message</w:t>
      </w:r>
    </w:p>
    <w:p>
      <w:pPr>
        <w:framePr w:dropCap="drop" w:lines="3" w:wrap="around" w:vAnchor="text" w:hAnchor="text"/>
        <w:spacing w:before="0" w:after="0"/>
        <w:jc w:val="both"/>
      </w:pPr>
      <w:r>
        <w:rPr>
          <w:rFonts w:ascii="Cormorant Garamond" w:hAnsi="Cormorant Garamond"/>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BodyText"/>
        <w:jc w:val="both"/>
      </w:pPr>
      <w:r>
        <w:rPr>
          <w:iCs/>
          <w:i/>
        </w:rPr>
        <w:t xml:space="preserve">Founder &amp; Vision Architect, Al-Mulk International University</w:t>
      </w:r>
    </w:p>
    <w:p>
      <w:pPr>
        <w:jc w:val="both"/>
      </w:pPr>
      <w:r>
        <w:br w:type="page"/>
      </w:r>
    </w:p>
    <w:bookmarkEnd w:id="27"/>
    <w:bookmarkStart w:id="28" w:name="chairmans-message"/>
    <w:p>
      <w:pPr>
        <w:pStyle w:val="Heading2"/>
      </w:pPr>
      <w:r>
        <w:t xml:space="preserve">Chairman’s Message</w:t>
      </w:r>
    </w:p>
    <w:p>
      <w:pPr>
        <w:pStyle w:val="FirstParagraph"/>
        <w:jc w:val="both"/>
      </w:pPr>
      <w:r>
        <w:rPr>
          <w:iCs/>
          <w:i/>
        </w:rPr>
        <w:t xml:space="preserve">From the Chairman, Board of Trustees</w:t>
      </w:r>
    </w:p>
    <w:p>
      <w:pPr>
        <w:framePr w:dropCap="drop" w:lines="3" w:wrap="around" w:vAnchor="text" w:hAnchor="text"/>
        <w:spacing w:before="0" w:after="0"/>
        <w:jc w:val="both"/>
      </w:pPr>
      <w:r>
        <w:rPr>
          <w:rFonts w:ascii="Cormorant Garamond" w:hAnsi="Cormorant Garamond"/>
          <w:b/>
          <w:color w:val="B08625"/>
          <w:sz w:val="88"/>
        </w:rPr>
        <w:t>T</w:t>
      </w:r>
    </w:p>
    <w:p>
      <w:pPr>
        <w:pStyle w:val="BodyText"/>
        <w:jc w:val="both"/>
      </w:pPr>
      <w:r>
        <w:t xml:space="preserve">he Board of Trustees holds a narrow but consequential mandate under AMIU’s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BodyText"/>
        <w:jc w:val="both"/>
      </w:pPr>
      <w:r>
        <w:rPr>
          <w:iCs/>
          <w:i/>
        </w:rPr>
        <w:t xml:space="preserve">Chairman, Board of Trustees</w:t>
      </w:r>
    </w:p>
    <w:p>
      <w:pPr>
        <w:jc w:val="both"/>
      </w:pPr>
      <w:r>
        <w:br w:type="page"/>
      </w:r>
    </w:p>
    <w:bookmarkEnd w:id="28"/>
    <w:bookmarkStart w:id="29" w:name="presidents-message"/>
    <w:p>
      <w:pPr>
        <w:pStyle w:val="Heading2"/>
      </w:pPr>
      <w:r>
        <w:t xml:space="preserve">President’s Message</w:t>
      </w:r>
    </w:p>
    <w:p>
      <w:pPr>
        <w:pStyle w:val="FirstParagraph"/>
        <w:jc w:val="both"/>
      </w:pPr>
      <w:r>
        <w:rPr>
          <w:iCs/>
          <w:i/>
        </w:rPr>
        <w:t xml:space="preserve">From the President &amp; Vice-Chancellor</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BodyText"/>
        <w:jc w:val="both"/>
      </w:pPr>
      <w:r>
        <w:rPr>
          <w:iCs/>
          <w:i/>
        </w:rPr>
        <w:t xml:space="preserve">President &amp; Vice-Chancellor, Al-Mulk International University</w:t>
      </w:r>
    </w:p>
    <w:p>
      <w:pPr>
        <w:jc w:val="both"/>
      </w:pPr>
      <w:r>
        <w:br w:type="page"/>
      </w:r>
    </w:p>
    <w:bookmarkEnd w:id="29"/>
    <w:bookmarkStart w:id="30"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0"/>
          <w:caps/>
          <w:spacing w:val="14"/>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0"/>
    <w:bookmarkStart w:id="31"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0"/>
                <w:caps/>
                <w:spacing w:val="14"/>
              </w:rPr>
              <w:t>$3.3M</w:t>
            </w:r>
          </w:p>
          <w:p>
            <w:pPr>
              <w:spacing w:before="0" w:after="0"/>
            </w:pPr>
            <w:r>
              <w:rPr>
                <w:rFonts w:ascii="Liberation Sans" w:hAnsi="Liberation Sans"/>
                <w:color w:val="5B6372"/>
                <w:sz w:val="15"/>
                <w:spacing w:val="8"/>
              </w:rPr>
              <w:t>TEN-YEAR WAQF &amp; STAKEHOLDER RESERVE</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Financial capacity shall never be a barrier to knowledge.</w:t>
            </w:r>
          </w:p>
          <w:p>
            <w:pPr>
              <w:jc w:val="center"/>
              <w:spacing w:before="0" w:after="0"/>
            </w:pPr>
            <w:r>
              <w:rPr>
                <w:rFonts w:ascii="Liberation Sans" w:hAnsi="Liberation Sans"/>
                <w:b/>
                <w:sz w:val="20"/>
                <w:color w:val="B08625"/>
                <w:spacing w:val="14"/>
                <w:caps/>
              </w:rPr>
              <w:t>AMIU MISSION PRINCIPLE · AMIU-MP-001 § 3</w:t>
            </w:r>
          </w:p>
        </w:tc>
      </w:tr>
    </w:tbl>
    <w:p>
      <w:pPr>
        <w:jc w:val="both"/>
      </w:pPr>
      <w:r>
        <w:br w:type="page"/>
      </w:r>
    </w:p>
    <w:bookmarkEnd w:id="31"/>
    <w:bookmarkStart w:id="3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0"/>
                <w:caps/>
                <w:spacing w:val="14"/>
              </w:rPr>
              <w:t xml:space="preserve">Foreword</w:t>
            </w:r>
          </w:p>
        </w:tc>
        <w:tc>
          <w:tcPr/>
          <w:p>
            <w:pPr>
              <w:pStyle w:val="Compact"/>
              <w:jc w:val="right"/>
            </w:pPr>
            <w:r>
              <w:rPr>
                <w:bCs/>
                <w:b/>
              </w:rPr>
              <w:t xml:space="preserve">7</w:t>
            </w:r>
          </w:p>
        </w:tc>
      </w:tr>
      <w:tr>
        <w:trPr>
          <w:cantSplit/>
        </w:trPr>
        <w:tc>
          <w:tcPr/>
          <w:p>
            <w:pPr>
              <w:pStyle w:val="Compact"/>
              <w:jc w:val="left"/>
            </w:pPr>
            <w:r>
              <w:rPr>
                <w:bCs/>
                <w:b/>
                <w:color w:val="B08625"/>
                <w:sz w:val="20"/>
                <w:caps/>
                <w:spacing w:val="14"/>
              </w:rPr>
              <w:t xml:space="preserve">Founder’s Message</w:t>
            </w:r>
          </w:p>
        </w:tc>
        <w:tc>
          <w:tcPr/>
          <w:p>
            <w:pPr>
              <w:pStyle w:val="Compact"/>
              <w:jc w:val="right"/>
            </w:pPr>
            <w:r>
              <w:rPr>
                <w:bCs/>
                <w:b/>
              </w:rPr>
              <w:t xml:space="preserve">8</w:t>
            </w:r>
          </w:p>
        </w:tc>
      </w:tr>
      <w:tr>
        <w:trPr>
          <w:cantSplit/>
        </w:trPr>
        <w:tc>
          <w:tcPr/>
          <w:p>
            <w:pPr>
              <w:pStyle w:val="Compact"/>
              <w:jc w:val="left"/>
            </w:pPr>
            <w:r>
              <w:rPr>
                <w:bCs/>
                <w:b/>
                <w:color w:val="B08625"/>
                <w:sz w:val="20"/>
                <w:caps/>
                <w:spacing w:val="14"/>
              </w:rPr>
              <w:t xml:space="preserve">Chairman’s Message</w:t>
            </w:r>
          </w:p>
        </w:tc>
        <w:tc>
          <w:tcPr/>
          <w:p>
            <w:pPr>
              <w:pStyle w:val="Compact"/>
              <w:jc w:val="right"/>
            </w:pPr>
            <w:r>
              <w:rPr>
                <w:bCs/>
                <w:b/>
              </w:rPr>
              <w:t xml:space="preserve">9</w:t>
            </w:r>
          </w:p>
        </w:tc>
      </w:tr>
      <w:tr>
        <w:trPr>
          <w:cantSplit/>
        </w:trPr>
        <w:tc>
          <w:tcPr/>
          <w:p>
            <w:pPr>
              <w:pStyle w:val="Compact"/>
              <w:jc w:val="left"/>
            </w:pPr>
            <w:r>
              <w:rPr>
                <w:bCs/>
                <w:b/>
                <w:color w:val="B08625"/>
                <w:sz w:val="20"/>
                <w:caps/>
                <w:spacing w:val="14"/>
              </w:rPr>
              <w:t xml:space="preserve">President’s Message</w:t>
            </w:r>
          </w:p>
        </w:tc>
        <w:tc>
          <w:tcPr/>
          <w:p>
            <w:pPr>
              <w:pStyle w:val="Compact"/>
              <w:jc w:val="right"/>
            </w:pPr>
            <w:r>
              <w:rPr>
                <w:bCs/>
                <w:b/>
                <w:color w:val="B08625"/>
                <w:sz w:val="20"/>
                <w:caps/>
                <w:spacing w:val="14"/>
              </w:rPr>
              <w:t xml:space="preserve">10</w:t>
            </w:r>
          </w:p>
        </w:tc>
      </w:tr>
      <w:tr>
        <w:trPr>
          <w:cantSplit/>
        </w:trPr>
        <w:tc>
          <w:tcPr/>
          <w:p>
            <w:pPr>
              <w:pStyle w:val="Compact"/>
              <w:jc w:val="left"/>
            </w:pPr>
            <w:r>
              <w:rPr>
                <w:bCs/>
                <w:b/>
                <w:color w:val="B08625"/>
                <w:sz w:val="20"/>
                <w:caps/>
                <w:spacing w:val="14"/>
              </w:rPr>
              <w:t xml:space="preserve">Executive Summary</w:t>
            </w:r>
          </w:p>
        </w:tc>
        <w:tc>
          <w:tcPr/>
          <w:p>
            <w:pPr>
              <w:pStyle w:val="Compact"/>
              <w:jc w:val="right"/>
            </w:pPr>
            <w:r>
              <w:rPr>
                <w:bCs/>
                <w:b/>
                <w:color w:val="B08625"/>
                <w:sz w:val="20"/>
                <w:caps/>
                <w:spacing w:val="14"/>
              </w:rPr>
              <w:t xml:space="preserve">11</w:t>
            </w:r>
          </w:p>
        </w:tc>
      </w:tr>
      <w:tr>
        <w:trPr>
          <w:cantSplit/>
        </w:trPr>
        <w:tc>
          <w:tcPr/>
          <w:p>
            <w:pPr>
              <w:pStyle w:val="Compact"/>
              <w:jc w:val="left"/>
            </w:pPr>
            <w:r>
              <w:rPr>
                <w:bCs/>
                <w:b/>
                <w:color w:val="B08625"/>
                <w:sz w:val="20"/>
                <w:caps/>
                <w:spacing w:val="14"/>
              </w:rPr>
              <w:t xml:space="preserve">AMIU at a Glance</w:t>
            </w:r>
          </w:p>
        </w:tc>
        <w:tc>
          <w:tcPr/>
          <w:p>
            <w:pPr>
              <w:pStyle w:val="Compact"/>
              <w:jc w:val="right"/>
            </w:pPr>
            <w:r>
              <w:rPr>
                <w:bCs/>
                <w:b/>
                <w:color w:val="B08625"/>
                <w:sz w:val="20"/>
                <w:caps/>
                <w:spacing w:val="14"/>
              </w:rPr>
              <w:t xml:space="preserve">13</w:t>
            </w:r>
          </w:p>
        </w:tc>
      </w:tr>
      <w:tr>
        <w:trPr>
          <w:cantSplit/>
        </w:trPr>
        <w:tc>
          <w:tcPr/>
          <w:p>
            <w:pPr>
              <w:pStyle w:val="Compact"/>
              <w:jc w:val="left"/>
            </w:pPr>
            <w:r>
              <w:rPr>
                <w:bCs/>
                <w:b/>
                <w:color w:val="B08625"/>
                <w:sz w:val="20"/>
                <w:caps/>
                <w:spacing w:val="14"/>
              </w:rPr>
              <w:t xml:space="preserve">List of Figures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Charts</w:t>
            </w:r>
          </w:p>
        </w:tc>
        <w:tc>
          <w:tcPr/>
          <w:p>
            <w:pPr>
              <w:pStyle w:val="Compact"/>
              <w:jc w:val="right"/>
            </w:pPr>
            <w:r>
              <w:rPr>
                <w:bCs/>
                <w:b/>
                <w:color w:val="B08625"/>
                <w:sz w:val="20"/>
                <w:caps/>
                <w:spacing w:val="14"/>
              </w:rPr>
              <w:t xml:space="preserve">19</w:t>
            </w:r>
          </w:p>
        </w:tc>
      </w:tr>
      <w:tr>
        <w:trPr>
          <w:cantSplit/>
        </w:trPr>
        <w:tc>
          <w:tcPr/>
          <w:p>
            <w:pPr>
              <w:pStyle w:val="Compact"/>
              <w:jc w:val="left"/>
            </w:pPr>
            <w:r>
              <w:rPr>
                <w:bCs/>
                <w:b/>
                <w:color w:val="B08625"/>
                <w:sz w:val="20"/>
                <w:caps/>
                <w:spacing w:val="14"/>
              </w:rPr>
              <w:t xml:space="preserve">List of Diagrams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Flowcharts</w:t>
            </w:r>
          </w:p>
        </w:tc>
        <w:tc>
          <w:tcPr/>
          <w:p>
            <w:pPr>
              <w:pStyle w:val="Compact"/>
              <w:jc w:val="right"/>
            </w:pPr>
            <w:r>
              <w:rPr>
                <w:bCs/>
                <w:b/>
                <w:color w:val="B08625"/>
                <w:sz w:val="20"/>
                <w:caps/>
                <w:spacing w:val="14"/>
              </w:rPr>
              <w:t xml:space="preserve">20</w:t>
            </w:r>
          </w:p>
        </w:tc>
      </w:tr>
      <w:tr>
        <w:trPr>
          <w:cantSplit/>
        </w:trPr>
        <w:tc>
          <w:tcPr/>
          <w:p>
            <w:pPr>
              <w:pStyle w:val="Compact"/>
              <w:jc w:val="left"/>
            </w:pPr>
            <w:r>
              <w:rPr>
                <w:bCs/>
                <w:b/>
                <w:color w:val="B08625"/>
                <w:sz w:val="20"/>
                <w:caps/>
                <w:spacing w:val="14"/>
              </w:rPr>
              <w:t xml:space="preserve">List of Tables</w:t>
            </w:r>
          </w:p>
        </w:tc>
        <w:tc>
          <w:tcPr/>
          <w:p>
            <w:pPr>
              <w:pStyle w:val="Compact"/>
              <w:jc w:val="right"/>
            </w:pPr>
            <w:r>
              <w:rPr>
                <w:bCs/>
                <w:b/>
                <w:color w:val="B08625"/>
                <w:sz w:val="20"/>
                <w:caps/>
                <w:spacing w:val="14"/>
              </w:rPr>
              <w:t xml:space="preserve">21</w:t>
            </w:r>
          </w:p>
        </w:tc>
      </w:tr>
      <w:tr>
        <w:trPr>
          <w:cantSplit/>
        </w:trPr>
        <w:tc>
          <w:tcPr/>
          <w:p>
            <w:pPr>
              <w:pStyle w:val="Compact"/>
              <w:jc w:val="left"/>
            </w:pPr>
            <w:r>
              <w:rPr>
                <w:bCs/>
                <w:b/>
                <w:color w:val="B08625"/>
                <w:sz w:val="20"/>
                <w:caps/>
                <w:spacing w:val="14"/>
              </w:rPr>
              <w:t xml:space="preserve">List of Abbreviations</w:t>
            </w:r>
          </w:p>
        </w:tc>
        <w:tc>
          <w:tcPr/>
          <w:p>
            <w:pPr>
              <w:pStyle w:val="Compact"/>
              <w:jc w:val="right"/>
            </w:pPr>
            <w:r>
              <w:rPr>
                <w:bCs/>
                <w:b/>
                <w:color w:val="B08625"/>
                <w:sz w:val="20"/>
                <w:caps/>
                <w:spacing w:val="14"/>
              </w:rPr>
              <w:t xml:space="preserve">24</w:t>
            </w:r>
          </w:p>
        </w:tc>
      </w:tr>
      <w:tr>
        <w:trPr>
          <w:cantSplit/>
        </w:trPr>
        <w:tc>
          <w:tcPr/>
          <w:p>
            <w:pPr>
              <w:pStyle w:val="Compact"/>
              <w:jc w:val="left"/>
            </w:pPr>
            <w:r>
              <w:rPr>
                <w:bCs/>
                <w:b/>
                <w:color w:val="B08625"/>
                <w:sz w:val="20"/>
                <w:caps/>
                <w:spacing w:val="14"/>
              </w:rPr>
              <w:t xml:space="preserve">Glossary</w:t>
            </w:r>
          </w:p>
        </w:tc>
        <w:tc>
          <w:tcPr/>
          <w:p>
            <w:pPr>
              <w:pStyle w:val="Compact"/>
              <w:jc w:val="right"/>
            </w:pPr>
            <w:r>
              <w:rPr>
                <w:bCs/>
                <w:b/>
                <w:color w:val="B08625"/>
                <w:sz w:val="20"/>
                <w:caps/>
                <w:spacing w:val="14"/>
              </w:rPr>
              <w:t xml:space="preserve">27</w:t>
            </w:r>
          </w:p>
        </w:tc>
      </w:tr>
      <w:tr>
        <w:trPr>
          <w:cantSplit/>
        </w:trPr>
        <w:tc>
          <w:tcPr/>
          <w:p>
            <w:pPr>
              <w:pStyle w:val="Compact"/>
              <w:jc w:val="left"/>
            </w:pPr>
            <w:r>
              <w:rPr>
                <w:bCs/>
                <w:b/>
                <w:color w:val="B08625"/>
                <w:sz w:val="20"/>
                <w:caps/>
                <w:spacing w:val="14"/>
              </w:rPr>
              <w:t xml:space="preserve">Part I — Governance &amp; Institutional Foundations</w:t>
            </w:r>
          </w:p>
        </w:tc>
        <w:tc>
          <w:tcPr/>
          <w:p>
            <w:pPr>
              <w:pStyle w:val="Compact"/>
              <w:jc w:val="right"/>
            </w:pPr>
            <w:r>
              <w:rPr>
                <w:bCs/>
                <w:b/>
                <w:color w:val="B08625"/>
                <w:sz w:val="20"/>
                <w:caps/>
                <w:spacing w:val="14"/>
              </w:rPr>
              <w:t xml:space="preserve">32</w:t>
            </w:r>
          </w:p>
        </w:tc>
      </w:tr>
      <w:tr>
        <w:trPr>
          <w:cantSplit/>
        </w:trPr>
        <w:tc>
          <w:tcPr/>
          <w:p>
            <w:pPr>
              <w:pStyle w:val="Compact"/>
              <w:jc w:val="left"/>
            </w:pPr>
            <w:r>
              <w:t xml:space="preserve">    Section 1: Institutional Vision 2028–2050</w:t>
            </w:r>
          </w:p>
        </w:tc>
        <w:tc>
          <w:tcPr/>
          <w:p>
            <w:pPr>
              <w:pStyle w:val="Compact"/>
              <w:jc w:val="right"/>
            </w:pPr>
            <w:r>
              <w:t xml:space="preserve">33</w:t>
            </w:r>
          </w:p>
        </w:tc>
      </w:tr>
      <w:tr>
        <w:trPr>
          <w:cantSplit/>
        </w:trPr>
        <w:tc>
          <w:tcPr/>
          <w:p>
            <w:pPr>
              <w:pStyle w:val="Compact"/>
              <w:jc w:val="left"/>
            </w:pPr>
            <w:r>
              <w:t xml:space="preserve">    Section 2: Mission, Values, and Identity</w:t>
            </w:r>
          </w:p>
        </w:tc>
        <w:tc>
          <w:tcPr/>
          <w:p>
            <w:pPr>
              <w:pStyle w:val="Compact"/>
              <w:jc w:val="right"/>
            </w:pPr>
            <w:r>
              <w:t xml:space="preserve">37</w:t>
            </w:r>
          </w:p>
        </w:tc>
      </w:tr>
      <w:tr>
        <w:trPr>
          <w:cantSplit/>
        </w:trPr>
        <w:tc>
          <w:tcPr/>
          <w:p>
            <w:pPr>
              <w:pStyle w:val="Compact"/>
              <w:jc w:val="left"/>
            </w:pPr>
            <w:r>
              <w:t xml:space="preserve">    Section 3: Governance Framework</w:t>
            </w:r>
          </w:p>
        </w:tc>
        <w:tc>
          <w:tcPr/>
          <w:p>
            <w:pPr>
              <w:pStyle w:val="Compact"/>
              <w:jc w:val="right"/>
            </w:pPr>
            <w:r>
              <w:t xml:space="preserve">39</w:t>
            </w:r>
          </w:p>
        </w:tc>
      </w:tr>
      <w:tr>
        <w:trPr>
          <w:cantSplit/>
        </w:trPr>
        <w:tc>
          <w:tcPr/>
          <w:p>
            <w:pPr>
              <w:pStyle w:val="Compact"/>
              <w:jc w:val="left"/>
            </w:pPr>
            <w:r>
              <w:t xml:space="preserve">    Section 4: Senate Structure</w:t>
            </w:r>
          </w:p>
        </w:tc>
        <w:tc>
          <w:tcPr/>
          <w:p>
            <w:pPr>
              <w:pStyle w:val="Compact"/>
              <w:jc w:val="right"/>
            </w:pPr>
            <w:r>
              <w:t xml:space="preserve">42</w:t>
            </w:r>
          </w:p>
        </w:tc>
      </w:tr>
      <w:tr>
        <w:trPr>
          <w:cantSplit/>
        </w:trPr>
        <w:tc>
          <w:tcPr/>
          <w:p>
            <w:pPr>
              <w:pStyle w:val="Compact"/>
              <w:jc w:val="left"/>
            </w:pPr>
            <w:r>
              <w:t xml:space="preserve">    Section 5: Board Structure</w:t>
            </w:r>
          </w:p>
        </w:tc>
        <w:tc>
          <w:tcPr/>
          <w:p>
            <w:pPr>
              <w:pStyle w:val="Compact"/>
              <w:jc w:val="right"/>
            </w:pPr>
            <w:r>
              <w:t xml:space="preserve">45</w:t>
            </w:r>
          </w:p>
        </w:tc>
      </w:tr>
      <w:tr>
        <w:trPr>
          <w:cantSplit/>
        </w:trPr>
        <w:tc>
          <w:tcPr/>
          <w:p>
            <w:pPr>
              <w:pStyle w:val="Compact"/>
              <w:jc w:val="left"/>
            </w:pPr>
            <w:r>
              <w:rPr>
                <w:bCs/>
                <w:b/>
                <w:color w:val="B08625"/>
                <w:sz w:val="20"/>
                <w:caps/>
                <w:spacing w:val="14"/>
              </w:rPr>
              <w:t xml:space="preserve">Part II — Organizational &amp; Academic Structure</w:t>
            </w:r>
          </w:p>
        </w:tc>
        <w:tc>
          <w:tcPr/>
          <w:p>
            <w:pPr>
              <w:pStyle w:val="Compact"/>
              <w:jc w:val="right"/>
            </w:pPr>
            <w:r>
              <w:rPr>
                <w:bCs/>
                <w:b/>
                <w:color w:val="B08625"/>
                <w:sz w:val="20"/>
                <w:caps/>
                <w:spacing w:val="14"/>
              </w:rPr>
              <w:t xml:space="preserve">49</w:t>
            </w:r>
          </w:p>
        </w:tc>
      </w:tr>
      <w:tr>
        <w:trPr>
          <w:cantSplit/>
        </w:trPr>
        <w:tc>
          <w:tcPr/>
          <w:p>
            <w:pPr>
              <w:pStyle w:val="Compact"/>
              <w:jc w:val="left"/>
            </w:pPr>
            <w:r>
              <w:t xml:space="preserve">    Section 6: Organizational Chart</w:t>
            </w:r>
          </w:p>
        </w:tc>
        <w:tc>
          <w:tcPr/>
          <w:p>
            <w:pPr>
              <w:pStyle w:val="Compact"/>
              <w:jc w:val="right"/>
            </w:pPr>
            <w:r>
              <w:t xml:space="preserve">50</w:t>
            </w:r>
          </w:p>
        </w:tc>
      </w:tr>
      <w:tr>
        <w:trPr>
          <w:cantSplit/>
        </w:trPr>
        <w:tc>
          <w:tcPr/>
          <w:p>
            <w:pPr>
              <w:pStyle w:val="Compact"/>
              <w:jc w:val="left"/>
            </w:pPr>
            <w:r>
              <w:t xml:space="preserve">    Section 7: Academic Master Plan</w:t>
            </w:r>
          </w:p>
        </w:tc>
        <w:tc>
          <w:tcPr/>
          <w:p>
            <w:pPr>
              <w:pStyle w:val="Compact"/>
              <w:jc w:val="right"/>
            </w:pPr>
            <w:r>
              <w:t xml:space="preserve">54</w:t>
            </w:r>
          </w:p>
        </w:tc>
      </w:tr>
      <w:tr>
        <w:trPr>
          <w:cantSplit/>
        </w:trPr>
        <w:tc>
          <w:tcPr/>
          <w:p>
            <w:pPr>
              <w:pStyle w:val="Compact"/>
              <w:jc w:val="left"/>
            </w:pPr>
            <w:r>
              <w:t xml:space="preserve">    Section 8: College Structure</w:t>
            </w:r>
          </w:p>
        </w:tc>
        <w:tc>
          <w:tcPr/>
          <w:p>
            <w:pPr>
              <w:pStyle w:val="Compact"/>
              <w:jc w:val="right"/>
            </w:pPr>
            <w:r>
              <w:t xml:space="preserve">57</w:t>
            </w:r>
          </w:p>
        </w:tc>
      </w:tr>
      <w:tr>
        <w:trPr>
          <w:cantSplit/>
        </w:trPr>
        <w:tc>
          <w:tcPr/>
          <w:p>
            <w:pPr>
              <w:pStyle w:val="Compact"/>
              <w:jc w:val="left"/>
            </w:pPr>
            <w:r>
              <w:t xml:space="preserve">    Section 9: Faculty Structure</w:t>
            </w:r>
          </w:p>
        </w:tc>
        <w:tc>
          <w:tcPr/>
          <w:p>
            <w:pPr>
              <w:pStyle w:val="Compact"/>
              <w:jc w:val="right"/>
            </w:pPr>
            <w:r>
              <w:t xml:space="preserve">60</w:t>
            </w:r>
          </w:p>
        </w:tc>
      </w:tr>
      <w:tr>
        <w:trPr>
          <w:cantSplit/>
        </w:trPr>
        <w:tc>
          <w:tcPr/>
          <w:p>
            <w:pPr>
              <w:pStyle w:val="Compact"/>
              <w:jc w:val="left"/>
            </w:pPr>
            <w:r>
              <w:t xml:space="preserve">    Section 10: Department Structure</w:t>
            </w:r>
          </w:p>
        </w:tc>
        <w:tc>
          <w:tcPr/>
          <w:p>
            <w:pPr>
              <w:pStyle w:val="Compact"/>
              <w:jc w:val="right"/>
            </w:pPr>
            <w:r>
              <w:t xml:space="preserve">62</w:t>
            </w:r>
          </w:p>
        </w:tc>
      </w:tr>
      <w:tr>
        <w:trPr>
          <w:cantSplit/>
        </w:trPr>
        <w:tc>
          <w:tcPr/>
          <w:p>
            <w:pPr>
              <w:pStyle w:val="Compact"/>
              <w:jc w:val="left"/>
            </w:pPr>
            <w:r>
              <w:rPr>
                <w:bCs/>
                <w:b/>
                <w:color w:val="B08625"/>
                <w:sz w:val="20"/>
                <w:caps/>
                <w:spacing w:val="14"/>
              </w:rPr>
              <w:t xml:space="preserve">Part III — Curriculum &amp; Student Journey</w:t>
            </w:r>
          </w:p>
        </w:tc>
        <w:tc>
          <w:tcPr/>
          <w:p>
            <w:pPr>
              <w:pStyle w:val="Compact"/>
              <w:jc w:val="right"/>
            </w:pPr>
            <w:r>
              <w:rPr>
                <w:bCs/>
                <w:b/>
                <w:color w:val="B08625"/>
                <w:sz w:val="20"/>
                <w:caps/>
                <w:spacing w:val="14"/>
              </w:rPr>
              <w:t xml:space="preserve">65</w:t>
            </w:r>
          </w:p>
        </w:tc>
      </w:tr>
      <w:tr>
        <w:trPr>
          <w:cantSplit/>
        </w:trPr>
        <w:tc>
          <w:tcPr/>
          <w:p>
            <w:pPr>
              <w:pStyle w:val="Compact"/>
              <w:jc w:val="left"/>
            </w:pPr>
            <w:r>
              <w:t xml:space="preserve">    Section 11: Programme Portfolio</w:t>
            </w:r>
          </w:p>
        </w:tc>
        <w:tc>
          <w:tcPr/>
          <w:p>
            <w:pPr>
              <w:pStyle w:val="Compact"/>
              <w:jc w:val="right"/>
            </w:pPr>
            <w:r>
              <w:t xml:space="preserve">66</w:t>
            </w:r>
          </w:p>
        </w:tc>
      </w:tr>
      <w:tr>
        <w:trPr>
          <w:cantSplit/>
        </w:trPr>
        <w:tc>
          <w:tcPr/>
          <w:p>
            <w:pPr>
              <w:pStyle w:val="Compact"/>
              <w:jc w:val="left"/>
            </w:pPr>
            <w:r>
              <w:t xml:space="preserve">    Section 12: Curriculum Architecture</w:t>
            </w:r>
          </w:p>
        </w:tc>
        <w:tc>
          <w:tcPr/>
          <w:p>
            <w:pPr>
              <w:pStyle w:val="Compact"/>
              <w:jc w:val="right"/>
            </w:pPr>
            <w:r>
              <w:t xml:space="preserve">68</w:t>
            </w:r>
          </w:p>
        </w:tc>
      </w:tr>
      <w:tr>
        <w:trPr>
          <w:cantSplit/>
        </w:trPr>
        <w:tc>
          <w:tcPr/>
          <w:p>
            <w:pPr>
              <w:pStyle w:val="Compact"/>
              <w:jc w:val="left"/>
            </w:pPr>
            <w:r>
              <w:t xml:space="preserve">    Section 13: Student Journey Map</w:t>
            </w:r>
          </w:p>
        </w:tc>
        <w:tc>
          <w:tcPr/>
          <w:p>
            <w:pPr>
              <w:pStyle w:val="Compact"/>
              <w:jc w:val="right"/>
            </w:pPr>
            <w:r>
              <w:t xml:space="preserve">72</w:t>
            </w:r>
          </w:p>
        </w:tc>
      </w:tr>
      <w:tr>
        <w:trPr>
          <w:cantSplit/>
        </w:trPr>
        <w:tc>
          <w:tcPr/>
          <w:p>
            <w:pPr>
              <w:pStyle w:val="Compact"/>
              <w:jc w:val="left"/>
            </w:pPr>
            <w:r>
              <w:t xml:space="preserve">    Section 14: Admission Policies</w:t>
            </w:r>
          </w:p>
        </w:tc>
        <w:tc>
          <w:tcPr/>
          <w:p>
            <w:pPr>
              <w:pStyle w:val="Compact"/>
              <w:jc w:val="right"/>
            </w:pPr>
            <w:r>
              <w:t xml:space="preserve">75</w:t>
            </w:r>
          </w:p>
        </w:tc>
      </w:tr>
      <w:tr>
        <w:trPr>
          <w:cantSplit/>
        </w:trPr>
        <w:tc>
          <w:tcPr/>
          <w:p>
            <w:pPr>
              <w:pStyle w:val="Compact"/>
              <w:jc w:val="left"/>
            </w:pPr>
            <w:r>
              <w:t xml:space="preserve">    Section 15: Faculty Recruitment Strategy</w:t>
            </w:r>
          </w:p>
        </w:tc>
        <w:tc>
          <w:tcPr/>
          <w:p>
            <w:pPr>
              <w:pStyle w:val="Compact"/>
              <w:jc w:val="right"/>
            </w:pPr>
            <w:r>
              <w:t xml:space="preserve">78</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0"/>
                <w:caps/>
                <w:spacing w:val="14"/>
              </w:rPr>
              <w:t xml:space="preserve">82</w:t>
            </w:r>
          </w:p>
        </w:tc>
      </w:tr>
      <w:tr>
        <w:trPr>
          <w:cantSplit/>
        </w:trPr>
        <w:tc>
          <w:tcPr/>
          <w:p>
            <w:pPr>
              <w:pStyle w:val="Compact"/>
              <w:jc w:val="left"/>
            </w:pPr>
            <w:r>
              <w:t xml:space="preserve">    Section 16: Research Strategy</w:t>
            </w:r>
          </w:p>
        </w:tc>
        <w:tc>
          <w:tcPr/>
          <w:p>
            <w:pPr>
              <w:pStyle w:val="Compact"/>
              <w:jc w:val="right"/>
            </w:pPr>
            <w:r>
              <w:t xml:space="preserve">83</w:t>
            </w:r>
          </w:p>
        </w:tc>
      </w:tr>
      <w:tr>
        <w:trPr>
          <w:cantSplit/>
        </w:trPr>
        <w:tc>
          <w:tcPr/>
          <w:p>
            <w:pPr>
              <w:pStyle w:val="Compact"/>
              <w:jc w:val="left"/>
            </w:pPr>
            <w:r>
              <w:t xml:space="preserve">    Section 17: Publishing Strategy</w:t>
            </w:r>
          </w:p>
        </w:tc>
        <w:tc>
          <w:tcPr/>
          <w:p>
            <w:pPr>
              <w:pStyle w:val="Compact"/>
              <w:jc w:val="right"/>
            </w:pPr>
            <w:r>
              <w:t xml:space="preserve">85</w:t>
            </w:r>
          </w:p>
        </w:tc>
      </w:tr>
      <w:tr>
        <w:trPr>
          <w:cantSplit/>
        </w:trPr>
        <w:tc>
          <w:tcPr/>
          <w:p>
            <w:pPr>
              <w:pStyle w:val="Compact"/>
              <w:jc w:val="left"/>
            </w:pPr>
            <w:r>
              <w:t xml:space="preserve">    Section 18: Global Partnerships Strategy</w:t>
            </w:r>
          </w:p>
        </w:tc>
        <w:tc>
          <w:tcPr/>
          <w:p>
            <w:pPr>
              <w:pStyle w:val="Compact"/>
              <w:jc w:val="right"/>
            </w:pPr>
            <w:r>
              <w:t xml:space="preserve">88</w:t>
            </w:r>
          </w:p>
        </w:tc>
      </w:tr>
      <w:tr>
        <w:trPr>
          <w:cantSplit/>
        </w:trPr>
        <w:tc>
          <w:tcPr/>
          <w:p>
            <w:pPr>
              <w:pStyle w:val="Compact"/>
              <w:jc w:val="left"/>
            </w:pPr>
            <w:r>
              <w:t xml:space="preserve">    Section 19: Accreditation Roadmap</w:t>
            </w:r>
          </w:p>
        </w:tc>
        <w:tc>
          <w:tcPr/>
          <w:p>
            <w:pPr>
              <w:pStyle w:val="Compact"/>
              <w:jc w:val="right"/>
            </w:pPr>
            <w:r>
              <w:t xml:space="preserve">91</w:t>
            </w:r>
          </w:p>
        </w:tc>
      </w:tr>
      <w:tr>
        <w:trPr>
          <w:cantSplit/>
        </w:trPr>
        <w:tc>
          <w:tcPr/>
          <w:p>
            <w:pPr>
              <w:pStyle w:val="Compact"/>
              <w:jc w:val="left"/>
            </w:pPr>
            <w:r>
              <w:t xml:space="preserve">    Section 20: ISO 21001 Roadmap</w:t>
            </w:r>
          </w:p>
        </w:tc>
        <w:tc>
          <w:tcPr/>
          <w:p>
            <w:pPr>
              <w:pStyle w:val="Compact"/>
              <w:jc w:val="right"/>
            </w:pPr>
            <w:r>
              <w:t xml:space="preserve">93</w:t>
            </w:r>
          </w:p>
        </w:tc>
      </w:tr>
      <w:tr>
        <w:trPr>
          <w:cantSplit/>
        </w:trPr>
        <w:tc>
          <w:tcPr/>
          <w:p>
            <w:pPr>
              <w:pStyle w:val="Compact"/>
              <w:jc w:val="left"/>
            </w:pPr>
            <w:r>
              <w:rPr>
                <w:bCs/>
                <w:b/>
                <w:color w:val="B08625"/>
                <w:sz w:val="20"/>
                <w:caps/>
                <w:spacing w:val="14"/>
              </w:rPr>
              <w:t xml:space="preserve">Part V — Digital Infrastructure, AI &amp; Waqf Development</w:t>
            </w:r>
          </w:p>
        </w:tc>
        <w:tc>
          <w:tcPr/>
          <w:p>
            <w:pPr>
              <w:pStyle w:val="Compact"/>
              <w:jc w:val="right"/>
            </w:pPr>
            <w:r>
              <w:rPr>
                <w:bCs/>
                <w:b/>
                <w:color w:val="B08625"/>
                <w:sz w:val="20"/>
                <w:caps/>
                <w:spacing w:val="14"/>
              </w:rPr>
              <w:t xml:space="preserve">98</w:t>
            </w:r>
          </w:p>
        </w:tc>
      </w:tr>
      <w:tr>
        <w:trPr>
          <w:cantSplit/>
        </w:trPr>
        <w:tc>
          <w:tcPr/>
          <w:p>
            <w:pPr>
              <w:pStyle w:val="Compact"/>
              <w:jc w:val="left"/>
            </w:pPr>
            <w:r>
              <w:t xml:space="preserve">    Section 21: LMS Ecosystem</w:t>
            </w:r>
          </w:p>
        </w:tc>
        <w:tc>
          <w:tcPr/>
          <w:p>
            <w:pPr>
              <w:pStyle w:val="Compact"/>
              <w:jc w:val="right"/>
            </w:pPr>
            <w:r>
              <w:t xml:space="preserve">99</w:t>
            </w:r>
          </w:p>
        </w:tc>
      </w:tr>
      <w:tr>
        <w:trPr>
          <w:cantSplit/>
        </w:trPr>
        <w:tc>
          <w:tcPr/>
          <w:p>
            <w:pPr>
              <w:pStyle w:val="Compact"/>
              <w:jc w:val="left"/>
            </w:pPr>
            <w:r>
              <w:t xml:space="preserve">    Section 22: AI Strategy</w:t>
            </w:r>
          </w:p>
        </w:tc>
        <w:tc>
          <w:tcPr/>
          <w:p>
            <w:pPr>
              <w:pStyle w:val="Compact"/>
              <w:jc w:val="right"/>
            </w:pPr>
            <w:r>
              <w:t xml:space="preserve">101</w:t>
            </w:r>
          </w:p>
        </w:tc>
      </w:tr>
      <w:tr>
        <w:trPr>
          <w:cantSplit/>
        </w:trPr>
        <w:tc>
          <w:tcPr/>
          <w:p>
            <w:pPr>
              <w:pStyle w:val="Compact"/>
              <w:jc w:val="left"/>
            </w:pPr>
            <w:r>
              <w:t xml:space="preserve">    Section 23: Digital Transformation Strategy</w:t>
            </w:r>
          </w:p>
        </w:tc>
        <w:tc>
          <w:tcPr/>
          <w:p>
            <w:pPr>
              <w:pStyle w:val="Compact"/>
              <w:jc w:val="right"/>
            </w:pPr>
            <w:r>
              <w:t xml:space="preserve">104</w:t>
            </w:r>
          </w:p>
        </w:tc>
      </w:tr>
      <w:tr>
        <w:trPr>
          <w:cantSplit/>
        </w:trPr>
        <w:tc>
          <w:tcPr/>
          <w:p>
            <w:pPr>
              <w:pStyle w:val="Compact"/>
              <w:jc w:val="left"/>
            </w:pPr>
            <w:r>
              <w:t xml:space="preserve">    Section 24: Library Strategy</w:t>
            </w:r>
          </w:p>
        </w:tc>
        <w:tc>
          <w:tcPr/>
          <w:p>
            <w:pPr>
              <w:pStyle w:val="Compact"/>
              <w:jc w:val="right"/>
            </w:pPr>
            <w:r>
              <w:t xml:space="preserve">106</w:t>
            </w:r>
          </w:p>
        </w:tc>
      </w:tr>
      <w:tr>
        <w:trPr>
          <w:cantSplit/>
        </w:trPr>
        <w:tc>
          <w:tcPr/>
          <w:p>
            <w:pPr>
              <w:pStyle w:val="Compact"/>
              <w:jc w:val="left"/>
            </w:pPr>
            <w:r>
              <w:t xml:space="preserve">    Section 25: Waqf Development Strategy</w:t>
            </w:r>
          </w:p>
        </w:tc>
        <w:tc>
          <w:tcPr/>
          <w:p>
            <w:pPr>
              <w:pStyle w:val="Compact"/>
              <w:jc w:val="right"/>
            </w:pPr>
            <w:r>
              <w:t xml:space="preserve">109</w:t>
            </w:r>
          </w:p>
        </w:tc>
      </w:tr>
      <w:tr>
        <w:trPr>
          <w:cantSplit/>
        </w:trPr>
        <w:tc>
          <w:tcPr/>
          <w:p>
            <w:pPr>
              <w:pStyle w:val="Compact"/>
              <w:jc w:val="left"/>
            </w:pPr>
            <w:r>
              <w:rPr>
                <w:bCs/>
                <w:b/>
                <w:color w:val="B08625"/>
                <w:sz w:val="20"/>
                <w:caps/>
                <w:spacing w:val="14"/>
              </w:rPr>
              <w:t xml:space="preserve">Part VI — Financial Growth, Marketing &amp; Branding</w:t>
            </w:r>
          </w:p>
        </w:tc>
        <w:tc>
          <w:tcPr/>
          <w:p>
            <w:pPr>
              <w:pStyle w:val="Compact"/>
              <w:jc w:val="right"/>
            </w:pPr>
            <w:r>
              <w:rPr>
                <w:bCs/>
                <w:b/>
                <w:color w:val="B08625"/>
                <w:sz w:val="20"/>
                <w:caps/>
                <w:spacing w:val="14"/>
              </w:rPr>
              <w:t xml:space="preserve">114</w:t>
            </w:r>
          </w:p>
        </w:tc>
      </w:tr>
      <w:tr>
        <w:trPr>
          <w:cantSplit/>
        </w:trPr>
        <w:tc>
          <w:tcPr/>
          <w:p>
            <w:pPr>
              <w:pStyle w:val="Compact"/>
              <w:jc w:val="left"/>
            </w:pPr>
            <w:r>
              <w:t xml:space="preserve">    Section 26: Scholarship Strategy</w:t>
            </w:r>
          </w:p>
        </w:tc>
        <w:tc>
          <w:tcPr/>
          <w:p>
            <w:pPr>
              <w:pStyle w:val="Compact"/>
              <w:jc w:val="right"/>
            </w:pPr>
            <w:r>
              <w:t xml:space="preserve">115</w:t>
            </w:r>
          </w:p>
        </w:tc>
      </w:tr>
      <w:tr>
        <w:trPr>
          <w:cantSplit/>
        </w:trPr>
        <w:tc>
          <w:tcPr/>
          <w:p>
            <w:pPr>
              <w:pStyle w:val="Compact"/>
              <w:jc w:val="left"/>
            </w:pPr>
            <w:r>
              <w:t xml:space="preserve">    Section 27: Revenue Diversification Strategy</w:t>
            </w:r>
          </w:p>
        </w:tc>
        <w:tc>
          <w:tcPr/>
          <w:p>
            <w:pPr>
              <w:pStyle w:val="Compact"/>
              <w:jc w:val="right"/>
            </w:pPr>
            <w:r>
              <w:t xml:space="preserve">117</w:t>
            </w:r>
          </w:p>
        </w:tc>
      </w:tr>
      <w:tr>
        <w:trPr>
          <w:cantSplit/>
        </w:trPr>
        <w:tc>
          <w:tcPr/>
          <w:p>
            <w:pPr>
              <w:pStyle w:val="Compact"/>
              <w:jc w:val="left"/>
            </w:pPr>
            <w:r>
              <w:t xml:space="preserve">    Section 28: Marketing Strategy</w:t>
            </w:r>
          </w:p>
        </w:tc>
        <w:tc>
          <w:tcPr/>
          <w:p>
            <w:pPr>
              <w:pStyle w:val="Compact"/>
              <w:jc w:val="right"/>
            </w:pPr>
            <w:r>
              <w:t xml:space="preserve">119</w:t>
            </w:r>
          </w:p>
        </w:tc>
      </w:tr>
      <w:tr>
        <w:trPr>
          <w:cantSplit/>
        </w:trPr>
        <w:tc>
          <w:tcPr/>
          <w:p>
            <w:pPr>
              <w:pStyle w:val="Compact"/>
              <w:jc w:val="left"/>
            </w:pPr>
            <w:r>
              <w:t xml:space="preserve">    Section 29: Branding Strategy</w:t>
            </w:r>
          </w:p>
        </w:tc>
        <w:tc>
          <w:tcPr/>
          <w:p>
            <w:pPr>
              <w:pStyle w:val="Compact"/>
              <w:jc w:val="right"/>
            </w:pPr>
            <w:r>
              <w:t xml:space="preserve">122</w:t>
            </w:r>
          </w:p>
        </w:tc>
      </w:tr>
      <w:tr>
        <w:trPr>
          <w:cantSplit/>
        </w:trPr>
        <w:tc>
          <w:tcPr/>
          <w:p>
            <w:pPr>
              <w:pStyle w:val="Compact"/>
              <w:jc w:val="left"/>
            </w:pPr>
            <w:r>
              <w:t xml:space="preserve">    Section 30: International Expansion Strategy</w:t>
            </w:r>
          </w:p>
        </w:tc>
        <w:tc>
          <w:tcPr/>
          <w:p>
            <w:pPr>
              <w:pStyle w:val="Compact"/>
              <w:jc w:val="right"/>
            </w:pPr>
            <w:r>
              <w:t xml:space="preserve">124</w:t>
            </w:r>
          </w:p>
        </w:tc>
      </w:tr>
      <w:tr>
        <w:trPr>
          <w:cantSplit/>
        </w:trPr>
        <w:tc>
          <w:tcPr/>
          <w:p>
            <w:pPr>
              <w:pStyle w:val="Compact"/>
              <w:jc w:val="left"/>
            </w:pPr>
            <w:r>
              <w:rPr>
                <w:bCs/>
                <w:b/>
                <w:color w:val="B08625"/>
                <w:sz w:val="20"/>
                <w:caps/>
                <w:spacing w:val="14"/>
              </w:rPr>
              <w:t xml:space="preserve">Part VII — Regional Campuses &amp; Student Lifecycle</w:t>
            </w:r>
          </w:p>
        </w:tc>
        <w:tc>
          <w:tcPr/>
          <w:p>
            <w:pPr>
              <w:pStyle w:val="Compact"/>
              <w:jc w:val="right"/>
            </w:pPr>
            <w:r>
              <w:rPr>
                <w:bCs/>
                <w:b/>
                <w:color w:val="B08625"/>
                <w:sz w:val="20"/>
                <w:caps/>
                <w:spacing w:val="14"/>
              </w:rPr>
              <w:t xml:space="preserve">128</w:t>
            </w:r>
          </w:p>
        </w:tc>
      </w:tr>
      <w:tr>
        <w:trPr>
          <w:cantSplit/>
        </w:trPr>
        <w:tc>
          <w:tcPr/>
          <w:p>
            <w:pPr>
              <w:pStyle w:val="Compact"/>
              <w:jc w:val="left"/>
            </w:pPr>
            <w:r>
              <w:t xml:space="preserve">    Section 31: Nigeria Campus Strategy</w:t>
            </w:r>
          </w:p>
        </w:tc>
        <w:tc>
          <w:tcPr/>
          <w:p>
            <w:pPr>
              <w:pStyle w:val="Compact"/>
              <w:jc w:val="right"/>
            </w:pPr>
            <w:r>
              <w:t xml:space="preserve">129</w:t>
            </w:r>
          </w:p>
        </w:tc>
      </w:tr>
      <w:tr>
        <w:trPr>
          <w:cantSplit/>
        </w:trPr>
        <w:tc>
          <w:tcPr/>
          <w:p>
            <w:pPr>
              <w:pStyle w:val="Compact"/>
              <w:jc w:val="left"/>
            </w:pPr>
            <w:r>
              <w:t xml:space="preserve">    Section 32: Gulf Cooperation Strategy</w:t>
            </w:r>
          </w:p>
        </w:tc>
        <w:tc>
          <w:tcPr/>
          <w:p>
            <w:pPr>
              <w:pStyle w:val="Compact"/>
              <w:jc w:val="right"/>
            </w:pPr>
            <w:r>
              <w:t xml:space="preserve">131</w:t>
            </w:r>
          </w:p>
        </w:tc>
      </w:tr>
      <w:tr>
        <w:trPr>
          <w:cantSplit/>
        </w:trPr>
        <w:tc>
          <w:tcPr/>
          <w:p>
            <w:pPr>
              <w:pStyle w:val="Compact"/>
              <w:jc w:val="left"/>
            </w:pPr>
            <w:r>
              <w:t xml:space="preserve">    Section 33: Student Support Framework</w:t>
            </w:r>
          </w:p>
        </w:tc>
        <w:tc>
          <w:tcPr/>
          <w:p>
            <w:pPr>
              <w:pStyle w:val="Compact"/>
              <w:jc w:val="right"/>
            </w:pPr>
            <w:r>
              <w:t xml:space="preserve">134</w:t>
            </w:r>
          </w:p>
        </w:tc>
      </w:tr>
      <w:tr>
        <w:trPr>
          <w:cantSplit/>
        </w:trPr>
        <w:tc>
          <w:tcPr/>
          <w:p>
            <w:pPr>
              <w:pStyle w:val="Compact"/>
              <w:jc w:val="left"/>
            </w:pPr>
            <w:r>
              <w:t xml:space="preserve">    Section 34: Alumni Framework</w:t>
            </w:r>
          </w:p>
        </w:tc>
        <w:tc>
          <w:tcPr/>
          <w:p>
            <w:pPr>
              <w:pStyle w:val="Compact"/>
              <w:jc w:val="right"/>
            </w:pPr>
            <w:r>
              <w:t xml:space="preserve">136</w:t>
            </w:r>
          </w:p>
        </w:tc>
      </w:tr>
      <w:tr>
        <w:trPr>
          <w:cantSplit/>
        </w:trPr>
        <w:tc>
          <w:tcPr/>
          <w:p>
            <w:pPr>
              <w:pStyle w:val="Compact"/>
              <w:jc w:val="left"/>
            </w:pPr>
            <w:r>
              <w:t xml:space="preserve">    Section 35: Career Development Framework</w:t>
            </w:r>
          </w:p>
        </w:tc>
        <w:tc>
          <w:tcPr/>
          <w:p>
            <w:pPr>
              <w:pStyle w:val="Compact"/>
              <w:jc w:val="right"/>
            </w:pPr>
            <w:r>
              <w:t xml:space="preserve">138</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0"/>
                <w:caps/>
                <w:spacing w:val="14"/>
              </w:rPr>
              <w:t xml:space="preserve">142</w:t>
            </w:r>
          </w:p>
        </w:tc>
      </w:tr>
      <w:tr>
        <w:trPr>
          <w:cantSplit/>
        </w:trPr>
        <w:tc>
          <w:tcPr/>
          <w:p>
            <w:pPr>
              <w:pStyle w:val="Compact"/>
              <w:jc w:val="left"/>
            </w:pPr>
            <w:r>
              <w:t xml:space="preserve">    Section 36: Risk Management Framework</w:t>
            </w:r>
          </w:p>
        </w:tc>
        <w:tc>
          <w:tcPr/>
          <w:p>
            <w:pPr>
              <w:pStyle w:val="Compact"/>
              <w:jc w:val="right"/>
            </w:pPr>
            <w:r>
              <w:t xml:space="preserve">143</w:t>
            </w:r>
          </w:p>
        </w:tc>
      </w:tr>
      <w:tr>
        <w:trPr>
          <w:cantSplit/>
        </w:trPr>
        <w:tc>
          <w:tcPr/>
          <w:p>
            <w:pPr>
              <w:pStyle w:val="Compact"/>
              <w:jc w:val="left"/>
            </w:pPr>
            <w:r>
              <w:t xml:space="preserve">    Section 37: Compliance Framework</w:t>
            </w:r>
          </w:p>
        </w:tc>
        <w:tc>
          <w:tcPr/>
          <w:p>
            <w:pPr>
              <w:pStyle w:val="Compact"/>
              <w:jc w:val="right"/>
            </w:pPr>
            <w:r>
              <w:t xml:space="preserve">148</w:t>
            </w:r>
          </w:p>
        </w:tc>
      </w:tr>
      <w:tr>
        <w:trPr>
          <w:cantSplit/>
        </w:trPr>
        <w:tc>
          <w:tcPr/>
          <w:p>
            <w:pPr>
              <w:pStyle w:val="Compact"/>
              <w:jc w:val="left"/>
            </w:pPr>
            <w:r>
              <w:t xml:space="preserve">    Section 38: Financial Sustainability Framework</w:t>
            </w:r>
          </w:p>
        </w:tc>
        <w:tc>
          <w:tcPr/>
          <w:p>
            <w:pPr>
              <w:pStyle w:val="Compact"/>
              <w:jc w:val="right"/>
            </w:pPr>
            <w:r>
              <w:t xml:space="preserve">152</w:t>
            </w:r>
          </w:p>
        </w:tc>
      </w:tr>
      <w:tr>
        <w:trPr>
          <w:cantSplit/>
        </w:trPr>
        <w:tc>
          <w:tcPr/>
          <w:p>
            <w:pPr>
              <w:pStyle w:val="Compact"/>
              <w:jc w:val="left"/>
            </w:pPr>
            <w:r>
              <w:t xml:space="preserve">    Section 39: Capital Development Framework</w:t>
            </w:r>
          </w:p>
        </w:tc>
        <w:tc>
          <w:tcPr/>
          <w:p>
            <w:pPr>
              <w:pStyle w:val="Compact"/>
              <w:jc w:val="right"/>
            </w:pPr>
            <w:r>
              <w:t xml:space="preserve">157</w:t>
            </w:r>
          </w:p>
        </w:tc>
      </w:tr>
      <w:tr>
        <w:trPr>
          <w:cantSplit/>
        </w:trPr>
        <w:tc>
          <w:tcPr/>
          <w:p>
            <w:pPr>
              <w:pStyle w:val="Compact"/>
              <w:jc w:val="left"/>
            </w:pPr>
            <w:r>
              <w:t xml:space="preserve">    Section 40: Twenty-Year Strategic Roadmap</w:t>
            </w:r>
          </w:p>
        </w:tc>
        <w:tc>
          <w:tcPr/>
          <w:p>
            <w:pPr>
              <w:pStyle w:val="Compact"/>
              <w:jc w:val="right"/>
            </w:pPr>
            <w:r>
              <w:t xml:space="preserve">162</w:t>
            </w:r>
          </w:p>
        </w:tc>
      </w:tr>
      <w:tr>
        <w:trPr>
          <w:cantSplit/>
        </w:trPr>
        <w:tc>
          <w:tcPr/>
          <w:p>
            <w:pPr>
              <w:pStyle w:val="Compact"/>
              <w:jc w:val="left"/>
            </w:pPr>
            <w:r>
              <w:t xml:space="preserve">    Section 41: Founding Access &amp; Waqf-First Strategy</w:t>
            </w:r>
          </w:p>
        </w:tc>
        <w:tc>
          <w:tcPr/>
          <w:p>
            <w:pPr>
              <w:pStyle w:val="Compact"/>
              <w:jc w:val="right"/>
            </w:pPr>
            <w:r>
              <w:t xml:space="preserve">167</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0"/>
                <w:caps/>
                <w:spacing w:val="14"/>
              </w:rPr>
              <w:t xml:space="preserve">178</w:t>
            </w:r>
          </w:p>
        </w:tc>
      </w:tr>
      <w:tr>
        <w:trPr>
          <w:cantSplit/>
        </w:trPr>
        <w:tc>
          <w:tcPr/>
          <w:p>
            <w:pPr>
              <w:pStyle w:val="Compact"/>
              <w:jc w:val="left"/>
            </w:pPr>
            <w:r>
              <w:rPr>
                <w:bCs/>
                <w:b/>
                <w:color w:val="B08625"/>
                <w:sz w:val="20"/>
                <w:caps/>
                <w:spacing w:val="14"/>
              </w:rPr>
              <w:t xml:space="preserve">Appendix B — Master Plan Exhibit Checklist</w:t>
            </w:r>
          </w:p>
        </w:tc>
        <w:tc>
          <w:tcPr/>
          <w:p>
            <w:pPr>
              <w:pStyle w:val="Compact"/>
              <w:jc w:val="right"/>
            </w:pPr>
            <w:r>
              <w:rPr>
                <w:bCs/>
                <w:b/>
                <w:color w:val="B08625"/>
                <w:sz w:val="20"/>
                <w:caps/>
                <w:spacing w:val="14"/>
              </w:rPr>
              <w:t xml:space="preserve">179</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0"/>
                <w:caps/>
                <w:spacing w:val="14"/>
              </w:rPr>
              <w:t xml:space="preserve">180</w:t>
            </w:r>
          </w:p>
        </w:tc>
      </w:tr>
      <w:tr>
        <w:trPr>
          <w:cantSplit/>
        </w:trPr>
        <w:tc>
          <w:tcPr/>
          <w:p>
            <w:pPr>
              <w:pStyle w:val="Compact"/>
              <w:jc w:val="left"/>
            </w:pPr>
            <w:r>
              <w:rPr>
                <w:bCs/>
                <w:b/>
                <w:color w:val="B08625"/>
                <w:sz w:val="20"/>
                <w:caps/>
                <w:spacing w:val="14"/>
              </w:rPr>
              <w:t xml:space="preserve">Appendix D — Programme Catalog Reference</w:t>
            </w:r>
          </w:p>
        </w:tc>
        <w:tc>
          <w:tcPr/>
          <w:p>
            <w:pPr>
              <w:pStyle w:val="Compact"/>
              <w:jc w:val="right"/>
            </w:pPr>
            <w:r>
              <w:rPr>
                <w:bCs/>
                <w:b/>
                <w:color w:val="B08625"/>
                <w:sz w:val="20"/>
                <w:caps/>
                <w:spacing w:val="14"/>
              </w:rPr>
              <w:t xml:space="preserve">181</w:t>
            </w:r>
          </w:p>
        </w:tc>
      </w:tr>
      <w:tr>
        <w:trPr>
          <w:cantSplit/>
        </w:trPr>
        <w:tc>
          <w:tcPr/>
          <w:p>
            <w:pPr>
              <w:pStyle w:val="Compact"/>
              <w:jc w:val="left"/>
            </w:pPr>
            <w:r>
              <w:rPr>
                <w:bCs/>
                <w:b/>
                <w:color w:val="B08625"/>
                <w:sz w:val="20"/>
                <w:caps/>
                <w:spacing w:val="14"/>
              </w:rPr>
              <w:t xml:space="preserve">References</w:t>
            </w:r>
          </w:p>
        </w:tc>
        <w:tc>
          <w:tcPr/>
          <w:p>
            <w:pPr>
              <w:pStyle w:val="Compact"/>
              <w:jc w:val="right"/>
            </w:pPr>
            <w:r>
              <w:rPr>
                <w:bCs/>
                <w:b/>
                <w:color w:val="B08625"/>
                <w:sz w:val="20"/>
                <w:caps/>
                <w:spacing w:val="14"/>
              </w:rPr>
              <w:t xml:space="preserve">182</w:t>
            </w:r>
          </w:p>
        </w:tc>
      </w:tr>
      <w:tr>
        <w:trPr>
          <w:cantSplit/>
        </w:trPr>
        <w:tc>
          <w:tcPr/>
          <w:p>
            <w:pPr>
              <w:pStyle w:val="Compact"/>
              <w:jc w:val="left"/>
            </w:pPr>
            <w:r>
              <w:rPr>
                <w:bCs/>
                <w:b/>
                <w:color w:val="B08625"/>
                <w:sz w:val="20"/>
                <w:caps/>
                <w:spacing w:val="14"/>
              </w:rPr>
              <w:t xml:space="preserve">Index</w:t>
            </w:r>
          </w:p>
        </w:tc>
        <w:tc>
          <w:tcPr/>
          <w:p>
            <w:pPr>
              <w:pStyle w:val="Compact"/>
              <w:jc w:val="right"/>
            </w:pPr>
            <w:r>
              <w:rPr>
                <w:bCs/>
                <w:b/>
                <w:color w:val="B08625"/>
                <w:sz w:val="20"/>
                <w:caps/>
                <w:spacing w:val="14"/>
              </w:rPr>
              <w:t xml:space="preserve">184</w:t>
            </w:r>
          </w:p>
        </w:tc>
      </w:tr>
    </w:tbl>
    <w:p>
      <w:pPr>
        <w:jc w:val="both"/>
      </w:pPr>
      <w:r>
        <w:br w:type="page"/>
      </w:r>
    </w:p>
    <w:bookmarkEnd w:id="32"/>
    <w:bookmarkStart w:id="33"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3"/>
    <w:bookmarkStart w:id="34" w:name="list-of-charts"/>
    <w:p>
      <w:pPr>
        <w:pStyle w:val="Heading2"/>
      </w:pPr>
      <w:r>
        <w:t xml:space="preserve">List of Charts</w:t>
      </w:r>
    </w:p>
    <w:p>
      <w:pPr>
        <w:pStyle w:val="FirstParagraph"/>
        <w:jc w:val="bot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Organisational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5"/>
    <w:bookmarkStart w:id="36"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6"/>
    <w:bookmarkStart w:id="37" w:name="list-of-tables"/>
    <w:p>
      <w:pPr>
        <w:pStyle w:val="Heading2"/>
      </w:pPr>
      <w:r>
        <w:t xml:space="preserve">List of Tables</w:t>
      </w:r>
    </w:p>
    <w:p>
      <w:pPr>
        <w:pStyle w:val="FirstParagraph"/>
        <w:jc w:val="both"/>
      </w:pPr>
      <w:r>
        <w:t xml:space="preserve">This Blueprint contains 89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pPr>
        <w:jc w:val="both"/>
      </w:pPr>
      <w:r>
        <w:br w:type="page"/>
      </w:r>
    </w:p>
    <w:bookmarkEnd w:id="37"/>
    <w:bookmarkStart w:id="38"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Programme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8"/>
    <w:bookmarkStart w:id="39"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pPr>
        <w:jc w:val="both"/>
      </w:pPr>
      <w:r>
        <w:br w:type="page"/>
      </w:r>
    </w:p>
    <w:bookmarkEnd w:id="39"/>
    <w:bookmarkEnd w:id="40"/>
    <w:bookmarkStart w:id="11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Cinzel" w:hAnsi="Cinzel"/>
                <w:color w:val="B08625"/>
                <w:b/>
                <w:sz w:val="108"/>
              </w:rPr>
              <w:t>I</w:t>
            </w:r>
          </w:p>
          <w:p>
            <w:pPr>
              <w:spacing w:before="120" w:after="80"/>
            </w:pPr>
            <w:r>
              <w:rPr>
                <w:rFonts w:ascii="Cormorant Garamond" w:hAnsi="Cormorant Garamond"/>
                <w:b/>
                <w:color w:val="B08625"/>
                <w:sz w:val="20"/>
                <w:caps/>
                <w:spacing w:val="14"/>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Cormorant Garamond" w:hAnsi="Cormorant Garamond"/>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01 </w:t>
            </w:r>
            <w:r>
              <w:rPr>
                <w:rFonts w:ascii="Liberation Sans" w:hAnsi="Liberation Sans"/>
                <w:color w:val="FFFFFF"/>
                <w:sz w:val="20"/>
              </w:rPr>
              <w:t>Institutional Vision 2028–2050</w:t>
            </w:r>
          </w:p>
          <w:p>
            <w:pPr>
              <w:spacing w:before="0" w:after="130"/>
            </w:pPr>
            <w:r>
              <w:rPr>
                <w:rFonts w:ascii="Cinzel" w:hAnsi="Cinzel"/>
                <w:b/>
                <w:color w:val="B08625"/>
                <w:sz w:val="20"/>
                <w:caps/>
                <w:spacing w:val="14"/>
              </w:rPr>
              <w:t>02 </w:t>
            </w:r>
            <w:r>
              <w:rPr>
                <w:rFonts w:ascii="Liberation Sans" w:hAnsi="Liberation Sans"/>
                <w:color w:val="FFFFFF"/>
                <w:sz w:val="20"/>
              </w:rPr>
              <w:t>Mission, Values, and Identity</w:t>
            </w:r>
          </w:p>
          <w:p>
            <w:pPr>
              <w:spacing w:before="0" w:after="130"/>
            </w:pPr>
            <w:r>
              <w:rPr>
                <w:rFonts w:ascii="Cinzel" w:hAnsi="Cinzel"/>
                <w:b/>
                <w:color w:val="B08625"/>
                <w:sz w:val="20"/>
                <w:caps/>
                <w:spacing w:val="14"/>
              </w:rPr>
              <w:t>03 </w:t>
            </w:r>
            <w:r>
              <w:rPr>
                <w:rFonts w:ascii="Liberation Sans" w:hAnsi="Liberation Sans"/>
                <w:color w:val="FFFFFF"/>
                <w:sz w:val="20"/>
              </w:rPr>
              <w:t>Governance Framework</w:t>
            </w:r>
          </w:p>
          <w:p>
            <w:pPr>
              <w:spacing w:before="0" w:after="130"/>
            </w:pPr>
            <w:r>
              <w:rPr>
                <w:rFonts w:ascii="Cinzel" w:hAnsi="Cinzel"/>
                <w:b/>
                <w:color w:val="B08625"/>
                <w:sz w:val="20"/>
                <w:caps/>
                <w:spacing w:val="14"/>
              </w:rPr>
              <w:t>04 </w:t>
            </w:r>
            <w:r>
              <w:rPr>
                <w:rFonts w:ascii="Liberation Sans" w:hAnsi="Liberation Sans"/>
                <w:color w:val="FFFFFF"/>
                <w:sz w:val="20"/>
              </w:rPr>
              <w:t>Senate Structure</w:t>
            </w:r>
          </w:p>
          <w:p>
            <w:pPr>
              <w:spacing w:before="0" w:after="130"/>
            </w:pPr>
            <w:r>
              <w:rPr>
                <w:rFonts w:ascii="Cinzel" w:hAnsi="Cinzel"/>
                <w:b/>
                <w:color w:val="B08625"/>
                <w:sz w:val="20"/>
                <w:caps/>
                <w:spacing w:val="14"/>
              </w:rPr>
              <w:t>05 </w:t>
            </w:r>
            <w:r>
              <w:rPr>
                <w:rFonts w:ascii="Liberation Sans" w:hAnsi="Liberation Sans"/>
                <w:color w:val="FFFFFF"/>
                <w:sz w:val="20"/>
              </w:rPr>
              <w:t>Board Structure</w:t>
            </w:r>
          </w:p>
        </w:tc>
      </w:tr>
    </w:tbl>
    <w:p>
      <w:pPr>
        <w:jc w:val="both"/>
      </w:pPr>
      <w:r>
        <w:br w:type="page"/>
      </w:r>
    </w:p>
    <w:p>
      <w:pPr>
        <w:pStyle w:val="SectionKicker"/>
      </w:pPr>
      <w:r>
        <w:t xml:space="preserve">PART I · SECTION 01</w:t>
      </w:r>
    </w:p>
    <w:bookmarkStart w:id="47"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2" name="Picture"/>
            <a:graphic>
              <a:graphicData uri="http://schemas.openxmlformats.org/drawingml/2006/picture">
                <pic:pic>
                  <pic:nvPicPr>
                    <pic:cNvPr descr="assets/figures/fig02_enrollment_growth.png" id="43" name="Picture"/>
                    <pic:cNvPicPr>
                      <a:picLocks noChangeArrowheads="1" noChangeAspect="1"/>
                    </pic:cNvPicPr>
                  </pic:nvPicPr>
                  <pic:blipFill>
                    <a:blip r:embed="rId41"/>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5" name="Picture"/>
            <a:graphic>
              <a:graphicData uri="http://schemas.openxmlformats.org/drawingml/2006/picture">
                <pic:pic>
                  <pic:nvPicPr>
                    <pic:cNvPr descr="assets/figures/fig03_revenue_growth.png" id="46" name="Picture"/>
                    <pic:cNvPicPr>
                      <a:picLocks noChangeArrowheads="1" noChangeAspect="1"/>
                    </pic:cNvPicPr>
                  </pic:nvPicPr>
                  <pic:blipFill>
                    <a:blip r:embed="rId44"/>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0"/>
          <w:caps/>
          <w:spacing w:val="14"/>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jc w:val="both"/>
      </w:pPr>
      <w:r>
        <w:rPr>
          <w:bCs/>
          <w:b/>
          <w:color w:val="B08625"/>
          <w:sz w:val="20"/>
          <w:caps/>
          <w:spacing w:val="14"/>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jc w:val="both"/>
      </w:pPr>
      <w:r>
        <w:rPr>
          <w:bCs/>
          <w:b/>
          <w:color w:val="B08625"/>
          <w:sz w:val="20"/>
          <w:caps/>
          <w:spacing w:val="14"/>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0"/>
          <w:caps/>
          <w:spacing w:val="14"/>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0"/>
          <w:caps/>
          <w:spacing w:val="14"/>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0"/>
          <w:caps/>
          <w:spacing w:val="14"/>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0"/>
          <w:caps/>
          <w:spacing w:val="14"/>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0"/>
          <w:caps/>
          <w:spacing w:val="14"/>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7"/>
    <w:bookmarkStart w:id="48" w:name="section-2-mission-values-and-identity"/>
    <w:p>
      <w:pPr>
        <w:pStyle w:val="Heading2"/>
      </w:pPr>
      <w:r>
        <w:t xml:space="preserve">Section 2: Mission, Values, and Identity</w:t>
      </w:r>
    </w:p>
    <w:p>
      <w:pPr>
        <w:pStyle w:val="FirstParagraph"/>
        <w:jc w:val="both"/>
      </w:pPr>
      <w:r>
        <w:rPr>
          <w:bCs/>
          <w:b/>
          <w:color w:val="B08625"/>
          <w:sz w:val="20"/>
          <w:caps/>
          <w:spacing w:val="14"/>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0"/>
          <w:caps/>
          <w:spacing w:val="14"/>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0"/>
          <w:caps/>
          <w:spacing w:val="14"/>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0"/>
          <w:caps/>
          <w:spacing w:val="14"/>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0"/>
          <w:caps/>
          <w:spacing w:val="14"/>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0"/>
          <w:caps/>
          <w:spacing w:val="14"/>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0"/>
          <w:caps/>
          <w:spacing w:val="14"/>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0"/>
          <w:caps/>
          <w:spacing w:val="14"/>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0"/>
          <w:caps/>
          <w:spacing w:val="14"/>
        </w:rPr>
        <w:t xml:space="preserve">Measurable Success Indicators</w:t>
      </w:r>
    </w:p>
    <w:p>
      <w:pPr>
        <w:pStyle w:val="BodyText"/>
        <w:jc w:val="both"/>
      </w:pPr>
      <w:r>
        <w:t xml:space="preserve">By Year 5: documented mission-audit with no unresolved Sharī’ah-compliance exceptions. By Year 10: Tier-4/sponsored enrolment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8"/>
    <w:bookmarkStart w:id="49" w:name="section-3-governance-framework"/>
    <w:p>
      <w:pPr>
        <w:pStyle w:val="Heading2"/>
      </w:pPr>
      <w:r>
        <w:t xml:space="preserve">Section 3: Governance Framework</w:t>
      </w:r>
    </w:p>
    <w:p>
      <w:pPr>
        <w:pStyle w:val="FirstParagraph"/>
        <w:jc w:val="both"/>
      </w:pPr>
      <w:r>
        <w:rPr>
          <w:bCs/>
          <w:b/>
          <w:color w:val="B08625"/>
          <w:sz w:val="20"/>
          <w:caps/>
          <w:spacing w:val="14"/>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0"/>
          <w:caps/>
          <w:spacing w:val="14"/>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0"/>
          <w:caps/>
          <w:spacing w:val="14"/>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jc w:val="both"/>
      </w:pPr>
      <w:r>
        <w:rPr>
          <w:bCs/>
          <w:b/>
          <w:color w:val="B08625"/>
          <w:sz w:val="20"/>
          <w:caps/>
          <w:spacing w:val="14"/>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0"/>
          <w:caps/>
          <w:spacing w:val="14"/>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0"/>
          <w:caps/>
          <w:spacing w:val="14"/>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0"/>
          <w:caps/>
          <w:spacing w:val="14"/>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jc w:val="both"/>
      </w:pPr>
      <w:r>
        <w:rPr>
          <w:bCs/>
          <w:b/>
          <w:color w:val="B08625"/>
          <w:sz w:val="20"/>
          <w:caps/>
          <w:spacing w:val="14"/>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0"/>
          <w:caps/>
          <w:spacing w:val="14"/>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49"/>
    <w:bookmarkStart w:id="50" w:name="section-4-senate-structure"/>
    <w:p>
      <w:pPr>
        <w:pStyle w:val="Heading2"/>
      </w:pPr>
      <w:r>
        <w:t xml:space="preserve">Section 4: Senate Structure</w:t>
      </w:r>
    </w:p>
    <w:p>
      <w:pPr>
        <w:pStyle w:val="FirstParagraph"/>
        <w:jc w:val="both"/>
      </w:pPr>
      <w:r>
        <w:rPr>
          <w:bCs/>
          <w:b/>
          <w:color w:val="B08625"/>
          <w:sz w:val="20"/>
          <w:caps/>
          <w:spacing w:val="14"/>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0"/>
          <w:caps/>
          <w:spacing w:val="14"/>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0"/>
          <w:caps/>
          <w:spacing w:val="14"/>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jc w:val="both"/>
      </w:pPr>
      <w:r>
        <w:rPr>
          <w:bCs/>
          <w:b/>
          <w:color w:val="B08625"/>
          <w:sz w:val="20"/>
          <w:caps/>
          <w:spacing w:val="14"/>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0"/>
          <w:caps/>
          <w:spacing w:val="14"/>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0"/>
          <w:caps/>
          <w:spacing w:val="14"/>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jc w:val="both"/>
      </w:pPr>
      <w:r>
        <w:rPr>
          <w:bCs/>
          <w:b/>
          <w:color w:val="B08625"/>
          <w:sz w:val="20"/>
          <w:caps/>
          <w:spacing w:val="14"/>
        </w:rPr>
        <w:t xml:space="preserve">Implementation Phases (Target Years)</w:t>
      </w:r>
    </w:p>
    <w:p>
      <w:pPr>
        <w:pStyle w:val="BodyText"/>
        <w:jc w:val="both"/>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0"/>
          <w:caps/>
          <w:spacing w:val="14"/>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0"/>
          <w:caps/>
          <w:spacing w:val="14"/>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0"/>
          <w:caps/>
          <w:spacing w:val="14"/>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0"/>
          <w:caps/>
          <w:spacing w:val="14"/>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0"/>
          <w:caps/>
          <w:spacing w:val="14"/>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0"/>
    <w:bookmarkStart w:id="51" w:name="section-5-board-structure"/>
    <w:p>
      <w:pPr>
        <w:pStyle w:val="Heading2"/>
      </w:pPr>
      <w:r>
        <w:t xml:space="preserve">Section 5: Board Structure</w:t>
      </w:r>
    </w:p>
    <w:p>
      <w:pPr>
        <w:pStyle w:val="FirstParagraph"/>
        <w:jc w:val="both"/>
      </w:pPr>
      <w:r>
        <w:rPr>
          <w:bCs/>
          <w:b/>
          <w:color w:val="B08625"/>
          <w:sz w:val="20"/>
          <w:caps/>
          <w:spacing w:val="14"/>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0"/>
          <w:caps/>
          <w:spacing w:val="14"/>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jc w:val="both"/>
      </w:pPr>
      <w:r>
        <w:rPr>
          <w:bCs/>
          <w:b/>
          <w:color w:val="B08625"/>
          <w:sz w:val="20"/>
          <w:caps/>
          <w:spacing w:val="14"/>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0"/>
          <w:caps/>
          <w:spacing w:val="14"/>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0"/>
          <w:caps/>
          <w:spacing w:val="14"/>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0"/>
          <w:caps/>
          <w:spacing w:val="14"/>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0"/>
          <w:caps/>
          <w:spacing w:val="14"/>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0"/>
          <w:caps/>
          <w:spacing w:val="14"/>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0"/>
          <w:caps/>
          <w:spacing w:val="14"/>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Cinzel" w:hAnsi="Cinzel"/>
                <w:b/>
                <w:color w:val="B08625"/>
                <w:sz w:val="20"/>
                <w:caps/>
                <w:spacing w:val="14"/>
              </w:rPr>
              <w:t>II</w:t>
            </w:r>
          </w:p>
          <w:p>
            <w:pPr>
              <w:spacing w:before="120" w:after="80"/>
            </w:pPr>
            <w:r>
              <w:rPr>
                <w:rFonts w:ascii="Cormorant Garamond" w:hAnsi="Cormorant Garamond"/>
                <w:b/>
                <w:color w:val="B08625"/>
                <w:sz w:val="20"/>
                <w:caps/>
                <w:spacing w:val="14"/>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Cormorant Garamond" w:hAnsi="Cormorant Garamond"/>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06 </w:t>
            </w:r>
            <w:r>
              <w:rPr>
                <w:rFonts w:ascii="Liberation Sans" w:hAnsi="Liberation Sans"/>
                <w:color w:val="FFFFFF"/>
                <w:sz w:val="20"/>
              </w:rPr>
              <w:t>Organizational Chart</w:t>
            </w:r>
          </w:p>
          <w:p>
            <w:pPr>
              <w:spacing w:before="0" w:after="130"/>
            </w:pPr>
            <w:r>
              <w:rPr>
                <w:rFonts w:ascii="Cinzel" w:hAnsi="Cinzel"/>
                <w:b/>
                <w:color w:val="B08625"/>
                <w:sz w:val="20"/>
                <w:caps/>
                <w:spacing w:val="14"/>
              </w:rPr>
              <w:t>07 </w:t>
            </w:r>
            <w:r>
              <w:rPr>
                <w:rFonts w:ascii="Liberation Sans" w:hAnsi="Liberation Sans"/>
                <w:color w:val="FFFFFF"/>
                <w:sz w:val="20"/>
              </w:rPr>
              <w:t>Academic Master Plan</w:t>
            </w:r>
          </w:p>
          <w:p>
            <w:pPr>
              <w:spacing w:before="0" w:after="130"/>
            </w:pPr>
            <w:r>
              <w:rPr>
                <w:rFonts w:ascii="Cinzel" w:hAnsi="Cinzel"/>
                <w:b/>
                <w:color w:val="B08625"/>
                <w:sz w:val="20"/>
                <w:caps/>
                <w:spacing w:val="14"/>
              </w:rPr>
              <w:t>08 </w:t>
            </w:r>
            <w:r>
              <w:rPr>
                <w:rFonts w:ascii="Liberation Sans" w:hAnsi="Liberation Sans"/>
                <w:color w:val="FFFFFF"/>
                <w:sz w:val="20"/>
              </w:rPr>
              <w:t>College Structure</w:t>
            </w:r>
          </w:p>
          <w:p>
            <w:pPr>
              <w:spacing w:before="0" w:after="130"/>
            </w:pPr>
            <w:r>
              <w:rPr>
                <w:rFonts w:ascii="Cinzel" w:hAnsi="Cinzel"/>
                <w:b/>
                <w:color w:val="B08625"/>
                <w:sz w:val="20"/>
                <w:caps/>
                <w:spacing w:val="14"/>
              </w:rPr>
              <w:t>09 </w:t>
            </w:r>
            <w:r>
              <w:rPr>
                <w:rFonts w:ascii="Liberation Sans" w:hAnsi="Liberation Sans"/>
                <w:color w:val="FFFFFF"/>
                <w:sz w:val="20"/>
              </w:rPr>
              <w:t>Faculty Structure</w:t>
            </w:r>
          </w:p>
          <w:p>
            <w:pPr>
              <w:spacing w:before="0" w:after="130"/>
            </w:pPr>
            <w:r>
              <w:rPr>
                <w:rFonts w:ascii="Cinzel" w:hAnsi="Cinzel"/>
                <w:b/>
                <w:color w:val="B08625"/>
                <w:sz w:val="20"/>
                <w:caps/>
                <w:spacing w:val="14"/>
              </w:rPr>
              <w:t>10 </w:t>
            </w:r>
            <w:r>
              <w:rPr>
                <w:rFonts w:ascii="Liberation Sans" w:hAnsi="Liberation Sans"/>
                <w:color w:val="FFFFFF"/>
                <w:sz w:val="20"/>
              </w:rPr>
              <w:t>Department Structure</w:t>
            </w:r>
          </w:p>
        </w:tc>
      </w:tr>
    </w:tbl>
    <w:p>
      <w:pPr>
        <w:jc w:val="both"/>
      </w:pPr>
      <w:r>
        <w:br w:type="page"/>
      </w:r>
    </w:p>
    <w:p>
      <w:pPr>
        <w:pStyle w:val="SectionKicker"/>
      </w:pPr>
      <w:r>
        <w:t xml:space="preserve">PART II · SECTION 06</w:t>
      </w:r>
    </w:p>
    <w:bookmarkEnd w:id="51"/>
    <w:bookmarkStart w:id="55"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sational Structure" title="" id="53" name="Picture"/>
            <a:graphic>
              <a:graphicData uri="http://schemas.openxmlformats.org/drawingml/2006/picture">
                <pic:pic>
                  <pic:nvPicPr>
                    <pic:cNvPr descr="assets/figures/fig06_governance_orgchart.png" id="54" name="Picture"/>
                    <pic:cNvPicPr>
                      <a:picLocks noChangeArrowheads="1" noChangeAspect="1"/>
                    </pic:cNvPicPr>
                  </pic:nvPicPr>
                  <pic:blipFill>
                    <a:blip r:embed="rId52"/>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Organisational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0"/>
          <w:caps/>
          <w:spacing w:val="14"/>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0"/>
          <w:caps/>
          <w:spacing w:val="14"/>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0"/>
          <w:caps/>
          <w:spacing w:val="14"/>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2"/>
        </w:numPr>
        <w:pStyle w:val="Compact"/>
        <w:jc w:val="both"/>
      </w:pPr>
      <w:r>
        <w:rPr>
          <w:bCs/>
          <w:b/>
          <w:color w:val="B08625"/>
          <w:sz w:val="20"/>
          <w:caps/>
          <w:spacing w:val="14"/>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0"/>
          <w:caps/>
          <w:spacing w:val="14"/>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0"/>
          <w:caps/>
          <w:spacing w:val="14"/>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0"/>
          <w:caps/>
          <w:spacing w:val="14"/>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0"/>
          <w:caps/>
          <w:spacing w:val="14"/>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5"/>
    <w:bookmarkStart w:id="59"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7" name="Picture"/>
            <a:graphic>
              <a:graphicData uri="http://schemas.openxmlformats.org/drawingml/2006/picture">
                <pic:pic>
                  <pic:nvPicPr>
                    <pic:cNvPr descr="assets/figures/fig07_seven_tier_ladder.png" id="58" name="Picture"/>
                    <pic:cNvPicPr>
                      <a:picLocks noChangeArrowheads="1" noChangeAspect="1"/>
                    </pic:cNvPicPr>
                  </pic:nvPicPr>
                  <pic:blipFill>
                    <a:blip r:embed="rId56"/>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0"/>
          <w:caps/>
          <w:spacing w:val="14"/>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0"/>
          <w:caps/>
          <w:spacing w:val="14"/>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0"/>
          <w:caps/>
          <w:spacing w:val="14"/>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0"/>
          <w:caps/>
          <w:spacing w:val="14"/>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jc w:val="both"/>
      </w:pPr>
      <w:r>
        <w:rPr>
          <w:bCs/>
          <w:b/>
          <w:color w:val="B08625"/>
          <w:sz w:val="20"/>
          <w:caps/>
          <w:spacing w:val="14"/>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0"/>
          <w:caps/>
          <w:spacing w:val="14"/>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0"/>
          <w:caps/>
          <w:spacing w:val="14"/>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enrolments vs. 18,333 ten-year target; secular-program enrolment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3"/>
        </w:numPr>
        <w:pStyle w:val="Compact"/>
        <w:jc w:val="both"/>
      </w:pPr>
      <w:r>
        <w:rPr>
          <w:bCs/>
          <w:b/>
          <w:color w:val="B08625"/>
          <w:sz w:val="20"/>
          <w:caps/>
          <w:spacing w:val="14"/>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0"/>
          <w:caps/>
          <w:spacing w:val="14"/>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0"/>
          <w:caps/>
          <w:spacing w:val="14"/>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0"/>
          <w:caps/>
          <w:spacing w:val="14"/>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0"/>
          <w:caps/>
          <w:spacing w:val="14"/>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59"/>
    <w:bookmarkStart w:id="60" w:name="section-8-college-structure"/>
    <w:p>
      <w:pPr>
        <w:pStyle w:val="Heading2"/>
      </w:pPr>
      <w:r>
        <w:t xml:space="preserve">Section 8: College Structure</w:t>
      </w:r>
    </w:p>
    <w:p>
      <w:pPr>
        <w:pStyle w:val="FirstParagraph"/>
        <w:jc w:val="both"/>
      </w:pPr>
      <w:r>
        <w:rPr>
          <w:bCs/>
          <w:b/>
          <w:color w:val="B08625"/>
          <w:sz w:val="20"/>
          <w:caps/>
          <w:spacing w:val="14"/>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0"/>
          <w:caps/>
          <w:spacing w:val="14"/>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0"/>
          <w:caps/>
          <w:spacing w:val="14"/>
        </w:rPr>
        <w:t xml:space="preserve">Inter-College Shared Services</w:t>
      </w:r>
    </w:p>
    <w:p>
      <w:pPr>
        <w:numPr>
          <w:ilvl w:val="0"/>
          <w:numId w:val="1004"/>
        </w:numPr>
        <w:pStyle w:val="Compact"/>
        <w:jc w:val="both"/>
      </w:pPr>
      <w:r>
        <w:rPr>
          <w:bCs/>
          <w:b/>
          <w:color w:val="B08625"/>
          <w:sz w:val="20"/>
          <w:caps/>
          <w:spacing w:val="14"/>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0"/>
          <w:caps/>
          <w:spacing w:val="14"/>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jc w:val="both"/>
      </w:pPr>
      <w:r>
        <w:rPr>
          <w:bCs/>
          <w:b/>
          <w:color w:val="B08625"/>
          <w:sz w:val="20"/>
          <w:caps/>
          <w:spacing w:val="14"/>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0"/>
          <w:caps/>
          <w:spacing w:val="14"/>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enrolment share vs. Master Plan targets.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5"/>
        </w:numPr>
        <w:pStyle w:val="Compact"/>
        <w:jc w:val="both"/>
      </w:pPr>
      <w:r>
        <w:rPr>
          <w:bCs/>
          <w:b/>
          <w:color w:val="B08625"/>
          <w:sz w:val="20"/>
          <w:caps/>
          <w:spacing w:val="14"/>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0"/>
          <w:caps/>
          <w:spacing w:val="14"/>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0"/>
          <w:caps/>
          <w:spacing w:val="14"/>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0"/>
          <w:caps/>
          <w:spacing w:val="14"/>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enrolment scales.</w:t>
      </w:r>
    </w:p>
    <w:p>
      <w:pPr>
        <w:pStyle w:val="SectionKicker"/>
      </w:pPr>
      <w:r>
        <w:t xml:space="preserve">PART II · SECTION 09</w:t>
      </w:r>
    </w:p>
    <w:bookmarkEnd w:id="60"/>
    <w:bookmarkStart w:id="61" w:name="section-9-faculty-structure"/>
    <w:p>
      <w:pPr>
        <w:pStyle w:val="Heading2"/>
      </w:pPr>
      <w:r>
        <w:t xml:space="preserve">Section 9: Faculty Structure</w:t>
      </w:r>
    </w:p>
    <w:p>
      <w:pPr>
        <w:pStyle w:val="FirstParagraph"/>
        <w:jc w:val="both"/>
      </w:pPr>
      <w:r>
        <w:rPr>
          <w:bCs/>
          <w:b/>
          <w:color w:val="B08625"/>
          <w:sz w:val="20"/>
          <w:caps/>
          <w:spacing w:val="14"/>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0"/>
          <w:caps/>
          <w:spacing w:val="14"/>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0"/>
          <w:caps/>
          <w:spacing w:val="14"/>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jc w:val="both"/>
      </w:pPr>
      <w:r>
        <w:rPr>
          <w:bCs/>
          <w:b/>
          <w:color w:val="B08625"/>
          <w:sz w:val="20"/>
          <w:caps/>
          <w:spacing w:val="14"/>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0"/>
          <w:caps/>
          <w:spacing w:val="14"/>
        </w:rPr>
        <w:t xml:space="preserve">Credentialing Standards</w:t>
      </w:r>
    </w:p>
    <w:p>
      <w:pPr>
        <w:numPr>
          <w:ilvl w:val="0"/>
          <w:numId w:val="1006"/>
        </w:numPr>
        <w:pStyle w:val="Compact"/>
        <w:jc w:val="both"/>
      </w:pPr>
      <w:r>
        <w:rPr>
          <w:bCs/>
          <w:b/>
          <w:color w:val="B08625"/>
          <w:sz w:val="20"/>
          <w:caps/>
          <w:spacing w:val="14"/>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0"/>
          <w:caps/>
          <w:spacing w:val="14"/>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0"/>
          <w:caps/>
          <w:spacing w:val="14"/>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0"/>
          <w:caps/>
          <w:spacing w:val="14"/>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0"/>
          <w:caps/>
          <w:spacing w:val="14"/>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0"/>
          <w:caps/>
          <w:spacing w:val="14"/>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7"/>
        </w:numPr>
        <w:pStyle w:val="Compact"/>
        <w:jc w:val="both"/>
      </w:pPr>
      <w:r>
        <w:rPr>
          <w:bCs/>
          <w:b/>
          <w:color w:val="B08625"/>
          <w:sz w:val="20"/>
          <w:caps/>
          <w:spacing w:val="14"/>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0"/>
          <w:caps/>
          <w:spacing w:val="14"/>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0"/>
          <w:caps/>
          <w:spacing w:val="14"/>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1"/>
    <w:bookmarkStart w:id="62" w:name="section-10-department-structure"/>
    <w:p>
      <w:pPr>
        <w:pStyle w:val="Heading2"/>
      </w:pPr>
      <w:r>
        <w:t xml:space="preserve">Section 10: Department Structure</w:t>
      </w:r>
    </w:p>
    <w:p>
      <w:pPr>
        <w:pStyle w:val="FirstParagraph"/>
        <w:jc w:val="both"/>
      </w:pPr>
      <w:r>
        <w:rPr>
          <w:bCs/>
          <w:b/>
          <w:color w:val="B08625"/>
          <w:sz w:val="20"/>
          <w:caps/>
          <w:spacing w:val="14"/>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0"/>
          <w:caps/>
          <w:spacing w:val="14"/>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0"/>
          <w:caps/>
          <w:spacing w:val="14"/>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enrolment/revenue justifies one.</w:t>
      </w:r>
    </w:p>
    <w:p>
      <w:pPr>
        <w:pStyle w:val="BodyText"/>
        <w:jc w:val="both"/>
      </w:pPr>
      <w:r>
        <w:rPr>
          <w:bCs/>
          <w:b/>
          <w:color w:val="B08625"/>
          <w:sz w:val="20"/>
          <w:caps/>
          <w:spacing w:val="14"/>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enrolment share and thus larger pro-rata pools).</w:t>
      </w:r>
    </w:p>
    <w:p>
      <w:pPr>
        <w:pStyle w:val="BodyText"/>
        <w:jc w:val="both"/>
      </w:pPr>
      <w:r>
        <w:rPr>
          <w:bCs/>
          <w:b/>
          <w:color w:val="B08625"/>
          <w:sz w:val="20"/>
          <w:caps/>
          <w:spacing w:val="14"/>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0"/>
          <w:caps/>
          <w:spacing w:val="14"/>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p>
    <w:p>
      <w:pPr>
        <w:numPr>
          <w:ilvl w:val="0"/>
          <w:numId w:val="1008"/>
        </w:numPr>
        <w:pStyle w:val="Compact"/>
        <w:jc w:val="both"/>
      </w:pPr>
      <w:r>
        <w:rPr>
          <w:bCs/>
          <w:b/>
          <w:color w:val="B08625"/>
          <w:sz w:val="20"/>
          <w:caps/>
          <w:spacing w:val="14"/>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0"/>
          <w:caps/>
          <w:spacing w:val="14"/>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0"/>
          <w:caps/>
          <w:spacing w:val="14"/>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0"/>
          <w:caps/>
          <w:spacing w:val="14"/>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Cinzel" w:hAnsi="Cinzel"/>
                <w:b/>
                <w:color w:val="B08625"/>
                <w:sz w:val="20"/>
                <w:caps/>
                <w:spacing w:val="14"/>
              </w:rPr>
              <w:t>III</w:t>
            </w:r>
          </w:p>
          <w:p>
            <w:pPr>
              <w:spacing w:before="120" w:after="80"/>
            </w:pPr>
            <w:r>
              <w:rPr>
                <w:rFonts w:ascii="Cormorant Garamond" w:hAnsi="Cormorant Garamond"/>
                <w:b/>
                <w:color w:val="B08625"/>
                <w:sz w:val="20"/>
                <w:caps/>
                <w:spacing w:val="14"/>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Cormorant Garamond" w:hAnsi="Cormorant Garamond"/>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11 </w:t>
            </w:r>
            <w:r>
              <w:rPr>
                <w:rFonts w:ascii="Liberation Sans" w:hAnsi="Liberation Sans"/>
                <w:color w:val="FFFFFF"/>
                <w:sz w:val="20"/>
              </w:rPr>
              <w:t>Programme Portfolio</w:t>
            </w:r>
          </w:p>
          <w:p>
            <w:pPr>
              <w:spacing w:before="0" w:after="130"/>
            </w:pPr>
            <w:r>
              <w:rPr>
                <w:rFonts w:ascii="Cinzel" w:hAnsi="Cinzel"/>
                <w:b/>
                <w:color w:val="B08625"/>
                <w:sz w:val="20"/>
                <w:caps/>
                <w:spacing w:val="14"/>
              </w:rPr>
              <w:t>12 </w:t>
            </w:r>
            <w:r>
              <w:rPr>
                <w:rFonts w:ascii="Liberation Sans" w:hAnsi="Liberation Sans"/>
                <w:color w:val="FFFFFF"/>
                <w:sz w:val="20"/>
              </w:rPr>
              <w:t>Curriculum Architecture</w:t>
            </w:r>
          </w:p>
          <w:p>
            <w:pPr>
              <w:spacing w:before="0" w:after="130"/>
            </w:pPr>
            <w:r>
              <w:rPr>
                <w:rFonts w:ascii="Cinzel" w:hAnsi="Cinzel"/>
                <w:b/>
                <w:color w:val="B08625"/>
                <w:sz w:val="20"/>
                <w:caps/>
                <w:spacing w:val="14"/>
              </w:rPr>
              <w:t>13 </w:t>
            </w:r>
            <w:r>
              <w:rPr>
                <w:rFonts w:ascii="Liberation Sans" w:hAnsi="Liberation Sans"/>
                <w:color w:val="FFFFFF"/>
                <w:sz w:val="20"/>
              </w:rPr>
              <w:t>Student Journey Map</w:t>
            </w:r>
          </w:p>
          <w:p>
            <w:pPr>
              <w:spacing w:before="0" w:after="130"/>
            </w:pPr>
            <w:r>
              <w:rPr>
                <w:rFonts w:ascii="Cinzel" w:hAnsi="Cinzel"/>
                <w:b/>
                <w:color w:val="B08625"/>
                <w:sz w:val="20"/>
                <w:caps/>
                <w:spacing w:val="14"/>
              </w:rPr>
              <w:t>14 </w:t>
            </w:r>
            <w:r>
              <w:rPr>
                <w:rFonts w:ascii="Liberation Sans" w:hAnsi="Liberation Sans"/>
                <w:color w:val="FFFFFF"/>
                <w:sz w:val="20"/>
              </w:rPr>
              <w:t>Admission Policies</w:t>
            </w:r>
          </w:p>
          <w:p>
            <w:pPr>
              <w:spacing w:before="0" w:after="130"/>
            </w:pPr>
            <w:r>
              <w:rPr>
                <w:rFonts w:ascii="Cinzel" w:hAnsi="Cinzel"/>
                <w:b/>
                <w:color w:val="B08625"/>
                <w:sz w:val="20"/>
                <w:caps/>
                <w:spacing w:val="14"/>
              </w:rPr>
              <w:t>15 </w:t>
            </w:r>
            <w:r>
              <w:rPr>
                <w:rFonts w:ascii="Liberation Sans" w:hAnsi="Liberation Sans"/>
                <w:color w:val="FFFFFF"/>
                <w:sz w:val="20"/>
              </w:rPr>
              <w:t>Faculty Recruitment Strategy</w:t>
            </w:r>
          </w:p>
        </w:tc>
      </w:tr>
    </w:tbl>
    <w:p>
      <w:pPr>
        <w:jc w:val="both"/>
      </w:pPr>
      <w:r>
        <w:br w:type="page"/>
      </w:r>
    </w:p>
    <w:p>
      <w:pPr>
        <w:pStyle w:val="SectionKicker"/>
      </w:pPr>
      <w:r>
        <w:t xml:space="preserve">PART III · SECTION 11</w:t>
      </w:r>
    </w:p>
    <w:bookmarkEnd w:id="62"/>
    <w:bookmarkStart w:id="63" w:name="section-11-programme-portfolio"/>
    <w:p>
      <w:pPr>
        <w:pStyle w:val="Heading2"/>
      </w:pPr>
      <w:r>
        <w:t xml:space="preserve">Section 11: Programme Portfolio</w:t>
      </w:r>
    </w:p>
    <w:p>
      <w:pPr>
        <w:pStyle w:val="FirstParagraph"/>
        <w:jc w:val="both"/>
      </w:pPr>
      <w:r>
        <w:rPr>
          <w:bCs/>
          <w:b/>
          <w:color w:val="B08625"/>
          <w:sz w:val="20"/>
          <w:caps/>
          <w:spacing w:val="14"/>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0"/>
          <w:caps/>
          <w:spacing w:val="14"/>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jc w:val="both"/>
      </w:pPr>
      <w:r>
        <w:rPr>
          <w:bCs/>
          <w:b/>
          <w:color w:val="B08625"/>
          <w:sz w:val="20"/>
          <w:caps/>
          <w:spacing w:val="14"/>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Programme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Programme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jc w:val="both"/>
      </w:pPr>
      <w:r>
        <w:rPr>
          <w:bCs/>
          <w:b/>
          <w:color w:val="B08625"/>
          <w:sz w:val="20"/>
          <w:caps/>
          <w:spacing w:val="14"/>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Programme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0"/>
          <w:caps/>
          <w:spacing w:val="14"/>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Programme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jc w:val="both"/>
      </w:pPr>
      <w:r>
        <w:rPr>
          <w:bCs/>
          <w:b/>
          <w:color w:val="B08625"/>
          <w:sz w:val="20"/>
          <w:caps/>
          <w:spacing w:val="14"/>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3"/>
    <w:bookmarkStart w:id="64" w:name="section-12-curriculum-architecture"/>
    <w:p>
      <w:pPr>
        <w:pStyle w:val="Heading2"/>
      </w:pPr>
      <w:r>
        <w:t xml:space="preserve">Section 12: Curriculum Architecture</w:t>
      </w:r>
    </w:p>
    <w:p>
      <w:pPr>
        <w:pStyle w:val="FirstParagraph"/>
        <w:jc w:val="both"/>
      </w:pPr>
      <w:r>
        <w:rPr>
          <w:bCs/>
          <w:b/>
          <w:color w:val="B08625"/>
          <w:sz w:val="20"/>
          <w:caps/>
          <w:spacing w:val="14"/>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0"/>
          <w:caps/>
          <w:spacing w:val="14"/>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0"/>
          <w:caps/>
          <w:spacing w:val="14"/>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0"/>
          <w:caps/>
          <w:spacing w:val="14"/>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0"/>
          <w:caps/>
          <w:spacing w:val="14"/>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0"/>
          <w:caps/>
          <w:spacing w:val="14"/>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jc w:val="both"/>
      </w:pPr>
      <w:r>
        <w:rPr>
          <w:bCs/>
          <w:b/>
          <w:color w:val="B08625"/>
          <w:sz w:val="20"/>
          <w:caps/>
          <w:spacing w:val="14"/>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0"/>
          <w:caps/>
          <w:spacing w:val="14"/>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jc w:val="both"/>
      </w:pPr>
      <w:r>
        <w:rPr>
          <w:bCs/>
          <w:b/>
          <w:color w:val="B08625"/>
          <w:sz w:val="20"/>
          <w:caps/>
          <w:spacing w:val="14"/>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0"/>
          <w:caps/>
          <w:spacing w:val="14"/>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4"/>
    <w:bookmarkStart w:id="68"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6" name="Picture"/>
            <a:graphic>
              <a:graphicData uri="http://schemas.openxmlformats.org/drawingml/2006/picture">
                <pic:pic>
                  <pic:nvPicPr>
                    <pic:cNvPr descr="assets/figures/fig09_student_journey.png" id="67" name="Picture"/>
                    <pic:cNvPicPr>
                      <a:picLocks noChangeArrowheads="1" noChangeAspect="1"/>
                    </pic:cNvPicPr>
                  </pic:nvPicPr>
                  <pic:blipFill>
                    <a:blip r:embed="rId65"/>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0"/>
          <w:caps/>
          <w:spacing w:val="14"/>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0"/>
          <w:caps/>
          <w:spacing w:val="14"/>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0"/>
          <w:caps/>
          <w:spacing w:val="14"/>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jc w:val="both"/>
      </w:pPr>
      <w:r>
        <w:rPr>
          <w:bCs/>
          <w:b/>
          <w:color w:val="B08625"/>
          <w:sz w:val="20"/>
          <w:caps/>
          <w:spacing w:val="14"/>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jc w:val="both"/>
      </w:pPr>
      <w:r>
        <w:rPr>
          <w:bCs/>
          <w:b/>
          <w:color w:val="B08625"/>
          <w:sz w:val="20"/>
          <w:caps/>
          <w:spacing w:val="14"/>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jc w:val="both"/>
      </w:pPr>
      <w:r>
        <w:rPr>
          <w:bCs/>
          <w:b/>
          <w:color w:val="B08625"/>
          <w:sz w:val="20"/>
          <w:caps/>
          <w:spacing w:val="14"/>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jc w:val="both"/>
      </w:pPr>
      <w:r>
        <w:rPr>
          <w:bCs/>
          <w:b/>
          <w:color w:val="B08625"/>
          <w:sz w:val="20"/>
          <w:caps/>
          <w:spacing w:val="14"/>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0"/>
          <w:caps/>
          <w:spacing w:val="14"/>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0"/>
          <w:caps/>
          <w:spacing w:val="14"/>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8"/>
    <w:bookmarkStart w:id="69" w:name="section-14-admission-policies"/>
    <w:p>
      <w:pPr>
        <w:pStyle w:val="Heading2"/>
      </w:pPr>
      <w:r>
        <w:t xml:space="preserve">Section 14: Admission Policies</w:t>
      </w:r>
    </w:p>
    <w:p>
      <w:pPr>
        <w:pStyle w:val="FirstParagraph"/>
        <w:jc w:val="both"/>
      </w:pPr>
      <w:r>
        <w:rPr>
          <w:bCs/>
          <w:b/>
          <w:color w:val="B08625"/>
          <w:sz w:val="20"/>
          <w:caps/>
          <w:spacing w:val="14"/>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0"/>
          <w:caps/>
          <w:spacing w:val="14"/>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jc w:val="both"/>
      </w:pPr>
      <w:r>
        <w:rPr>
          <w:bCs/>
          <w:b/>
          <w:color w:val="B08625"/>
          <w:sz w:val="20"/>
          <w:caps/>
          <w:spacing w:val="14"/>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0"/>
          <w:caps/>
          <w:spacing w:val="14"/>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0"/>
          <w:caps/>
          <w:spacing w:val="14"/>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jc w:val="both"/>
      </w:pPr>
      <w:r>
        <w:rPr>
          <w:bCs/>
          <w:b/>
          <w:color w:val="B08625"/>
          <w:sz w:val="20"/>
          <w:caps/>
          <w:spacing w:val="14"/>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jc w:val="both"/>
      </w:pPr>
      <w:r>
        <w:rPr>
          <w:bCs/>
          <w:b/>
          <w:color w:val="B08625"/>
          <w:sz w:val="20"/>
          <w:caps/>
          <w:spacing w:val="14"/>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jc w:val="both"/>
      </w:pPr>
      <w:r>
        <w:rPr>
          <w:bCs/>
          <w:b/>
          <w:color w:val="B08625"/>
          <w:sz w:val="20"/>
          <w:caps/>
          <w:spacing w:val="14"/>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0"/>
          <w:caps/>
          <w:spacing w:val="14"/>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69"/>
    <w:bookmarkStart w:id="70" w:name="section-15-faculty-recruitment-strategy"/>
    <w:p>
      <w:pPr>
        <w:pStyle w:val="Heading2"/>
      </w:pPr>
      <w:r>
        <w:t xml:space="preserve">Section 15: Faculty Recruitment Strategy</w:t>
      </w:r>
    </w:p>
    <w:p>
      <w:pPr>
        <w:pStyle w:val="FirstParagraph"/>
        <w:jc w:val="both"/>
      </w:pPr>
      <w:r>
        <w:rPr>
          <w:bCs/>
          <w:b/>
          <w:color w:val="B08625"/>
          <w:sz w:val="20"/>
          <w:caps/>
          <w:spacing w:val="14"/>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0"/>
          <w:caps/>
          <w:spacing w:val="14"/>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0"/>
          <w:caps/>
          <w:spacing w:val="14"/>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jc w:val="both"/>
      </w:pPr>
      <w:r>
        <w:rPr>
          <w:bCs/>
          <w:b/>
          <w:color w:val="B08625"/>
          <w:sz w:val="20"/>
          <w:caps/>
          <w:spacing w:val="14"/>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0"/>
          <w:caps/>
          <w:spacing w:val="14"/>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0"/>
          <w:caps/>
          <w:spacing w:val="14"/>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0"/>
          <w:caps/>
          <w:spacing w:val="14"/>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0"/>
          <w:caps/>
          <w:spacing w:val="14"/>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jc w:val="both"/>
      </w:pPr>
      <w:r>
        <w:rPr>
          <w:bCs/>
          <w:b/>
          <w:color w:val="B08625"/>
          <w:sz w:val="20"/>
          <w:caps/>
          <w:spacing w:val="14"/>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jc w:val="both"/>
      </w:pPr>
      <w:r>
        <w:rPr>
          <w:bCs/>
          <w:b/>
          <w:color w:val="B08625"/>
          <w:sz w:val="20"/>
          <w:caps/>
          <w:spacing w:val="14"/>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jc w:val="both"/>
      </w:pPr>
      <w:r>
        <w:rPr>
          <w:bCs/>
          <w:b/>
          <w:color w:val="B08625"/>
          <w:sz w:val="20"/>
          <w:caps/>
          <w:spacing w:val="14"/>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0"/>
          <w:caps/>
          <w:spacing w:val="14"/>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Cinzel" w:hAnsi="Cinzel"/>
                <w:b/>
                <w:color w:val="B08625"/>
                <w:sz w:val="20"/>
                <w:caps/>
                <w:spacing w:val="14"/>
              </w:rPr>
              <w:t>IV</w:t>
            </w:r>
          </w:p>
          <w:p>
            <w:pPr>
              <w:spacing w:before="120" w:after="80"/>
            </w:pPr>
            <w:r>
              <w:rPr>
                <w:rFonts w:ascii="Cormorant Garamond" w:hAnsi="Cormorant Garamond"/>
                <w:b/>
                <w:color w:val="B08625"/>
                <w:sz w:val="20"/>
                <w:caps/>
                <w:spacing w:val="14"/>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Cormorant Garamond" w:hAnsi="Cormorant Garamond"/>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16 </w:t>
            </w:r>
            <w:r>
              <w:rPr>
                <w:rFonts w:ascii="Liberation Sans" w:hAnsi="Liberation Sans"/>
                <w:color w:val="FFFFFF"/>
                <w:sz w:val="20"/>
              </w:rPr>
              <w:t>Research Strategy</w:t>
            </w:r>
          </w:p>
          <w:p>
            <w:pPr>
              <w:spacing w:before="0" w:after="130"/>
            </w:pPr>
            <w:r>
              <w:rPr>
                <w:rFonts w:ascii="Cinzel" w:hAnsi="Cinzel"/>
                <w:b/>
                <w:color w:val="B08625"/>
                <w:sz w:val="20"/>
                <w:caps/>
                <w:spacing w:val="14"/>
              </w:rPr>
              <w:t>17 </w:t>
            </w:r>
            <w:r>
              <w:rPr>
                <w:rFonts w:ascii="Liberation Sans" w:hAnsi="Liberation Sans"/>
                <w:color w:val="FFFFFF"/>
                <w:sz w:val="20"/>
              </w:rPr>
              <w:t>Publishing Strategy</w:t>
            </w:r>
          </w:p>
          <w:p>
            <w:pPr>
              <w:spacing w:before="0" w:after="130"/>
            </w:pPr>
            <w:r>
              <w:rPr>
                <w:rFonts w:ascii="Cinzel" w:hAnsi="Cinzel"/>
                <w:b/>
                <w:color w:val="B08625"/>
                <w:sz w:val="20"/>
                <w:caps/>
                <w:spacing w:val="14"/>
              </w:rPr>
              <w:t>18 </w:t>
            </w:r>
            <w:r>
              <w:rPr>
                <w:rFonts w:ascii="Liberation Sans" w:hAnsi="Liberation Sans"/>
                <w:color w:val="FFFFFF"/>
                <w:sz w:val="20"/>
              </w:rPr>
              <w:t>Global Partnerships Strategy</w:t>
            </w:r>
          </w:p>
          <w:p>
            <w:pPr>
              <w:spacing w:before="0" w:after="130"/>
            </w:pPr>
            <w:r>
              <w:rPr>
                <w:rFonts w:ascii="Cinzel" w:hAnsi="Cinzel"/>
                <w:b/>
                <w:color w:val="B08625"/>
                <w:sz w:val="20"/>
                <w:caps/>
                <w:spacing w:val="14"/>
              </w:rPr>
              <w:t>19 </w:t>
            </w:r>
            <w:r>
              <w:rPr>
                <w:rFonts w:ascii="Liberation Sans" w:hAnsi="Liberation Sans"/>
                <w:color w:val="FFFFFF"/>
                <w:sz w:val="20"/>
              </w:rPr>
              <w:t>Accreditation Roadmap</w:t>
            </w:r>
          </w:p>
          <w:p>
            <w:pPr>
              <w:spacing w:before="0" w:after="130"/>
            </w:pPr>
            <w:r>
              <w:rPr>
                <w:rFonts w:ascii="Cinzel" w:hAnsi="Cinzel"/>
                <w:b/>
                <w:color w:val="B08625"/>
                <w:sz w:val="20"/>
                <w:caps/>
                <w:spacing w:val="14"/>
              </w:rPr>
              <w:t>20 </w:t>
            </w:r>
            <w:r>
              <w:rPr>
                <w:rFonts w:ascii="Liberation Sans" w:hAnsi="Liberation Sans"/>
                <w:color w:val="FFFFFF"/>
                <w:sz w:val="20"/>
              </w:rPr>
              <w:t>ISO 21001 Roadmap</w:t>
            </w:r>
          </w:p>
        </w:tc>
      </w:tr>
    </w:tbl>
    <w:p>
      <w:pPr>
        <w:jc w:val="both"/>
      </w:pPr>
      <w:r>
        <w:br w:type="page"/>
      </w:r>
    </w:p>
    <w:p>
      <w:pPr>
        <w:pStyle w:val="SectionKicker"/>
      </w:pPr>
      <w:r>
        <w:t xml:space="preserve">PART IV · SECTION 16</w:t>
      </w:r>
    </w:p>
    <w:bookmarkEnd w:id="70"/>
    <w:bookmarkStart w:id="71" w:name="section-16-research-strategy"/>
    <w:p>
      <w:pPr>
        <w:pStyle w:val="Heading2"/>
      </w:pPr>
      <w:r>
        <w:t xml:space="preserve">Section 16: Research Strategy</w:t>
      </w:r>
    </w:p>
    <w:p>
      <w:pPr>
        <w:pStyle w:val="FirstParagraph"/>
        <w:jc w:val="both"/>
      </w:pPr>
      <w:r>
        <w:rPr>
          <w:bCs/>
          <w:b/>
          <w:color w:val="B08625"/>
          <w:sz w:val="20"/>
          <w:caps/>
          <w:spacing w:val="14"/>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0"/>
          <w:caps/>
          <w:spacing w:val="14"/>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0"/>
          <w:caps/>
          <w:spacing w:val="14"/>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0"/>
          <w:caps/>
          <w:spacing w:val="14"/>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jc w:val="both"/>
      </w:pPr>
      <w:r>
        <w:rPr>
          <w:bCs/>
          <w:b/>
          <w:color w:val="B08625"/>
          <w:sz w:val="20"/>
          <w:caps/>
          <w:spacing w:val="14"/>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0"/>
          <w:caps/>
          <w:spacing w:val="14"/>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0"/>
          <w:caps/>
          <w:spacing w:val="14"/>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1"/>
    <w:bookmarkStart w:id="72" w:name="section-17-publishing-strategy"/>
    <w:p>
      <w:pPr>
        <w:pStyle w:val="Heading2"/>
      </w:pPr>
      <w:r>
        <w:t xml:space="preserve">Section 17: Publishing Strategy</w:t>
      </w:r>
    </w:p>
    <w:p>
      <w:pPr>
        <w:pStyle w:val="FirstParagraph"/>
        <w:jc w:val="both"/>
      </w:pPr>
      <w:r>
        <w:rPr>
          <w:bCs/>
          <w:b/>
          <w:color w:val="B08625"/>
          <w:sz w:val="20"/>
          <w:caps/>
          <w:spacing w:val="14"/>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0"/>
          <w:caps/>
          <w:spacing w:val="14"/>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jc w:val="both"/>
      </w:pPr>
      <w:r>
        <w:rPr>
          <w:bCs/>
          <w:b/>
          <w:color w:val="B08625"/>
          <w:sz w:val="20"/>
          <w:caps/>
          <w:spacing w:val="14"/>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jc w:val="both"/>
      </w:pPr>
      <w:r>
        <w:rPr>
          <w:bCs/>
          <w:b/>
          <w:color w:val="B08625"/>
          <w:sz w:val="20"/>
          <w:caps/>
          <w:spacing w:val="14"/>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0"/>
          <w:caps/>
          <w:spacing w:val="14"/>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0"/>
          <w:caps/>
          <w:spacing w:val="14"/>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2"/>
    <w:bookmarkStart w:id="73" w:name="section-18-global-partnerships-strategy"/>
    <w:p>
      <w:pPr>
        <w:pStyle w:val="Heading2"/>
      </w:pPr>
      <w:r>
        <w:t xml:space="preserve">Section 18: Global Partnerships Strategy</w:t>
      </w:r>
    </w:p>
    <w:p>
      <w:pPr>
        <w:pStyle w:val="FirstParagraph"/>
        <w:jc w:val="both"/>
      </w:pPr>
      <w:r>
        <w:rPr>
          <w:bCs/>
          <w:b/>
          <w:color w:val="B08625"/>
          <w:sz w:val="20"/>
          <w:caps/>
          <w:spacing w:val="14"/>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0"/>
          <w:caps/>
          <w:spacing w:val="14"/>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jc w:val="both"/>
      </w:pPr>
      <w:r>
        <w:rPr>
          <w:bCs/>
          <w:b/>
          <w:color w:val="B08625"/>
          <w:sz w:val="20"/>
          <w:caps/>
          <w:spacing w:val="14"/>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jc w:val="both"/>
      </w:pPr>
      <w:r>
        <w:rPr>
          <w:bCs/>
          <w:b/>
          <w:color w:val="B08625"/>
          <w:sz w:val="20"/>
          <w:caps/>
          <w:spacing w:val="14"/>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0"/>
          <w:caps/>
          <w:spacing w:val="14"/>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0"/>
          <w:caps/>
          <w:spacing w:val="14"/>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3"/>
    <w:bookmarkStart w:id="77"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5" name="Picture"/>
            <a:graphic>
              <a:graphicData uri="http://schemas.openxmlformats.org/drawingml/2006/picture">
                <pic:pic>
                  <pic:nvPicPr>
                    <pic:cNvPr descr="assets/figures/fig10_accreditation_roadmap.png" id="76" name="Picture"/>
                    <pic:cNvPicPr>
                      <a:picLocks noChangeArrowheads="1" noChangeAspect="1"/>
                    </pic:cNvPicPr>
                  </pic:nvPicPr>
                  <pic:blipFill>
                    <a:blip r:embed="rId74"/>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0"/>
          <w:caps/>
          <w:spacing w:val="14"/>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0"/>
          <w:caps/>
          <w:spacing w:val="14"/>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0"/>
          <w:caps/>
          <w:spacing w:val="14"/>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jc w:val="both"/>
      </w:pPr>
      <w:r>
        <w:rPr>
          <w:bCs/>
          <w:b/>
          <w:color w:val="B08625"/>
          <w:sz w:val="20"/>
          <w:caps/>
          <w:spacing w:val="14"/>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0"/>
          <w:caps/>
          <w:spacing w:val="14"/>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0"/>
          <w:caps/>
          <w:spacing w:val="14"/>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0"/>
          <w:caps/>
          <w:spacing w:val="14"/>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0"/>
          <w:caps/>
          <w:spacing w:val="14"/>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7"/>
    <w:bookmarkStart w:id="78" w:name="section-20-iso-21001-roadmap"/>
    <w:p>
      <w:pPr>
        <w:pStyle w:val="Heading2"/>
      </w:pPr>
      <w:r>
        <w:t xml:space="preserve">Section 20: ISO 21001 Roadmap</w:t>
      </w:r>
    </w:p>
    <w:p>
      <w:pPr>
        <w:pStyle w:val="FirstParagraph"/>
        <w:jc w:val="both"/>
      </w:pPr>
      <w:r>
        <w:rPr>
          <w:bCs/>
          <w:b/>
          <w:color w:val="B08625"/>
          <w:sz w:val="20"/>
          <w:caps/>
          <w:spacing w:val="14"/>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0"/>
          <w:caps/>
          <w:spacing w:val="14"/>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jc w:val="both"/>
      </w:pPr>
      <w:r>
        <w:rPr>
          <w:bCs/>
          <w:b/>
          <w:color w:val="B08625"/>
          <w:sz w:val="20"/>
          <w:caps/>
          <w:spacing w:val="14"/>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jc w:val="both"/>
      </w:pPr>
      <w:r>
        <w:rPr>
          <w:bCs/>
          <w:b/>
          <w:color w:val="B08625"/>
          <w:sz w:val="20"/>
          <w:caps/>
          <w:spacing w:val="14"/>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0"/>
          <w:caps/>
          <w:spacing w:val="14"/>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0"/>
          <w:caps/>
          <w:spacing w:val="14"/>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Cormorant Garamond" w:hAnsi="Cormorant Garamond"/>
          <w:i/>
          <w:color w:val="122A4E"/>
          <w:sz w:val="30"/>
        </w:rPr>
        <w:t>A plan for the Tuesday after the promise is made.</w:t>
      </w:r>
    </w:p>
    <w:p>
      <w:pPr>
        <w:jc w:val="both"/>
        <w:spacing w:before="0" w:after="0"/>
      </w:pPr>
      <w:r>
        <w:rPr>
          <w:rFonts w:ascii="Liberation Sans" w:hAnsi="Liberation Sans"/>
          <w:b/>
          <w:sz w:val="20"/>
          <w:color w:val="B08625"/>
          <w:spacing w:val="14"/>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Cinzel" w:hAnsi="Cinzel"/>
                <w:color w:val="B08625"/>
                <w:b/>
                <w:sz w:val="108"/>
              </w:rPr>
              <w:t>V</w:t>
            </w:r>
          </w:p>
          <w:p>
            <w:pPr>
              <w:spacing w:before="120" w:after="80"/>
            </w:pPr>
            <w:r>
              <w:rPr>
                <w:rFonts w:ascii="Cormorant Garamond" w:hAnsi="Cormorant Garamond"/>
                <w:b/>
                <w:color w:val="B08625"/>
                <w:sz w:val="20"/>
                <w:caps/>
                <w:spacing w:val="14"/>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Cormorant Garamond" w:hAnsi="Cormorant Garamond"/>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21 </w:t>
            </w:r>
            <w:r>
              <w:rPr>
                <w:rFonts w:ascii="Liberation Sans" w:hAnsi="Liberation Sans"/>
                <w:color w:val="FFFFFF"/>
                <w:sz w:val="20"/>
              </w:rPr>
              <w:t>LMS Ecosystem</w:t>
            </w:r>
          </w:p>
          <w:p>
            <w:pPr>
              <w:spacing w:before="0" w:after="130"/>
            </w:pPr>
            <w:r>
              <w:rPr>
                <w:rFonts w:ascii="Cinzel" w:hAnsi="Cinzel"/>
                <w:b/>
                <w:color w:val="B08625"/>
                <w:sz w:val="20"/>
                <w:caps/>
                <w:spacing w:val="14"/>
              </w:rPr>
              <w:t>22 </w:t>
            </w:r>
            <w:r>
              <w:rPr>
                <w:rFonts w:ascii="Liberation Sans" w:hAnsi="Liberation Sans"/>
                <w:color w:val="FFFFFF"/>
                <w:sz w:val="20"/>
              </w:rPr>
              <w:t>AI Strategy</w:t>
            </w:r>
          </w:p>
          <w:p>
            <w:pPr>
              <w:spacing w:before="0" w:after="130"/>
            </w:pPr>
            <w:r>
              <w:rPr>
                <w:rFonts w:ascii="Cinzel" w:hAnsi="Cinzel"/>
                <w:b/>
                <w:color w:val="B08625"/>
                <w:sz w:val="20"/>
                <w:caps/>
                <w:spacing w:val="14"/>
              </w:rPr>
              <w:t>23 </w:t>
            </w:r>
            <w:r>
              <w:rPr>
                <w:rFonts w:ascii="Liberation Sans" w:hAnsi="Liberation Sans"/>
                <w:color w:val="FFFFFF"/>
                <w:sz w:val="20"/>
              </w:rPr>
              <w:t>Digital Transformation Strategy</w:t>
            </w:r>
          </w:p>
          <w:p>
            <w:pPr>
              <w:spacing w:before="0" w:after="130"/>
            </w:pPr>
            <w:r>
              <w:rPr>
                <w:rFonts w:ascii="Cinzel" w:hAnsi="Cinzel"/>
                <w:b/>
                <w:color w:val="B08625"/>
                <w:sz w:val="20"/>
                <w:caps/>
                <w:spacing w:val="14"/>
              </w:rPr>
              <w:t>24 </w:t>
            </w:r>
            <w:r>
              <w:rPr>
                <w:rFonts w:ascii="Liberation Sans" w:hAnsi="Liberation Sans"/>
                <w:color w:val="FFFFFF"/>
                <w:sz w:val="20"/>
              </w:rPr>
              <w:t>Library Strategy</w:t>
            </w:r>
          </w:p>
          <w:p>
            <w:pPr>
              <w:spacing w:before="0" w:after="130"/>
            </w:pPr>
            <w:r>
              <w:rPr>
                <w:rFonts w:ascii="Cinzel" w:hAnsi="Cinzel"/>
                <w:b/>
                <w:color w:val="B08625"/>
                <w:sz w:val="20"/>
                <w:caps/>
                <w:spacing w:val="14"/>
              </w:rPr>
              <w:t>25 </w:t>
            </w:r>
            <w:r>
              <w:rPr>
                <w:rFonts w:ascii="Liberation Sans" w:hAnsi="Liberation Sans"/>
                <w:color w:val="FFFFFF"/>
                <w:sz w:val="20"/>
              </w:rPr>
              <w:t>Waqf Development Strategy</w:t>
            </w:r>
          </w:p>
        </w:tc>
      </w:tr>
    </w:tbl>
    <w:p>
      <w:pPr>
        <w:jc w:val="both"/>
      </w:pPr>
      <w:r>
        <w:br w:type="page"/>
      </w:r>
    </w:p>
    <w:p>
      <w:pPr>
        <w:pStyle w:val="SectionKicker"/>
      </w:pPr>
      <w:r>
        <w:t xml:space="preserve">PART V · SECTION 21</w:t>
      </w:r>
    </w:p>
    <w:bookmarkEnd w:id="78"/>
    <w:bookmarkStart w:id="79" w:name="section-21-lms-ecosystem"/>
    <w:p>
      <w:pPr>
        <w:pStyle w:val="Heading2"/>
      </w:pPr>
      <w:r>
        <w:t xml:space="preserve">Section 21: LMS Ecosystem</w:t>
      </w:r>
    </w:p>
    <w:p>
      <w:pPr>
        <w:pStyle w:val="FirstParagraph"/>
        <w:jc w:val="both"/>
      </w:pPr>
      <w:r>
        <w:rPr>
          <w:bCs/>
          <w:b/>
          <w:color w:val="B08625"/>
          <w:sz w:val="20"/>
          <w:caps/>
          <w:spacing w:val="14"/>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0"/>
          <w:caps/>
          <w:spacing w:val="14"/>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jc w:val="both"/>
      </w:pPr>
      <w:r>
        <w:rPr>
          <w:bCs/>
          <w:b/>
          <w:color w:val="B08625"/>
          <w:sz w:val="20"/>
          <w:caps/>
          <w:spacing w:val="14"/>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0"/>
          <w:caps/>
          <w:spacing w:val="14"/>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0"/>
          <w:caps/>
          <w:spacing w:val="14"/>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0"/>
          <w:caps/>
          <w:spacing w:val="14"/>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0"/>
          <w:caps/>
          <w:spacing w:val="14"/>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79"/>
    <w:bookmarkStart w:id="80" w:name="section-22-ai-strategy"/>
    <w:p>
      <w:pPr>
        <w:pStyle w:val="Heading2"/>
      </w:pPr>
      <w:r>
        <w:t xml:space="preserve">Section 22: AI Strategy</w:t>
      </w:r>
    </w:p>
    <w:p>
      <w:pPr>
        <w:pStyle w:val="FirstParagraph"/>
        <w:jc w:val="both"/>
      </w:pPr>
      <w:r>
        <w:rPr>
          <w:bCs/>
          <w:b/>
          <w:color w:val="B08625"/>
          <w:sz w:val="20"/>
          <w:caps/>
          <w:spacing w:val="14"/>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jc w:val="both"/>
      </w:pPr>
      <w:r>
        <w:rPr>
          <w:bCs/>
          <w:b/>
          <w:color w:val="B08625"/>
          <w:sz w:val="20"/>
          <w:caps/>
          <w:spacing w:val="14"/>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0"/>
          <w:caps/>
          <w:spacing w:val="14"/>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jc w:val="both"/>
      </w:pPr>
      <w:r>
        <w:rPr>
          <w:bCs/>
          <w:b/>
          <w:color w:val="B08625"/>
          <w:sz w:val="20"/>
          <w:caps/>
          <w:spacing w:val="14"/>
        </w:rPr>
        <w:t xml:space="preserve">Implementation Phases</w:t>
      </w:r>
    </w:p>
    <w:p>
      <w:pPr>
        <w:numPr>
          <w:ilvl w:val="0"/>
          <w:numId w:val="1014"/>
        </w:numPr>
        <w:pStyle w:val="Compact"/>
        <w:jc w:val="both"/>
      </w:pPr>
      <w:r>
        <w:rPr>
          <w:bCs/>
          <w:b/>
          <w:color w:val="B08625"/>
          <w:sz w:val="20"/>
          <w:caps/>
          <w:spacing w:val="14"/>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0"/>
          <w:caps/>
          <w:spacing w:val="14"/>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0"/>
          <w:caps/>
          <w:spacing w:val="14"/>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0"/>
          <w:caps/>
          <w:spacing w:val="14"/>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0"/>
          <w:caps/>
          <w:spacing w:val="14"/>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0"/>
          <w:caps/>
          <w:spacing w:val="14"/>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0"/>
          <w:caps/>
          <w:spacing w:val="14"/>
        </w:rPr>
        <w:t xml:space="preserve">Governance Responsibilities</w:t>
      </w:r>
    </w:p>
    <w:p>
      <w:pPr>
        <w:pStyle w:val="BodyText"/>
        <w:jc w:val="both"/>
      </w:pPr>
      <w:r>
        <w:rPr>
          <w:bCs/>
          <w:b/>
          <w:color w:val="B08625"/>
          <w:sz w:val="20"/>
          <w:caps/>
          <w:spacing w:val="14"/>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0"/>
          <w:caps/>
          <w:spacing w:val="14"/>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0"/>
          <w:caps/>
          <w:spacing w:val="14"/>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0"/>
    <w:bookmarkStart w:id="81" w:name="Xf675fcb79f16e04f81c21d8bd6336305f8330d6"/>
    <w:p>
      <w:pPr>
        <w:pStyle w:val="Heading2"/>
      </w:pPr>
      <w:r>
        <w:t xml:space="preserve">Section 23: Digital Transformation Strategy</w:t>
      </w:r>
    </w:p>
    <w:p>
      <w:pPr>
        <w:pStyle w:val="FirstParagraph"/>
        <w:jc w:val="both"/>
      </w:pPr>
      <w:r>
        <w:rPr>
          <w:bCs/>
          <w:b/>
          <w:color w:val="B08625"/>
          <w:sz w:val="20"/>
          <w:caps/>
          <w:spacing w:val="14"/>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0"/>
          <w:caps/>
          <w:spacing w:val="14"/>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0"/>
          <w:caps/>
          <w:spacing w:val="14"/>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jc w:val="both"/>
      </w:pPr>
      <w:r>
        <w:rPr>
          <w:bCs/>
          <w:b/>
          <w:color w:val="B08625"/>
          <w:sz w:val="20"/>
          <w:caps/>
          <w:spacing w:val="14"/>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0"/>
          <w:caps/>
          <w:spacing w:val="14"/>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0"/>
          <w:caps/>
          <w:spacing w:val="14"/>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0"/>
          <w:caps/>
          <w:spacing w:val="14"/>
        </w:rPr>
        <w:t xml:space="preserve">Governance Responsibilities</w:t>
      </w:r>
    </w:p>
    <w:p>
      <w:pPr>
        <w:pStyle w:val="BodyText"/>
        <w:jc w:val="both"/>
      </w:pPr>
      <w:r>
        <w:rPr>
          <w:bCs/>
          <w:b/>
          <w:color w:val="B08625"/>
          <w:sz w:val="20"/>
          <w:caps/>
          <w:spacing w:val="14"/>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0"/>
          <w:caps/>
          <w:spacing w:val="14"/>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1"/>
    <w:bookmarkStart w:id="82" w:name="section-24-library-strategy"/>
    <w:p>
      <w:pPr>
        <w:pStyle w:val="Heading2"/>
      </w:pPr>
      <w:r>
        <w:t xml:space="preserve">Section 24: Library Strategy</w:t>
      </w:r>
    </w:p>
    <w:p>
      <w:pPr>
        <w:pStyle w:val="FirstParagraph"/>
        <w:jc w:val="both"/>
      </w:pPr>
      <w:r>
        <w:rPr>
          <w:bCs/>
          <w:b/>
          <w:color w:val="B08625"/>
          <w:sz w:val="20"/>
          <w:caps/>
          <w:spacing w:val="14"/>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0"/>
          <w:caps/>
          <w:spacing w:val="14"/>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0"/>
          <w:caps/>
          <w:spacing w:val="14"/>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0"/>
          <w:caps/>
          <w:spacing w:val="14"/>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0"/>
          <w:caps/>
          <w:spacing w:val="14"/>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0"/>
          <w:caps/>
          <w:spacing w:val="14"/>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0"/>
          <w:caps/>
          <w:spacing w:val="14"/>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2"/>
    <w:bookmarkStart w:id="86"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4" name="Picture"/>
            <a:graphic>
              <a:graphicData uri="http://schemas.openxmlformats.org/drawingml/2006/picture">
                <pic:pic>
                  <pic:nvPicPr>
                    <pic:cNvPr descr="assets/figures/fig05_waqf_distribution.png" id="85" name="Picture"/>
                    <pic:cNvPicPr>
                      <a:picLocks noChangeArrowheads="1" noChangeAspect="1"/>
                    </pic:cNvPicPr>
                  </pic:nvPicPr>
                  <pic:blipFill>
                    <a:blip r:embed="rId83"/>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0"/>
          <w:caps/>
          <w:spacing w:val="14"/>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0"/>
          <w:caps/>
          <w:spacing w:val="14"/>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jc w:val="both"/>
      </w:pPr>
      <w:r>
        <w:rPr>
          <w:bCs/>
          <w:b/>
          <w:color w:val="B08625"/>
          <w:sz w:val="20"/>
          <w:caps/>
          <w:spacing w:val="14"/>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jc w:val="both"/>
      </w:pPr>
      <w:r>
        <w:rPr>
          <w:bCs/>
          <w:b/>
          <w:color w:val="B08625"/>
          <w:sz w:val="20"/>
          <w:caps/>
          <w:spacing w:val="14"/>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0"/>
          <w:caps/>
          <w:spacing w:val="14"/>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0"/>
          <w:caps/>
          <w:spacing w:val="14"/>
        </w:rPr>
        <w:t xml:space="preserve">Annual Budget</w:t>
      </w:r>
    </w:p>
    <w:p>
      <w:pPr>
        <w:pStyle w:val="BodyText"/>
        <w:jc w:val="both"/>
      </w:pPr>
      <w:r>
        <w:t xml:space="preserve">The Waqf line is 20% of Gross Revenue: approximately $44,951 in Year 1 (2028), ~$258,157 in Year 5, ~$766,110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0"/>
          <w:caps/>
          <w:spacing w:val="14"/>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0"/>
          <w:caps/>
          <w:spacing w:val="14"/>
        </w:rPr>
        <w:t xml:space="preserve">Governance Responsibilities</w:t>
      </w:r>
    </w:p>
    <w:p>
      <w:pPr>
        <w:pStyle w:val="BodyText"/>
        <w:jc w:val="both"/>
      </w:pPr>
      <w:r>
        <w:rPr>
          <w:bCs/>
          <w:b/>
          <w:color w:val="B08625"/>
          <w:sz w:val="20"/>
          <w:caps/>
          <w:spacing w:val="14"/>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0"/>
          <w:caps/>
          <w:spacing w:val="14"/>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Cinzel" w:hAnsi="Cinzel"/>
                <w:b/>
                <w:color w:val="B08625"/>
                <w:sz w:val="20"/>
                <w:caps/>
                <w:spacing w:val="14"/>
              </w:rPr>
              <w:t>VI</w:t>
            </w:r>
          </w:p>
          <w:p>
            <w:pPr>
              <w:spacing w:before="120" w:after="80"/>
            </w:pPr>
            <w:r>
              <w:rPr>
                <w:rFonts w:ascii="Cormorant Garamond" w:hAnsi="Cormorant Garamond"/>
                <w:b/>
                <w:color w:val="B08625"/>
                <w:sz w:val="20"/>
                <w:caps/>
                <w:spacing w:val="14"/>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Cormorant Garamond" w:hAnsi="Cormorant Garamond"/>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26 </w:t>
            </w:r>
            <w:r>
              <w:rPr>
                <w:rFonts w:ascii="Liberation Sans" w:hAnsi="Liberation Sans"/>
                <w:color w:val="FFFFFF"/>
                <w:sz w:val="20"/>
              </w:rPr>
              <w:t>Scholarship Strategy</w:t>
            </w:r>
          </w:p>
          <w:p>
            <w:pPr>
              <w:spacing w:before="0" w:after="130"/>
            </w:pPr>
            <w:r>
              <w:rPr>
                <w:rFonts w:ascii="Cinzel" w:hAnsi="Cinzel"/>
                <w:b/>
                <w:color w:val="B08625"/>
                <w:sz w:val="20"/>
                <w:caps/>
                <w:spacing w:val="14"/>
              </w:rPr>
              <w:t>27 </w:t>
            </w:r>
            <w:r>
              <w:rPr>
                <w:rFonts w:ascii="Liberation Sans" w:hAnsi="Liberation Sans"/>
                <w:color w:val="FFFFFF"/>
                <w:sz w:val="20"/>
              </w:rPr>
              <w:t>Revenue Diversification Strategy</w:t>
            </w:r>
          </w:p>
          <w:p>
            <w:pPr>
              <w:spacing w:before="0" w:after="130"/>
            </w:pPr>
            <w:r>
              <w:rPr>
                <w:rFonts w:ascii="Cinzel" w:hAnsi="Cinzel"/>
                <w:b/>
                <w:color w:val="B08625"/>
                <w:sz w:val="20"/>
                <w:caps/>
                <w:spacing w:val="14"/>
              </w:rPr>
              <w:t>28 </w:t>
            </w:r>
            <w:r>
              <w:rPr>
                <w:rFonts w:ascii="Liberation Sans" w:hAnsi="Liberation Sans"/>
                <w:color w:val="FFFFFF"/>
                <w:sz w:val="20"/>
              </w:rPr>
              <w:t>Marketing Strategy</w:t>
            </w:r>
          </w:p>
          <w:p>
            <w:pPr>
              <w:spacing w:before="0" w:after="130"/>
            </w:pPr>
            <w:r>
              <w:rPr>
                <w:rFonts w:ascii="Cinzel" w:hAnsi="Cinzel"/>
                <w:b/>
                <w:color w:val="B08625"/>
                <w:sz w:val="20"/>
                <w:caps/>
                <w:spacing w:val="14"/>
              </w:rPr>
              <w:t>29 </w:t>
            </w:r>
            <w:r>
              <w:rPr>
                <w:rFonts w:ascii="Liberation Sans" w:hAnsi="Liberation Sans"/>
                <w:color w:val="FFFFFF"/>
                <w:sz w:val="20"/>
              </w:rPr>
              <w:t>Branding Strategy</w:t>
            </w:r>
          </w:p>
          <w:p>
            <w:pPr>
              <w:spacing w:before="0" w:after="130"/>
            </w:pPr>
            <w:r>
              <w:rPr>
                <w:rFonts w:ascii="Cinzel" w:hAnsi="Cinzel"/>
                <w:b/>
                <w:color w:val="B08625"/>
                <w:sz w:val="20"/>
                <w:caps/>
                <w:spacing w:val="14"/>
              </w:rPr>
              <w:t>30 </w:t>
            </w:r>
            <w:r>
              <w:rPr>
                <w:rFonts w:ascii="Liberation Sans" w:hAnsi="Liberation Sans"/>
                <w:color w:val="FFFFFF"/>
                <w:sz w:val="20"/>
              </w:rPr>
              <w:t>International Expansion Strategy</w:t>
            </w:r>
          </w:p>
        </w:tc>
      </w:tr>
    </w:tbl>
    <w:p>
      <w:pPr>
        <w:jc w:val="both"/>
      </w:pPr>
      <w:r>
        <w:br w:type="page"/>
      </w:r>
    </w:p>
    <w:p>
      <w:pPr>
        <w:pStyle w:val="SectionKicker"/>
      </w:pPr>
      <w:r>
        <w:t xml:space="preserve">PART VI · SECTION 26</w:t>
      </w:r>
    </w:p>
    <w:bookmarkEnd w:id="86"/>
    <w:bookmarkStart w:id="87" w:name="section-26-scholarship-strategy"/>
    <w:p>
      <w:pPr>
        <w:pStyle w:val="Heading2"/>
      </w:pPr>
      <w:r>
        <w:t xml:space="preserve">Section 26: Scholarship Strategy</w:t>
      </w:r>
    </w:p>
    <w:p>
      <w:pPr>
        <w:pStyle w:val="FirstParagraph"/>
        <w:jc w:val="both"/>
      </w:pPr>
      <w:r>
        <w:rPr>
          <w:bCs/>
          <w:b/>
          <w:color w:val="B08625"/>
          <w:sz w:val="20"/>
          <w:caps/>
          <w:spacing w:val="14"/>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0"/>
          <w:caps/>
          <w:spacing w:val="14"/>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0"/>
          <w:caps/>
          <w:spacing w:val="14"/>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Qur’an-memorization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jc w:val="both"/>
      </w:pPr>
      <w:r>
        <w:rPr>
          <w:bCs/>
          <w:b/>
          <w:color w:val="B08625"/>
          <w:sz w:val="20"/>
          <w:caps/>
          <w:spacing w:val="14"/>
        </w:rPr>
        <w:t xml:space="preserve">Implementation Phases</w:t>
      </w:r>
    </w:p>
    <w:p>
      <w:pPr>
        <w:numPr>
          <w:ilvl w:val="0"/>
          <w:numId w:val="1015"/>
        </w:numPr>
        <w:pStyle w:val="Compact"/>
        <w:jc w:val="both"/>
      </w:pPr>
      <w:r>
        <w:rPr>
          <w:bCs/>
          <w:b/>
          <w:color w:val="B08625"/>
          <w:sz w:val="20"/>
          <w:caps/>
          <w:spacing w:val="14"/>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0"/>
          <w:caps/>
          <w:spacing w:val="14"/>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0"/>
          <w:caps/>
          <w:spacing w:val="14"/>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0"/>
          <w:caps/>
          <w:spacing w:val="14"/>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$44,949 · Year 5: $258,157 · Year 10: $766,110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0"/>
          <w:caps/>
          <w:spacing w:val="14"/>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0"/>
          <w:caps/>
          <w:spacing w:val="14"/>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0"/>
          <w:caps/>
          <w:spacing w:val="14"/>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7"/>
    <w:bookmarkStart w:id="88" w:name="Xc358c59d7c43ef7226959388f99f4c9db570d9e"/>
    <w:p>
      <w:pPr>
        <w:pStyle w:val="Heading2"/>
      </w:pPr>
      <w:r>
        <w:t xml:space="preserve">Section 27: Revenue Diversification Strategy</w:t>
      </w:r>
    </w:p>
    <w:p>
      <w:pPr>
        <w:pStyle w:val="FirstParagraph"/>
        <w:jc w:val="both"/>
      </w:pPr>
      <w:r>
        <w:rPr>
          <w:bCs/>
          <w:b/>
          <w:color w:val="B08625"/>
          <w:sz w:val="20"/>
          <w:caps/>
          <w:spacing w:val="14"/>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0"/>
          <w:caps/>
          <w:spacing w:val="14"/>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0"/>
          <w:caps/>
          <w:spacing w:val="14"/>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0"/>
          <w:caps/>
          <w:spacing w:val="14"/>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jc w:val="both"/>
      </w:pPr>
      <w:r>
        <w:rPr>
          <w:bCs/>
          <w:b/>
          <w:color w:val="B08625"/>
          <w:sz w:val="20"/>
          <w:caps/>
          <w:spacing w:val="14"/>
        </w:rPr>
        <w:t xml:space="preserve">Implementation Phases</w:t>
      </w:r>
    </w:p>
    <w:p>
      <w:pPr>
        <w:numPr>
          <w:ilvl w:val="0"/>
          <w:numId w:val="1016"/>
        </w:numPr>
        <w:pStyle w:val="Compact"/>
        <w:jc w:val="both"/>
      </w:pPr>
      <w:r>
        <w:rPr>
          <w:bCs/>
          <w:b/>
          <w:color w:val="B08625"/>
          <w:sz w:val="20"/>
          <w:caps/>
          <w:spacing w:val="14"/>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0"/>
          <w:caps/>
          <w:spacing w:val="14"/>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0"/>
          <w:caps/>
          <w:spacing w:val="14"/>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0"/>
          <w:caps/>
          <w:spacing w:val="14"/>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0"/>
          <w:caps/>
          <w:spacing w:val="14"/>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0"/>
          <w:caps/>
          <w:spacing w:val="14"/>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0"/>
          <w:caps/>
          <w:spacing w:val="14"/>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0"/>
          <w:caps/>
          <w:spacing w:val="14"/>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0"/>
          <w:caps/>
          <w:spacing w:val="14"/>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8"/>
    <w:bookmarkStart w:id="89" w:name="section-28-marketing-strategy"/>
    <w:p>
      <w:pPr>
        <w:pStyle w:val="Heading2"/>
      </w:pPr>
      <w:r>
        <w:t xml:space="preserve">Section 28: Marketing Strategy</w:t>
      </w:r>
    </w:p>
    <w:p>
      <w:pPr>
        <w:pStyle w:val="FirstParagraph"/>
        <w:jc w:val="both"/>
      </w:pPr>
      <w:r>
        <w:rPr>
          <w:bCs/>
          <w:b/>
          <w:color w:val="B08625"/>
          <w:sz w:val="20"/>
          <w:caps/>
          <w:spacing w:val="14"/>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0"/>
          <w:caps/>
          <w:spacing w:val="14"/>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0"/>
          <w:caps/>
          <w:spacing w:val="14"/>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jc w:val="both"/>
      </w:pPr>
      <w:r>
        <w:rPr>
          <w:bCs/>
          <w:b/>
          <w:color w:val="B08625"/>
          <w:sz w:val="20"/>
          <w:caps/>
          <w:spacing w:val="14"/>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0"/>
          <w:caps/>
          <w:spacing w:val="14"/>
        </w:rPr>
        <w:t xml:space="preserve">Implementation Phases</w:t>
      </w:r>
    </w:p>
    <w:p>
      <w:pPr>
        <w:numPr>
          <w:ilvl w:val="0"/>
          <w:numId w:val="1017"/>
        </w:numPr>
        <w:pStyle w:val="Compact"/>
        <w:jc w:val="both"/>
      </w:pPr>
      <w:r>
        <w:rPr>
          <w:bCs/>
          <w:b/>
          <w:color w:val="B08625"/>
          <w:sz w:val="20"/>
          <w:caps/>
          <w:spacing w:val="14"/>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0"/>
          <w:caps/>
          <w:spacing w:val="14"/>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0"/>
          <w:caps/>
          <w:spacing w:val="14"/>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0"/>
          <w:caps/>
          <w:spacing w:val="14"/>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0"/>
          <w:caps/>
          <w:spacing w:val="14"/>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0"/>
          <w:caps/>
          <w:spacing w:val="14"/>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0"/>
          <w:caps/>
          <w:spacing w:val="14"/>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0"/>
          <w:caps/>
          <w:spacing w:val="14"/>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89"/>
    <w:bookmarkStart w:id="90" w:name="section-29-branding-strategy"/>
    <w:p>
      <w:pPr>
        <w:pStyle w:val="Heading2"/>
      </w:pPr>
      <w:r>
        <w:t xml:space="preserve">Section 29: Branding Strategy</w:t>
      </w:r>
    </w:p>
    <w:p>
      <w:pPr>
        <w:pStyle w:val="FirstParagraph"/>
        <w:jc w:val="both"/>
      </w:pPr>
      <w:r>
        <w:rPr>
          <w:bCs/>
          <w:b/>
          <w:color w:val="B08625"/>
          <w:sz w:val="20"/>
          <w:caps/>
          <w:spacing w:val="14"/>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0"/>
          <w:caps/>
          <w:spacing w:val="14"/>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0"/>
          <w:caps/>
          <w:spacing w:val="14"/>
        </w:rPr>
        <w:t xml:space="preserve">Visual Identity Guidelines</w:t>
      </w:r>
    </w:p>
    <w:p>
      <w:pPr>
        <w:numPr>
          <w:ilvl w:val="0"/>
          <w:numId w:val="1018"/>
        </w:numPr>
        <w:pStyle w:val="Compact"/>
        <w:jc w:val="both"/>
      </w:pPr>
      <w:r>
        <w:rPr>
          <w:bCs/>
          <w:b/>
          <w:color w:val="B08625"/>
          <w:sz w:val="20"/>
          <w:caps/>
          <w:spacing w:val="14"/>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0"/>
          <w:caps/>
          <w:spacing w:val="14"/>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0"/>
          <w:caps/>
          <w:spacing w:val="14"/>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0"/>
          <w:caps/>
          <w:spacing w:val="14"/>
        </w:rPr>
        <w:t xml:space="preserve">Implementation Phases</w:t>
      </w:r>
    </w:p>
    <w:p>
      <w:pPr>
        <w:numPr>
          <w:ilvl w:val="0"/>
          <w:numId w:val="1019"/>
        </w:numPr>
        <w:pStyle w:val="Compact"/>
        <w:jc w:val="both"/>
      </w:pPr>
      <w:r>
        <w:rPr>
          <w:bCs/>
          <w:b/>
          <w:color w:val="B08625"/>
          <w:sz w:val="20"/>
          <w:caps/>
          <w:spacing w:val="14"/>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0"/>
          <w:caps/>
          <w:spacing w:val="14"/>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0"/>
          <w:caps/>
          <w:spacing w:val="14"/>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0"/>
          <w:caps/>
          <w:spacing w:val="14"/>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jc w:val="both"/>
      </w:pPr>
      <w:r>
        <w:rPr>
          <w:bCs/>
          <w:b/>
          <w:color w:val="B08625"/>
          <w:sz w:val="20"/>
          <w:caps/>
          <w:spacing w:val="14"/>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0"/>
          <w:caps/>
          <w:spacing w:val="14"/>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0"/>
          <w:caps/>
          <w:spacing w:val="14"/>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0"/>
          <w:caps/>
          <w:spacing w:val="14"/>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0"/>
    <w:bookmarkStart w:id="91" w:name="Xc71a5d8b17f477b0394a8d7d7a1ca970b989841"/>
    <w:p>
      <w:pPr>
        <w:pStyle w:val="Heading2"/>
      </w:pPr>
      <w:r>
        <w:t xml:space="preserve">Section 30: International Expansion Strategy</w:t>
      </w:r>
    </w:p>
    <w:p>
      <w:pPr>
        <w:pStyle w:val="FirstParagraph"/>
        <w:jc w:val="both"/>
      </w:pPr>
      <w:r>
        <w:rPr>
          <w:bCs/>
          <w:b/>
          <w:color w:val="B08625"/>
          <w:sz w:val="20"/>
          <w:caps/>
          <w:spacing w:val="14"/>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0"/>
          <w:caps/>
          <w:spacing w:val="14"/>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0"/>
          <w:caps/>
          <w:spacing w:val="14"/>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jc w:val="both"/>
      </w:pPr>
      <w:r>
        <w:rPr>
          <w:bCs/>
          <w:b/>
          <w:color w:val="B08625"/>
          <w:sz w:val="20"/>
          <w:caps/>
          <w:spacing w:val="14"/>
        </w:rPr>
        <w:t xml:space="preserve">Implementation Phases</w:t>
      </w:r>
    </w:p>
    <w:p>
      <w:pPr>
        <w:numPr>
          <w:ilvl w:val="0"/>
          <w:numId w:val="1020"/>
        </w:numPr>
        <w:pStyle w:val="Compact"/>
        <w:jc w:val="both"/>
      </w:pPr>
      <w:r>
        <w:rPr>
          <w:bCs/>
          <w:b/>
          <w:color w:val="B08625"/>
          <w:sz w:val="20"/>
          <w:caps/>
          <w:spacing w:val="14"/>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0"/>
          <w:caps/>
          <w:spacing w:val="14"/>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0"/>
          <w:caps/>
          <w:spacing w:val="14"/>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0"/>
          <w:caps/>
          <w:spacing w:val="14"/>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0"/>
          <w:caps/>
          <w:spacing w:val="14"/>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jc w:val="both"/>
      </w:pPr>
      <w:r>
        <w:rPr>
          <w:bCs/>
          <w:b/>
          <w:color w:val="B08625"/>
          <w:sz w:val="20"/>
          <w:caps/>
          <w:spacing w:val="14"/>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0"/>
          <w:caps/>
          <w:spacing w:val="14"/>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0"/>
          <w:caps/>
          <w:spacing w:val="14"/>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0"/>
          <w:caps/>
          <w:spacing w:val="14"/>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0"/>
          <w:caps/>
          <w:spacing w:val="14"/>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0"/>
          <w:caps/>
          <w:spacing w:val="14"/>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Cinzel" w:hAnsi="Cinzel"/>
                <w:b/>
                <w:color w:val="B08625"/>
                <w:sz w:val="20"/>
                <w:caps/>
                <w:spacing w:val="14"/>
              </w:rPr>
              <w:t>VII</w:t>
            </w:r>
          </w:p>
          <w:p>
            <w:pPr>
              <w:spacing w:before="120" w:after="80"/>
            </w:pPr>
            <w:r>
              <w:rPr>
                <w:rFonts w:ascii="Cormorant Garamond" w:hAnsi="Cormorant Garamond"/>
                <w:b/>
                <w:color w:val="B08625"/>
                <w:sz w:val="20"/>
                <w:caps/>
                <w:spacing w:val="14"/>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Cormorant Garamond" w:hAnsi="Cormorant Garamond"/>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31 </w:t>
            </w:r>
            <w:r>
              <w:rPr>
                <w:rFonts w:ascii="Liberation Sans" w:hAnsi="Liberation Sans"/>
                <w:color w:val="FFFFFF"/>
                <w:sz w:val="20"/>
              </w:rPr>
              <w:t>Nigeria Campus Strategy</w:t>
            </w:r>
          </w:p>
          <w:p>
            <w:pPr>
              <w:spacing w:before="0" w:after="130"/>
            </w:pPr>
            <w:r>
              <w:rPr>
                <w:rFonts w:ascii="Cinzel" w:hAnsi="Cinzel"/>
                <w:b/>
                <w:color w:val="B08625"/>
                <w:sz w:val="20"/>
                <w:caps/>
                <w:spacing w:val="14"/>
              </w:rPr>
              <w:t>32 </w:t>
            </w:r>
            <w:r>
              <w:rPr>
                <w:rFonts w:ascii="Liberation Sans" w:hAnsi="Liberation Sans"/>
                <w:color w:val="FFFFFF"/>
                <w:sz w:val="20"/>
              </w:rPr>
              <w:t>Gulf Cooperation Strategy</w:t>
            </w:r>
          </w:p>
          <w:p>
            <w:pPr>
              <w:spacing w:before="0" w:after="130"/>
            </w:pPr>
            <w:r>
              <w:rPr>
                <w:rFonts w:ascii="Cinzel" w:hAnsi="Cinzel"/>
                <w:b/>
                <w:color w:val="B08625"/>
                <w:sz w:val="20"/>
                <w:caps/>
                <w:spacing w:val="14"/>
              </w:rPr>
              <w:t>33 </w:t>
            </w:r>
            <w:r>
              <w:rPr>
                <w:rFonts w:ascii="Liberation Sans" w:hAnsi="Liberation Sans"/>
                <w:color w:val="FFFFFF"/>
                <w:sz w:val="20"/>
              </w:rPr>
              <w:t>Student Support Framework</w:t>
            </w:r>
          </w:p>
          <w:p>
            <w:pPr>
              <w:spacing w:before="0" w:after="130"/>
            </w:pPr>
            <w:r>
              <w:rPr>
                <w:rFonts w:ascii="Cinzel" w:hAnsi="Cinzel"/>
                <w:b/>
                <w:color w:val="B08625"/>
                <w:sz w:val="20"/>
                <w:caps/>
                <w:spacing w:val="14"/>
              </w:rPr>
              <w:t>34 </w:t>
            </w:r>
            <w:r>
              <w:rPr>
                <w:rFonts w:ascii="Liberation Sans" w:hAnsi="Liberation Sans"/>
                <w:color w:val="FFFFFF"/>
                <w:sz w:val="20"/>
              </w:rPr>
              <w:t>Alumni Framework</w:t>
            </w:r>
          </w:p>
          <w:p>
            <w:pPr>
              <w:spacing w:before="0" w:after="130"/>
            </w:pPr>
            <w:r>
              <w:rPr>
                <w:rFonts w:ascii="Cinzel" w:hAnsi="Cinzel"/>
                <w:b/>
                <w:color w:val="B08625"/>
                <w:sz w:val="20"/>
                <w:caps/>
                <w:spacing w:val="14"/>
              </w:rPr>
              <w:t>35 </w:t>
            </w:r>
            <w:r>
              <w:rPr>
                <w:rFonts w:ascii="Liberation Sans" w:hAnsi="Liberation Sans"/>
                <w:color w:val="FFFFFF"/>
                <w:sz w:val="20"/>
              </w:rPr>
              <w:t>Career Development Framework</w:t>
            </w:r>
          </w:p>
        </w:tc>
      </w:tr>
    </w:tbl>
    <w:p>
      <w:pPr>
        <w:jc w:val="both"/>
      </w:pPr>
      <w:r>
        <w:br w:type="page"/>
      </w:r>
    </w:p>
    <w:p>
      <w:pPr>
        <w:pStyle w:val="SectionKicker"/>
      </w:pPr>
      <w:r>
        <w:t xml:space="preserve">PART VII · SECTION 31</w:t>
      </w:r>
    </w:p>
    <w:bookmarkEnd w:id="91"/>
    <w:bookmarkStart w:id="92" w:name="section-31-nigeria-campus-strategy"/>
    <w:p>
      <w:pPr>
        <w:pStyle w:val="Heading2"/>
      </w:pPr>
      <w:r>
        <w:t xml:space="preserve">Section 31: Nigeria Campus Strategy</w:t>
      </w:r>
    </w:p>
    <w:p>
      <w:pPr>
        <w:pStyle w:val="FirstParagraph"/>
        <w:jc w:val="both"/>
      </w:pPr>
      <w:r>
        <w:rPr>
          <w:bCs/>
          <w:b/>
          <w:color w:val="B08625"/>
          <w:sz w:val="20"/>
          <w:caps/>
          <w:spacing w:val="14"/>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0"/>
          <w:caps/>
          <w:spacing w:val="14"/>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0"/>
                <w:caps/>
                <w:spacing w:val="14"/>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0"/>
          <w:caps/>
          <w:spacing w:val="14"/>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0"/>
          <w:caps/>
          <w:spacing w:val="14"/>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0"/>
          <w:caps/>
          <w:spacing w:val="14"/>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0"/>
          <w:caps/>
          <w:spacing w:val="14"/>
        </w:rPr>
        <w:t xml:space="preserve">Governance Responsibilities</w:t>
      </w:r>
    </w:p>
    <w:p>
      <w:pPr>
        <w:numPr>
          <w:ilvl w:val="0"/>
          <w:numId w:val="1021"/>
        </w:numPr>
        <w:pStyle w:val="Compact"/>
        <w:jc w:val="both"/>
      </w:pPr>
      <w:r>
        <w:rPr>
          <w:bCs/>
          <w:b/>
          <w:color w:val="B08625"/>
          <w:sz w:val="20"/>
          <w:caps/>
          <w:spacing w:val="14"/>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0"/>
          <w:caps/>
          <w:spacing w:val="14"/>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0"/>
          <w:caps/>
          <w:spacing w:val="14"/>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0"/>
          <w:caps/>
          <w:spacing w:val="14"/>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2"/>
    <w:bookmarkStart w:id="93" w:name="section-32-gulf-cooperation-strategy"/>
    <w:p>
      <w:pPr>
        <w:pStyle w:val="Heading2"/>
      </w:pPr>
      <w:r>
        <w:t xml:space="preserve">Section 32: Gulf Cooperation Strategy</w:t>
      </w:r>
    </w:p>
    <w:p>
      <w:pPr>
        <w:pStyle w:val="FirstParagraph"/>
        <w:jc w:val="both"/>
      </w:pPr>
      <w:r>
        <w:rPr>
          <w:bCs/>
          <w:b/>
          <w:color w:val="B08625"/>
          <w:sz w:val="20"/>
          <w:caps/>
          <w:spacing w:val="14"/>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0"/>
          <w:caps/>
          <w:spacing w:val="14"/>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0"/>
                <w:caps/>
                <w:spacing w:val="14"/>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enrolment share and recognition-enabled pathways as track record compounds</w:t>
            </w:r>
          </w:p>
        </w:tc>
      </w:tr>
    </w:tbl>
    <w:p>
      <w:pPr>
        <w:pStyle w:val="BodyText"/>
        <w:jc w:val="both"/>
      </w:pPr>
      <w:r>
        <w:rPr>
          <w:bCs/>
          <w:b/>
          <w:color w:val="B08625"/>
          <w:sz w:val="20"/>
          <w:caps/>
          <w:spacing w:val="14"/>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enrolment share grows. A dedicated Gulf Relations function (for ministry diplomacy) is a Year 13+ decision requiring explicit Board approval, not pre-funded.</w:t>
      </w:r>
    </w:p>
    <w:p>
      <w:pPr>
        <w:pStyle w:val="BodyText"/>
        <w:jc w:val="both"/>
      </w:pPr>
      <w:r>
        <w:rPr>
          <w:bCs/>
          <w:b/>
          <w:color w:val="B08625"/>
          <w:sz w:val="20"/>
          <w:caps/>
          <w:spacing w:val="14"/>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Gulf-origin enrolment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0"/>
          <w:caps/>
          <w:spacing w:val="14"/>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0"/>
          <w:caps/>
          <w:spacing w:val="14"/>
        </w:rPr>
        <w:t xml:space="preserve">Governance Responsibilities</w:t>
      </w:r>
    </w:p>
    <w:p>
      <w:pPr>
        <w:numPr>
          <w:ilvl w:val="0"/>
          <w:numId w:val="1022"/>
        </w:numPr>
        <w:pStyle w:val="Compact"/>
        <w:jc w:val="both"/>
      </w:pPr>
      <w:r>
        <w:rPr>
          <w:bCs/>
          <w:b/>
          <w:color w:val="B08625"/>
          <w:sz w:val="20"/>
          <w:caps/>
          <w:spacing w:val="14"/>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2"/>
        </w:numPr>
        <w:pStyle w:val="Compact"/>
        <w:jc w:val="both"/>
      </w:pPr>
      <w:r>
        <w:rPr>
          <w:bCs/>
          <w:b/>
          <w:color w:val="B08625"/>
          <w:sz w:val="20"/>
          <w:caps/>
          <w:spacing w:val="14"/>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0"/>
          <w:caps/>
          <w:spacing w:val="14"/>
        </w:rPr>
        <w:t xml:space="preserve">University Senate</w:t>
      </w:r>
      <w:r>
        <w:t xml:space="preserve">: reviews academic-partnership implications of any Gulf ministry recognition agreement before adoption.</w:t>
      </w:r>
    </w:p>
    <w:p>
      <w:pPr>
        <w:pStyle w:val="FirstParagraph"/>
        <w:jc w:val="both"/>
      </w:pPr>
      <w:r>
        <w:rPr>
          <w:bCs/>
          <w:b/>
          <w:color w:val="B08625"/>
          <w:sz w:val="20"/>
          <w:caps/>
          <w:spacing w:val="14"/>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3"/>
    <w:bookmarkStart w:id="94" w:name="section-33-student-support-framework"/>
    <w:p>
      <w:pPr>
        <w:pStyle w:val="Heading2"/>
      </w:pPr>
      <w:r>
        <w:t xml:space="preserve">Section 33: Student Support Framework</w:t>
      </w:r>
    </w:p>
    <w:p>
      <w:pPr>
        <w:pStyle w:val="FirstParagraph"/>
        <w:jc w:val="both"/>
      </w:pPr>
      <w:r>
        <w:rPr>
          <w:bCs/>
          <w:b/>
          <w:color w:val="B08625"/>
          <w:sz w:val="20"/>
          <w:caps/>
          <w:spacing w:val="14"/>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0"/>
          <w:caps/>
          <w:spacing w:val="14"/>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jc w:val="both"/>
      </w:pPr>
      <w:r>
        <w:rPr>
          <w:bCs/>
          <w:b/>
          <w:color w:val="B08625"/>
          <w:sz w:val="20"/>
          <w:caps/>
          <w:spacing w:val="14"/>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0"/>
          <w:caps/>
          <w:spacing w:val="14"/>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$8,090;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0"/>
          <w:caps/>
          <w:spacing w:val="14"/>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0"/>
          <w:caps/>
          <w:spacing w:val="14"/>
        </w:rPr>
        <w:t xml:space="preserve">Governance Responsibilities</w:t>
      </w:r>
    </w:p>
    <w:p>
      <w:pPr>
        <w:numPr>
          <w:ilvl w:val="0"/>
          <w:numId w:val="1023"/>
        </w:numPr>
        <w:pStyle w:val="Compact"/>
        <w:jc w:val="both"/>
      </w:pPr>
      <w:r>
        <w:rPr>
          <w:bCs/>
          <w:b/>
          <w:color w:val="B08625"/>
          <w:sz w:val="20"/>
          <w:caps/>
          <w:spacing w:val="14"/>
        </w:rPr>
        <w:t xml:space="preserve">University Senate</w:t>
      </w:r>
      <w:r>
        <w:t xml:space="preserve">: owns academic advising policy and accommodation academic standards.</w:t>
      </w:r>
    </w:p>
    <w:p>
      <w:pPr>
        <w:numPr>
          <w:ilvl w:val="0"/>
          <w:numId w:val="1023"/>
        </w:numPr>
        <w:pStyle w:val="Compact"/>
        <w:jc w:val="both"/>
      </w:pPr>
      <w:r>
        <w:rPr>
          <w:bCs/>
          <w:b/>
          <w:color w:val="B08625"/>
          <w:sz w:val="20"/>
          <w:caps/>
          <w:spacing w:val="14"/>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0"/>
          <w:caps/>
          <w:spacing w:val="14"/>
        </w:rPr>
        <w:t xml:space="preserve">Board of Trustees</w:t>
      </w:r>
      <w:r>
        <w:t xml:space="preserve">: approves any staffing/budget expansion beyond the fixed Admin sub-line.</w:t>
      </w:r>
    </w:p>
    <w:p>
      <w:pPr>
        <w:pStyle w:val="FirstParagraph"/>
        <w:jc w:val="both"/>
      </w:pPr>
      <w:r>
        <w:rPr>
          <w:bCs/>
          <w:b/>
          <w:color w:val="B08625"/>
          <w:sz w:val="20"/>
          <w:caps/>
          <w:spacing w:val="14"/>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4"/>
    <w:bookmarkStart w:id="95" w:name="section-34-alumni-framework"/>
    <w:p>
      <w:pPr>
        <w:pStyle w:val="Heading2"/>
      </w:pPr>
      <w:r>
        <w:t xml:space="preserve">Section 34: Alumni Framework</w:t>
      </w:r>
    </w:p>
    <w:p>
      <w:pPr>
        <w:pStyle w:val="FirstParagraph"/>
        <w:jc w:val="both"/>
      </w:pPr>
      <w:r>
        <w:rPr>
          <w:bCs/>
          <w:b/>
          <w:color w:val="B08625"/>
          <w:sz w:val="20"/>
          <w:caps/>
          <w:spacing w:val="14"/>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jc w:val="both"/>
      </w:pPr>
      <w:r>
        <w:rPr>
          <w:bCs/>
          <w:b/>
          <w:color w:val="B08625"/>
          <w:sz w:val="20"/>
          <w:caps/>
          <w:spacing w:val="14"/>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jc w:val="both"/>
      </w:pPr>
      <w:r>
        <w:rPr>
          <w:bCs/>
          <w:b/>
          <w:color w:val="B08625"/>
          <w:sz w:val="20"/>
          <w:caps/>
          <w:spacing w:val="14"/>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0"/>
          <w:caps/>
          <w:spacing w:val="14"/>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0"/>
          <w:caps/>
          <w:spacing w:val="14"/>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0"/>
          <w:caps/>
          <w:spacing w:val="14"/>
        </w:rPr>
        <w:t xml:space="preserve">Governance Responsibilities</w:t>
      </w:r>
    </w:p>
    <w:p>
      <w:pPr>
        <w:numPr>
          <w:ilvl w:val="0"/>
          <w:numId w:val="1024"/>
        </w:numPr>
        <w:pStyle w:val="Compact"/>
        <w:jc w:val="both"/>
      </w:pPr>
      <w:r>
        <w:rPr>
          <w:bCs/>
          <w:b/>
          <w:color w:val="B08625"/>
          <w:sz w:val="20"/>
          <w:caps/>
          <w:spacing w:val="14"/>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0"/>
          <w:caps/>
          <w:spacing w:val="14"/>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0"/>
          <w:caps/>
          <w:spacing w:val="14"/>
        </w:rPr>
        <w:t xml:space="preserve">University Senate</w:t>
      </w:r>
      <w:r>
        <w:t xml:space="preserve">: no direct authority but consulted on academic-credibility signaling of alumni outcomes.</w:t>
      </w:r>
    </w:p>
    <w:p>
      <w:pPr>
        <w:pStyle w:val="FirstParagraph"/>
        <w:jc w:val="both"/>
      </w:pPr>
      <w:r>
        <w:rPr>
          <w:bCs/>
          <w:b/>
          <w:color w:val="B08625"/>
          <w:sz w:val="20"/>
          <w:caps/>
          <w:spacing w:val="14"/>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5"/>
    <w:bookmarkStart w:id="96" w:name="section-35-career-development-framework"/>
    <w:p>
      <w:pPr>
        <w:pStyle w:val="Heading2"/>
      </w:pPr>
      <w:r>
        <w:t xml:space="preserve">Section 35: Career Development Framework</w:t>
      </w:r>
    </w:p>
    <w:p>
      <w:pPr>
        <w:pStyle w:val="FirstParagraph"/>
        <w:jc w:val="both"/>
      </w:pPr>
      <w:r>
        <w:rPr>
          <w:bCs/>
          <w:b/>
          <w:color w:val="B08625"/>
          <w:sz w:val="20"/>
          <w:caps/>
          <w:spacing w:val="14"/>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0"/>
          <w:caps/>
          <w:spacing w:val="14"/>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jc w:val="both"/>
      </w:pPr>
      <w:r>
        <w:rPr>
          <w:bCs/>
          <w:b/>
          <w:color w:val="B08625"/>
          <w:sz w:val="20"/>
          <w:caps/>
          <w:spacing w:val="14"/>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0"/>
          <w:caps/>
          <w:spacing w:val="14"/>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0"/>
          <w:caps/>
          <w:spacing w:val="14"/>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0"/>
          <w:caps/>
          <w:spacing w:val="14"/>
        </w:rPr>
        <w:t xml:space="preserve">Governance Responsibilities</w:t>
      </w:r>
    </w:p>
    <w:p>
      <w:pPr>
        <w:numPr>
          <w:ilvl w:val="0"/>
          <w:numId w:val="1025"/>
        </w:numPr>
        <w:pStyle w:val="Compact"/>
        <w:jc w:val="both"/>
      </w:pPr>
      <w:r>
        <w:rPr>
          <w:bCs/>
          <w:b/>
          <w:color w:val="B08625"/>
          <w:sz w:val="20"/>
          <w:caps/>
          <w:spacing w:val="14"/>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0"/>
          <w:caps/>
          <w:spacing w:val="14"/>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0"/>
          <w:caps/>
          <w:spacing w:val="14"/>
        </w:rPr>
        <w:t xml:space="preserve">Waqf &amp; Endowment Board</w:t>
      </w:r>
      <w:r>
        <w:t xml:space="preserve">: relevant only where scholarship-linked placement support intersects Tier 4/Waqf-sponsored graduates.</w:t>
      </w:r>
    </w:p>
    <w:p>
      <w:pPr>
        <w:pStyle w:val="FirstParagraph"/>
        <w:jc w:val="both"/>
      </w:pPr>
      <w:r>
        <w:rPr>
          <w:bCs/>
          <w:b/>
          <w:color w:val="B08625"/>
          <w:sz w:val="20"/>
          <w:caps/>
          <w:spacing w:val="14"/>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Cinzel" w:hAnsi="Cinzel"/>
                <w:b/>
                <w:color w:val="B08625"/>
                <w:sz w:val="20"/>
                <w:caps/>
                <w:spacing w:val="14"/>
              </w:rPr>
              <w:t>VIII</w:t>
            </w:r>
          </w:p>
          <w:p>
            <w:pPr>
              <w:spacing w:before="120" w:after="80"/>
            </w:pPr>
            <w:r>
              <w:rPr>
                <w:rFonts w:ascii="Cormorant Garamond" w:hAnsi="Cormorant Garamond"/>
                <w:b/>
                <w:color w:val="B08625"/>
                <w:sz w:val="20"/>
                <w:caps/>
                <w:spacing w:val="14"/>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36–41</w:t>
            </w:r>
          </w:p>
          <w:p>
            <w:pPr>
              <w:spacing w:before="0" w:after="360"/>
              <w:ind w:right="700"/>
            </w:pPr>
            <w:r>
              <w:rPr>
                <w:rFonts w:ascii="Cormorant Garamond" w:hAnsi="Cormorant Garamond"/>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pPr>
            <w:r>
              <w:rPr>
                <w:rFonts w:ascii="Liberation Sans" w:hAnsi="Liberation Sans"/>
                <w:b/>
                <w:sz w:val="20"/>
                <w:color w:val="B08625"/>
                <w:spacing w:val="14"/>
                <w:caps/>
              </w:rPr>
              <w:t>CONTENTS OF THIS PART</w:t>
            </w:r>
          </w:p>
          <w:p>
            <w:pPr>
              <w:spacing w:before="0" w:after="130"/>
            </w:pPr>
            <w:r>
              <w:rPr>
                <w:rFonts w:ascii="Cinzel" w:hAnsi="Cinzel"/>
                <w:b/>
                <w:color w:val="B08625"/>
                <w:sz w:val="20"/>
                <w:caps/>
                <w:spacing w:val="14"/>
              </w:rPr>
              <w:t>36 </w:t>
            </w:r>
            <w:r>
              <w:rPr>
                <w:rFonts w:ascii="Liberation Sans" w:hAnsi="Liberation Sans"/>
                <w:color w:val="FFFFFF"/>
                <w:sz w:val="20"/>
              </w:rPr>
              <w:t>Risk Management Framework</w:t>
            </w:r>
          </w:p>
          <w:p>
            <w:pPr>
              <w:spacing w:before="0" w:after="130"/>
            </w:pPr>
            <w:r>
              <w:rPr>
                <w:rFonts w:ascii="Cinzel" w:hAnsi="Cinzel"/>
                <w:b/>
                <w:color w:val="B08625"/>
                <w:sz w:val="20"/>
                <w:caps/>
                <w:spacing w:val="14"/>
              </w:rPr>
              <w:t>37 </w:t>
            </w:r>
            <w:r>
              <w:rPr>
                <w:rFonts w:ascii="Liberation Sans" w:hAnsi="Liberation Sans"/>
                <w:color w:val="FFFFFF"/>
                <w:sz w:val="20"/>
              </w:rPr>
              <w:t>Compliance Framework</w:t>
            </w:r>
          </w:p>
          <w:p>
            <w:pPr>
              <w:spacing w:before="0" w:after="130"/>
            </w:pPr>
            <w:r>
              <w:rPr>
                <w:rFonts w:ascii="Cinzel" w:hAnsi="Cinzel"/>
                <w:b/>
                <w:color w:val="B08625"/>
                <w:sz w:val="20"/>
                <w:caps/>
                <w:spacing w:val="14"/>
              </w:rPr>
              <w:t>38 </w:t>
            </w:r>
            <w:r>
              <w:rPr>
                <w:rFonts w:ascii="Liberation Sans" w:hAnsi="Liberation Sans"/>
                <w:color w:val="FFFFFF"/>
                <w:sz w:val="20"/>
              </w:rPr>
              <w:t>Financial Sustainability Framework</w:t>
            </w:r>
          </w:p>
          <w:p>
            <w:pPr>
              <w:spacing w:before="0" w:after="130"/>
            </w:pPr>
            <w:r>
              <w:rPr>
                <w:rFonts w:ascii="Cinzel" w:hAnsi="Cinzel"/>
                <w:b/>
                <w:color w:val="B08625"/>
                <w:sz w:val="20"/>
                <w:caps/>
                <w:spacing w:val="14"/>
              </w:rPr>
              <w:t>39 </w:t>
            </w:r>
            <w:r>
              <w:rPr>
                <w:rFonts w:ascii="Liberation Sans" w:hAnsi="Liberation Sans"/>
                <w:color w:val="FFFFFF"/>
                <w:sz w:val="20"/>
              </w:rPr>
              <w:t>Capital Development Framework</w:t>
            </w:r>
          </w:p>
          <w:p>
            <w:pPr>
              <w:spacing w:before="0" w:after="130"/>
            </w:pPr>
            <w:r>
              <w:rPr>
                <w:rFonts w:ascii="Cinzel" w:hAnsi="Cinzel"/>
                <w:b/>
                <w:color w:val="B08625"/>
                <w:sz w:val="20"/>
                <w:caps/>
                <w:spacing w:val="14"/>
              </w:rPr>
              <w:t>40 </w:t>
            </w:r>
            <w:r>
              <w:rPr>
                <w:rFonts w:ascii="Liberation Sans" w:hAnsi="Liberation Sans"/>
                <w:color w:val="FFFFFF"/>
                <w:sz w:val="20"/>
              </w:rPr>
              <w:t>Twenty-Year Strategic Roadmap</w:t>
            </w:r>
          </w:p>
          <w:p>
            <w:pPr>
              <w:spacing w:before="0" w:after="130"/>
            </w:pPr>
            <w:r>
              <w:rPr>
                <w:rFonts w:ascii="Cinzel" w:hAnsi="Cinzel"/>
                <w:b/>
                <w:color w:val="B08625"/>
                <w:sz w:val="20"/>
                <w:caps/>
                <w:spacing w:val="14"/>
              </w:rPr>
              <w:t>41 </w:t>
            </w:r>
            <w:r>
              <w:rPr>
                <w:rFonts w:ascii="Liberation Sans" w:hAnsi="Liberation Sans"/>
                <w:color w:val="FFFFFF"/>
                <w:sz w:val="20"/>
              </w:rPr>
              <w:t>Founding Access &amp; Waqf-First Strategy</w:t>
            </w:r>
          </w:p>
        </w:tc>
      </w:tr>
    </w:tbl>
    <w:p>
      <w:pPr>
        <w:jc w:val="both"/>
      </w:pPr>
      <w:r>
        <w:br w:type="page"/>
      </w:r>
    </w:p>
    <w:p>
      <w:pPr>
        <w:pStyle w:val="SectionKicker"/>
      </w:pPr>
      <w:r>
        <w:t xml:space="preserve">PART VIII · SECTION 36</w:t>
      </w:r>
    </w:p>
    <w:bookmarkEnd w:id="96"/>
    <w:bookmarkStart w:id="97" w:name="section-36-risk-management-framework"/>
    <w:p>
      <w:pPr>
        <w:pStyle w:val="Heading2"/>
      </w:pPr>
      <w:r>
        <w:t xml:space="preserve">Section 36: Risk Management Framework</w:t>
      </w:r>
    </w:p>
    <w:p>
      <w:pPr>
        <w:pStyle w:val="FirstParagraph"/>
        <w:jc w:val="both"/>
      </w:pPr>
      <w:r>
        <w:rPr>
          <w:bCs/>
          <w:b/>
          <w:color w:val="B08625"/>
          <w:sz w:val="20"/>
          <w:caps/>
          <w:spacing w:val="14"/>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0"/>
          <w:caps/>
          <w:spacing w:val="14"/>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jc w:val="both"/>
      </w:pPr>
      <w:r>
        <w:rPr>
          <w:bCs/>
          <w:b/>
          <w:color w:val="B08625"/>
          <w:sz w:val="20"/>
          <w:caps/>
          <w:spacing w:val="14"/>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0"/>
          <w:caps/>
          <w:spacing w:val="14"/>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0"/>
          <w:caps/>
          <w:spacing w:val="14"/>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0"/>
          <w:caps/>
          <w:spacing w:val="14"/>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jc w:val="both"/>
      </w:pPr>
      <w:r>
        <w:rPr>
          <w:bCs/>
          <w:b/>
          <w:color w:val="B08625"/>
          <w:sz w:val="20"/>
          <w:caps/>
          <w:spacing w:val="14"/>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7"/>
    <w:bookmarkStart w:id="98" w:name="section-37-compliance-framework"/>
    <w:p>
      <w:pPr>
        <w:pStyle w:val="Heading2"/>
      </w:pPr>
      <w:r>
        <w:t xml:space="preserve">Section 37: Compliance Framework</w:t>
      </w:r>
    </w:p>
    <w:p>
      <w:pPr>
        <w:pStyle w:val="FirstParagraph"/>
        <w:jc w:val="both"/>
      </w:pPr>
      <w:r>
        <w:rPr>
          <w:bCs/>
          <w:b/>
          <w:color w:val="B08625"/>
          <w:sz w:val="20"/>
          <w:caps/>
          <w:spacing w:val="14"/>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0"/>
          <w:caps/>
          <w:spacing w:val="14"/>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jc w:val="both"/>
      </w:pPr>
      <w:r>
        <w:rPr>
          <w:bCs/>
          <w:b/>
          <w:color w:val="B08625"/>
          <w:sz w:val="20"/>
          <w:caps/>
          <w:spacing w:val="14"/>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0"/>
          <w:caps/>
          <w:spacing w:val="14"/>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0"/>
          <w:caps/>
          <w:spacing w:val="14"/>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0"/>
          <w:caps/>
          <w:spacing w:val="14"/>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jc w:val="both"/>
      </w:pPr>
      <w:r>
        <w:rPr>
          <w:bCs/>
          <w:b/>
          <w:color w:val="B08625"/>
          <w:sz w:val="20"/>
          <w:caps/>
          <w:spacing w:val="14"/>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8"/>
    <w:bookmarkStart w:id="102"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0" name="Picture"/>
            <a:graphic>
              <a:graphicData uri="http://schemas.openxmlformats.org/drawingml/2006/picture">
                <pic:pic>
                  <pic:nvPicPr>
                    <pic:cNvPr descr="assets/figures/fig01_revenue_allocation.png" id="101" name="Picture"/>
                    <pic:cNvPicPr>
                      <a:picLocks noChangeArrowheads="1" noChangeAspect="1"/>
                    </pic:cNvPicPr>
                  </pic:nvPicPr>
                  <pic:blipFill>
                    <a:blip r:embed="rId99"/>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0"/>
          <w:caps/>
          <w:spacing w:val="14"/>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0"/>
          <w:caps/>
          <w:spacing w:val="14"/>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0"/>
          <w:caps/>
          <w:spacing w:val="14"/>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0"/>
          <w:caps/>
          <w:spacing w:val="14"/>
        </w:rPr>
        <w:t xml:space="preserve">The Two-Reserve Architecture</w:t>
      </w:r>
    </w:p>
    <w:p>
      <w:pPr>
        <w:numPr>
          <w:ilvl w:val="0"/>
          <w:numId w:val="1030"/>
        </w:numPr>
        <w:pStyle w:val="Compact"/>
        <w:jc w:val="both"/>
      </w:pPr>
      <w:r>
        <w:rPr>
          <w:bCs/>
          <w:b/>
          <w:color w:val="B08625"/>
          <w:sz w:val="20"/>
          <w:caps/>
          <w:spacing w:val="14"/>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0"/>
          <w:caps/>
          <w:spacing w:val="14"/>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jc w:val="both"/>
      </w:pPr>
      <w:r>
        <w:rPr>
          <w:bCs/>
          <w:b/>
          <w:color w:val="B08625"/>
          <w:sz w:val="20"/>
          <w:caps/>
          <w:spacing w:val="14"/>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0"/>
          <w:caps/>
          <w:spacing w:val="14"/>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0"/>
          <w:caps/>
          <w:spacing w:val="14"/>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0"/>
          <w:caps/>
          <w:spacing w:val="14"/>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0"/>
          <w:caps/>
          <w:spacing w:val="14"/>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jc w:val="both"/>
      </w:pPr>
      <w:r>
        <w:rPr>
          <w:bCs/>
          <w:b/>
          <w:color w:val="B08625"/>
          <w:sz w:val="20"/>
          <w:caps/>
          <w:spacing w:val="14"/>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2"/>
    <w:bookmarkStart w:id="106"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4" name="Picture"/>
            <a:graphic>
              <a:graphicData uri="http://schemas.openxmlformats.org/drawingml/2006/picture">
                <pic:pic>
                  <pic:nvPicPr>
                    <pic:cNvPr descr="assets/figures/fig08_capital_firewall.png" id="105" name="Picture"/>
                    <pic:cNvPicPr>
                      <a:picLocks noChangeArrowheads="1" noChangeAspect="1"/>
                    </pic:cNvPicPr>
                  </pic:nvPicPr>
                  <pic:blipFill>
                    <a:blip r:embed="rId103"/>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0"/>
          <w:caps/>
          <w:spacing w:val="14"/>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0"/>
          <w:caps/>
          <w:spacing w:val="14"/>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0"/>
          <w:caps/>
          <w:spacing w:val="14"/>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$333,384)</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jc w:val="both"/>
      </w:pPr>
      <w:r>
        <w:rPr>
          <w:bCs/>
          <w:b/>
          <w:color w:val="B08625"/>
          <w:sz w:val="20"/>
          <w:caps/>
          <w:spacing w:val="14"/>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0"/>
          <w:caps/>
          <w:spacing w:val="14"/>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jc w:val="both"/>
      </w:pPr>
      <w:r>
        <w:rPr>
          <w:bCs/>
          <w:b/>
          <w:color w:val="B08625"/>
          <w:sz w:val="20"/>
          <w:caps/>
          <w:spacing w:val="14"/>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0"/>
          <w:caps/>
          <w:spacing w:val="14"/>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$333,384)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0"/>
          <w:caps/>
          <w:spacing w:val="14"/>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jc w:val="both"/>
      </w:pPr>
      <w:r>
        <w:rPr>
          <w:bCs/>
          <w:b/>
          <w:color w:val="B08625"/>
          <w:sz w:val="20"/>
          <w:caps/>
          <w:spacing w:val="14"/>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6"/>
    <w:bookmarkStart w:id="110"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8" name="Picture"/>
            <a:graphic>
              <a:graphicData uri="http://schemas.openxmlformats.org/drawingml/2006/picture">
                <pic:pic>
                  <pic:nvPicPr>
                    <pic:cNvPr descr="assets/figures/fig04_twenty_year_trajectory.png" id="109" name="Picture"/>
                    <pic:cNvPicPr>
                      <a:picLocks noChangeArrowheads="1" noChangeAspect="1"/>
                    </pic:cNvPicPr>
                  </pic:nvPicPr>
                  <pic:blipFill>
                    <a:blip r:embed="rId107"/>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0"/>
          <w:caps/>
          <w:spacing w:val="14"/>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0"/>
          <w:caps/>
          <w:spacing w:val="14"/>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0"/>
          <w:caps/>
          <w:spacing w:val="14"/>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jc w:val="both"/>
      </w:pPr>
      <w:r>
        <w:rPr>
          <w:bCs/>
          <w:b/>
          <w:color w:val="B08625"/>
          <w:sz w:val="20"/>
          <w:caps/>
          <w:spacing w:val="14"/>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0"/>
          <w:caps/>
          <w:spacing w:val="14"/>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0"/>
          <w:caps/>
          <w:spacing w:val="14"/>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0"/>
          <w:caps/>
          <w:spacing w:val="14"/>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0"/>
          <w:caps/>
          <w:spacing w:val="14"/>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0"/>
          <w:caps/>
          <w:spacing w:val="14"/>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0"/>
          <w:caps/>
          <w:spacing w:val="14"/>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0"/>
    <w:bookmarkStart w:id="111" w:name="X8b8cf297de2f77fa6413774a8514840e8d88cb7"/>
    <w:p>
      <w:pPr>
        <w:pStyle w:val="Heading2"/>
      </w:pPr>
      <w:r>
        <w:t xml:space="preserve">Section 41: Founding Access &amp; Waqf-First Strategy</w:t>
      </w:r>
    </w:p>
    <w:p>
      <w:pPr>
        <w:pStyle w:val="FirstParagraph"/>
        <w:jc w:val="both"/>
      </w:pPr>
      <w:r>
        <w:rPr>
          <w:bCs/>
          <w:b/>
          <w:color w:val="B08625"/>
          <w:sz w:val="20"/>
          <w:caps/>
          <w:spacing w:val="14"/>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0"/>
          <w:caps/>
          <w:spacing w:val="14"/>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0"/>
          <w:caps/>
          <w:spacing w:val="14"/>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Calendar</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What This Means</w:t>
            </w:r>
          </w:p>
        </w:tc>
      </w:tr>
      <w:tr>
        <w:trPr>
          <w:cantSplit/>
        </w:trPr>
        <w:tc>
          <w:tcPr/>
          <w:p>
            <w:pPr>
              <w:pStyle w:val="Compact"/>
              <w:jc w:val="left"/>
            </w:pPr>
            <w:r>
              <w:t xml:space="preserve">1</w:t>
            </w:r>
          </w:p>
        </w:tc>
        <w:tc>
          <w:tcPr/>
          <w:p>
            <w:pPr>
              <w:pStyle w:val="Compact"/>
              <w:jc w:val="left"/>
            </w:pPr>
            <w:r>
              <w:t xml:space="preserve">2028</w:t>
            </w:r>
          </w:p>
        </w:tc>
        <w:tc>
          <w:tcPr/>
          <w:p>
            <w:pPr>
              <w:pStyle w:val="Compact"/>
              <w:jc w:val="left"/>
            </w:pPr>
            <w:r>
              <w:t xml:space="preserve">Foundation &amp; Struggle</w:t>
            </w:r>
          </w:p>
        </w:tc>
        <w:tc>
          <w:tcPr/>
          <w:p>
            <w:pPr>
              <w:pStyle w:val="Compact"/>
              <w:jc w:val="left"/>
            </w:pPr>
            <w:r>
              <w:t xml:space="preserve">RED</w:t>
            </w:r>
          </w:p>
        </w:tc>
        <w:tc>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pPr>
            <w:r>
              <w:t xml:space="preserve">2</w:t>
            </w:r>
          </w:p>
        </w:tc>
        <w:tc>
          <w:tcPr/>
          <w:p>
            <w:pPr>
              <w:pStyle w:val="Compact"/>
              <w:jc w:val="left"/>
            </w:pPr>
            <w:r>
              <w:t xml:space="preserve">2029</w:t>
            </w:r>
          </w:p>
        </w:tc>
        <w:tc>
          <w:tcPr/>
          <w:p>
            <w:pPr>
              <w:pStyle w:val="Compact"/>
              <w:jc w:val="left"/>
            </w:pPr>
            <w:r>
              <w:t xml:space="preserve">Stabilisation &amp; Survival</w:t>
            </w:r>
          </w:p>
        </w:tc>
        <w:tc>
          <w:tcPr/>
          <w:p>
            <w:pPr>
              <w:pStyle w:val="Compact"/>
              <w:jc w:val="left"/>
            </w:pPr>
            <w:r>
              <w:t xml:space="preserve">RED</w:t>
            </w:r>
          </w:p>
        </w:tc>
        <w:tc>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pPr>
            <w:r>
              <w:t xml:space="preserve">3</w:t>
            </w:r>
          </w:p>
        </w:tc>
        <w:tc>
          <w:tcPr/>
          <w:p>
            <w:pPr>
              <w:pStyle w:val="Compact"/>
              <w:jc w:val="left"/>
            </w:pPr>
            <w:r>
              <w:t xml:space="preserve">2030</w:t>
            </w:r>
          </w:p>
        </w:tc>
        <w:tc>
          <w:tcPr/>
          <w:p>
            <w:pPr>
              <w:pStyle w:val="Compact"/>
              <w:jc w:val="left"/>
            </w:pPr>
            <w:r>
              <w:t xml:space="preserve">Controlled Growth</w:t>
            </w:r>
          </w:p>
        </w:tc>
        <w:tc>
          <w:tcPr/>
          <w:p>
            <w:pPr>
              <w:pStyle w:val="Compact"/>
              <w:jc w:val="left"/>
            </w:pPr>
            <w:r>
              <w:t xml:space="preserve">AMBER</w:t>
            </w:r>
          </w:p>
        </w:tc>
        <w:tc>
          <w:tcPr/>
          <w:p>
            <w:pPr>
              <w:pStyle w:val="Compact"/>
              <w:jc w:val="left"/>
            </w:pPr>
            <w:r>
              <w:t xml:space="preserve">Formation stack complete; still zero tuition increase assumed (AMIU-MP-001 §5.8 — no fee review before Year 4).</w:t>
            </w:r>
          </w:p>
        </w:tc>
      </w:tr>
      <w:tr>
        <w:trPr>
          <w:cantSplit/>
        </w:trPr>
        <w:tc>
          <w:tcPr/>
          <w:p>
            <w:pPr>
              <w:pStyle w:val="Compact"/>
              <w:jc w:val="left"/>
            </w:pPr>
            <w:r>
              <w:t xml:space="preserve">4–5</w:t>
            </w:r>
          </w:p>
        </w:tc>
        <w:tc>
          <w:tcPr/>
          <w:p>
            <w:pPr>
              <w:pStyle w:val="Compact"/>
              <w:jc w:val="left"/>
            </w:pPr>
            <w:r>
              <w:t xml:space="preserve">2031–2032</w:t>
            </w:r>
          </w:p>
        </w:tc>
        <w:tc>
          <w:tcPr/>
          <w:p>
            <w:pPr>
              <w:pStyle w:val="Compact"/>
              <w:jc w:val="left"/>
            </w:pPr>
            <w:r>
              <w:t xml:space="preserve">Institutional Consolidation</w:t>
            </w:r>
          </w:p>
        </w:tc>
        <w:tc>
          <w:tcPr/>
          <w:p>
            <w:pPr>
              <w:pStyle w:val="Compact"/>
              <w:jc w:val="left"/>
            </w:pPr>
            <w:r>
              <w:t xml:space="preserve">AMBER→GREEN</w:t>
            </w:r>
          </w:p>
        </w:tc>
        <w:tc>
          <w:tcPr/>
          <w:p>
            <w:pPr>
              <w:pStyle w:val="Compact"/>
              <w:jc w:val="left"/>
            </w:pPr>
            <w:r>
              <w:t xml:space="preserve">First governance-approved fee review; Liquidity Reserve crosses $1.29M cumulative.</w:t>
            </w:r>
          </w:p>
        </w:tc>
      </w:tr>
      <w:tr>
        <w:trPr>
          <w:cantSplit/>
        </w:trPr>
        <w:tc>
          <w:tcPr/>
          <w:p>
            <w:pPr>
              <w:pStyle w:val="Compact"/>
              <w:jc w:val="left"/>
            </w:pPr>
            <w:r>
              <w:t xml:space="preserve">6–10</w:t>
            </w:r>
          </w:p>
        </w:tc>
        <w:tc>
          <w:tcPr/>
          <w:p>
            <w:pPr>
              <w:pStyle w:val="Compact"/>
              <w:jc w:val="left"/>
            </w:pPr>
            <w:r>
              <w:t xml:space="preserve">2033–2037</w:t>
            </w:r>
          </w:p>
        </w:tc>
        <w:tc>
          <w:tcPr/>
          <w:p>
            <w:pPr>
              <w:pStyle w:val="Compact"/>
              <w:jc w:val="left"/>
            </w:pPr>
            <w:r>
              <w:t xml:space="preserve">Expansion</w:t>
            </w:r>
          </w:p>
        </w:tc>
        <w:tc>
          <w:tcPr/>
          <w:p>
            <w:pPr>
              <w:pStyle w:val="Compact"/>
              <w:jc w:val="left"/>
            </w:pPr>
            <w:r>
              <w:t xml:space="preserve">GREEN</w:t>
            </w:r>
          </w:p>
        </w:tc>
        <w:tc>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0"/>
          <w:caps/>
          <w:spacing w:val="14"/>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Window</w:t>
            </w:r>
          </w:p>
        </w:tc>
        <w:tc>
          <w:tcPr/>
          <w:p>
            <w:pPr>
              <w:pStyle w:val="Compact"/>
              <w:jc w:val="left"/>
            </w:pPr>
            <w:r>
              <w:t xml:space="preserve">Designation</w:t>
            </w:r>
          </w:p>
        </w:tc>
        <w:tc>
          <w:tcPr/>
          <w:p>
            <w:pPr>
              <w:pStyle w:val="Compact"/>
              <w:jc w:val="left"/>
            </w:pPr>
            <w:r>
              <w:t xml:space="preserve">Acting Party</w:t>
            </w:r>
          </w:p>
        </w:tc>
        <w:tc>
          <w:tcPr/>
          <w:p>
            <w:pPr>
              <w:pStyle w:val="Compact"/>
              <w:jc w:val="left"/>
            </w:pPr>
            <w:r>
              <w:t xml:space="preserve">Cost to Registrant</w:t>
            </w:r>
          </w:p>
        </w:tc>
        <w:tc>
          <w:tcPr/>
          <w:p>
            <w:pPr>
              <w:pStyle w:val="Compact"/>
              <w:jc w:val="left"/>
            </w:pPr>
            <w:r>
              <w:t xml:space="preserve">Purpose</w:t>
            </w:r>
          </w:p>
        </w:tc>
      </w:tr>
      <w:tr>
        <w:trPr>
          <w:cantSplit/>
        </w:trPr>
        <w:tc>
          <w:tcPr/>
          <w:p>
            <w:pPr>
              <w:pStyle w:val="Compact"/>
              <w:jc w:val="left"/>
            </w:pPr>
            <w:r>
              <w:t xml:space="preserve">~Mid-2027 – 6 Dec 2027</w:t>
            </w:r>
          </w:p>
        </w:tc>
        <w:tc>
          <w:tcPr/>
          <w:p>
            <w:pPr>
              <w:pStyle w:val="Compact"/>
              <w:jc w:val="left"/>
            </w:pPr>
            <w:r>
              <w:t xml:space="preserve">Founding Registration &amp; Outreach</w:t>
            </w:r>
          </w:p>
        </w:tc>
        <w:tc>
          <w:tcPr/>
          <w:p>
            <w:pPr>
              <w:pStyle w:val="Compact"/>
              <w:jc w:val="left"/>
            </w:pPr>
            <w:r>
              <w:t xml:space="preserve">Founding Committee (pre-incorporation; trustees-designate, in a founding rather than institutional capacity)</w:t>
            </w:r>
          </w:p>
        </w:tc>
        <w:tc>
          <w:tcPr/>
          <w:p>
            <w:pPr>
              <w:pStyle w:val="Compact"/>
              <w:jc w:val="left"/>
            </w:pPr>
            <w:r>
              <w:t xml:space="preserve">Free — registration of interest only; no admission decision issued</w:t>
            </w:r>
          </w:p>
        </w:tc>
        <w:tc>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pPr>
            <w:r>
              <w:t xml:space="preserve">6 Dec 2027 – 31 Dec 2027</w:t>
            </w:r>
          </w:p>
        </w:tc>
        <w:tc>
          <w:tcPr/>
          <w:p>
            <w:pPr>
              <w:pStyle w:val="Compact"/>
              <w:jc w:val="left"/>
            </w:pPr>
            <w:r>
              <w:t xml:space="preserve">Incorporation-to-Launch Bridge</w:t>
            </w:r>
          </w:p>
        </w:tc>
        <w:tc>
          <w:tcPr/>
          <w:p>
            <w:pPr>
              <w:pStyle w:val="Compact"/>
              <w:jc w:val="left"/>
            </w:pPr>
            <w:r>
              <w:t xml:space="preserve">AMIU (newly incorporated)</w:t>
            </w:r>
          </w:p>
        </w:tc>
        <w:tc>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pPr>
            <w:r>
              <w:t xml:space="preserve">Convert the registration pipeline into verified, fee-eligible applications; fund admissions-office setup ahead of Day 1</w:t>
            </w:r>
          </w:p>
        </w:tc>
      </w:tr>
      <w:tr>
        <w:trPr>
          <w:cantSplit/>
        </w:trPr>
        <w:tc>
          <w:tcPr/>
          <w:p>
            <w:pPr>
              <w:pStyle w:val="Compact"/>
              <w:jc w:val="left"/>
            </w:pPr>
            <w:r>
              <w:t xml:space="preserve">1 Jan 2028 →</w:t>
            </w:r>
          </w:p>
        </w:tc>
        <w:tc>
          <w:tcPr/>
          <w:p>
            <w:pPr>
              <w:pStyle w:val="Compact"/>
              <w:jc w:val="left"/>
            </w:pPr>
            <w:r>
              <w:t xml:space="preserve">Founding Academic Year</w:t>
            </w:r>
          </w:p>
        </w:tc>
        <w:tc>
          <w:tcPr/>
          <w:p>
            <w:pPr>
              <w:pStyle w:val="Compact"/>
              <w:jc w:val="left"/>
            </w:pPr>
            <w:r>
              <w:t xml:space="preserve">AMIU</w:t>
            </w:r>
          </w:p>
        </w:tc>
        <w:tc>
          <w:tcPr/>
          <w:p>
            <w:pPr>
              <w:pStyle w:val="Compact"/>
              <w:jc w:val="left"/>
            </w:pPr>
            <w:r>
              <w:t xml:space="preserve">Full Section 2 tuition architecture; Section 15 Founding Cohort incentive stack (15% upfront discount, 10%→15% affiliate commission in the first 90 days)</w:t>
            </w:r>
          </w:p>
        </w:tc>
        <w:tc>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0"/>
          <w:caps/>
          <w:spacing w:val="14"/>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0"/>
          <w:caps/>
          <w:spacing w:val="14"/>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pPr>
          </w:p>
        </w:tc>
        <w:tc>
          <w:tcPr/>
          <w:p>
            <w:pPr>
              <w:pStyle w:val="Compact"/>
              <w:jc w:val="left"/>
            </w:pPr>
            <w:r>
              <w:t xml:space="preserve">Standard Split (20% of Distributed Half)</w:t>
            </w:r>
          </w:p>
        </w:tc>
        <w:tc>
          <w:tcPr/>
          <w:p>
            <w:pPr>
              <w:pStyle w:val="Compact"/>
              <w:jc w:val="left"/>
            </w:pPr>
            <w:r>
              <w:t xml:space="preserve">Reweighted for Yrs 1–2 (50% of Distributed Half)</w:t>
            </w:r>
          </w:p>
        </w:tc>
      </w:tr>
      <w:tr>
        <w:trPr>
          <w:cantSplit/>
        </w:trPr>
        <w:tc>
          <w:tcPr/>
          <w:p>
            <w:pPr>
              <w:pStyle w:val="Compact"/>
              <w:jc w:val="left"/>
            </w:pPr>
            <w:r>
              <w:t xml:space="preserve">Year 1 Scholarship Block ($22,475 distributed)</w:t>
            </w:r>
          </w:p>
        </w:tc>
        <w:tc>
          <w:tcPr/>
          <w:p>
            <w:pPr>
              <w:pStyle w:val="Compact"/>
              <w:jc w:val="left"/>
            </w:pPr>
            <w:r>
              <w:t xml:space="preserve">$4,495</w:t>
            </w:r>
          </w:p>
        </w:tc>
        <w:tc>
          <w:tcPr/>
          <w:p>
            <w:pPr>
              <w:pStyle w:val="Compact"/>
              <w:jc w:val="left"/>
            </w:pPr>
            <w:r>
              <w:t xml:space="preserve">$11,238</w:t>
            </w:r>
          </w:p>
        </w:tc>
      </w:tr>
      <w:tr>
        <w:trPr>
          <w:cantSplit/>
        </w:trPr>
        <w:tc>
          <w:tcPr/>
          <w:p>
            <w:pPr>
              <w:pStyle w:val="Compact"/>
              <w:jc w:val="left"/>
            </w:pPr>
            <w:r>
              <w:t xml:space="preserve">Year 2 Scholarship Block ($45,139 distributed)</w:t>
            </w:r>
          </w:p>
        </w:tc>
        <w:tc>
          <w:tcPr/>
          <w:p>
            <w:pPr>
              <w:pStyle w:val="Compact"/>
              <w:jc w:val="left"/>
            </w:pPr>
            <w:r>
              <w:t xml:space="preserve">$9,028</w:t>
            </w:r>
          </w:p>
        </w:tc>
        <w:tc>
          <w:tcPr/>
          <w:p>
            <w:pPr>
              <w:pStyle w:val="Compact"/>
              <w:jc w:val="left"/>
            </w:pPr>
            <w:r>
              <w:t xml:space="preserve">$22,570</w:t>
            </w:r>
          </w:p>
        </w:tc>
      </w:tr>
      <w:tr>
        <w:trPr>
          <w:cantSplit/>
        </w:trPr>
        <w:tc>
          <w:tcPr/>
          <w:p>
            <w:pPr>
              <w:pStyle w:val="Compact"/>
              <w:jc w:val="left"/>
            </w:pPr>
            <w:r>
              <w:t xml:space="preserve">Two-Year Total</w:t>
            </w:r>
          </w:p>
        </w:tc>
        <w:tc>
          <w:tcPr/>
          <w:p>
            <w:pPr>
              <w:pStyle w:val="Compact"/>
              <w:jc w:val="left"/>
            </w:pPr>
            <w:r>
              <w:t xml:space="preserve">$13,523</w:t>
            </w:r>
          </w:p>
        </w:tc>
        <w:tc>
          <w:tcPr/>
          <w:p>
            <w:pPr>
              <w:pStyle w:val="Compact"/>
              <w:jc w:val="left"/>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pPr>
          </w:p>
        </w:tc>
        <w:tc>
          <w:tcPr/>
          <w:p>
            <w:pPr>
              <w:pStyle w:val="Compact"/>
              <w:jc w:val="left"/>
            </w:pPr>
            <w:r>
              <w:t xml:space="preserve">Low Estimate (Tier 3 Associate, $340/seat)</w:t>
            </w:r>
          </w:p>
        </w:tc>
        <w:tc>
          <w:tcPr/>
          <w:p>
            <w:pPr>
              <w:pStyle w:val="Compact"/>
              <w:jc w:val="left"/>
            </w:pPr>
            <w:r>
              <w:t xml:space="preserve">Blended Estimate ($175/seat)</w:t>
            </w:r>
          </w:p>
        </w:tc>
        <w:tc>
          <w:tcPr/>
          <w:p>
            <w:pPr>
              <w:pStyle w:val="Compact"/>
              <w:jc w:val="left"/>
            </w:pPr>
            <w:r>
              <w:t xml:space="preserve">High Estimate (Tier 4 Diploma, $80/seat)</w:t>
            </w:r>
          </w:p>
        </w:tc>
      </w:tr>
      <w:tr>
        <w:trPr>
          <w:cantSplit/>
        </w:trPr>
        <w:tc>
          <w:tcPr/>
          <w:p>
            <w:pPr>
              <w:pStyle w:val="Compact"/>
              <w:jc w:val="left"/>
            </w:pPr>
            <w:r>
              <w:t xml:space="preserve">Year 1 (~33 to ~140 seats)</w:t>
            </w:r>
          </w:p>
        </w:tc>
        <w:tc>
          <w:tcPr/>
          <w:p>
            <w:pPr>
              <w:pStyle w:val="Compact"/>
              <w:jc w:val="left"/>
            </w:pPr>
            <w:r>
              <w:t xml:space="preserve">33</w:t>
            </w:r>
          </w:p>
        </w:tc>
        <w:tc>
          <w:tcPr/>
          <w:p>
            <w:pPr>
              <w:pStyle w:val="Compact"/>
              <w:jc w:val="left"/>
            </w:pPr>
            <w:r>
              <w:t xml:space="preserve">64</w:t>
            </w:r>
          </w:p>
        </w:tc>
        <w:tc>
          <w:tcPr/>
          <w:p>
            <w:pPr>
              <w:pStyle w:val="Compact"/>
              <w:jc w:val="left"/>
            </w:pPr>
            <w:r>
              <w:t xml:space="preserve">140</w:t>
            </w:r>
          </w:p>
        </w:tc>
      </w:tr>
      <w:tr>
        <w:trPr>
          <w:cantSplit/>
        </w:trPr>
        <w:tc>
          <w:tcPr/>
          <w:p>
            <w:pPr>
              <w:pStyle w:val="Compact"/>
              <w:jc w:val="left"/>
            </w:pPr>
            <w:r>
              <w:t xml:space="preserve">Year 2 (~66 to ~282 seats)</w:t>
            </w:r>
          </w:p>
        </w:tc>
        <w:tc>
          <w:tcPr/>
          <w:p>
            <w:pPr>
              <w:pStyle w:val="Compact"/>
              <w:jc w:val="left"/>
            </w:pPr>
            <w:r>
              <w:t xml:space="preserve">66</w:t>
            </w:r>
          </w:p>
        </w:tc>
        <w:tc>
          <w:tcPr/>
          <w:p>
            <w:pPr>
              <w:pStyle w:val="Compact"/>
              <w:jc w:val="left"/>
            </w:pPr>
            <w:r>
              <w:t xml:space="preserve">129</w:t>
            </w:r>
          </w:p>
        </w:tc>
        <w:tc>
          <w:tcPr/>
          <w:p>
            <w:pPr>
              <w:pStyle w:val="Compact"/>
              <w:jc w:val="left"/>
            </w:pPr>
            <w:r>
              <w:t xml:space="preserve">282</w:t>
            </w:r>
          </w:p>
        </w:tc>
      </w:tr>
    </w:tbl>
    <w:p>
      <w:pPr>
        <w:pStyle w:val="BodyText"/>
        <w:jc w:val="both"/>
      </w:pPr>
      <w:r>
        <w:rPr>
          <w:bCs/>
          <w:b/>
          <w:color w:val="B08625"/>
          <w:sz w:val="20"/>
          <w:caps/>
          <w:spacing w:val="14"/>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0"/>
          <w:caps/>
          <w:spacing w:val="14"/>
        </w:rPr>
        <w:t xml:space="preserve">Where This Section Declines the Directive</w:t>
      </w:r>
    </w:p>
    <w:p>
      <w:pPr>
        <w:pStyle w:val="BodyText"/>
        <w:jc w:val="both"/>
      </w:pPr>
      <w:r>
        <w:t xml:space="preserve">On scholarship bands: the Founding Council’s originally proposed bands (Founding 100%; Merit, Need-Based, Community Leadership, Qur’an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0"/>
          <w:caps/>
          <w:spacing w:val="14"/>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9).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0"/>
          <w:caps/>
          <w:spacing w:val="14"/>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0"/>
          <w:caps/>
          <w:spacing w:val="14"/>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0"/>
          <w:caps/>
          <w:spacing w:val="14"/>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Emergency Relief sub-line deferred in Years 1–2 leaves a mission-specific buffer thin</w:t>
            </w:r>
          </w:p>
        </w:tc>
        <w:tc>
          <w:tcPr/>
          <w:p>
            <w:pPr>
              <w:pStyle w:val="Compact"/>
              <w:jc w:val="left"/>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pPr>
            <w:r>
              <w:t xml:space="preserve">Nigeria Reserve deferred in Years 1–2</w:t>
            </w:r>
          </w:p>
        </w:tc>
        <w:tc>
          <w:tcPr/>
          <w:p>
            <w:pPr>
              <w:pStyle w:val="Compact"/>
              <w:jc w:val="left"/>
            </w:pPr>
            <w:r>
              <w:t xml:space="preserve">No effect on the funding target, which is Year 10 (§6.2.1) — eight years of runway remain to rebuild the sub-line from Year 3</w:t>
            </w:r>
          </w:p>
        </w:tc>
      </w:tr>
      <w:tr>
        <w:trPr>
          <w:cantSplit/>
        </w:trPr>
        <w:tc>
          <w:tcPr/>
          <w:p>
            <w:pPr>
              <w:pStyle w:val="Compact"/>
              <w:jc w:val="left"/>
            </w:pPr>
            <w:r>
              <w:t xml:space="preserve">Founding Registration pipeline overperforms, creating expectations the Founding Scholarship pool cannot meet at launch</w:t>
            </w:r>
          </w:p>
        </w:tc>
        <w:tc>
          <w:tcPr/>
          <w:p>
            <w:pPr>
              <w:pStyle w:val="Compact"/>
              <w:jc w:val="left"/>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0"/>
          <w:caps/>
          <w:spacing w:val="14"/>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0"/>
          <w:caps/>
          <w:spacing w:val="14"/>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Ratifies (or declines) the illustrative bridge-phase fee; retains exclusive tuition-setting authority (§11.3)</w:t>
            </w:r>
          </w:p>
        </w:tc>
      </w:tr>
      <w:tr>
        <w:trPr>
          <w:cantSplit/>
        </w:trPr>
        <w:tc>
          <w:tcPr/>
          <w:p>
            <w:pPr>
              <w:pStyle w:val="Compact"/>
              <w:jc w:val="left"/>
            </w:pPr>
            <w:r>
              <w:t xml:space="preserve">Waqf &amp; Endowment Board</w:t>
            </w:r>
          </w:p>
        </w:tc>
        <w:tc>
          <w:tcPr/>
          <w:p>
            <w:pPr>
              <w:pStyle w:val="Compact"/>
              <w:jc w:val="left"/>
            </w:pPr>
            <w:r>
              <w:t xml:space="preserve">Approves the Years 1–2 Scholarship Block reweighting, within its ordinary fiduciary discretion (under the $250,000/yr supermajority threshold)</w:t>
            </w:r>
          </w:p>
        </w:tc>
      </w:tr>
      <w:tr>
        <w:trPr>
          <w:cantSplit/>
        </w:trPr>
        <w:tc>
          <w:tcPr/>
          <w:p>
            <w:pPr>
              <w:pStyle w:val="Compact"/>
              <w:jc w:val="left"/>
            </w:pPr>
            <w:r>
              <w:t xml:space="preserve">Registrar / Admissions (Section 14)</w:t>
            </w:r>
          </w:p>
        </w:tc>
        <w:tc>
          <w:tcPr/>
          <w:p>
            <w:pPr>
              <w:pStyle w:val="Compact"/>
              <w:jc w:val="left"/>
            </w:pPr>
            <w:r>
              <w:t xml:space="preserve">Administers Founding Registration and the transition to formal admissions</w:t>
            </w:r>
          </w:p>
        </w:tc>
      </w:tr>
      <w:tr>
        <w:trPr>
          <w:cantSplit/>
        </w:trPr>
        <w:tc>
          <w:tcPr/>
          <w:p>
            <w:pPr>
              <w:pStyle w:val="Compact"/>
              <w:jc w:val="left"/>
            </w:pPr>
            <w:r>
              <w:t xml:space="preserve">University Senate</w:t>
            </w:r>
          </w:p>
        </w:tc>
        <w:tc>
          <w:tcPr/>
          <w:p>
            <w:pPr>
              <w:pStyle w:val="Compact"/>
              <w:jc w:val="left"/>
            </w:pPr>
            <w:r>
              <w:t xml:space="preserve">No pricing authority; may advise on the academic-quality implications of the Founding Cohort, consistent with §11.4</w:t>
            </w:r>
          </w:p>
        </w:tc>
      </w:tr>
    </w:tbl>
    <w:p>
      <w:pPr>
        <w:pStyle w:val="BodyText"/>
        <w:jc w:val="both"/>
      </w:pPr>
      <w:r>
        <w:rPr>
          <w:bCs/>
          <w:b/>
          <w:color w:val="B08625"/>
          <w:sz w:val="20"/>
          <w:caps/>
          <w:spacing w:val="14"/>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0"/>
                <w:color w:val="B08625"/>
                <w:spacing w:val="14"/>
                <w:caps/>
              </w:rPr>
              <w:t>FOREWORD · THE SUPREME STRATEGIC PLANNING COUNCIL</w:t>
            </w:r>
          </w:p>
        </w:tc>
      </w:tr>
    </w:tbl>
    <w:p>
      <w:pPr>
        <w:jc w:val="both"/>
      </w:pPr>
      <w:r>
        <w:br w:type="page"/>
      </w:r>
    </w:p>
    <w:bookmarkEnd w:id="111"/>
    <w:bookmarkEnd w:id="112"/>
    <w:bookmarkStart w:id="117" w:name="appendices"/>
    <w:p>
      <w:pPr>
        <w:pStyle w:val="Heading1"/>
      </w:pPr>
      <w:r>
        <w:t xml:space="preserve">Appendices</w:t>
      </w:r>
    </w:p>
    <w:bookmarkStart w:id="113"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0"/>
                <w:caps/>
                <w:spacing w:val="14"/>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0"/>
                <w:caps/>
                <w:spacing w:val="14"/>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0"/>
                <w:caps/>
                <w:spacing w:val="14"/>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0"/>
                <w:caps/>
                <w:spacing w:val="14"/>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0"/>
                <w:caps/>
                <w:spacing w:val="14"/>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0"/>
                <w:caps/>
                <w:spacing w:val="14"/>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0"/>
                <w:caps/>
                <w:spacing w:val="14"/>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Reserve sub-lines and Board-approved ceilings</w:t>
            </w:r>
          </w:p>
        </w:tc>
      </w:tr>
      <w:tr>
        <w:trPr>
          <w:cantSplit/>
        </w:trPr>
        <w:tc>
          <w:tcPr/>
          <w:p>
            <w:pPr>
              <w:pStyle w:val="Compact"/>
              <w:jc w:val="left"/>
            </w:pPr>
            <w:r>
              <w:rPr>
                <w:bCs/>
                <w:b/>
                <w:color w:val="B08625"/>
                <w:sz w:val="20"/>
                <w:caps/>
                <w:spacing w:val="14"/>
              </w:rPr>
              <w:t xml:space="preserve">Part VIII</w:t>
            </w:r>
            <w:r>
              <w:t xml:space="preserve"> </w:t>
            </w:r>
            <w:r>
              <w:t xml:space="preserve">(Risk, Compliance, Sustainability, the 20-Year Roadmap &amp; the Founding Access Philosophy)</w:t>
            </w:r>
          </w:p>
        </w:tc>
        <w:tc>
          <w:tcPr/>
          <w:p>
            <w:pPr>
              <w:pStyle w:val="Compact"/>
              <w:jc w:val="left"/>
            </w:pPr>
            <w:r>
              <w:t xml:space="preserve">§14 (Risk Register), §5 (Financial Audit), §16 (Twenty-Year Horizon), §3 &amp; §6.3 (Scholarship &amp; External Waqf Donor Contributions)</w:t>
            </w:r>
          </w:p>
        </w:tc>
        <w:tc>
          <w:tcPr/>
          <w:p>
            <w:pPr>
              <w:pStyle w:val="Compact"/>
              <w:jc w:val="left"/>
            </w:pPr>
            <w:r>
              <w:t xml:space="preserve">Extends the 14-risk register and financial model into a full risk/compliance operating system and 2050 roadmap, closing with a founding-access strategy modeled entirely from the adopted Waqf allocation</w:t>
            </w:r>
          </w:p>
        </w:tc>
      </w:tr>
    </w:tbl>
    <w:bookmarkEnd w:id="113"/>
    <w:bookmarkStart w:id="114"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4"/>
    <w:bookmarkStart w:id="115"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Administration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Administration &amp; Finance</w:t>
            </w:r>
          </w:p>
        </w:tc>
      </w:tr>
      <w:tr>
        <w:trPr>
          <w:cantSplit/>
        </w:trPr>
        <w:tc>
          <w:tcPr/>
          <w:p>
            <w:pPr>
              <w:pStyle w:val="Compact"/>
              <w:jc w:val="left"/>
            </w:pPr>
            <w:r>
              <w:rPr>
                <w:bCs/>
                <w:b/>
                <w:color w:val="B08625"/>
                <w:sz w:val="20"/>
                <w:caps/>
                <w:spacing w:val="14"/>
              </w:rPr>
              <w:t xml:space="preserve">Total</w:t>
            </w:r>
          </w:p>
        </w:tc>
        <w:tc>
          <w:tcPr/>
          <w:p>
            <w:pPr>
              <w:pStyle w:val="Compact"/>
              <w:jc w:val="left"/>
            </w:pPr>
            <w:r>
              <w:rPr>
                <w:bCs/>
                <w:b/>
                <w:color w:val="B08625"/>
                <w:sz w:val="20"/>
                <w:caps/>
                <w:spacing w:val="14"/>
              </w:rPr>
              <w:t xml:space="preserve">100%, zero unallocated residual</w:t>
            </w:r>
          </w:p>
        </w:tc>
        <w:tc>
          <w:tcPr/>
          <w:p>
            <w:pPr>
              <w:pStyle w:val="Compact"/>
              <w:jc w:val="left"/>
            </w:pPr>
            <w:r>
              <w:t xml:space="preserve">—</w:t>
            </w:r>
          </w:p>
        </w:tc>
      </w:tr>
    </w:tbl>
    <w:bookmarkEnd w:id="115"/>
    <w:bookmarkStart w:id="116" w:name="appendix-d-programme-catalog-reference"/>
    <w:p>
      <w:pPr>
        <w:pStyle w:val="Heading2"/>
      </w:pPr>
      <w:r>
        <w:t xml:space="preserve">Appendix D — Programme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(Programme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6"/>
    <w:bookmarkEnd w:id="117"/>
    <w:bookmarkStart w:id="118"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8"/>
    <w:bookmarkStart w:id="119"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of Trustees, Sections 3, 5 · Board composition &amp; term limits, Section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ISO 21001 Roadmap, Section 20 · ISLAMIC values framework, Section 2</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Programme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register (Years 11+ additions), Section 36 · Risk Phase Classification (Years 1–10, RAG), Section 41</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&amp; Stakeholder Reserve, Sections 2, 25–26, 31, 38–39; Figure 7 · Waqf Development Strategy, Section 25 · Waqf Scholarship Block, Sections 25–26</w:t>
      </w:r>
    </w:p>
    <w:p>
      <w:pPr>
        <w:jc w:val="both"/>
      </w:pPr>
      <w:r>
        <w:pict>
          <v:rect style="width:0;height:1.5pt" o:hralign="center" o:hrstd="t" o:hr="t"/>
        </w:pict>
      </w:r>
    </w:p>
    <w:p>
      <w:pPr>
        <w:jc w:val="both"/>
      </w:pPr>
      <w:r>
        <w:br w:type="page"/>
      </w:r>
    </w:p>
    <w:bookmarkEnd w:id="119"/>
    <w:bookmarkStart w:id="120"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explicitly-labelled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Cinzel" w:hAnsi="Cinzel"/>
                <w:b/>
                <w:color w:val="B08625"/>
                <w:sz w:val="20"/>
                <w:caps/>
                <w:spacing w:val="14"/>
              </w:rPr>
              <w:t>AL-MULK INTERNATIONAL UNIVERSITY</w:t>
            </w:r>
          </w:p>
          <w:p>
            <w:pPr>
              <w:jc w:val="center"/>
              <w:spacing w:before="0" w:after="500"/>
            </w:pPr>
            <w:r>
              <w:rPr>
                <w:rFonts w:ascii="Cormorant Garamond" w:hAnsi="Cormorant Garamond"/>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0"/>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Cinzel" w:hAnsi="Cinzel"/>
        <w:smallCaps/>
        <w:color w:val="5B6372"/>
        <w:sz w:val="15"/>
        <w:spacing w:val="10"/>
      </w:rPr>
      <w:t>AMIU-SB-002</w:t>
    </w:r>
    <w:r>
      <w:tab/>
      <w:tab/>
    </w:r>
    <w:r>
      <w:rPr>
        <w:rFonts w:ascii="Bitstream Charter" w:hAnsi="Bitstream Charter"/>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Cinzel" w:hAnsi="Cinzel"/>
        <w:b w:val="0"/>
        <w:caps/>
        <w:smallCaps/>
        <w:color w:val="122A4E"/>
        <w:sz w:val="17"/>
        <w:spacing w:val="14"/>
      </w:rPr>
      <w:t>Al-Mulk International University</w:t>
    </w:r>
    <w:r>
      <w:tab/>
    </w:r>
    <w:r>
      <w:rPr>
        <w:rFonts w:ascii="Cormorant Garamond" w:hAnsi="Cormorant Garamond"/>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60" w:before="0" w:line="283" w:lineRule="auto"/>
    </w:pPr>
    <w:rPr>
      <w:rFonts w:ascii="Bitstream Charter" w:cs="Bitstream Charter" w:eastAsia="Bitstream Charter" w:hAnsi="Bitstream Charter"/>
      <w:b w:val="0"/>
      <w:i w:val="0"/>
      <w:caps w:val="0"/>
      <w:smallCaps w:val="0"/>
      <w:color w:val="1A1F2B"/>
      <w:sz w:val="21"/>
      <w:lang w:val="en-US"/>
    </w:rPr>
  </w:style>
  <w:style w:styleId="BodyText" w:type="paragraph">
    <w:name w:val="Body Text"/>
    <w:basedOn w:val="Normal"/>
    <w:link w:val="BodyTextChar"/>
    <w:pPr>
      <w:keepNext w:val="0"/>
      <w:widowControl/>
      <w:spacing w:after="120" w:before="0" w:line="283" w:lineRule="auto"/>
    </w:pPr>
    <w:qFormat/>
    <w:rPr>
      <w:rFonts w:ascii="Bitstream Charter" w:cs="Bitstream Charter" w:eastAsia="Bitstream Charter" w:hAnsi="Bitstream Charter"/>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20" w:before="0" w:line="283" w:lineRule="auto"/>
    </w:pPr>
    <w:rPr>
      <w:rFonts w:ascii="Bitstream Charter" w:cs="Bitstream Charter" w:eastAsia="Bitstream Charter" w:hAnsi="Bitstream Charter"/>
      <w:b w:val="0"/>
      <w:i w:val="0"/>
      <w:caps w:val="0"/>
      <w:smallCaps w:val="0"/>
      <w:color w:val="1A1F2B"/>
      <w:sz w:val="21"/>
      <w:lang w:val="en-US"/>
    </w:rPr>
  </w:style>
  <w:style w:customStyle="1" w:styleId="Compact" w:type="paragraph">
    <w:name w:val="Compact"/>
    <w:basedOn w:val="BodyText"/>
    <w:qFormat/>
    <w:pPr>
      <w:keepNext w:val="0"/>
      <w:widowControl/>
      <w:spacing w:after="120" w:before="0" w:line="283" w:lineRule="auto"/>
    </w:pPr>
    <w:rPr>
      <w:rFonts w:ascii="Bitstream Charter" w:cs="Bitstream Charter" w:eastAsia="Bitstream Charter" w:hAnsi="Bitstream Charter"/>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pPr>
    <w:rPr>
      <w:rFonts w:ascii="Cormorant Garamond" w:cs="Cormorant Garamond" w:eastAsia="Cormorant Garamond" w:hAnsi="Cormorant Garamond"/>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pPr>
    <w:rPr>
      <w:rFonts w:ascii="Cormorant Garamond" w:cs="Cormorant Garamond" w:eastAsia="Cormorant Garamond" w:hAnsi="Cormorant Garamond"/>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pBdr>
        <w:bottom w:color="B08625" w:space="4" w:sz="18" w:val="single"/>
      </w:pBdr>
    </w:pPr>
    <w:rPr>
      <w:rFonts w:ascii="Cormorant Garamond" w:cs="Cormorant Garamond" w:eastAsia="Cormorant Garamond" w:hAnsi="Cormorant Garamond"/>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38"/>
      <w:szCs w:val="28"/>
      <w:lang w:val="en-US"/>
    </w:rPr>
  </w:style>
  <w:style w:styleId="Heading3" w:type="paragraph">
    <w:name w:val="Heading 3"/>
    <w:basedOn w:val="Normal"/>
    <w:next w:val="BodyText"/>
    <w:uiPriority w:val="9"/>
    <w:unhideWhenUsed/>
    <w:qFormat/>
    <w:pPr>
      <w:keepNext/>
      <w:keepLines/>
      <w:spacing w:after="120" w:before="280" w:line="264" w:lineRule="auto"/>
      <w:outlineLvl w:val="2"/>
    </w:pPr>
    <w:rPr>
      <w:rFonts w:ascii="Liberation Sans" w:cs="Liberation Sans" w:eastAsia="Liberation Sans" w:hAnsi="Liberation Sans"/>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pPr>
    <w:rPr>
      <w:rFonts w:ascii="Liberation Sans" w:cs="Liberation Sans" w:eastAsia="Liberation Sans" w:hAnsi="Liberation Sans"/>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pPr>
    <w:rPr>
      <w:rFonts w:ascii="Liberation Sans" w:cs="Liberation Sans" w:eastAsia="Liberation Sans" w:hAnsi="Liberation Sans"/>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pPr>
    <w:rPr>
      <w:rFonts w:ascii="Cormorant Garamond" w:cs="Cormorant Garamond" w:eastAsia="Cormorant Garamond" w:hAnsi="Cormorant Garamond"/>
      <w:b/>
      <w:bCs w:val="0"/>
      <w:i w:val="0"/>
      <w:caps w:val="0"/>
      <w:smallCaps w:val="0"/>
      <w:color w:val="122A4E"/>
      <w:sz w:val="52"/>
      <w:lang w:val="en-US"/>
      <w:spacing w:val="3"/>
    </w:rPr>
  </w:style>
  <w:style w:customStyle="1" w:styleId="SectionKicker" w:type="paragraph">
    <w:name w:val="SectionKicker"/>
    <w:basedOn w:val="Normal"/>
    <w:pPr>
      <w:keepNext/>
      <w:spacing w:after="40" w:before="440" w:line="264" w:lineRule="auto"/>
    </w:pPr>
    <w:rPr>
      <w:rFonts w:ascii="Cinzel" w:cs="Cinzel" w:eastAsia="Cinzel" w:hAnsi="Cinzel"/>
      <w:b/>
      <w:i w:val="0"/>
      <w:caps/>
      <w:smallCaps w:val="0"/>
      <w:color w:val="B08625"/>
      <w:sz w:val="19"/>
      <w:lang w:val="en-US"/>
      <w:spacing w:val="22"/>
    </w:rPr>
  </w:style>
  <w:style w:customStyle="1" w:styleId="PartKicker" w:type="paragraph">
    <w:name w:val="PartKicker"/>
    <w:basedOn w:val="Normal"/>
    <w:pPr>
      <w:keepNext w:val="0"/>
      <w:spacing w:after="40" w:before="0" w:line="264" w:lineRule="auto"/>
    </w:pPr>
    <w:rPr>
      <w:rFonts w:ascii="Cinzel" w:cs="Cinzel" w:eastAsia="Cinzel" w:hAnsi="Cinzel"/>
      <w:b/>
      <w:i w:val="0"/>
      <w:caps/>
      <w:smallCaps w:val="0"/>
      <w:color w:val="B08625"/>
      <w:sz w:val="22"/>
      <w:lang w:val="en-US"/>
      <w:spacing w:val="30"/>
    </w:rPr>
  </w:style>
  <w:style w:customStyle="1" w:styleId="PartThesis" w:type="paragraph">
    <w:name w:val="PartThesis"/>
    <w:basedOn w:val="Normal"/>
    <w:pPr>
      <w:keepNext w:val="0"/>
      <w:spacing w:after="360" w:before="80" w:line="324" w:lineRule="auto"/>
    </w:pPr>
    <w:rPr>
      <w:rFonts w:ascii="Cormorant Garamond" w:cs="Cormorant Garamond" w:eastAsia="Cormorant Garamond" w:hAnsi="Cormorant Garamond"/>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99" Type="http://schemas.openxmlformats.org/officeDocument/2006/relationships/image" Target="media/rId99.png"/><Relationship Id="rId41" Type="http://schemas.openxmlformats.org/officeDocument/2006/relationships/image" Target="media/rId41.png"/><Relationship Id="rId44" Type="http://schemas.openxmlformats.org/officeDocument/2006/relationships/image" Target="media/rId44.png"/><Relationship Id="rId107" Type="http://schemas.openxmlformats.org/officeDocument/2006/relationships/image" Target="media/rId107.png"/><Relationship Id="rId83" Type="http://schemas.openxmlformats.org/officeDocument/2006/relationships/image" Target="media/rId83.png"/><Relationship Id="rId52" Type="http://schemas.openxmlformats.org/officeDocument/2006/relationships/image" Target="media/rId52.png"/><Relationship Id="rId56" Type="http://schemas.openxmlformats.org/officeDocument/2006/relationships/image" Target="media/rId56.png"/><Relationship Id="rId103" Type="http://schemas.openxmlformats.org/officeDocument/2006/relationships/image" Target="media/rId103.png"/><Relationship Id="rId65" Type="http://schemas.openxmlformats.org/officeDocument/2006/relationships/image" Target="media/rId65.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2026-07-25T08:26:29Z</dcterms:created>
  <dcterms:modified xsi:type="dcterms:W3CDTF">2026-07-25T08:26:29Z</dcterms:modified>
</cp:coreProperties>
</file>

<file path=docProps/custom.xml><?xml version="1.0" encoding="utf-8"?>
<Properties xmlns="http://schemas.openxmlformats.org/officeDocument/2006/custom-properties" xmlns:vt="http://schemas.openxmlformats.org/officeDocument/2006/docPropsVTypes"/>
</file>