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900"/>
              <w:suppressAutoHyphens/>
            </w:pPr>
            <w:r>
              <w:rPr>
                <w:rFonts w:ascii="Liberation Sans" w:hAnsi="Liberation Sans"/>
                <w:color w:val="8C97AB"/>
                <w:sz w:val="16"/>
                <w:spacing w:val="30"/>
              </w:rPr>
              <w:t>SUPREME STRATEGIC PLANNING COUNCIL · FLAGSHIP GOVERNANCE EDITION</w:t>
            </w:r>
          </w:p>
          <w:p>
            <w:pPr>
              <w:jc w:val="center"/>
              <w:spacing w:before="0" w:after="60"/>
              <w:suppressAutoHyphens/>
            </w:pPr>
            <w:r>
              <w:rPr>
                <w:rFonts w:ascii="Cinzel" w:hAnsi="Cinzel"/>
                <w:color w:val="B08625"/>
                <w:sz w:val="40"/>
                <w:spacing w:val="24"/>
              </w:rPr>
              <w:t>AL-MULK</w:t>
            </w:r>
          </w:p>
          <w:p>
            <w:pPr>
              <w:jc w:val="center"/>
              <w:spacing w:before="0" w:after="500"/>
              <w:suppressAutoHyphens/>
            </w:pPr>
            <w:r>
              <w:rPr>
                <w:rFonts w:ascii="Cinzel" w:hAnsi="Cinzel"/>
                <w:color w:val="B08625"/>
                <w:sz w:val="40"/>
                <w:spacing w:val="24"/>
              </w:rPr>
              <w:t>INTERNATIONAL UNIVERSITY</w:t>
            </w:r>
          </w:p>
          <w:p>
            <w:pPr>
              <w:jc w:val="center"/>
              <w:spacing w:before="0" w:after="200"/>
              <w:pBdr>
                <w:top w:val="single" w:sz="4" w:space="20" w:color="B08625"/>
                <w:bottom w:val="single" w:sz="4" w:space="20" w:color="B08625"/>
              </w:pBdr>
              <w:suppressAutoHyphens/>
            </w:pPr>
            <w:r>
              <w:rPr>
                <w:rFonts w:ascii="Cinzel" w:hAnsi="Cinzel"/>
                <w:b/>
                <w:color w:val="FFFFFF"/>
                <w:sz w:val="76"/>
                <w:spacing w:val="18"/>
              </w:rPr>
              <w:t>CONSTITUTION</w:t>
            </w:r>
          </w:p>
          <w:p>
            <w:pPr>
              <w:jc w:val="center"/>
              <w:spacing w:before="500" w:after="60"/>
              <w:suppressAutoHyphens/>
            </w:pPr>
            <w:r>
              <w:rPr>
                <w:rFonts w:ascii="Cormorant Garamond" w:hAnsi="Cormorant Garamond"/>
                <w:i/>
                <w:color w:val="DCE3F0"/>
                <w:sz w:val="27"/>
              </w:rPr>
              <w:t>Flagship Governance Edition</w:t>
            </w:r>
          </w:p>
          <w:p>
            <w:pPr>
              <w:jc w:val="center"/>
              <w:spacing w:before="0" w:after="900"/>
              <w:suppressAutoHyphens/>
            </w:pPr>
            <w:r>
              <w:rPr>
                <w:rFonts w:ascii="Cinzel" w:hAnsi="Cinzel"/>
                <w:color w:val="8C97AB"/>
                <w:sz w:val="20"/>
                <w:spacing w:val="18"/>
              </w:rPr>
              <w:t>2028</w:t>
            </w:r>
          </w:p>
          <w:p>
            <w:pPr>
              <w:jc w:val="center"/>
              <w:spacing w:before="0" w:after="60"/>
              <w:suppressAutoHyphens/>
            </w:pPr>
            <w:r>
              <w:rPr>
                <w:rFonts w:ascii="Liberation Sans" w:hAnsi="Liberation Sans"/>
                <w:color w:val="8C97AB"/>
                <w:sz w:val="16"/>
              </w:rPr>
              <w:t xml:space="preserve">DOCUMENT REFERENCE  </w:t>
            </w:r>
            <w:r>
              <w:rPr>
                <w:rFonts w:ascii="Cinzel" w:hAnsi="Cinzel"/>
                <w:color w:val="B08625"/>
                <w:b/>
                <w:sz w:val="16"/>
              </w:rPr>
              <w:t>AMIU-CON-001</w:t>
            </w:r>
          </w:p>
          <w:p>
            <w:pPr>
              <w:jc w:val="center"/>
              <w:spacing w:before="0" w:after="0"/>
              <w:suppressAutoHyphens/>
            </w:pPr>
            <w:r>
              <w:rPr>
                <w:rFonts w:ascii="Liberation Sans" w:hAnsi="Liberation Sans"/>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 No.</w:t>
            </w:r>
          </w:p>
        </w:tc>
        <w:tc>
          <w:tcPr/>
          <w:p>
            <w:pPr>
              <w:pStyle w:val="Compact"/>
              <w:jc w:val="left"/>
              <w:suppressAutoHyphens/>
            </w:pPr>
            <w:r>
              <w:t xml:space="preserve">AMIU-CON-001</w:t>
            </w:r>
          </w:p>
        </w:tc>
      </w:tr>
      <w:tr>
        <w:trPr>
          <w:cantSplit/>
        </w:trPr>
        <w:tc>
          <w:tcPr/>
          <w:p>
            <w:pPr>
              <w:pStyle w:val="Compact"/>
              <w:jc w:val="left"/>
              <w:suppressAutoHyphens/>
            </w:pPr>
            <w:r>
              <w:rPr>
                <w:bCs/>
                <w:b/>
              </w:rPr>
              <w:t xml:space="preserve">Version</w:t>
            </w:r>
          </w:p>
        </w:tc>
        <w:tc>
          <w:tcPr/>
          <w:p>
            <w:pPr>
              <w:pStyle w:val="Compact"/>
              <w:jc w:val="left"/>
              <w:suppressAutoHyphens/>
            </w:pPr>
            <w:r>
              <w:t xml:space="preserve">6.0 (Complete Comprehensive Edition)</w:t>
            </w:r>
          </w:p>
        </w:tc>
      </w:tr>
      <w:tr>
        <w:trPr>
          <w:cantSplit/>
        </w:trPr>
        <w:tc>
          <w:tcPr/>
          <w:p>
            <w:pPr>
              <w:pStyle w:val="Compact"/>
              <w:jc w:val="left"/>
              <w:suppressAutoHyphens/>
            </w:pPr>
            <w:r>
              <w:rPr>
                <w:bCs/>
                <w:b/>
              </w:rP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rPr>
                <w:bCs/>
                <w:b/>
              </w:rPr>
              <w:t xml:space="preserve">Classification</w:t>
            </w:r>
          </w:p>
        </w:tc>
        <w:tc>
          <w:tcPr/>
          <w:p>
            <w:pPr>
              <w:pStyle w:val="Compact"/>
              <w:jc w:val="left"/>
              <w:suppressAutoHyphens/>
            </w:pPr>
            <w:r>
              <w:t xml:space="preserve">Public — All Stakeholders</w:t>
            </w:r>
          </w:p>
        </w:tc>
      </w:tr>
      <w:tr>
        <w:trPr>
          <w:cantSplit/>
        </w:trPr>
        <w:tc>
          <w:tcPr/>
          <w:p>
            <w:pPr>
              <w:pStyle w:val="Compact"/>
              <w:jc w:val="left"/>
              <w:suppressAutoHyphens/>
            </w:pPr>
            <w:r>
              <w:rPr>
                <w:bCs/>
                <w:b/>
              </w:rPr>
              <w:t xml:space="preserve">Supersedes</w:t>
            </w:r>
          </w:p>
        </w:tc>
        <w:tc>
          <w:tcPr/>
          <w:p>
            <w:pPr>
              <w:pStyle w:val="Compact"/>
              <w:jc w:val="left"/>
              <w:suppressAutoHyphens/>
            </w:pPr>
            <w:r>
              <w:t xml:space="preserve">All prior governing documents of Al-Mulk International University</w:t>
            </w:r>
          </w:p>
        </w:tc>
      </w:tr>
      <w:tr>
        <w:trPr>
          <w:cantSplit/>
        </w:trPr>
        <w:tc>
          <w:tcPr/>
          <w:p>
            <w:pPr>
              <w:pStyle w:val="Compact"/>
              <w:jc w:val="left"/>
              <w:suppressAutoHyphens/>
            </w:pPr>
            <w:r>
              <w:rPr>
                <w:bCs/>
                <w:b/>
              </w:rPr>
              <w:t xml:space="preserve">Companion Volume</w:t>
            </w:r>
          </w:p>
        </w:tc>
        <w:tc>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three-family editorial system as the University’s Strategic Implementation Blueprint — Cinzel monumental display, Cormorant Garamond editorial headings, EB Garamond body serif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Cormorant Garamond" w:hAnsi="Cormorant Garamond"/>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19895"/>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19895"/>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28575"/>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28575"/>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31872"/>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31872"/>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w:t>
            </w:r>
          </w:p>
        </w:tc>
        <w:tc>
          <w:tcPr/>
          <w:p>
            <w:pPr>
              <w:pStyle w:val="Compact"/>
              <w:jc w:val="right"/>
              <w:suppressAutoHyphens/>
            </w:pPr>
            <w:r>
              <w:rPr>
                <w:bCs/>
                <w:b/>
              </w:rPr>
              <w:t xml:space="preserve">3</w:t>
            </w:r>
          </w:p>
        </w:tc>
      </w:tr>
      <w:tr>
        <w:trPr>
          <w:cantSplit/>
        </w:trPr>
        <w:tc>
          <w:tcPr/>
          <w:p>
            <w:pPr>
              <w:pStyle w:val="Compact"/>
              <w:jc w:val="left"/>
              <w:suppressAutoHyphens/>
            </w:pPr>
            <w:r>
              <w:rPr>
                <w:bCs/>
                <w:b/>
              </w:rPr>
              <w:t xml:space="preserve">Constitutional Declaration</w:t>
            </w:r>
          </w:p>
        </w:tc>
        <w:tc>
          <w:tcPr/>
          <w:p>
            <w:pPr>
              <w:pStyle w:val="Compact"/>
              <w:jc w:val="right"/>
              <w:suppressAutoHyphens/>
            </w:pPr>
            <w:r>
              <w:rPr>
                <w:bCs/>
                <w:b/>
              </w:rPr>
              <w:t xml:space="preserve">4</w:t>
            </w:r>
          </w:p>
        </w:tc>
      </w:tr>
      <w:tr>
        <w:trPr>
          <w:cantSplit/>
        </w:trPr>
        <w:tc>
          <w:tcPr/>
          <w:p>
            <w:pPr>
              <w:pStyle w:val="Compact"/>
              <w:jc w:val="left"/>
              <w:suppressAutoHyphens/>
            </w:pPr>
            <w:r>
              <w:rPr>
                <w:bCs/>
                <w:b/>
              </w:rPr>
              <w:t xml:space="preserve">Preamble</w:t>
            </w:r>
          </w:p>
        </w:tc>
        <w:tc>
          <w:tcPr/>
          <w:p>
            <w:pPr>
              <w:pStyle w:val="Compact"/>
              <w:jc w:val="right"/>
              <w:suppressAutoHyphens/>
            </w:pPr>
            <w:r>
              <w:rPr>
                <w:bCs/>
                <w:b/>
              </w:rPr>
              <w:t xml:space="preserve">5</w:t>
            </w:r>
          </w:p>
        </w:tc>
      </w:tr>
      <w:tr>
        <w:trPr>
          <w:cantSplit/>
        </w:trPr>
        <w:tc>
          <w:tcPr/>
          <w:p>
            <w:pPr>
              <w:pStyle w:val="Compact"/>
              <w:jc w:val="left"/>
              <w:suppressAutoHyphens/>
            </w:pPr>
            <w:r>
              <w:rPr>
                <w:bCs/>
                <w:b/>
              </w:rPr>
              <w:t xml:space="preserve">Governance Architecture</w:t>
            </w:r>
          </w:p>
        </w:tc>
        <w:tc>
          <w:tcPr/>
          <w:p>
            <w:pPr>
              <w:pStyle w:val="Compact"/>
              <w:jc w:val="right"/>
              <w:suppressAutoHyphens/>
            </w:pPr>
            <w:r>
              <w:rPr>
                <w:bCs/>
                <w:b/>
              </w:rPr>
              <w:t xml:space="preserve">6</w:t>
            </w:r>
          </w:p>
        </w:tc>
      </w:tr>
      <w:tr>
        <w:trPr>
          <w:cantSplit/>
        </w:trPr>
        <w:tc>
          <w:tcPr/>
          <w:p>
            <w:pPr>
              <w:pStyle w:val="Compact"/>
              <w:jc w:val="left"/>
              <w:suppressAutoHyphens/>
            </w:pPr>
            <w:r>
              <w:rPr>
                <w:bCs/>
                <w:b/>
              </w:rPr>
              <w:t xml:space="preserve">Academic Framework</w:t>
            </w:r>
          </w:p>
        </w:tc>
        <w:tc>
          <w:tcPr/>
          <w:p>
            <w:pPr>
              <w:pStyle w:val="Compact"/>
              <w:jc w:val="right"/>
              <w:suppressAutoHyphens/>
            </w:pPr>
            <w:r>
              <w:rPr>
                <w:bCs/>
                <w:b/>
              </w:rPr>
              <w:t xml:space="preserve">7</w:t>
            </w:r>
          </w:p>
        </w:tc>
      </w:tr>
      <w:tr>
        <w:trPr>
          <w:cantSplit/>
        </w:trPr>
        <w:tc>
          <w:tcPr/>
          <w:p>
            <w:pPr>
              <w:pStyle w:val="Compact"/>
              <w:jc w:val="left"/>
              <w:suppressAutoHyphens/>
            </w:pPr>
            <w:r>
              <w:rPr>
                <w:bCs/>
                <w:b/>
              </w:rPr>
              <w:t xml:space="preserve">The ISLAMIC Framework</w:t>
            </w:r>
          </w:p>
        </w:tc>
        <w:tc>
          <w:tcPr/>
          <w:p>
            <w:pPr>
              <w:pStyle w:val="Compact"/>
              <w:jc w:val="right"/>
              <w:suppressAutoHyphens/>
            </w:pPr>
            <w:r>
              <w:rPr>
                <w:bCs/>
                <w:b/>
              </w:rPr>
              <w:t xml:space="preserve">8</w:t>
            </w:r>
          </w:p>
        </w:tc>
      </w:tr>
      <w:tr>
        <w:trPr>
          <w:cantSplit/>
        </w:trPr>
        <w:tc>
          <w:tcPr/>
          <w:p>
            <w:pPr>
              <w:pStyle w:val="Compact"/>
              <w:jc w:val="left"/>
              <w:suppressAutoHyphens/>
            </w:pPr>
            <w:r>
              <w:rPr>
                <w:bCs/>
                <w:b/>
              </w:rPr>
              <w:t xml:space="preserve">Article I — Definitions</w:t>
            </w:r>
          </w:p>
        </w:tc>
        <w:tc>
          <w:tcPr/>
          <w:p>
            <w:pPr>
              <w:pStyle w:val="Compact"/>
              <w:jc w:val="right"/>
              <w:suppressAutoHyphens/>
            </w:pPr>
            <w:r>
              <w:rPr>
                <w:bCs/>
                <w:b/>
              </w:rPr>
              <w:t xml:space="preserve">12</w:t>
            </w:r>
          </w:p>
        </w:tc>
      </w:tr>
      <w:tr>
        <w:trPr>
          <w:cantSplit/>
        </w:trPr>
        <w:tc>
          <w:tcPr/>
          <w:p>
            <w:pPr>
              <w:pStyle w:val="Compact"/>
              <w:jc w:val="left"/>
              <w:suppressAutoHyphens/>
            </w:pPr>
            <w:r>
              <w:rPr>
                <w:bCs/>
                <w:b/>
              </w:rPr>
              <w:t xml:space="preserve">Article II — Legal Identity</w:t>
            </w:r>
          </w:p>
        </w:tc>
        <w:tc>
          <w:tcPr/>
          <w:p>
            <w:pPr>
              <w:pStyle w:val="Compact"/>
              <w:jc w:val="right"/>
              <w:suppressAutoHyphens/>
            </w:pPr>
            <w:r>
              <w:rPr>
                <w:bCs/>
                <w:b/>
              </w:rPr>
              <w:t xml:space="preserve">16</w:t>
            </w:r>
          </w:p>
        </w:tc>
      </w:tr>
      <w:tr>
        <w:trPr>
          <w:cantSplit/>
        </w:trPr>
        <w:tc>
          <w:tcPr/>
          <w:p>
            <w:pPr>
              <w:pStyle w:val="Compact"/>
              <w:jc w:val="left"/>
              <w:suppressAutoHyphens/>
            </w:pPr>
            <w:r>
              <w:rPr>
                <w:bCs/>
                <w:b/>
              </w:rPr>
              <w:t xml:space="preserve">Article III — Mission, Vision and Values</w:t>
            </w:r>
          </w:p>
        </w:tc>
        <w:tc>
          <w:tcPr/>
          <w:p>
            <w:pPr>
              <w:pStyle w:val="Compact"/>
              <w:jc w:val="right"/>
              <w:suppressAutoHyphens/>
            </w:pPr>
            <w:r>
              <w:rPr>
                <w:bCs/>
                <w:b/>
              </w:rPr>
              <w:t xml:space="preserve">20</w:t>
            </w:r>
          </w:p>
        </w:tc>
      </w:tr>
      <w:tr>
        <w:trPr>
          <w:cantSplit/>
        </w:trPr>
        <w:tc>
          <w:tcPr/>
          <w:p>
            <w:pPr>
              <w:pStyle w:val="Compact"/>
              <w:jc w:val="left"/>
              <w:suppressAutoHyphens/>
            </w:pPr>
            <w:r>
              <w:rPr>
                <w:bCs/>
                <w:b/>
              </w:rPr>
              <w:t xml:space="preserve">Article IV — Interpretation</w:t>
            </w:r>
          </w:p>
        </w:tc>
        <w:tc>
          <w:tcPr/>
          <w:p>
            <w:pPr>
              <w:pStyle w:val="Compact"/>
              <w:jc w:val="right"/>
              <w:suppressAutoHyphens/>
            </w:pPr>
            <w:r>
              <w:rPr>
                <w:bCs/>
                <w:b/>
              </w:rPr>
              <w:t xml:space="preserve">24</w:t>
            </w:r>
          </w:p>
        </w:tc>
      </w:tr>
      <w:tr>
        <w:trPr>
          <w:cantSplit/>
        </w:trPr>
        <w:tc>
          <w:tcPr/>
          <w:p>
            <w:pPr>
              <w:pStyle w:val="Compact"/>
              <w:jc w:val="left"/>
              <w:suppressAutoHyphens/>
            </w:pPr>
            <w:r>
              <w:rPr>
                <w:bCs/>
                <w:b/>
              </w:rPr>
              <w:t xml:space="preserve">Article V — Governance Structure</w:t>
            </w:r>
          </w:p>
        </w:tc>
        <w:tc>
          <w:tcPr/>
          <w:p>
            <w:pPr>
              <w:pStyle w:val="Compact"/>
              <w:jc w:val="right"/>
              <w:suppressAutoHyphens/>
            </w:pPr>
            <w:r>
              <w:rPr>
                <w:bCs/>
                <w:b/>
              </w:rPr>
              <w:t xml:space="preserve">27</w:t>
            </w:r>
          </w:p>
        </w:tc>
      </w:tr>
      <w:tr>
        <w:trPr>
          <w:cantSplit/>
        </w:trPr>
        <w:tc>
          <w:tcPr/>
          <w:p>
            <w:pPr>
              <w:pStyle w:val="Compact"/>
              <w:jc w:val="left"/>
              <w:suppressAutoHyphens/>
            </w:pPr>
            <w:r>
              <w:rPr>
                <w:bCs/>
                <w:b/>
              </w:rPr>
              <w:t xml:space="preserve">Article VI — Board of Trustees</w:t>
            </w:r>
          </w:p>
        </w:tc>
        <w:tc>
          <w:tcPr/>
          <w:p>
            <w:pPr>
              <w:pStyle w:val="Compact"/>
              <w:jc w:val="right"/>
              <w:suppressAutoHyphens/>
            </w:pPr>
            <w:r>
              <w:rPr>
                <w:bCs/>
                <w:b/>
              </w:rPr>
              <w:t xml:space="preserve">31</w:t>
            </w:r>
          </w:p>
        </w:tc>
      </w:tr>
      <w:tr>
        <w:trPr>
          <w:cantSplit/>
        </w:trPr>
        <w:tc>
          <w:tcPr/>
          <w:p>
            <w:pPr>
              <w:pStyle w:val="Compact"/>
              <w:jc w:val="left"/>
              <w:suppressAutoHyphens/>
            </w:pPr>
            <w:r>
              <w:rPr>
                <w:bCs/>
                <w:b/>
              </w:rPr>
              <w:t xml:space="preserve">Article VII — President &amp; Vice-Chancellor</w:t>
            </w:r>
          </w:p>
        </w:tc>
        <w:tc>
          <w:tcPr/>
          <w:p>
            <w:pPr>
              <w:pStyle w:val="Compact"/>
              <w:jc w:val="right"/>
              <w:suppressAutoHyphens/>
            </w:pPr>
            <w:r>
              <w:rPr>
                <w:bCs/>
                <w:b/>
              </w:rPr>
              <w:t xml:space="preserve">39</w:t>
            </w:r>
          </w:p>
        </w:tc>
      </w:tr>
      <w:tr>
        <w:trPr>
          <w:cantSplit/>
        </w:trPr>
        <w:tc>
          <w:tcPr/>
          <w:p>
            <w:pPr>
              <w:pStyle w:val="Compact"/>
              <w:jc w:val="left"/>
              <w:suppressAutoHyphens/>
            </w:pPr>
            <w:r>
              <w:rPr>
                <w:bCs/>
                <w:b/>
              </w:rPr>
              <w:t xml:space="preserve">Article VIII — University Senate</w:t>
            </w:r>
          </w:p>
        </w:tc>
        <w:tc>
          <w:tcPr/>
          <w:p>
            <w:pPr>
              <w:pStyle w:val="Compact"/>
              <w:jc w:val="right"/>
              <w:suppressAutoHyphens/>
            </w:pPr>
            <w:r>
              <w:rPr>
                <w:bCs/>
                <w:b/>
              </w:rPr>
              <w:t xml:space="preserve">43</w:t>
            </w:r>
          </w:p>
        </w:tc>
      </w:tr>
      <w:tr>
        <w:trPr>
          <w:cantSplit/>
        </w:trPr>
        <w:tc>
          <w:tcPr/>
          <w:p>
            <w:pPr>
              <w:pStyle w:val="Compact"/>
              <w:jc w:val="left"/>
              <w:suppressAutoHyphens/>
            </w:pPr>
            <w:r>
              <w:rPr>
                <w:bCs/>
                <w:b/>
              </w:rPr>
              <w:t xml:space="preserve">Article IX — Administration</w:t>
            </w:r>
          </w:p>
        </w:tc>
        <w:tc>
          <w:tcPr/>
          <w:p>
            <w:pPr>
              <w:pStyle w:val="Compact"/>
              <w:jc w:val="right"/>
              <w:suppressAutoHyphens/>
            </w:pPr>
            <w:r>
              <w:rPr>
                <w:bCs/>
                <w:b/>
              </w:rPr>
              <w:t xml:space="preserve">50</w:t>
            </w:r>
          </w:p>
        </w:tc>
      </w:tr>
      <w:tr>
        <w:trPr>
          <w:cantSplit/>
        </w:trPr>
        <w:tc>
          <w:tcPr/>
          <w:p>
            <w:pPr>
              <w:pStyle w:val="Compact"/>
              <w:jc w:val="left"/>
              <w:suppressAutoHyphens/>
            </w:pPr>
            <w:r>
              <w:rPr>
                <w:bCs/>
                <w:b/>
              </w:rPr>
              <w:t xml:space="preserve">Article X — Academic Program</w:t>
            </w:r>
          </w:p>
        </w:tc>
        <w:tc>
          <w:tcPr/>
          <w:p>
            <w:pPr>
              <w:pStyle w:val="Compact"/>
              <w:jc w:val="right"/>
              <w:suppressAutoHyphens/>
            </w:pPr>
            <w:r>
              <w:rPr>
                <w:bCs/>
                <w:b/>
              </w:rPr>
              <w:t xml:space="preserve">53</w:t>
            </w:r>
          </w:p>
        </w:tc>
      </w:tr>
      <w:tr>
        <w:trPr>
          <w:cantSplit/>
        </w:trPr>
        <w:tc>
          <w:tcPr/>
          <w:p>
            <w:pPr>
              <w:pStyle w:val="Compact"/>
              <w:jc w:val="left"/>
              <w:suppressAutoHyphens/>
            </w:pPr>
            <w:r>
              <w:rPr>
                <w:bCs/>
                <w:b/>
              </w:rPr>
              <w:t xml:space="preserve">Article XI — Waqf and Endowment</w:t>
            </w:r>
          </w:p>
        </w:tc>
        <w:tc>
          <w:tcPr/>
          <w:p>
            <w:pPr>
              <w:pStyle w:val="Compact"/>
              <w:jc w:val="right"/>
              <w:suppressAutoHyphens/>
            </w:pPr>
            <w:r>
              <w:rPr>
                <w:bCs/>
                <w:b/>
              </w:rPr>
              <w:t xml:space="preserve">56</w:t>
            </w:r>
          </w:p>
        </w:tc>
      </w:tr>
      <w:tr>
        <w:trPr>
          <w:cantSplit/>
        </w:trPr>
        <w:tc>
          <w:tcPr/>
          <w:p>
            <w:pPr>
              <w:pStyle w:val="Compact"/>
              <w:jc w:val="left"/>
              <w:suppressAutoHyphens/>
            </w:pPr>
            <w:r>
              <w:rPr>
                <w:bCs/>
                <w:b/>
              </w:rPr>
              <w:t xml:space="preserve">Article XII — Students’ Rights and Responsibilities</w:t>
            </w:r>
          </w:p>
        </w:tc>
        <w:tc>
          <w:tcPr/>
          <w:p>
            <w:pPr>
              <w:pStyle w:val="Compact"/>
              <w:jc w:val="right"/>
              <w:suppressAutoHyphens/>
            </w:pPr>
            <w:r>
              <w:rPr>
                <w:bCs/>
                <w:b/>
              </w:rPr>
              <w:t xml:space="preserve">58</w:t>
            </w:r>
          </w:p>
        </w:tc>
      </w:tr>
      <w:tr>
        <w:trPr>
          <w:cantSplit/>
        </w:trPr>
        <w:tc>
          <w:tcPr/>
          <w:p>
            <w:pPr>
              <w:pStyle w:val="Compact"/>
              <w:jc w:val="left"/>
              <w:suppressAutoHyphens/>
            </w:pPr>
            <w:r>
              <w:rPr>
                <w:bCs/>
                <w:b/>
              </w:rPr>
              <w:t xml:space="preserve">Article XIII — Faculty Rights and Responsibilities</w:t>
            </w:r>
          </w:p>
        </w:tc>
        <w:tc>
          <w:tcPr/>
          <w:p>
            <w:pPr>
              <w:pStyle w:val="Compact"/>
              <w:jc w:val="right"/>
              <w:suppressAutoHyphens/>
            </w:pPr>
            <w:r>
              <w:rPr>
                <w:bCs/>
                <w:b/>
              </w:rPr>
              <w:t xml:space="preserve">61</w:t>
            </w:r>
          </w:p>
        </w:tc>
      </w:tr>
      <w:tr>
        <w:trPr>
          <w:cantSplit/>
        </w:trPr>
        <w:tc>
          <w:tcPr/>
          <w:p>
            <w:pPr>
              <w:pStyle w:val="Compact"/>
              <w:jc w:val="left"/>
              <w:suppressAutoHyphens/>
            </w:pPr>
            <w:r>
              <w:rPr>
                <w:bCs/>
                <w:b/>
              </w:rPr>
              <w:t xml:space="preserve">Article XIV — Financial Sustainability</w:t>
            </w:r>
          </w:p>
        </w:tc>
        <w:tc>
          <w:tcPr/>
          <w:p>
            <w:pPr>
              <w:pStyle w:val="Compact"/>
              <w:jc w:val="right"/>
              <w:suppressAutoHyphens/>
            </w:pPr>
            <w:r>
              <w:rPr>
                <w:bCs/>
                <w:b/>
              </w:rPr>
              <w:t xml:space="preserve">63</w:t>
            </w:r>
          </w:p>
        </w:tc>
      </w:tr>
      <w:tr>
        <w:trPr>
          <w:cantSplit/>
        </w:trPr>
        <w:tc>
          <w:tcPr/>
          <w:p>
            <w:pPr>
              <w:pStyle w:val="Compact"/>
              <w:jc w:val="left"/>
              <w:suppressAutoHyphens/>
            </w:pPr>
            <w:r>
              <w:rPr>
                <w:bCs/>
                <w:b/>
              </w:rPr>
              <w:t xml:space="preserve">Article XV — Transparency and Accountability</w:t>
            </w:r>
          </w:p>
        </w:tc>
        <w:tc>
          <w:tcPr/>
          <w:p>
            <w:pPr>
              <w:pStyle w:val="Compact"/>
              <w:jc w:val="right"/>
              <w:suppressAutoHyphens/>
            </w:pPr>
            <w:r>
              <w:rPr>
                <w:bCs/>
                <w:b/>
              </w:rPr>
              <w:t xml:space="preserve">65</w:t>
            </w:r>
          </w:p>
        </w:tc>
      </w:tr>
      <w:tr>
        <w:trPr>
          <w:cantSplit/>
        </w:trPr>
        <w:tc>
          <w:tcPr/>
          <w:p>
            <w:pPr>
              <w:pStyle w:val="Compact"/>
              <w:jc w:val="left"/>
              <w:suppressAutoHyphens/>
            </w:pPr>
            <w:r>
              <w:rPr>
                <w:bCs/>
                <w:b/>
              </w:rPr>
              <w:t xml:space="preserve">Article XVI — Independent Officers</w:t>
            </w:r>
          </w:p>
        </w:tc>
        <w:tc>
          <w:tcPr/>
          <w:p>
            <w:pPr>
              <w:pStyle w:val="Compact"/>
              <w:jc w:val="right"/>
              <w:suppressAutoHyphens/>
            </w:pPr>
            <w:r>
              <w:rPr>
                <w:bCs/>
                <w:b/>
              </w:rPr>
              <w:t xml:space="preserve">68</w:t>
            </w:r>
          </w:p>
        </w:tc>
      </w:tr>
      <w:tr>
        <w:trPr>
          <w:cantSplit/>
        </w:trPr>
        <w:tc>
          <w:tcPr/>
          <w:p>
            <w:pPr>
              <w:pStyle w:val="Compact"/>
              <w:jc w:val="left"/>
              <w:suppressAutoHyphens/>
            </w:pPr>
            <w:r>
              <w:rPr>
                <w:bCs/>
                <w:b/>
              </w:rPr>
              <w:t xml:space="preserve">Article XVII — Records and Archives</w:t>
            </w:r>
          </w:p>
        </w:tc>
        <w:tc>
          <w:tcPr/>
          <w:p>
            <w:pPr>
              <w:pStyle w:val="Compact"/>
              <w:jc w:val="right"/>
              <w:suppressAutoHyphens/>
            </w:pPr>
            <w:r>
              <w:rPr>
                <w:bCs/>
                <w:b/>
              </w:rPr>
              <w:t xml:space="preserve">70</w:t>
            </w:r>
          </w:p>
        </w:tc>
      </w:tr>
      <w:tr>
        <w:trPr>
          <w:cantSplit/>
        </w:trPr>
        <w:tc>
          <w:tcPr/>
          <w:p>
            <w:pPr>
              <w:pStyle w:val="Compact"/>
              <w:jc w:val="left"/>
              <w:suppressAutoHyphens/>
            </w:pPr>
            <w:r>
              <w:rPr>
                <w:bCs/>
                <w:b/>
              </w:rPr>
              <w:t xml:space="preserve">Article XVIII — Amendment</w:t>
            </w:r>
          </w:p>
        </w:tc>
        <w:tc>
          <w:tcPr/>
          <w:p>
            <w:pPr>
              <w:pStyle w:val="Compact"/>
              <w:jc w:val="right"/>
              <w:suppressAutoHyphens/>
            </w:pPr>
            <w:r>
              <w:rPr>
                <w:bCs/>
                <w:b/>
              </w:rPr>
              <w:t xml:space="preserve">72</w:t>
            </w:r>
          </w:p>
        </w:tc>
      </w:tr>
      <w:tr>
        <w:trPr>
          <w:cantSplit/>
        </w:trPr>
        <w:tc>
          <w:tcPr/>
          <w:p>
            <w:pPr>
              <w:pStyle w:val="Compact"/>
              <w:jc w:val="left"/>
              <w:suppressAutoHyphens/>
            </w:pPr>
            <w:r>
              <w:rPr>
                <w:bCs/>
                <w:b/>
              </w:rPr>
              <w:t xml:space="preserve">Article XIX — Transitional Provisions</w:t>
            </w:r>
          </w:p>
        </w:tc>
        <w:tc>
          <w:tcPr/>
          <w:p>
            <w:pPr>
              <w:pStyle w:val="Compact"/>
              <w:jc w:val="right"/>
              <w:suppressAutoHyphens/>
            </w:pPr>
            <w:r>
              <w:rPr>
                <w:bCs/>
                <w:b/>
              </w:rPr>
              <w:t xml:space="preserve">74</w:t>
            </w:r>
          </w:p>
        </w:tc>
      </w:tr>
      <w:tr>
        <w:trPr>
          <w:cantSplit/>
        </w:trPr>
        <w:tc>
          <w:tcPr/>
          <w:p>
            <w:pPr>
              <w:pStyle w:val="Compact"/>
              <w:jc w:val="left"/>
              <w:suppressAutoHyphens/>
            </w:pPr>
            <w:r>
              <w:rPr>
                <w:bCs/>
                <w:b/>
              </w:rPr>
              <w:t xml:space="preserve">Article XX — Dissolution</w:t>
            </w:r>
          </w:p>
        </w:tc>
        <w:tc>
          <w:tcPr/>
          <w:p>
            <w:pPr>
              <w:pStyle w:val="Compact"/>
              <w:jc w:val="right"/>
              <w:suppressAutoHyphens/>
            </w:pPr>
            <w:r>
              <w:rPr>
                <w:bCs/>
                <w:b/>
              </w:rPr>
              <w:t xml:space="preserve">76</w:t>
            </w:r>
          </w:p>
        </w:tc>
      </w:tr>
      <w:tr>
        <w:trPr>
          <w:cantSplit/>
        </w:trPr>
        <w:tc>
          <w:tcPr/>
          <w:p>
            <w:pPr>
              <w:pStyle w:val="Compact"/>
              <w:jc w:val="left"/>
              <w:suppressAutoHyphens/>
            </w:pPr>
            <w:r>
              <w:rPr>
                <w:bCs/>
                <w:b/>
              </w:rPr>
              <w:t xml:space="preserve">Article XXI — Non-Political and Non-Profit Provisions</w:t>
            </w:r>
          </w:p>
        </w:tc>
        <w:tc>
          <w:tcPr/>
          <w:p>
            <w:pPr>
              <w:pStyle w:val="Compact"/>
              <w:jc w:val="right"/>
              <w:suppressAutoHyphens/>
            </w:pPr>
            <w:r>
              <w:rPr>
                <w:bCs/>
                <w:b/>
              </w:rPr>
              <w:t xml:space="preserve">78</w:t>
            </w:r>
          </w:p>
        </w:tc>
      </w:tr>
      <w:tr>
        <w:trPr>
          <w:cantSplit/>
        </w:trPr>
        <w:tc>
          <w:tcPr/>
          <w:p>
            <w:pPr>
              <w:pStyle w:val="Compact"/>
              <w:jc w:val="left"/>
              <w:suppressAutoHyphens/>
            </w:pPr>
            <w:r>
              <w:rPr>
                <w:bCs/>
                <w:b/>
              </w:rPr>
              <w:t xml:space="preserve">Article XXII — Indemnification</w:t>
            </w:r>
          </w:p>
        </w:tc>
        <w:tc>
          <w:tcPr/>
          <w:p>
            <w:pPr>
              <w:pStyle w:val="Compact"/>
              <w:jc w:val="right"/>
              <w:suppressAutoHyphens/>
            </w:pPr>
            <w:r>
              <w:rPr>
                <w:bCs/>
                <w:b/>
              </w:rPr>
              <w:t xml:space="preserve">80</w:t>
            </w:r>
          </w:p>
        </w:tc>
      </w:tr>
      <w:tr>
        <w:trPr>
          <w:cantSplit/>
        </w:trPr>
        <w:tc>
          <w:tcPr/>
          <w:p>
            <w:pPr>
              <w:pStyle w:val="Compact"/>
              <w:jc w:val="left"/>
              <w:suppressAutoHyphens/>
            </w:pPr>
            <w:r>
              <w:rPr>
                <w:bCs/>
                <w:b/>
              </w:rPr>
              <w:t xml:space="preserve">Article XXIII — Final Provisions</w:t>
            </w:r>
          </w:p>
        </w:tc>
        <w:tc>
          <w:tcPr/>
          <w:p>
            <w:pPr>
              <w:pStyle w:val="Compact"/>
              <w:jc w:val="right"/>
              <w:suppressAutoHyphens/>
            </w:pPr>
            <w:r>
              <w:rPr>
                <w:bCs/>
                <w:b/>
              </w:rPr>
              <w:t xml:space="preserve">82</w:t>
            </w:r>
          </w:p>
        </w:tc>
      </w:tr>
      <w:tr>
        <w:trPr>
          <w:cantSplit/>
        </w:trPr>
        <w:tc>
          <w:tcPr/>
          <w:p>
            <w:pPr>
              <w:pStyle w:val="Compact"/>
              <w:jc w:val="left"/>
              <w:suppressAutoHyphens/>
            </w:pPr>
            <w:r>
              <w:rPr>
                <w:bCs/>
                <w:b/>
              </w:rPr>
              <w:t xml:space="preserve">Adoption</w:t>
            </w:r>
          </w:p>
        </w:tc>
        <w:tc>
          <w:tcPr/>
          <w:p>
            <w:pPr>
              <w:pStyle w:val="Compact"/>
              <w:jc w:val="right"/>
              <w:suppressAutoHyphens/>
            </w:pPr>
            <w:r>
              <w:rPr>
                <w:bCs/>
                <w:b/>
              </w:rPr>
              <w:t xml:space="preserve">83</w:t>
            </w:r>
          </w:p>
        </w:tc>
      </w:tr>
      <w:tr>
        <w:trPr>
          <w:cantSplit/>
        </w:trPr>
        <w:tc>
          <w:tcPr/>
          <w:p>
            <w:pPr>
              <w:pStyle w:val="Compact"/>
              <w:jc w:val="left"/>
              <w:suppressAutoHyphens/>
            </w:pPr>
            <w:r>
              <w:rPr>
                <w:bCs/>
                <w:b/>
              </w:rPr>
              <w:t xml:space="preserve">Publication Certification Statement</w:t>
            </w:r>
          </w:p>
        </w:tc>
        <w:tc>
          <w:tcPr/>
          <w:p>
            <w:pPr>
              <w:pStyle w:val="Compact"/>
              <w:jc w:val="right"/>
              <w:suppressAutoHyphens/>
            </w:pPr>
            <w:r>
              <w:rPr>
                <w:bCs/>
                <w:b/>
              </w:rPr>
              <w:t xml:space="preserve">84</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 OF 23</w:t>
            </w:r>
          </w:p>
          <w:p>
            <w:pPr>
              <w:spacing w:before="0" w:after="60"/>
              <w:suppressAutoHyphens/>
            </w:pPr>
            <w:r>
              <w:rPr>
                <w:rFonts w:ascii="Cinzel" w:hAnsi="Cinzel"/>
                <w:color w:val="B08625"/>
                <w:b/>
                <w:sz w:val="100"/>
              </w:rPr>
              <w:t>I</w:t>
            </w:r>
          </w:p>
          <w:p>
            <w:pPr>
              <w:spacing w:before="120" w:after="80"/>
              <w:suppressAutoHyphens/>
            </w:pPr>
            <w:r>
              <w:rPr>
                <w:rFonts w:ascii="Cormorant Garamond" w:hAnsi="Cormorant Garamond"/>
                <w:color w:val="FFFFFF"/>
                <w:b/>
                <w:sz w:val="60"/>
              </w:rPr>
              <w:t>Definitions</w:t>
            </w:r>
          </w:p>
          <w:p>
            <w:pPr>
              <w:spacing w:before="0" w:after="260"/>
              <w:pBdr>
                <w:bottom w:val="single" w:sz="10" w:space="8" w:color="B08625"/>
              </w:pBdr>
              <w:suppressAutoHyphens/>
            </w:pPr>
            <w:r>
              <w:rPr>
                <w:rFonts w:ascii="Liberation Sans" w:hAnsi="Liberation Sans"/>
                <w:color w:val="8C97AB"/>
                <w:sz w:val="17"/>
                <w:spacing w:val="14"/>
              </w:rPr>
              <w:t>SECTIONS 1.1–1.2</w:t>
            </w:r>
          </w:p>
          <w:p>
            <w:pPr>
              <w:spacing w:before="0" w:after="360"/>
              <w:ind w:right="700"/>
              <w:suppressAutoHyphens/>
            </w:pPr>
            <w:r>
              <w:rPr>
                <w:rFonts w:ascii="Cormorant Garamond" w:hAnsi="Cormorant Garamond"/>
                <w:i/>
                <w:color w:val="DCE3F0"/>
                <w:sz w:val="25"/>
              </w:rPr>
              <w:t>“Forty-six terms, defined once, binding everywhere this Constitution uses them.”</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1.1 </w:t>
            </w:r>
            <w:r>
              <w:rPr>
                <w:rFonts w:ascii="Liberation Sans" w:hAnsi="Liberation Sans"/>
                <w:color w:val="FFFFFF"/>
                <w:sz w:val="18"/>
              </w:rPr>
              <w:t>General Definitions</w:t>
            </w:r>
          </w:p>
          <w:p>
            <w:pPr>
              <w:spacing w:before="0" w:after="110"/>
              <w:suppressAutoHyphens/>
            </w:pPr>
            <w:r>
              <w:rPr>
                <w:rFonts w:ascii="Cinzel" w:hAnsi="Cinzel"/>
                <w:color w:val="B08625"/>
                <w:b/>
                <w:sz w:val="19"/>
              </w:rPr>
              <w:t>1.2 </w:t>
            </w:r>
            <w:r>
              <w:rPr>
                <w:rFonts w:ascii="Liberation Sans" w:hAnsi="Liberation Sans"/>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2 OF 23</w:t>
            </w:r>
          </w:p>
          <w:p>
            <w:pPr>
              <w:spacing w:before="0" w:after="60"/>
              <w:suppressAutoHyphens/>
            </w:pPr>
            <w:r>
              <w:rPr>
                <w:rFonts w:ascii="Cinzel" w:hAnsi="Cinzel"/>
                <w:color w:val="B08625"/>
                <w:b/>
                <w:sz w:val="100"/>
              </w:rPr>
              <w:t>II</w:t>
            </w:r>
          </w:p>
          <w:p>
            <w:pPr>
              <w:spacing w:before="120" w:after="80"/>
              <w:suppressAutoHyphens/>
            </w:pPr>
            <w:r>
              <w:rPr>
                <w:rFonts w:ascii="Cormorant Garamond" w:hAnsi="Cormorant Garamond"/>
                <w:color w:val="FFFFFF"/>
                <w:b/>
                <w:sz w:val="60"/>
              </w:rPr>
              <w:t>Legal Identity</w:t>
            </w:r>
          </w:p>
          <w:p>
            <w:pPr>
              <w:spacing w:before="0" w:after="260"/>
              <w:pBdr>
                <w:bottom w:val="single" w:sz="10" w:space="8" w:color="B08625"/>
              </w:pBdr>
              <w:suppressAutoHyphens/>
            </w:pPr>
            <w:r>
              <w:rPr>
                <w:rFonts w:ascii="Liberation Sans" w:hAnsi="Liberation Sans"/>
                <w:color w:val="8C97AB"/>
                <w:sz w:val="17"/>
                <w:spacing w:val="14"/>
              </w:rPr>
              <w:t>SECTIONS 2.1–2.7</w:t>
            </w:r>
          </w:p>
          <w:p>
            <w:pPr>
              <w:spacing w:before="0" w:after="360"/>
              <w:ind w:right="700"/>
              <w:suppressAutoHyphens/>
            </w:pPr>
            <w:r>
              <w:rPr>
                <w:rFonts w:ascii="Cormorant Garamond" w:hAnsi="Cormorant Garamond"/>
                <w:i/>
                <w:color w:val="DCE3F0"/>
                <w:sz w:val="25"/>
              </w:rPr>
              <w:t>“A Texas-domiciled 501(c)(3) religious educational corporation, incorporated 6 December 2027 — one name, one seal, one governing law.”</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2.1 </w:t>
            </w:r>
            <w:r>
              <w:rPr>
                <w:rFonts w:ascii="Liberation Sans" w:hAnsi="Liberation Sans"/>
                <w:color w:val="FFFFFF"/>
                <w:sz w:val="18"/>
              </w:rPr>
              <w:t>Name</w:t>
            </w:r>
          </w:p>
          <w:p>
            <w:pPr>
              <w:spacing w:before="0" w:after="110"/>
              <w:suppressAutoHyphens/>
            </w:pPr>
            <w:r>
              <w:rPr>
                <w:rFonts w:ascii="Cinzel" w:hAnsi="Cinzel"/>
                <w:color w:val="B08625"/>
                <w:b/>
                <w:sz w:val="19"/>
              </w:rPr>
              <w:t>2.2 </w:t>
            </w:r>
            <w:r>
              <w:rPr>
                <w:rFonts w:ascii="Liberation Sans" w:hAnsi="Liberation Sans"/>
                <w:color w:val="FFFFFF"/>
                <w:sz w:val="18"/>
              </w:rPr>
              <w:t>Legal Status</w:t>
            </w:r>
          </w:p>
          <w:p>
            <w:pPr>
              <w:spacing w:before="0" w:after="110"/>
              <w:suppressAutoHyphens/>
            </w:pPr>
            <w:r>
              <w:rPr>
                <w:rFonts w:ascii="Cinzel" w:hAnsi="Cinzel"/>
                <w:color w:val="B08625"/>
                <w:b/>
                <w:sz w:val="19"/>
              </w:rPr>
              <w:t>2.3 </w:t>
            </w:r>
            <w:r>
              <w:rPr>
                <w:rFonts w:ascii="Liberation Sans" w:hAnsi="Liberation Sans"/>
                <w:color w:val="FFFFFF"/>
                <w:sz w:val="18"/>
              </w:rPr>
              <w:t>Legal Domicile</w:t>
            </w:r>
          </w:p>
          <w:p>
            <w:pPr>
              <w:spacing w:before="0" w:after="110"/>
              <w:suppressAutoHyphens/>
            </w:pPr>
            <w:r>
              <w:rPr>
                <w:rFonts w:ascii="Cinzel" w:hAnsi="Cinzel"/>
                <w:color w:val="B08625"/>
                <w:b/>
                <w:sz w:val="19"/>
              </w:rPr>
              <w:t>2.4 </w:t>
            </w:r>
            <w:r>
              <w:rPr>
                <w:rFonts w:ascii="Liberation Sans" w:hAnsi="Liberation Sans"/>
                <w:color w:val="FFFFFF"/>
                <w:sz w:val="18"/>
              </w:rPr>
              <w:t>Date of Establishment</w:t>
            </w:r>
          </w:p>
          <w:p>
            <w:pPr>
              <w:spacing w:before="0" w:after="110"/>
              <w:suppressAutoHyphens/>
            </w:pPr>
            <w:r>
              <w:rPr>
                <w:rFonts w:ascii="Cinzel" w:hAnsi="Cinzel"/>
                <w:color w:val="B08625"/>
                <w:b/>
                <w:sz w:val="19"/>
              </w:rPr>
              <w:t>2.5 </w:t>
            </w:r>
            <w:r>
              <w:rPr>
                <w:rFonts w:ascii="Liberation Sans" w:hAnsi="Liberation Sans"/>
                <w:color w:val="FFFFFF"/>
                <w:sz w:val="18"/>
              </w:rPr>
              <w:t>Official Seal</w:t>
            </w:r>
          </w:p>
          <w:p>
            <w:pPr>
              <w:spacing w:before="0" w:after="110"/>
              <w:suppressAutoHyphens/>
            </w:pPr>
            <w:r>
              <w:rPr>
                <w:rFonts w:ascii="Cinzel" w:hAnsi="Cinzel"/>
                <w:color w:val="B08625"/>
                <w:b/>
                <w:sz w:val="19"/>
              </w:rPr>
              <w:t>2.6 </w:t>
            </w:r>
            <w:r>
              <w:rPr>
                <w:rFonts w:ascii="Liberation Sans" w:hAnsi="Liberation Sans"/>
                <w:color w:val="FFFFFF"/>
                <w:sz w:val="18"/>
              </w:rPr>
              <w:t>Powers of the University</w:t>
            </w:r>
          </w:p>
          <w:p>
            <w:pPr>
              <w:spacing w:before="0" w:after="110"/>
              <w:suppressAutoHyphens/>
            </w:pPr>
            <w:r>
              <w:rPr>
                <w:rFonts w:ascii="Cinzel" w:hAnsi="Cinzel"/>
                <w:color w:val="B08625"/>
                <w:b/>
                <w:sz w:val="19"/>
              </w:rPr>
              <w:t>2.7 </w:t>
            </w:r>
            <w:r>
              <w:rPr>
                <w:rFonts w:ascii="Liberation Sans" w:hAnsi="Liberation Sans"/>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3 OF 23</w:t>
            </w:r>
          </w:p>
          <w:p>
            <w:pPr>
              <w:spacing w:before="0" w:after="60"/>
              <w:suppressAutoHyphens/>
            </w:pPr>
            <w:r>
              <w:rPr>
                <w:rFonts w:ascii="Cinzel" w:hAnsi="Cinzel"/>
                <w:color w:val="B08625"/>
                <w:b/>
                <w:sz w:val="100"/>
              </w:rPr>
              <w:t>III</w:t>
            </w:r>
          </w:p>
          <w:p>
            <w:pPr>
              <w:spacing w:before="120" w:after="80"/>
              <w:suppressAutoHyphens/>
            </w:pPr>
            <w:r>
              <w:rPr>
                <w:rFonts w:ascii="Cormorant Garamond" w:hAnsi="Cormorant Garamond"/>
                <w:color w:val="FFFFFF"/>
                <w:b/>
                <w:sz w:val="60"/>
              </w:rPr>
              <w:t>Mission, Vision and Values</w:t>
            </w:r>
          </w:p>
          <w:p>
            <w:pPr>
              <w:spacing w:before="0" w:after="260"/>
              <w:pBdr>
                <w:bottom w:val="single" w:sz="10" w:space="8" w:color="B08625"/>
              </w:pBdr>
              <w:suppressAutoHyphens/>
            </w:pPr>
            <w:r>
              <w:rPr>
                <w:rFonts w:ascii="Liberation Sans" w:hAnsi="Liberation Sans"/>
                <w:color w:val="8C97AB"/>
                <w:sz w:val="17"/>
                <w:spacing w:val="14"/>
              </w:rPr>
              <w:t>SECTIONS 3.1–3.4</w:t>
            </w:r>
          </w:p>
          <w:p>
            <w:pPr>
              <w:spacing w:before="0" w:after="360"/>
              <w:ind w:right="700"/>
              <w:suppressAutoHyphens/>
            </w:pPr>
            <w:r>
              <w:rPr>
                <w:rFonts w:ascii="Cormorant Garamond" w:hAnsi="Cormorant Garamond"/>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3.1 </w:t>
            </w:r>
            <w:r>
              <w:rPr>
                <w:rFonts w:ascii="Liberation Sans" w:hAnsi="Liberation Sans"/>
                <w:color w:val="FFFFFF"/>
                <w:sz w:val="18"/>
              </w:rPr>
              <w:t>Mission</w:t>
            </w:r>
          </w:p>
          <w:p>
            <w:pPr>
              <w:spacing w:before="0" w:after="110"/>
              <w:suppressAutoHyphens/>
            </w:pPr>
            <w:r>
              <w:rPr>
                <w:rFonts w:ascii="Cinzel" w:hAnsi="Cinzel"/>
                <w:color w:val="B08625"/>
                <w:b/>
                <w:sz w:val="19"/>
              </w:rPr>
              <w:t>3.2 </w:t>
            </w:r>
            <w:r>
              <w:rPr>
                <w:rFonts w:ascii="Liberation Sans" w:hAnsi="Liberation Sans"/>
                <w:color w:val="FFFFFF"/>
                <w:sz w:val="18"/>
              </w:rPr>
              <w:t>Vision</w:t>
            </w:r>
          </w:p>
          <w:p>
            <w:pPr>
              <w:spacing w:before="0" w:after="110"/>
              <w:suppressAutoHyphens/>
            </w:pPr>
            <w:r>
              <w:rPr>
                <w:rFonts w:ascii="Cinzel" w:hAnsi="Cinzel"/>
                <w:color w:val="B08625"/>
                <w:b/>
                <w:sz w:val="19"/>
              </w:rPr>
              <w:t>3.3 </w:t>
            </w:r>
            <w:r>
              <w:rPr>
                <w:rFonts w:ascii="Liberation Sans" w:hAnsi="Liberation Sans"/>
                <w:color w:val="FFFFFF"/>
                <w:sz w:val="18"/>
              </w:rPr>
              <w:t>Values</w:t>
            </w:r>
          </w:p>
          <w:p>
            <w:pPr>
              <w:spacing w:before="0" w:after="110"/>
              <w:suppressAutoHyphens/>
            </w:pPr>
            <w:r>
              <w:rPr>
                <w:rFonts w:ascii="Cinzel" w:hAnsi="Cinzel"/>
                <w:color w:val="B08625"/>
                <w:b/>
                <w:sz w:val="19"/>
              </w:rPr>
              <w:t>3.4 </w:t>
            </w:r>
            <w:r>
              <w:rPr>
                <w:rFonts w:ascii="Liberation Sans" w:hAnsi="Liberation Sans"/>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Letter</w:t>
            </w:r>
          </w:p>
        </w:tc>
        <w:tc>
          <w:tcPr/>
          <w:p>
            <w:pPr>
              <w:pStyle w:val="Compact"/>
              <w:jc w:val="left"/>
              <w:suppressAutoHyphens/>
            </w:pPr>
            <w:r>
              <w:t xml:space="preserve">Word</w:t>
            </w:r>
          </w:p>
        </w:tc>
        <w:tc>
          <w:tcPr/>
          <w:p>
            <w:pPr>
              <w:pStyle w:val="Compact"/>
              <w:jc w:val="left"/>
              <w:suppressAutoHyphens/>
            </w:pPr>
            <w:r>
              <w:t xml:space="preserve">Meaning</w:t>
            </w:r>
          </w:p>
        </w:tc>
      </w:tr>
      <w:tr>
        <w:trPr>
          <w:cantSplit/>
        </w:trPr>
        <w:tc>
          <w:tcPr/>
          <w:p>
            <w:pPr>
              <w:pStyle w:val="Compact"/>
              <w:jc w:val="left"/>
              <w:suppressAutoHyphens/>
            </w:pPr>
            <w:r>
              <w:t xml:space="preserve">I</w:t>
            </w:r>
          </w:p>
        </w:tc>
        <w:tc>
          <w:tcPr/>
          <w:p>
            <w:pPr>
              <w:pStyle w:val="Compact"/>
              <w:jc w:val="left"/>
              <w:suppressAutoHyphens/>
            </w:pPr>
            <w:r>
              <w:t xml:space="preserve">Illumination</w:t>
            </w:r>
          </w:p>
        </w:tc>
        <w:tc>
          <w:tcPr/>
          <w:p>
            <w:pPr>
              <w:pStyle w:val="Compact"/>
              <w:jc w:val="left"/>
              <w:suppressAutoHyphens/>
            </w:pPr>
            <w:r>
              <w:t xml:space="preserve">The pursuit of knowledge is an act of worship that illuminates the heart and draws the seeker closer to Allah.</w:t>
            </w:r>
          </w:p>
        </w:tc>
      </w:tr>
      <w:tr>
        <w:trPr>
          <w:cantSplit/>
        </w:trPr>
        <w:tc>
          <w:tcPr/>
          <w:p>
            <w:pPr>
              <w:pStyle w:val="Compact"/>
              <w:jc w:val="left"/>
              <w:suppressAutoHyphens/>
            </w:pPr>
            <w:r>
              <w:t xml:space="preserve">S</w:t>
            </w:r>
          </w:p>
        </w:tc>
        <w:tc>
          <w:tcPr/>
          <w:p>
            <w:pPr>
              <w:pStyle w:val="Compact"/>
              <w:jc w:val="left"/>
              <w:suppressAutoHyphens/>
            </w:pPr>
            <w:r>
              <w:t xml:space="preserve">Sanad</w:t>
            </w:r>
          </w:p>
        </w:tc>
        <w:tc>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p>
            <w:pPr>
              <w:pStyle w:val="Compact"/>
              <w:jc w:val="left"/>
              <w:suppressAutoHyphens/>
            </w:pPr>
            <w:r>
              <w:t xml:space="preserve">L</w:t>
            </w:r>
          </w:p>
        </w:tc>
        <w:tc>
          <w:tcPr/>
          <w:p>
            <w:pPr>
              <w:pStyle w:val="Compact"/>
              <w:jc w:val="left"/>
              <w:suppressAutoHyphens/>
            </w:pPr>
            <w:r>
              <w:t xml:space="preserve">Love</w:t>
            </w:r>
          </w:p>
        </w:tc>
        <w:tc>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p>
            <w:pPr>
              <w:pStyle w:val="Compact"/>
              <w:jc w:val="left"/>
              <w:suppressAutoHyphens/>
            </w:pPr>
            <w:r>
              <w:t xml:space="preserve">A</w:t>
            </w:r>
          </w:p>
        </w:tc>
        <w:tc>
          <w:tcPr/>
          <w:p>
            <w:pPr>
              <w:pStyle w:val="Compact"/>
              <w:jc w:val="left"/>
              <w:suppressAutoHyphens/>
            </w:pPr>
            <w:r>
              <w:t xml:space="preserve">Access</w:t>
            </w:r>
          </w:p>
        </w:tc>
        <w:tc>
          <w:tcPr/>
          <w:p>
            <w:pPr>
              <w:pStyle w:val="Compact"/>
              <w:jc w:val="left"/>
              <w:suppressAutoHyphens/>
            </w:pPr>
            <w:r>
              <w:t xml:space="preserve">Guided by compassion and justice, the University ensures that financial capacity shall never be a barrier to knowledge.</w:t>
            </w:r>
          </w:p>
        </w:tc>
      </w:tr>
      <w:tr>
        <w:trPr>
          <w:cantSplit/>
        </w:trPr>
        <w:tc>
          <w:tcPr/>
          <w:p>
            <w:pPr>
              <w:pStyle w:val="Compact"/>
              <w:jc w:val="left"/>
              <w:suppressAutoHyphens/>
            </w:pPr>
            <w:r>
              <w:t xml:space="preserve">M</w:t>
            </w:r>
          </w:p>
        </w:tc>
        <w:tc>
          <w:tcPr/>
          <w:p>
            <w:pPr>
              <w:pStyle w:val="Compact"/>
              <w:jc w:val="left"/>
              <w:suppressAutoHyphens/>
            </w:pPr>
            <w:r>
              <w:t xml:space="preserve">Morality</w:t>
            </w:r>
          </w:p>
        </w:tc>
        <w:tc>
          <w:tcPr/>
          <w:p>
            <w:pPr>
              <w:pStyle w:val="Compact"/>
              <w:jc w:val="left"/>
              <w:suppressAutoHyphens/>
            </w:pPr>
            <w:r>
              <w:t xml:space="preserve">The University cultivates noble character — honesty, humility, patience, generosity, and compassion — following the Prophetic example.</w:t>
            </w:r>
          </w:p>
        </w:tc>
      </w:tr>
      <w:tr>
        <w:trPr>
          <w:cantSplit/>
        </w:trPr>
        <w:tc>
          <w:tcPr/>
          <w:p>
            <w:pPr>
              <w:pStyle w:val="Compact"/>
              <w:jc w:val="left"/>
              <w:suppressAutoHyphens/>
            </w:pPr>
            <w:r>
              <w:t xml:space="preserve">I</w:t>
            </w:r>
          </w:p>
        </w:tc>
        <w:tc>
          <w:tcPr/>
          <w:p>
            <w:pPr>
              <w:pStyle w:val="Compact"/>
              <w:jc w:val="left"/>
              <w:suppressAutoHyphens/>
            </w:pPr>
            <w:r>
              <w:t xml:space="preserve">Inquiry</w:t>
            </w:r>
          </w:p>
        </w:tc>
        <w:tc>
          <w:tcPr/>
          <w:p>
            <w:pPr>
              <w:pStyle w:val="Compact"/>
              <w:jc w:val="left"/>
              <w:suppressAutoHyphens/>
            </w:pPr>
            <w:r>
              <w:t xml:space="preserve">The University encourages intellectual rigor, critical inquiry, and the pursuit of truth through ijtihād and taḥqīq.</w:t>
            </w:r>
          </w:p>
        </w:tc>
      </w:tr>
      <w:tr>
        <w:trPr>
          <w:cantSplit/>
        </w:trPr>
        <w:tc>
          <w:tcPr/>
          <w:p>
            <w:pPr>
              <w:pStyle w:val="Compact"/>
              <w:jc w:val="left"/>
              <w:suppressAutoHyphens/>
            </w:pPr>
            <w:r>
              <w:t xml:space="preserve">C</w:t>
            </w:r>
          </w:p>
        </w:tc>
        <w:tc>
          <w:tcPr/>
          <w:p>
            <w:pPr>
              <w:pStyle w:val="Compact"/>
              <w:jc w:val="left"/>
              <w:suppressAutoHyphens/>
            </w:pPr>
            <w:r>
              <w:t xml:space="preserve">Calling</w:t>
            </w:r>
          </w:p>
        </w:tc>
        <w:tc>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4 OF 23</w:t>
            </w:r>
          </w:p>
          <w:p>
            <w:pPr>
              <w:spacing w:before="0" w:after="60"/>
              <w:suppressAutoHyphens/>
            </w:pPr>
            <w:r>
              <w:rPr>
                <w:rFonts w:ascii="Cinzel" w:hAnsi="Cinzel"/>
                <w:color w:val="B08625"/>
                <w:b/>
                <w:sz w:val="100"/>
              </w:rPr>
              <w:t>IV</w:t>
            </w:r>
          </w:p>
          <w:p>
            <w:pPr>
              <w:spacing w:before="120" w:after="80"/>
              <w:suppressAutoHyphens/>
            </w:pPr>
            <w:r>
              <w:rPr>
                <w:rFonts w:ascii="Cormorant Garamond" w:hAnsi="Cormorant Garamond"/>
                <w:color w:val="FFFFFF"/>
                <w:b/>
                <w:sz w:val="60"/>
              </w:rPr>
              <w:t>Interpretation</w:t>
            </w:r>
          </w:p>
          <w:p>
            <w:pPr>
              <w:spacing w:before="0" w:after="260"/>
              <w:pBdr>
                <w:bottom w:val="single" w:sz="10" w:space="8" w:color="B08625"/>
              </w:pBdr>
              <w:suppressAutoHyphens/>
            </w:pPr>
            <w:r>
              <w:rPr>
                <w:rFonts w:ascii="Liberation Sans" w:hAnsi="Liberation Sans"/>
                <w:color w:val="8C97AB"/>
                <w:sz w:val="17"/>
                <w:spacing w:val="14"/>
              </w:rPr>
              <w:t>SECTIONS 4.1–4.3</w:t>
            </w:r>
          </w:p>
          <w:p>
            <w:pPr>
              <w:spacing w:before="0" w:after="360"/>
              <w:ind w:right="700"/>
              <w:suppressAutoHyphens/>
            </w:pPr>
            <w:r>
              <w:rPr>
                <w:rFonts w:ascii="Cormorant Garamond" w:hAnsi="Cormorant Garamond"/>
                <w:i/>
                <w:color w:val="DCE3F0"/>
                <w:sz w:val="25"/>
              </w:rPr>
              <w:t>“Who resolves an ambiguity, how a dispute is settled, and what survives if a single provision falls.”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4.1 </w:t>
            </w:r>
            <w:r>
              <w:rPr>
                <w:rFonts w:ascii="Liberation Sans" w:hAnsi="Liberation Sans"/>
                <w:color w:val="FFFFFF"/>
                <w:sz w:val="18"/>
              </w:rPr>
              <w:t>Interpretation Authority</w:t>
            </w:r>
          </w:p>
          <w:p>
            <w:pPr>
              <w:spacing w:before="0" w:after="110"/>
              <w:suppressAutoHyphens/>
            </w:pPr>
            <w:r>
              <w:rPr>
                <w:rFonts w:ascii="Cinzel" w:hAnsi="Cinzel"/>
                <w:color w:val="B08625"/>
                <w:b/>
                <w:sz w:val="19"/>
              </w:rPr>
              <w:t>4.2 </w:t>
            </w:r>
            <w:r>
              <w:rPr>
                <w:rFonts w:ascii="Liberation Sans" w:hAnsi="Liberation Sans"/>
                <w:color w:val="FFFFFF"/>
                <w:sz w:val="18"/>
              </w:rPr>
              <w:t>Dispute Resolution</w:t>
            </w:r>
          </w:p>
          <w:p>
            <w:pPr>
              <w:spacing w:before="0" w:after="110"/>
              <w:suppressAutoHyphens/>
            </w:pPr>
            <w:r>
              <w:rPr>
                <w:rFonts w:ascii="Cinzel" w:hAnsi="Cinzel"/>
                <w:color w:val="B08625"/>
                <w:b/>
                <w:sz w:val="19"/>
              </w:rPr>
              <w:t>4.3 </w:t>
            </w:r>
            <w:r>
              <w:rPr>
                <w:rFonts w:ascii="Liberation Sans" w:hAnsi="Liberation Sans"/>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5 OF 23</w:t>
            </w:r>
          </w:p>
          <w:p>
            <w:pPr>
              <w:spacing w:before="0" w:after="60"/>
              <w:suppressAutoHyphens/>
            </w:pPr>
            <w:r>
              <w:rPr>
                <w:rFonts w:ascii="Cinzel" w:hAnsi="Cinzel"/>
                <w:color w:val="B08625"/>
                <w:b/>
                <w:sz w:val="100"/>
              </w:rPr>
              <w:t>V</w:t>
            </w:r>
          </w:p>
          <w:p>
            <w:pPr>
              <w:spacing w:before="120" w:after="80"/>
              <w:suppressAutoHyphens/>
            </w:pPr>
            <w:r>
              <w:rPr>
                <w:rFonts w:ascii="Cormorant Garamond" w:hAnsi="Cormorant Garamond"/>
                <w:color w:val="FFFFFF"/>
                <w:b/>
                <w:sz w:val="60"/>
              </w:rPr>
              <w:t>Governance Structure</w:t>
            </w:r>
          </w:p>
          <w:p>
            <w:pPr>
              <w:spacing w:before="0" w:after="260"/>
              <w:pBdr>
                <w:bottom w:val="single" w:sz="10" w:space="8" w:color="B08625"/>
              </w:pBdr>
              <w:suppressAutoHyphens/>
            </w:pPr>
            <w:r>
              <w:rPr>
                <w:rFonts w:ascii="Liberation Sans" w:hAnsi="Liberation Sans"/>
                <w:color w:val="8C97AB"/>
                <w:sz w:val="17"/>
                <w:spacing w:val="14"/>
              </w:rPr>
              <w:t>SECTIONS 5.1–5.5</w:t>
            </w:r>
          </w:p>
          <w:p>
            <w:pPr>
              <w:spacing w:before="0" w:after="360"/>
              <w:ind w:right="700"/>
              <w:suppressAutoHyphens/>
            </w:pPr>
            <w:r>
              <w:rPr>
                <w:rFonts w:ascii="Cormorant Garamond" w:hAnsi="Cormorant Garamond"/>
                <w:i/>
                <w:color w:val="DCE3F0"/>
                <w:sz w:val="25"/>
              </w:rPr>
              <w:t>“A bicameral architecture — Board and Senate, co-equal in their own domains, meeting at a single operational link.”</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5.1 </w:t>
            </w:r>
            <w:r>
              <w:rPr>
                <w:rFonts w:ascii="Liberation Sans" w:hAnsi="Liberation Sans"/>
                <w:color w:val="FFFFFF"/>
                <w:sz w:val="18"/>
              </w:rPr>
              <w:t>Governance Hierarchy</w:t>
            </w:r>
          </w:p>
          <w:p>
            <w:pPr>
              <w:spacing w:before="0" w:after="110"/>
              <w:suppressAutoHyphens/>
            </w:pPr>
            <w:r>
              <w:rPr>
                <w:rFonts w:ascii="Cinzel" w:hAnsi="Cinzel"/>
                <w:color w:val="B08625"/>
                <w:b/>
                <w:sz w:val="19"/>
              </w:rPr>
              <w:t>5.2 </w:t>
            </w:r>
            <w:r>
              <w:rPr>
                <w:rFonts w:ascii="Liberation Sans" w:hAnsi="Liberation Sans"/>
                <w:color w:val="FFFFFF"/>
                <w:sz w:val="18"/>
              </w:rPr>
              <w:t>Bicameral Governance</w:t>
            </w:r>
          </w:p>
          <w:p>
            <w:pPr>
              <w:spacing w:before="0" w:after="110"/>
              <w:suppressAutoHyphens/>
            </w:pPr>
            <w:r>
              <w:rPr>
                <w:rFonts w:ascii="Cinzel" w:hAnsi="Cinzel"/>
                <w:color w:val="B08625"/>
                <w:b/>
                <w:sz w:val="19"/>
              </w:rPr>
              <w:t>5.3 </w:t>
            </w:r>
            <w:r>
              <w:rPr>
                <w:rFonts w:ascii="Liberation Sans" w:hAnsi="Liberation Sans"/>
                <w:color w:val="FFFFFF"/>
                <w:sz w:val="18"/>
              </w:rPr>
              <w:t>Separation of Powers</w:t>
            </w:r>
          </w:p>
          <w:p>
            <w:pPr>
              <w:spacing w:before="0" w:after="110"/>
              <w:suppressAutoHyphens/>
            </w:pPr>
            <w:r>
              <w:rPr>
                <w:rFonts w:ascii="Cinzel" w:hAnsi="Cinzel"/>
                <w:color w:val="B08625"/>
                <w:b/>
                <w:sz w:val="19"/>
              </w:rPr>
              <w:t>5.4 </w:t>
            </w:r>
            <w:r>
              <w:rPr>
                <w:rFonts w:ascii="Liberation Sans" w:hAnsi="Liberation Sans"/>
                <w:color w:val="FFFFFF"/>
                <w:sz w:val="18"/>
              </w:rPr>
              <w:t>Non-Delegation</w:t>
            </w:r>
          </w:p>
          <w:p>
            <w:pPr>
              <w:spacing w:before="0" w:after="110"/>
              <w:suppressAutoHyphens/>
            </w:pPr>
            <w:r>
              <w:rPr>
                <w:rFonts w:ascii="Cinzel" w:hAnsi="Cinzel"/>
                <w:color w:val="B08625"/>
                <w:b/>
                <w:sz w:val="19"/>
              </w:rPr>
              <w:t>5.5 </w:t>
            </w:r>
            <w:r>
              <w:rPr>
                <w:rFonts w:ascii="Liberation Sans" w:hAnsi="Liberation Sans"/>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Body</w:t>
            </w:r>
          </w:p>
        </w:tc>
        <w:tc>
          <w:tcPr/>
          <w:p>
            <w:pPr>
              <w:pStyle w:val="Compact"/>
              <w:jc w:val="left"/>
              <w:suppressAutoHyphens/>
            </w:pPr>
            <w:r>
              <w:t xml:space="preserve">Authority</w:t>
            </w:r>
          </w:p>
        </w:tc>
        <w:tc>
          <w:tcPr/>
          <w:p>
            <w:pPr>
              <w:pStyle w:val="Compact"/>
              <w:jc w:val="left"/>
              <w:suppressAutoHyphens/>
            </w:pPr>
            <w:r>
              <w:t xml:space="preserve">Reports</w:t>
            </w:r>
          </w:p>
        </w:tc>
      </w:tr>
      <w:tr>
        <w:trPr>
          <w:cantSplit/>
        </w:trPr>
        <w:tc>
          <w:tcPr/>
          <w:p>
            <w:pPr>
              <w:pStyle w:val="Compact"/>
              <w:jc w:val="left"/>
              <w:suppressAutoHyphens/>
            </w:pPr>
            <w:r>
              <w:t xml:space="preserve">Board of Trustees</w:t>
            </w:r>
          </w:p>
        </w:tc>
        <w:tc>
          <w:tcPr/>
          <w:p>
            <w:pPr>
              <w:pStyle w:val="Compact"/>
              <w:jc w:val="left"/>
              <w:suppressAutoHyphens/>
            </w:pPr>
            <w:r>
              <w:t xml:space="preserve">Supreme Governing Authority</w:t>
            </w:r>
          </w:p>
        </w:tc>
        <w:tc>
          <w:tcPr/>
          <w:p>
            <w:pPr>
              <w:pStyle w:val="Compact"/>
              <w:jc w:val="left"/>
              <w:suppressAutoHyphens/>
            </w:pPr>
            <w:r>
              <w:t xml:space="preserve">To no body; final appellate authority</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Academic Authority</w:t>
            </w:r>
          </w:p>
        </w:tc>
        <w:tc>
          <w:tcPr/>
          <w:p>
            <w:pPr>
              <w:pStyle w:val="Compact"/>
              <w:jc w:val="left"/>
              <w:suppressAutoHyphens/>
            </w:pPr>
            <w:r>
              <w:t xml:space="preserve">To the Board, through the President (Section 8.1.3) — a reporting line, not a subordination of academic authority (see Section 5.2)</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Chief Executive Officer</w:t>
            </w:r>
          </w:p>
        </w:tc>
        <w:tc>
          <w:tcPr/>
          <w:p>
            <w:pPr>
              <w:pStyle w:val="Compact"/>
              <w:jc w:val="left"/>
              <w:suppressAutoHyphens/>
            </w:pPr>
            <w:r>
              <w:t xml:space="preserve">To the Board of Trustees</w:t>
            </w:r>
          </w:p>
        </w:tc>
      </w:tr>
      <w:tr>
        <w:trPr>
          <w:cantSplit/>
        </w:trPr>
        <w:tc>
          <w:tcPr/>
          <w:p>
            <w:pPr>
              <w:pStyle w:val="Compact"/>
              <w:jc w:val="left"/>
              <w:suppressAutoHyphens/>
            </w:pPr>
            <w:r>
              <w:t xml:space="preserve">Administration</w:t>
            </w:r>
          </w:p>
        </w:tc>
        <w:tc>
          <w:tcPr/>
          <w:p>
            <w:pPr>
              <w:pStyle w:val="Compact"/>
              <w:jc w:val="left"/>
              <w:suppressAutoHyphens/>
            </w:pPr>
            <w:r>
              <w:t xml:space="preserve">Executive Management</w:t>
            </w:r>
          </w:p>
        </w:tc>
        <w:tc>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6 OF 23</w:t>
            </w:r>
          </w:p>
          <w:p>
            <w:pPr>
              <w:spacing w:before="0" w:after="60"/>
              <w:suppressAutoHyphens/>
            </w:pPr>
            <w:r>
              <w:rPr>
                <w:rFonts w:ascii="Cinzel" w:hAnsi="Cinzel"/>
                <w:color w:val="B08625"/>
                <w:b/>
                <w:sz w:val="100"/>
              </w:rPr>
              <w:t>VI</w:t>
            </w:r>
          </w:p>
          <w:p>
            <w:pPr>
              <w:spacing w:before="120" w:after="80"/>
              <w:suppressAutoHyphens/>
            </w:pPr>
            <w:r>
              <w:rPr>
                <w:rFonts w:ascii="Cormorant Garamond" w:hAnsi="Cormorant Garamond"/>
                <w:color w:val="FFFFFF"/>
                <w:b/>
                <w:sz w:val="60"/>
              </w:rPr>
              <w:t>Board of Trustees</w:t>
            </w:r>
          </w:p>
          <w:p>
            <w:pPr>
              <w:spacing w:before="0" w:after="260"/>
              <w:pBdr>
                <w:bottom w:val="single" w:sz="10" w:space="8" w:color="B08625"/>
              </w:pBdr>
              <w:suppressAutoHyphens/>
            </w:pPr>
            <w:r>
              <w:rPr>
                <w:rFonts w:ascii="Liberation Sans" w:hAnsi="Liberation Sans"/>
                <w:color w:val="8C97AB"/>
                <w:sz w:val="17"/>
                <w:spacing w:val="14"/>
              </w:rPr>
              <w:t>SECTIONS 6.1–6.9</w:t>
            </w:r>
          </w:p>
          <w:p>
            <w:pPr>
              <w:spacing w:before="0" w:after="360"/>
              <w:ind w:right="700"/>
              <w:suppressAutoHyphens/>
            </w:pPr>
            <w:r>
              <w:rPr>
                <w:rFonts w:ascii="Cormorant Garamond" w:hAnsi="Cormorant Garamond"/>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6.1 </w:t>
            </w:r>
            <w:r>
              <w:rPr>
                <w:rFonts w:ascii="Liberation Sans" w:hAnsi="Liberation Sans"/>
                <w:color w:val="FFFFFF"/>
                <w:sz w:val="18"/>
              </w:rPr>
              <w:t>Role and Authority</w:t>
            </w:r>
          </w:p>
          <w:p>
            <w:pPr>
              <w:spacing w:before="0" w:after="110"/>
              <w:suppressAutoHyphens/>
            </w:pPr>
            <w:r>
              <w:rPr>
                <w:rFonts w:ascii="Cinzel" w:hAnsi="Cinzel"/>
                <w:color w:val="B08625"/>
                <w:b/>
                <w:sz w:val="19"/>
              </w:rPr>
              <w:t>6.2 </w:t>
            </w:r>
            <w:r>
              <w:rPr>
                <w:rFonts w:ascii="Liberation Sans" w:hAnsi="Liberation Sans"/>
                <w:color w:val="FFFFFF"/>
                <w:sz w:val="18"/>
              </w:rPr>
              <w:t>Composition</w:t>
            </w:r>
          </w:p>
          <w:p>
            <w:pPr>
              <w:spacing w:before="0" w:after="110"/>
              <w:suppressAutoHyphens/>
            </w:pPr>
            <w:r>
              <w:rPr>
                <w:rFonts w:ascii="Cinzel" w:hAnsi="Cinzel"/>
                <w:color w:val="B08625"/>
                <w:b/>
                <w:sz w:val="19"/>
              </w:rPr>
              <w:t>6.3 </w:t>
            </w:r>
            <w:r>
              <w:rPr>
                <w:rFonts w:ascii="Liberation Sans" w:hAnsi="Liberation Sans"/>
                <w:color w:val="FFFFFF"/>
                <w:sz w:val="18"/>
              </w:rPr>
              <w:t>Trustee Qualifications and Appointment</w:t>
            </w:r>
          </w:p>
          <w:p>
            <w:pPr>
              <w:spacing w:before="0" w:after="110"/>
              <w:suppressAutoHyphens/>
            </w:pPr>
            <w:r>
              <w:rPr>
                <w:rFonts w:ascii="Cinzel" w:hAnsi="Cinzel"/>
                <w:color w:val="B08625"/>
                <w:b/>
                <w:sz w:val="19"/>
              </w:rPr>
              <w:t>6.4 </w:t>
            </w:r>
            <w:r>
              <w:rPr>
                <w:rFonts w:ascii="Liberation Sans" w:hAnsi="Liberation Sans"/>
                <w:color w:val="FFFFFF"/>
                <w:sz w:val="18"/>
              </w:rPr>
              <w:t>Removal from Office</w:t>
            </w:r>
          </w:p>
          <w:p>
            <w:pPr>
              <w:spacing w:before="0" w:after="110"/>
              <w:suppressAutoHyphens/>
            </w:pPr>
            <w:r>
              <w:rPr>
                <w:rFonts w:ascii="Cinzel" w:hAnsi="Cinzel"/>
                <w:color w:val="B08625"/>
                <w:b/>
                <w:sz w:val="19"/>
              </w:rPr>
              <w:t>6.5 </w:t>
            </w:r>
            <w:r>
              <w:rPr>
                <w:rFonts w:ascii="Liberation Sans" w:hAnsi="Liberation Sans"/>
                <w:color w:val="FFFFFF"/>
                <w:sz w:val="18"/>
              </w:rPr>
              <w:t>Chairperson</w:t>
            </w:r>
          </w:p>
          <w:p>
            <w:pPr>
              <w:spacing w:before="0" w:after="110"/>
              <w:suppressAutoHyphens/>
            </w:pPr>
            <w:r>
              <w:rPr>
                <w:rFonts w:ascii="Cinzel" w:hAnsi="Cinzel"/>
                <w:color w:val="B08625"/>
                <w:b/>
                <w:sz w:val="19"/>
              </w:rPr>
              <w:t>6.6 </w:t>
            </w:r>
            <w:r>
              <w:rPr>
                <w:rFonts w:ascii="Liberation Sans" w:hAnsi="Liberation Sans"/>
                <w:color w:val="FFFFFF"/>
                <w:sz w:val="18"/>
              </w:rPr>
              <w:t>Meetings</w:t>
            </w:r>
          </w:p>
          <w:p>
            <w:pPr>
              <w:spacing w:before="0" w:after="110"/>
              <w:suppressAutoHyphens/>
            </w:pPr>
            <w:r>
              <w:rPr>
                <w:rFonts w:ascii="Cinzel" w:hAnsi="Cinzel"/>
                <w:color w:val="B08625"/>
                <w:b/>
                <w:sz w:val="19"/>
              </w:rPr>
              <w:t>6.7 </w:t>
            </w:r>
            <w:r>
              <w:rPr>
                <w:rFonts w:ascii="Liberation Sans" w:hAnsi="Liberation Sans"/>
                <w:color w:val="FFFFFF"/>
                <w:sz w:val="18"/>
              </w:rPr>
              <w:t>Responsibilities</w:t>
            </w:r>
          </w:p>
          <w:p>
            <w:pPr>
              <w:spacing w:before="0" w:after="110"/>
              <w:suppressAutoHyphens/>
            </w:pPr>
            <w:r>
              <w:rPr>
                <w:rFonts w:ascii="Cinzel" w:hAnsi="Cinzel"/>
                <w:color w:val="B08625"/>
                <w:b/>
                <w:sz w:val="19"/>
              </w:rPr>
              <w:t>6.8 </w:t>
            </w:r>
            <w:r>
              <w:rPr>
                <w:rFonts w:ascii="Liberation Sans" w:hAnsi="Liberation Sans"/>
                <w:color w:val="FFFFFF"/>
                <w:sz w:val="18"/>
              </w:rPr>
              <w:t>Code of Conduct</w:t>
            </w:r>
          </w:p>
          <w:p>
            <w:pPr>
              <w:spacing w:before="0" w:after="110"/>
              <w:suppressAutoHyphens/>
            </w:pPr>
            <w:r>
              <w:rPr>
                <w:rFonts w:ascii="Cinzel" w:hAnsi="Cinzel"/>
                <w:color w:val="B08625"/>
                <w:b/>
                <w:sz w:val="19"/>
              </w:rPr>
              <w:t>6.9 </w:t>
            </w:r>
            <w:r>
              <w:rPr>
                <w:rFonts w:ascii="Liberation Sans" w:hAnsi="Liberation Sans"/>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7 OF 23</w:t>
            </w:r>
          </w:p>
          <w:p>
            <w:pPr>
              <w:spacing w:before="0" w:after="60"/>
              <w:suppressAutoHyphens/>
            </w:pPr>
            <w:r>
              <w:rPr>
                <w:rFonts w:ascii="Cinzel" w:hAnsi="Cinzel"/>
                <w:color w:val="B08625"/>
                <w:b/>
                <w:sz w:val="100"/>
              </w:rPr>
              <w:t>VII</w:t>
            </w:r>
          </w:p>
          <w:p>
            <w:pPr>
              <w:spacing w:before="120" w:after="80"/>
              <w:suppressAutoHyphens/>
            </w:pPr>
            <w:r>
              <w:rPr>
                <w:rFonts w:ascii="Cormorant Garamond" w:hAnsi="Cormorant Garamond"/>
                <w:color w:val="FFFFFF"/>
                <w:b/>
                <w:sz w:val="60"/>
              </w:rPr>
              <w:t>President &amp; Vice-Chancellor</w:t>
            </w:r>
          </w:p>
          <w:p>
            <w:pPr>
              <w:spacing w:before="0" w:after="260"/>
              <w:pBdr>
                <w:bottom w:val="single" w:sz="10" w:space="8" w:color="B08625"/>
              </w:pBdr>
              <w:suppressAutoHyphens/>
            </w:pPr>
            <w:r>
              <w:rPr>
                <w:rFonts w:ascii="Liberation Sans" w:hAnsi="Liberation Sans"/>
                <w:color w:val="8C97AB"/>
                <w:sz w:val="17"/>
                <w:spacing w:val="14"/>
              </w:rPr>
              <w:t>SECTIONS 7.1–7.6</w:t>
            </w:r>
          </w:p>
          <w:p>
            <w:pPr>
              <w:spacing w:before="0" w:after="360"/>
              <w:ind w:right="700"/>
              <w:suppressAutoHyphens/>
            </w:pPr>
            <w:r>
              <w:rPr>
                <w:rFonts w:ascii="Cormorant Garamond" w:hAnsi="Cormorant Garamond"/>
                <w:i/>
                <w:color w:val="DCE3F0"/>
                <w:sz w:val="25"/>
              </w:rPr>
              <w:t>“The single operational link between Board and Senate — appointed for five years, evaluated annually, removable only for cause.”</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7.1 </w:t>
            </w:r>
            <w:r>
              <w:rPr>
                <w:rFonts w:ascii="Liberation Sans" w:hAnsi="Liberation Sans"/>
                <w:color w:val="FFFFFF"/>
                <w:sz w:val="18"/>
              </w:rPr>
              <w:t>Role and Authority</w:t>
            </w:r>
          </w:p>
          <w:p>
            <w:pPr>
              <w:spacing w:before="0" w:after="110"/>
              <w:suppressAutoHyphens/>
            </w:pPr>
            <w:r>
              <w:rPr>
                <w:rFonts w:ascii="Cinzel" w:hAnsi="Cinzel"/>
                <w:color w:val="B08625"/>
                <w:b/>
                <w:sz w:val="19"/>
              </w:rPr>
              <w:t>7.2 </w:t>
            </w:r>
            <w:r>
              <w:rPr>
                <w:rFonts w:ascii="Liberation Sans" w:hAnsi="Liberation Sans"/>
                <w:color w:val="FFFFFF"/>
                <w:sz w:val="18"/>
              </w:rPr>
              <w:t>Appointment</w:t>
            </w:r>
          </w:p>
          <w:p>
            <w:pPr>
              <w:spacing w:before="0" w:after="110"/>
              <w:suppressAutoHyphens/>
            </w:pPr>
            <w:r>
              <w:rPr>
                <w:rFonts w:ascii="Cinzel" w:hAnsi="Cinzel"/>
                <w:color w:val="B08625"/>
                <w:b/>
                <w:sz w:val="19"/>
              </w:rPr>
              <w:t>7.3 </w:t>
            </w:r>
            <w:r>
              <w:rPr>
                <w:rFonts w:ascii="Liberation Sans" w:hAnsi="Liberation Sans"/>
                <w:color w:val="FFFFFF"/>
                <w:sz w:val="18"/>
              </w:rPr>
              <w:t>Eligibility</w:t>
            </w:r>
          </w:p>
          <w:p>
            <w:pPr>
              <w:spacing w:before="0" w:after="110"/>
              <w:suppressAutoHyphens/>
            </w:pPr>
            <w:r>
              <w:rPr>
                <w:rFonts w:ascii="Cinzel" w:hAnsi="Cinzel"/>
                <w:color w:val="B08625"/>
                <w:b/>
                <w:sz w:val="19"/>
              </w:rPr>
              <w:t>7.4 </w:t>
            </w:r>
            <w:r>
              <w:rPr>
                <w:rFonts w:ascii="Liberation Sans" w:hAnsi="Liberation Sans"/>
                <w:color w:val="FFFFFF"/>
                <w:sz w:val="18"/>
              </w:rPr>
              <w:t>Responsibilities</w:t>
            </w:r>
          </w:p>
          <w:p>
            <w:pPr>
              <w:spacing w:before="0" w:after="110"/>
              <w:suppressAutoHyphens/>
            </w:pPr>
            <w:r>
              <w:rPr>
                <w:rFonts w:ascii="Cinzel" w:hAnsi="Cinzel"/>
                <w:color w:val="B08625"/>
                <w:b/>
                <w:sz w:val="19"/>
              </w:rPr>
              <w:t>7.5 </w:t>
            </w:r>
            <w:r>
              <w:rPr>
                <w:rFonts w:ascii="Liberation Sans" w:hAnsi="Liberation Sans"/>
                <w:color w:val="FFFFFF"/>
                <w:sz w:val="18"/>
              </w:rPr>
              <w:t>Performance Evaluation</w:t>
            </w:r>
          </w:p>
          <w:p>
            <w:pPr>
              <w:spacing w:before="0" w:after="110"/>
              <w:suppressAutoHyphens/>
            </w:pPr>
            <w:r>
              <w:rPr>
                <w:rFonts w:ascii="Cinzel" w:hAnsi="Cinzel"/>
                <w:color w:val="B08625"/>
                <w:b/>
                <w:sz w:val="19"/>
              </w:rPr>
              <w:t>7.6 </w:t>
            </w:r>
            <w:r>
              <w:rPr>
                <w:rFonts w:ascii="Liberation Sans" w:hAnsi="Liberation Sans"/>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8 OF 23</w:t>
            </w:r>
          </w:p>
          <w:p>
            <w:pPr>
              <w:spacing w:before="0" w:after="60"/>
              <w:suppressAutoHyphens/>
            </w:pPr>
            <w:r>
              <w:rPr>
                <w:rFonts w:ascii="Cinzel" w:hAnsi="Cinzel"/>
                <w:color w:val="B08625"/>
                <w:b/>
                <w:sz w:val="100"/>
              </w:rPr>
              <w:t>VIII</w:t>
            </w:r>
          </w:p>
          <w:p>
            <w:pPr>
              <w:spacing w:before="120" w:after="80"/>
              <w:suppressAutoHyphens/>
            </w:pPr>
            <w:r>
              <w:rPr>
                <w:rFonts w:ascii="Cormorant Garamond" w:hAnsi="Cormorant Garamond"/>
                <w:color w:val="FFFFFF"/>
                <w:b/>
                <w:sz w:val="60"/>
              </w:rPr>
              <w:t>University Senate</w:t>
            </w:r>
          </w:p>
          <w:p>
            <w:pPr>
              <w:spacing w:before="0" w:after="260"/>
              <w:pBdr>
                <w:bottom w:val="single" w:sz="10" w:space="8" w:color="B08625"/>
              </w:pBdr>
              <w:suppressAutoHyphens/>
            </w:pPr>
            <w:r>
              <w:rPr>
                <w:rFonts w:ascii="Liberation Sans" w:hAnsi="Liberation Sans"/>
                <w:color w:val="8C97AB"/>
                <w:sz w:val="17"/>
                <w:spacing w:val="14"/>
              </w:rPr>
              <w:t>SECTIONS 8.1–8.8</w:t>
            </w:r>
          </w:p>
          <w:p>
            <w:pPr>
              <w:spacing w:before="0" w:after="360"/>
              <w:ind w:right="700"/>
              <w:suppressAutoHyphens/>
            </w:pPr>
            <w:r>
              <w:rPr>
                <w:rFonts w:ascii="Cormorant Garamond" w:hAnsi="Cormorant Garamond"/>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8.1 </w:t>
            </w:r>
            <w:r>
              <w:rPr>
                <w:rFonts w:ascii="Liberation Sans" w:hAnsi="Liberation Sans"/>
                <w:color w:val="FFFFFF"/>
                <w:sz w:val="18"/>
              </w:rPr>
              <w:t>Role and Authority</w:t>
            </w:r>
          </w:p>
          <w:p>
            <w:pPr>
              <w:spacing w:before="0" w:after="110"/>
              <w:suppressAutoHyphens/>
            </w:pPr>
            <w:r>
              <w:rPr>
                <w:rFonts w:ascii="Cinzel" w:hAnsi="Cinzel"/>
                <w:color w:val="B08625"/>
                <w:b/>
                <w:sz w:val="19"/>
              </w:rPr>
              <w:t>8.2 </w:t>
            </w:r>
            <w:r>
              <w:rPr>
                <w:rFonts w:ascii="Liberation Sans" w:hAnsi="Liberation Sans"/>
                <w:color w:val="FFFFFF"/>
                <w:sz w:val="18"/>
              </w:rPr>
              <w:t>Composition</w:t>
            </w:r>
          </w:p>
          <w:p>
            <w:pPr>
              <w:spacing w:before="0" w:after="110"/>
              <w:suppressAutoHyphens/>
            </w:pPr>
            <w:r>
              <w:rPr>
                <w:rFonts w:ascii="Cinzel" w:hAnsi="Cinzel"/>
                <w:color w:val="B08625"/>
                <w:b/>
                <w:sz w:val="19"/>
              </w:rPr>
              <w:t>8.3 </w:t>
            </w:r>
            <w:r>
              <w:rPr>
                <w:rFonts w:ascii="Liberation Sans" w:hAnsi="Liberation Sans"/>
                <w:color w:val="FFFFFF"/>
                <w:sz w:val="18"/>
              </w:rPr>
              <w:t>Ex-Officio Members</w:t>
            </w:r>
          </w:p>
          <w:p>
            <w:pPr>
              <w:spacing w:before="0" w:after="110"/>
              <w:suppressAutoHyphens/>
            </w:pPr>
            <w:r>
              <w:rPr>
                <w:rFonts w:ascii="Cinzel" w:hAnsi="Cinzel"/>
                <w:color w:val="B08625"/>
                <w:b/>
                <w:sz w:val="19"/>
              </w:rPr>
              <w:t>8.4 </w:t>
            </w:r>
            <w:r>
              <w:rPr>
                <w:rFonts w:ascii="Liberation Sans" w:hAnsi="Liberation Sans"/>
                <w:color w:val="FFFFFF"/>
                <w:sz w:val="18"/>
              </w:rPr>
              <w:t>Eligibility</w:t>
            </w:r>
          </w:p>
          <w:p>
            <w:pPr>
              <w:spacing w:before="0" w:after="110"/>
              <w:suppressAutoHyphens/>
            </w:pPr>
            <w:r>
              <w:rPr>
                <w:rFonts w:ascii="Cinzel" w:hAnsi="Cinzel"/>
                <w:color w:val="B08625"/>
                <w:b/>
                <w:sz w:val="19"/>
              </w:rPr>
              <w:t>8.5 </w:t>
            </w:r>
            <w:r>
              <w:rPr>
                <w:rFonts w:ascii="Liberation Sans" w:hAnsi="Liberation Sans"/>
                <w:color w:val="FFFFFF"/>
                <w:sz w:val="18"/>
              </w:rPr>
              <w:t>Meetings</w:t>
            </w:r>
          </w:p>
          <w:p>
            <w:pPr>
              <w:spacing w:before="0" w:after="110"/>
              <w:suppressAutoHyphens/>
            </w:pPr>
            <w:r>
              <w:rPr>
                <w:rFonts w:ascii="Cinzel" w:hAnsi="Cinzel"/>
                <w:color w:val="B08625"/>
                <w:b/>
                <w:sz w:val="19"/>
              </w:rPr>
              <w:t>8.6 </w:t>
            </w:r>
            <w:r>
              <w:rPr>
                <w:rFonts w:ascii="Liberation Sans" w:hAnsi="Liberation Sans"/>
                <w:color w:val="FFFFFF"/>
                <w:sz w:val="18"/>
              </w:rPr>
              <w:t>Voting Procedures</w:t>
            </w:r>
          </w:p>
          <w:p>
            <w:pPr>
              <w:spacing w:before="0" w:after="110"/>
              <w:suppressAutoHyphens/>
            </w:pPr>
            <w:r>
              <w:rPr>
                <w:rFonts w:ascii="Cinzel" w:hAnsi="Cinzel"/>
                <w:color w:val="B08625"/>
                <w:b/>
                <w:sz w:val="19"/>
              </w:rPr>
              <w:t>8.7 </w:t>
            </w:r>
            <w:r>
              <w:rPr>
                <w:rFonts w:ascii="Liberation Sans" w:hAnsi="Liberation Sans"/>
                <w:color w:val="FFFFFF"/>
                <w:sz w:val="18"/>
              </w:rPr>
              <w:t>Responsibilities</w:t>
            </w:r>
          </w:p>
          <w:p>
            <w:pPr>
              <w:spacing w:before="0" w:after="110"/>
              <w:suppressAutoHyphens/>
            </w:pPr>
            <w:r>
              <w:rPr>
                <w:rFonts w:ascii="Cinzel" w:hAnsi="Cinzel"/>
                <w:color w:val="B08625"/>
                <w:b/>
                <w:sz w:val="19"/>
              </w:rPr>
              <w:t>8.8 </w:t>
            </w:r>
            <w:r>
              <w:rPr>
                <w:rFonts w:ascii="Liberation Sans" w:hAnsi="Liberation Sans"/>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w:t>
            </w:r>
          </w:p>
        </w:tc>
        <w:tc>
          <w:tcPr/>
          <w:p>
            <w:pPr>
              <w:pStyle w:val="Compact"/>
              <w:jc w:val="left"/>
              <w:suppressAutoHyphens/>
            </w:pPr>
            <w:r>
              <w:t xml:space="preserve">President &amp; Vice-Chancellor (Chairperson)</w:t>
            </w:r>
          </w:p>
        </w:tc>
        <w:tc>
          <w:tcPr/>
          <w:p>
            <w:pPr>
              <w:pStyle w:val="Compact"/>
              <w:jc w:val="left"/>
              <w:suppressAutoHyphens/>
            </w:pPr>
            <w:r>
              <w:t xml:space="preserve">Ex-Officio</w:t>
            </w:r>
          </w:p>
        </w:tc>
      </w:tr>
      <w:tr>
        <w:trPr>
          <w:cantSplit/>
        </w:trPr>
        <w:tc>
          <w:tcPr/>
          <w:p>
            <w:pPr>
              <w:pStyle w:val="Compact"/>
              <w:jc w:val="left"/>
              <w:suppressAutoHyphens/>
            </w:pPr>
            <w:r>
              <w:t xml:space="preserve">2</w:t>
            </w:r>
          </w:p>
        </w:tc>
        <w:tc>
          <w:tcPr/>
          <w:p>
            <w:pPr>
              <w:pStyle w:val="Compact"/>
              <w:jc w:val="left"/>
              <w:suppressAutoHyphens/>
            </w:pPr>
            <w:r>
              <w:t xml:space="preserve">Deputy Vice-Chancellor, Academic Affairs (Vice-Chairperson)</w:t>
            </w:r>
          </w:p>
        </w:tc>
        <w:tc>
          <w:tcPr/>
          <w:p>
            <w:pPr>
              <w:pStyle w:val="Compact"/>
              <w:jc w:val="left"/>
              <w:suppressAutoHyphens/>
            </w:pPr>
            <w:r>
              <w:t xml:space="preserve">Appointed by President</w:t>
            </w:r>
          </w:p>
        </w:tc>
      </w:tr>
      <w:tr>
        <w:trPr>
          <w:cantSplit/>
        </w:trPr>
        <w:tc>
          <w:tcPr/>
          <w:p>
            <w:pPr>
              <w:pStyle w:val="Compact"/>
              <w:jc w:val="left"/>
              <w:suppressAutoHyphens/>
            </w:pPr>
            <w:r>
              <w:t xml:space="preserve">3</w:t>
            </w:r>
          </w:p>
        </w:tc>
        <w:tc>
          <w:tcPr/>
          <w:p>
            <w:pPr>
              <w:pStyle w:val="Compact"/>
              <w:jc w:val="left"/>
              <w:suppressAutoHyphens/>
            </w:pPr>
            <w:r>
              <w:t xml:space="preserve">Deputy Vice-Chancellor, Admin &amp; Finance (Secretary)</w:t>
            </w:r>
          </w:p>
        </w:tc>
        <w:tc>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4</w:t>
            </w:r>
          </w:p>
        </w:tc>
        <w:tc>
          <w:tcPr/>
          <w:p>
            <w:pPr>
              <w:pStyle w:val="Compact"/>
              <w:jc w:val="left"/>
              <w:suppressAutoHyphens/>
            </w:pPr>
            <w:r>
              <w:t xml:space="preserve">Dean, Qur’anic &amp; Hadith Sciences / Shari’ah &amp; Islamic Law</w:t>
            </w:r>
          </w:p>
        </w:tc>
        <w:tc>
          <w:tcPr/>
          <w:p>
            <w:pPr>
              <w:pStyle w:val="Compact"/>
              <w:jc w:val="left"/>
              <w:suppressAutoHyphens/>
            </w:pPr>
            <w:r>
              <w:t xml:space="preserve">Appointed by President</w:t>
            </w:r>
          </w:p>
        </w:tc>
      </w:tr>
      <w:tr>
        <w:trPr>
          <w:cantSplit/>
        </w:trPr>
        <w:tc>
          <w:tcPr/>
          <w:p>
            <w:pPr>
              <w:pStyle w:val="Compact"/>
              <w:jc w:val="left"/>
              <w:suppressAutoHyphens/>
            </w:pPr>
            <w:r>
              <w:t xml:space="preserve">5</w:t>
            </w:r>
          </w:p>
        </w:tc>
        <w:tc>
          <w:tcPr/>
          <w:p>
            <w:pPr>
              <w:pStyle w:val="Compact"/>
              <w:jc w:val="left"/>
              <w:suppressAutoHyphens/>
            </w:pPr>
            <w:r>
              <w:t xml:space="preserve">Dean, Islamic Theology &amp; Philosophy / Da’wah, Communication &amp; Chaplaincy</w:t>
            </w:r>
          </w:p>
        </w:tc>
        <w:tc>
          <w:tcPr/>
          <w:p>
            <w:pPr>
              <w:pStyle w:val="Compact"/>
              <w:jc w:val="left"/>
              <w:suppressAutoHyphens/>
            </w:pPr>
            <w:r>
              <w:t xml:space="preserve">Appointed by President</w:t>
            </w:r>
          </w:p>
        </w:tc>
      </w:tr>
      <w:tr>
        <w:trPr>
          <w:cantSplit/>
        </w:trPr>
        <w:tc>
          <w:tcPr/>
          <w:p>
            <w:pPr>
              <w:pStyle w:val="Compact"/>
              <w:jc w:val="left"/>
              <w:suppressAutoHyphens/>
            </w:pPr>
            <w:r>
              <w:t xml:space="preserve">6</w:t>
            </w:r>
          </w:p>
        </w:tc>
        <w:tc>
          <w:tcPr/>
          <w:p>
            <w:pPr>
              <w:pStyle w:val="Compact"/>
              <w:jc w:val="left"/>
              <w:suppressAutoHyphens/>
            </w:pPr>
            <w:r>
              <w:t xml:space="preserve">Dean, Arabic Language &amp; Linguistics</w:t>
            </w:r>
          </w:p>
        </w:tc>
        <w:tc>
          <w:tcPr/>
          <w:p>
            <w:pPr>
              <w:pStyle w:val="Compact"/>
              <w:jc w:val="left"/>
              <w:suppressAutoHyphens/>
            </w:pPr>
            <w:r>
              <w:t xml:space="preserve">Appointed by President</w:t>
            </w:r>
          </w:p>
        </w:tc>
      </w:tr>
      <w:tr>
        <w:trPr>
          <w:cantSplit/>
        </w:trPr>
        <w:tc>
          <w:tcPr/>
          <w:p>
            <w:pPr>
              <w:pStyle w:val="Compact"/>
              <w:jc w:val="left"/>
              <w:suppressAutoHyphens/>
            </w:pPr>
            <w:r>
              <w:t xml:space="preserve">7</w:t>
            </w:r>
          </w:p>
        </w:tc>
        <w:tc>
          <w:tcPr/>
          <w:p>
            <w:pPr>
              <w:pStyle w:val="Compact"/>
              <w:jc w:val="left"/>
              <w:suppressAutoHyphens/>
            </w:pPr>
            <w:r>
              <w:t xml:space="preserve">Dean, Islamic Finance, Economics &amp; Waqf Administration</w:t>
            </w:r>
          </w:p>
        </w:tc>
        <w:tc>
          <w:tcPr/>
          <w:p>
            <w:pPr>
              <w:pStyle w:val="Compact"/>
              <w:jc w:val="left"/>
              <w:suppressAutoHyphens/>
            </w:pPr>
            <w:r>
              <w:t xml:space="preserve">Appointed by President</w:t>
            </w:r>
          </w:p>
        </w:tc>
      </w:tr>
      <w:tr>
        <w:trPr>
          <w:cantSplit/>
        </w:trPr>
        <w:tc>
          <w:tcPr/>
          <w:p>
            <w:pPr>
              <w:pStyle w:val="Compact"/>
              <w:jc w:val="left"/>
              <w:suppressAutoHyphens/>
            </w:pPr>
            <w:r>
              <w:t xml:space="preserve">8</w:t>
            </w:r>
          </w:p>
        </w:tc>
        <w:tc>
          <w:tcPr/>
          <w:p>
            <w:pPr>
              <w:pStyle w:val="Compact"/>
              <w:jc w:val="left"/>
              <w:suppressAutoHyphens/>
            </w:pPr>
            <w:r>
              <w:t xml:space="preserve">University Librarian</w:t>
            </w:r>
          </w:p>
        </w:tc>
        <w:tc>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9</w:t>
            </w:r>
          </w:p>
        </w:tc>
        <w:tc>
          <w:tcPr/>
          <w:p>
            <w:pPr>
              <w:pStyle w:val="Compact"/>
              <w:jc w:val="left"/>
              <w:suppressAutoHyphens/>
            </w:pPr>
            <w:r>
              <w:t xml:space="preserve">Head of Department, Qur’anic Studies &amp; Tafsir</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10</w:t>
            </w:r>
          </w:p>
        </w:tc>
        <w:tc>
          <w:tcPr/>
          <w:p>
            <w:pPr>
              <w:pStyle w:val="Compact"/>
              <w:jc w:val="left"/>
              <w:suppressAutoHyphens/>
            </w:pPr>
            <w:r>
              <w:t xml:space="preserve">Head of Department, Hadith Sciences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11</w:t>
            </w:r>
          </w:p>
        </w:tc>
        <w:tc>
          <w:tcPr/>
          <w:p>
            <w:pPr>
              <w:pStyle w:val="Compact"/>
              <w:jc w:val="left"/>
              <w:suppressAutoHyphens/>
            </w:pPr>
            <w:r>
              <w:t xml:space="preserve">Head of Department, Shari’ah &amp; Fiqh</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12</w:t>
            </w:r>
          </w:p>
        </w:tc>
        <w:tc>
          <w:tcPr/>
          <w:p>
            <w:pPr>
              <w:pStyle w:val="Compact"/>
              <w:jc w:val="left"/>
              <w:suppressAutoHyphens/>
            </w:pPr>
            <w:r>
              <w:t xml:space="preserve">Head of Department, Aqeedah &amp; Islamic Philosophy</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13</w:t>
            </w:r>
          </w:p>
        </w:tc>
        <w:tc>
          <w:tcPr/>
          <w:p>
            <w:pPr>
              <w:pStyle w:val="Compact"/>
              <w:jc w:val="left"/>
              <w:suppressAutoHyphens/>
            </w:pPr>
            <w:r>
              <w:t xml:space="preserve">Head of Department, Arabic Language &amp; Linguistics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14</w:t>
            </w:r>
          </w:p>
        </w:tc>
        <w:tc>
          <w:tcPr/>
          <w:p>
            <w:pPr>
              <w:pStyle w:val="Compact"/>
              <w:jc w:val="left"/>
              <w:suppressAutoHyphens/>
            </w:pPr>
            <w:r>
              <w:t xml:space="preserve">Head of Department, Da’wah &amp; Islamic Communication</w:t>
            </w:r>
          </w:p>
        </w:tc>
        <w:tc>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15</w:t>
            </w:r>
          </w:p>
        </w:tc>
        <w:tc>
          <w:tcPr/>
          <w:p>
            <w:pPr>
              <w:pStyle w:val="Compact"/>
              <w:jc w:val="left"/>
              <w:suppressAutoHyphens/>
            </w:pPr>
            <w:r>
              <w:t xml:space="preserve">Director of Academic Planning &amp; LMS Infrastructure</w:t>
            </w:r>
          </w:p>
        </w:tc>
        <w:tc>
          <w:tcPr/>
          <w:p>
            <w:pPr>
              <w:pStyle w:val="Compact"/>
              <w:jc w:val="left"/>
              <w:suppressAutoHyphens/>
            </w:pPr>
            <w:r>
              <w:t xml:space="preserve">Appointed by President</w:t>
            </w:r>
          </w:p>
        </w:tc>
      </w:tr>
      <w:tr>
        <w:trPr>
          <w:cantSplit/>
        </w:trPr>
        <w:tc>
          <w:tcPr/>
          <w:p>
            <w:pPr>
              <w:pStyle w:val="Compact"/>
              <w:jc w:val="left"/>
              <w:suppressAutoHyphens/>
            </w:pPr>
            <w:r>
              <w:t xml:space="preserve">16</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17</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18</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9 OF 23</w:t>
            </w:r>
          </w:p>
          <w:p>
            <w:pPr>
              <w:spacing w:before="0" w:after="60"/>
              <w:suppressAutoHyphens/>
            </w:pPr>
            <w:r>
              <w:rPr>
                <w:rFonts w:ascii="Cinzel" w:hAnsi="Cinzel"/>
                <w:color w:val="B08625"/>
                <w:b/>
                <w:sz w:val="100"/>
              </w:rPr>
              <w:t>IX</w:t>
            </w:r>
          </w:p>
          <w:p>
            <w:pPr>
              <w:spacing w:before="120" w:after="80"/>
              <w:suppressAutoHyphens/>
            </w:pPr>
            <w:r>
              <w:rPr>
                <w:rFonts w:ascii="Cormorant Garamond" w:hAnsi="Cormorant Garamond"/>
                <w:color w:val="FFFFFF"/>
                <w:b/>
                <w:sz w:val="60"/>
              </w:rPr>
              <w:t>Administration</w:t>
            </w:r>
          </w:p>
          <w:p>
            <w:pPr>
              <w:spacing w:before="0" w:after="260"/>
              <w:pBdr>
                <w:bottom w:val="single" w:sz="10" w:space="8" w:color="B08625"/>
              </w:pBdr>
              <w:suppressAutoHyphens/>
            </w:pPr>
            <w:r>
              <w:rPr>
                <w:rFonts w:ascii="Liberation Sans" w:hAnsi="Liberation Sans"/>
                <w:color w:val="8C97AB"/>
                <w:sz w:val="17"/>
                <w:spacing w:val="14"/>
              </w:rPr>
              <w:t>SECTIONS 9.1–9.4</w:t>
            </w:r>
          </w:p>
          <w:p>
            <w:pPr>
              <w:spacing w:before="0" w:after="360"/>
              <w:ind w:right="700"/>
              <w:suppressAutoHyphens/>
            </w:pPr>
            <w:r>
              <w:rPr>
                <w:rFonts w:ascii="Cormorant Garamond" w:hAnsi="Cormorant Garamond"/>
                <w:i/>
                <w:color w:val="DCE3F0"/>
                <w:sz w:val="25"/>
              </w:rPr>
              <w:t>“The executive management arm that turns Board policy and Senate academic vision into daily operations.”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9.1 </w:t>
            </w:r>
            <w:r>
              <w:rPr>
                <w:rFonts w:ascii="Liberation Sans" w:hAnsi="Liberation Sans"/>
                <w:color w:val="FFFFFF"/>
                <w:sz w:val="18"/>
              </w:rPr>
              <w:t>Role and Authority</w:t>
            </w:r>
          </w:p>
          <w:p>
            <w:pPr>
              <w:spacing w:before="0" w:after="110"/>
              <w:suppressAutoHyphens/>
            </w:pPr>
            <w:r>
              <w:rPr>
                <w:rFonts w:ascii="Cinzel" w:hAnsi="Cinzel"/>
                <w:color w:val="B08625"/>
                <w:b/>
                <w:sz w:val="19"/>
              </w:rPr>
              <w:t>9.2 </w:t>
            </w:r>
            <w:r>
              <w:rPr>
                <w:rFonts w:ascii="Liberation Sans" w:hAnsi="Liberation Sans"/>
                <w:color w:val="FFFFFF"/>
                <w:sz w:val="18"/>
              </w:rPr>
              <w:t>Composition</w:t>
            </w:r>
          </w:p>
          <w:p>
            <w:pPr>
              <w:spacing w:before="0" w:after="110"/>
              <w:suppressAutoHyphens/>
            </w:pPr>
            <w:r>
              <w:rPr>
                <w:rFonts w:ascii="Cinzel" w:hAnsi="Cinzel"/>
                <w:color w:val="B08625"/>
                <w:b/>
                <w:sz w:val="19"/>
              </w:rPr>
              <w:t>9.3 </w:t>
            </w:r>
            <w:r>
              <w:rPr>
                <w:rFonts w:ascii="Liberation Sans" w:hAnsi="Liberation Sans"/>
                <w:color w:val="FFFFFF"/>
                <w:sz w:val="18"/>
              </w:rPr>
              <w:t>Appointment</w:t>
            </w:r>
          </w:p>
          <w:p>
            <w:pPr>
              <w:spacing w:before="0" w:after="110"/>
              <w:suppressAutoHyphens/>
            </w:pPr>
            <w:r>
              <w:rPr>
                <w:rFonts w:ascii="Cinzel" w:hAnsi="Cinzel"/>
                <w:color w:val="B08625"/>
                <w:b/>
                <w:sz w:val="19"/>
              </w:rPr>
              <w:t>9.4 </w:t>
            </w:r>
            <w:r>
              <w:rPr>
                <w:rFonts w:ascii="Liberation Sans" w:hAnsi="Liberation Sans"/>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10 OF 23</w:t>
            </w:r>
          </w:p>
          <w:p>
            <w:pPr>
              <w:spacing w:before="0" w:after="60"/>
              <w:suppressAutoHyphens/>
            </w:pPr>
            <w:r>
              <w:rPr>
                <w:rFonts w:ascii="Cinzel" w:hAnsi="Cinzel"/>
                <w:color w:val="B08625"/>
                <w:b/>
                <w:sz w:val="100"/>
              </w:rPr>
              <w:t>X</w:t>
            </w:r>
          </w:p>
          <w:p>
            <w:pPr>
              <w:spacing w:before="120" w:after="80"/>
              <w:suppressAutoHyphens/>
            </w:pPr>
            <w:r>
              <w:rPr>
                <w:rFonts w:ascii="Cormorant Garamond" w:hAnsi="Cormorant Garamond"/>
                <w:color w:val="FFFFFF"/>
                <w:b/>
                <w:sz w:val="60"/>
              </w:rPr>
              <w:t>Academic Program</w:t>
            </w:r>
          </w:p>
          <w:p>
            <w:pPr>
              <w:spacing w:before="0" w:after="260"/>
              <w:pBdr>
                <w:bottom w:val="single" w:sz="10" w:space="8" w:color="B08625"/>
              </w:pBdr>
              <w:suppressAutoHyphens/>
            </w:pPr>
            <w:r>
              <w:rPr>
                <w:rFonts w:ascii="Liberation Sans" w:hAnsi="Liberation Sans"/>
                <w:color w:val="8C97AB"/>
                <w:sz w:val="17"/>
                <w:spacing w:val="14"/>
              </w:rPr>
              <w:t>SECTIONS 10.1–10.3</w:t>
            </w:r>
          </w:p>
          <w:p>
            <w:pPr>
              <w:spacing w:before="0" w:after="360"/>
              <w:ind w:right="700"/>
              <w:suppressAutoHyphens/>
            </w:pPr>
            <w:r>
              <w:rPr>
                <w:rFonts w:ascii="Cormorant Garamond" w:hAnsi="Cormorant Garamond"/>
                <w:i/>
                <w:color w:val="DCE3F0"/>
                <w:sz w:val="25"/>
              </w:rPr>
              <w:t>“A seven-tier credential ladder, fully stackable, taught through six founding colleges, primarily in English.”</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10.1 </w:t>
            </w:r>
            <w:r>
              <w:rPr>
                <w:rFonts w:ascii="Liberation Sans" w:hAnsi="Liberation Sans"/>
                <w:color w:val="FFFFFF"/>
                <w:sz w:val="18"/>
              </w:rPr>
              <w:t>Academic Ladder</w:t>
            </w:r>
          </w:p>
          <w:p>
            <w:pPr>
              <w:spacing w:before="0" w:after="110"/>
              <w:suppressAutoHyphens/>
            </w:pPr>
            <w:r>
              <w:rPr>
                <w:rFonts w:ascii="Cinzel" w:hAnsi="Cinzel"/>
                <w:color w:val="B08625"/>
                <w:b/>
                <w:sz w:val="19"/>
              </w:rPr>
              <w:t>10.2 </w:t>
            </w:r>
            <w:r>
              <w:rPr>
                <w:rFonts w:ascii="Liberation Sans" w:hAnsi="Liberation Sans"/>
                <w:color w:val="FFFFFF"/>
                <w:sz w:val="18"/>
              </w:rPr>
              <w:t>The Six Colleges</w:t>
            </w:r>
          </w:p>
          <w:p>
            <w:pPr>
              <w:spacing w:before="0" w:after="110"/>
              <w:suppressAutoHyphens/>
            </w:pPr>
            <w:r>
              <w:rPr>
                <w:rFonts w:ascii="Cinzel" w:hAnsi="Cinzel"/>
                <w:color w:val="B08625"/>
                <w:b/>
                <w:sz w:val="19"/>
              </w:rPr>
              <w:t>10.3 </w:t>
            </w:r>
            <w:r>
              <w:rPr>
                <w:rFonts w:ascii="Liberation Sans" w:hAnsi="Liberation Sans"/>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Level</w:t>
            </w:r>
          </w:p>
        </w:tc>
        <w:tc>
          <w:tcPr/>
          <w:p>
            <w:pPr>
              <w:pStyle w:val="Compact"/>
              <w:jc w:val="left"/>
              <w:suppressAutoHyphens/>
            </w:pPr>
            <w:r>
              <w:t xml:space="preserve">Credential</w:t>
            </w:r>
          </w:p>
        </w:tc>
        <w:tc>
          <w:tcPr/>
          <w:p>
            <w:pPr>
              <w:pStyle w:val="Compact"/>
              <w:jc w:val="left"/>
              <w:suppressAutoHyphens/>
            </w:pPr>
            <w:r>
              <w:t xml:space="preserve">Credit Hours</w:t>
            </w:r>
          </w:p>
        </w:tc>
      </w:tr>
      <w:tr>
        <w:trPr>
          <w:cantSplit/>
        </w:trPr>
        <w:tc>
          <w:tcPr/>
          <w:p>
            <w:pPr>
              <w:pStyle w:val="Compact"/>
              <w:jc w:val="left"/>
              <w:suppressAutoHyphens/>
            </w:pPr>
            <w:r>
              <w:t xml:space="preserve">I</w:t>
            </w:r>
          </w:p>
        </w:tc>
        <w:tc>
          <w:tcPr/>
          <w:p>
            <w:pPr>
              <w:pStyle w:val="Compact"/>
              <w:jc w:val="left"/>
              <w:suppressAutoHyphens/>
            </w:pPr>
            <w:r>
              <w:t xml:space="preserve">Undergraduate Diploma</w:t>
            </w:r>
          </w:p>
        </w:tc>
        <w:tc>
          <w:tcPr/>
          <w:p>
            <w:pPr>
              <w:pStyle w:val="Compact"/>
              <w:jc w:val="left"/>
              <w:suppressAutoHyphens/>
            </w:pPr>
            <w:r>
              <w:t xml:space="preserve">45 CH</w:t>
            </w:r>
          </w:p>
        </w:tc>
      </w:tr>
      <w:tr>
        <w:trPr>
          <w:cantSplit/>
        </w:trPr>
        <w:tc>
          <w:tcPr/>
          <w:p>
            <w:pPr>
              <w:pStyle w:val="Compact"/>
              <w:jc w:val="left"/>
              <w:suppressAutoHyphens/>
            </w:pPr>
            <w:r>
              <w:t xml:space="preserve">II</w:t>
            </w:r>
          </w:p>
        </w:tc>
        <w:tc>
          <w:tcPr/>
          <w:p>
            <w:pPr>
              <w:pStyle w:val="Compact"/>
              <w:jc w:val="left"/>
              <w:suppressAutoHyphens/>
            </w:pPr>
            <w:r>
              <w:t xml:space="preserve">Associate Degree</w:t>
            </w:r>
          </w:p>
        </w:tc>
        <w:tc>
          <w:tcPr/>
          <w:p>
            <w:pPr>
              <w:pStyle w:val="Compact"/>
              <w:jc w:val="left"/>
              <w:suppressAutoHyphens/>
            </w:pPr>
            <w:r>
              <w:t xml:space="preserve">60 CH</w:t>
            </w:r>
          </w:p>
        </w:tc>
      </w:tr>
      <w:tr>
        <w:trPr>
          <w:cantSplit/>
        </w:trPr>
        <w:tc>
          <w:tcPr/>
          <w:p>
            <w:pPr>
              <w:pStyle w:val="Compact"/>
              <w:jc w:val="left"/>
              <w:suppressAutoHyphens/>
            </w:pPr>
            <w:r>
              <w:t xml:space="preserve">III</w:t>
            </w:r>
          </w:p>
        </w:tc>
        <w:tc>
          <w:tcPr/>
          <w:p>
            <w:pPr>
              <w:pStyle w:val="Compact"/>
              <w:jc w:val="left"/>
              <w:suppressAutoHyphens/>
            </w:pPr>
            <w:r>
              <w:t xml:space="preserve">Bachelor of Arts</w:t>
            </w:r>
          </w:p>
        </w:tc>
        <w:tc>
          <w:tcPr/>
          <w:p>
            <w:pPr>
              <w:pStyle w:val="Compact"/>
              <w:jc w:val="left"/>
              <w:suppressAutoHyphens/>
            </w:pPr>
            <w:r>
              <w:t xml:space="preserve">120 CH</w:t>
            </w:r>
          </w:p>
        </w:tc>
      </w:tr>
      <w:tr>
        <w:trPr>
          <w:cantSplit/>
        </w:trPr>
        <w:tc>
          <w:tcPr/>
          <w:p>
            <w:pPr>
              <w:pStyle w:val="Compact"/>
              <w:jc w:val="left"/>
              <w:suppressAutoHyphens/>
            </w:pPr>
            <w:r>
              <w:t xml:space="preserve">IV</w:t>
            </w:r>
          </w:p>
        </w:tc>
        <w:tc>
          <w:tcPr/>
          <w:p>
            <w:pPr>
              <w:pStyle w:val="Compact"/>
              <w:jc w:val="left"/>
              <w:suppressAutoHyphens/>
            </w:pPr>
            <w:r>
              <w:t xml:space="preserve">Postgraduate Diploma</w:t>
            </w:r>
          </w:p>
        </w:tc>
        <w:tc>
          <w:tcPr/>
          <w:p>
            <w:pPr>
              <w:pStyle w:val="Compact"/>
              <w:jc w:val="left"/>
              <w:suppressAutoHyphens/>
            </w:pPr>
            <w:r>
              <w:t xml:space="preserve">30 CH</w:t>
            </w:r>
          </w:p>
        </w:tc>
      </w:tr>
      <w:tr>
        <w:trPr>
          <w:cantSplit/>
        </w:trPr>
        <w:tc>
          <w:tcPr/>
          <w:p>
            <w:pPr>
              <w:pStyle w:val="Compact"/>
              <w:jc w:val="left"/>
              <w:suppressAutoHyphens/>
            </w:pPr>
            <w:r>
              <w:t xml:space="preserve">V</w:t>
            </w:r>
          </w:p>
        </w:tc>
        <w:tc>
          <w:tcPr/>
          <w:p>
            <w:pPr>
              <w:pStyle w:val="Compact"/>
              <w:jc w:val="left"/>
              <w:suppressAutoHyphens/>
            </w:pPr>
            <w:r>
              <w:t xml:space="preserve">Master of Arts</w:t>
            </w:r>
          </w:p>
        </w:tc>
        <w:tc>
          <w:tcPr/>
          <w:p>
            <w:pPr>
              <w:pStyle w:val="Compact"/>
              <w:jc w:val="left"/>
              <w:suppressAutoHyphens/>
            </w:pPr>
            <w:r>
              <w:t xml:space="preserve">45 CH</w:t>
            </w:r>
          </w:p>
        </w:tc>
      </w:tr>
      <w:tr>
        <w:trPr>
          <w:cantSplit/>
        </w:trPr>
        <w:tc>
          <w:tcPr/>
          <w:p>
            <w:pPr>
              <w:pStyle w:val="Compact"/>
              <w:jc w:val="left"/>
              <w:suppressAutoHyphens/>
            </w:pPr>
            <w:r>
              <w:t xml:space="preserve">VI</w:t>
            </w:r>
          </w:p>
        </w:tc>
        <w:tc>
          <w:tcPr/>
          <w:p>
            <w:pPr>
              <w:pStyle w:val="Compact"/>
              <w:jc w:val="left"/>
              <w:suppressAutoHyphens/>
            </w:pPr>
            <w:r>
              <w:t xml:space="preserve">Doctor of Philosophy</w:t>
            </w:r>
          </w:p>
        </w:tc>
        <w:tc>
          <w:tcPr/>
          <w:p>
            <w:pPr>
              <w:pStyle w:val="Compact"/>
              <w:jc w:val="left"/>
              <w:suppressAutoHyphens/>
            </w:pPr>
            <w:r>
              <w:t xml:space="preserve">60 CH</w:t>
            </w:r>
          </w:p>
        </w:tc>
      </w:tr>
      <w:tr>
        <w:trPr>
          <w:cantSplit/>
        </w:trPr>
        <w:tc>
          <w:tcPr/>
          <w:p>
            <w:pPr>
              <w:pStyle w:val="Compact"/>
              <w:jc w:val="left"/>
              <w:suppressAutoHyphens/>
            </w:pPr>
            <w:r>
              <w:t xml:space="preserve">VII</w:t>
            </w:r>
          </w:p>
        </w:tc>
        <w:tc>
          <w:tcPr/>
          <w:p>
            <w:pPr>
              <w:pStyle w:val="Compact"/>
              <w:jc w:val="left"/>
              <w:suppressAutoHyphens/>
            </w:pPr>
            <w:r>
              <w:t xml:space="preserve">Post-Doctoral Fellowship</w:t>
            </w:r>
          </w:p>
        </w:tc>
        <w:tc>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11 OF 23</w:t>
            </w:r>
          </w:p>
          <w:p>
            <w:pPr>
              <w:spacing w:before="0" w:after="60"/>
              <w:suppressAutoHyphens/>
            </w:pPr>
            <w:r>
              <w:rPr>
                <w:rFonts w:ascii="Cinzel" w:hAnsi="Cinzel"/>
                <w:color w:val="B08625"/>
                <w:b/>
                <w:sz w:val="100"/>
              </w:rPr>
              <w:t>XI</w:t>
            </w:r>
          </w:p>
          <w:p>
            <w:pPr>
              <w:spacing w:before="120" w:after="80"/>
              <w:suppressAutoHyphens/>
            </w:pPr>
            <w:r>
              <w:rPr>
                <w:rFonts w:ascii="Cormorant Garamond" w:hAnsi="Cormorant Garamond"/>
                <w:color w:val="FFFFFF"/>
                <w:b/>
                <w:sz w:val="60"/>
              </w:rPr>
              <w:t>Waqf and Endowment</w:t>
            </w:r>
          </w:p>
          <w:p>
            <w:pPr>
              <w:spacing w:before="0" w:after="260"/>
              <w:pBdr>
                <w:bottom w:val="single" w:sz="10" w:space="8" w:color="B08625"/>
              </w:pBdr>
              <w:suppressAutoHyphens/>
            </w:pPr>
            <w:r>
              <w:rPr>
                <w:rFonts w:ascii="Liberation Sans" w:hAnsi="Liberation Sans"/>
                <w:color w:val="8C97AB"/>
                <w:sz w:val="17"/>
                <w:spacing w:val="14"/>
              </w:rPr>
              <w:t>SECTIONS 11.1–11.2</w:t>
            </w:r>
          </w:p>
          <w:p>
            <w:pPr>
              <w:spacing w:before="0" w:after="360"/>
              <w:ind w:right="700"/>
              <w:suppressAutoHyphens/>
            </w:pPr>
            <w:r>
              <w:rPr>
                <w:rFonts w:ascii="Cormorant Garamond" w:hAnsi="Cormorant Garamond"/>
                <w:i/>
                <w:color w:val="DCE3F0"/>
                <w:sz w:val="25"/>
              </w:rPr>
              <w:t>“A fiduciary board, a fixed share of gross revenue, and an unbroken commitment to scholarships, mosques, and the world’s poorest students.”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11.1 </w:t>
            </w:r>
            <w:r>
              <w:rPr>
                <w:rFonts w:ascii="Liberation Sans" w:hAnsi="Liberation Sans"/>
                <w:color w:val="FFFFFF"/>
                <w:sz w:val="18"/>
              </w:rPr>
              <w:t>Waqf Board</w:t>
            </w:r>
          </w:p>
          <w:p>
            <w:pPr>
              <w:spacing w:before="0" w:after="110"/>
              <w:suppressAutoHyphens/>
            </w:pPr>
            <w:r>
              <w:rPr>
                <w:rFonts w:ascii="Cinzel" w:hAnsi="Cinzel"/>
                <w:color w:val="B08625"/>
                <w:b/>
                <w:sz w:val="19"/>
              </w:rPr>
              <w:t>11.2 </w:t>
            </w:r>
            <w:r>
              <w:rPr>
                <w:rFonts w:ascii="Liberation Sans" w:hAnsi="Liberation Sans"/>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12 OF 23</w:t>
            </w:r>
          </w:p>
          <w:p>
            <w:pPr>
              <w:spacing w:before="0" w:after="60"/>
              <w:suppressAutoHyphens/>
            </w:pPr>
            <w:r>
              <w:rPr>
                <w:rFonts w:ascii="Cinzel" w:hAnsi="Cinzel"/>
                <w:color w:val="B08625"/>
                <w:b/>
                <w:sz w:val="100"/>
              </w:rPr>
              <w:t>XII</w:t>
            </w:r>
          </w:p>
          <w:p>
            <w:pPr>
              <w:spacing w:before="120" w:after="80"/>
              <w:suppressAutoHyphens/>
            </w:pPr>
            <w:r>
              <w:rPr>
                <w:rFonts w:ascii="Cormorant Garamond" w:hAnsi="Cormorant Garamond"/>
                <w:color w:val="FFFFFF"/>
                <w:b/>
                <w:sz w:val="52"/>
              </w:rPr>
              <w:t>Students’ Rights and Responsibilities</w:t>
            </w:r>
          </w:p>
          <w:p>
            <w:pPr>
              <w:spacing w:before="0" w:after="260"/>
              <w:pBdr>
                <w:bottom w:val="single" w:sz="10" w:space="8" w:color="B08625"/>
              </w:pBdr>
              <w:suppressAutoHyphens/>
            </w:pPr>
            <w:r>
              <w:rPr>
                <w:rFonts w:ascii="Liberation Sans" w:hAnsi="Liberation Sans"/>
                <w:color w:val="8C97AB"/>
                <w:sz w:val="17"/>
                <w:spacing w:val="14"/>
              </w:rPr>
              <w:t>SECTIONS 12.1–12.3</w:t>
            </w:r>
          </w:p>
          <w:p>
            <w:pPr>
              <w:spacing w:before="0" w:after="360"/>
              <w:ind w:right="700"/>
              <w:suppressAutoHyphens/>
            </w:pPr>
            <w:r>
              <w:rPr>
                <w:rFonts w:ascii="Cormorant Garamond" w:hAnsi="Cormorant Garamond"/>
                <w:i/>
                <w:color w:val="DCE3F0"/>
                <w:sz w:val="25"/>
              </w:rPr>
              <w:t>“Non-discriminatory admission and dignity, in return for integrity — the reciprocal obligation between the University and every student it enrolls.”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12.1 </w:t>
            </w:r>
            <w:r>
              <w:rPr>
                <w:rFonts w:ascii="Liberation Sans" w:hAnsi="Liberation Sans"/>
                <w:color w:val="FFFFFF"/>
                <w:sz w:val="18"/>
              </w:rPr>
              <w:t>Admission</w:t>
            </w:r>
          </w:p>
          <w:p>
            <w:pPr>
              <w:spacing w:before="0" w:after="110"/>
              <w:suppressAutoHyphens/>
            </w:pPr>
            <w:r>
              <w:rPr>
                <w:rFonts w:ascii="Cinzel" w:hAnsi="Cinzel"/>
                <w:color w:val="B08625"/>
                <w:b/>
                <w:sz w:val="19"/>
              </w:rPr>
              <w:t>12.2 </w:t>
            </w:r>
            <w:r>
              <w:rPr>
                <w:rFonts w:ascii="Liberation Sans" w:hAnsi="Liberation Sans"/>
                <w:color w:val="FFFFFF"/>
                <w:sz w:val="18"/>
              </w:rPr>
              <w:t>Rights</w:t>
            </w:r>
          </w:p>
          <w:p>
            <w:pPr>
              <w:spacing w:before="0" w:after="110"/>
              <w:suppressAutoHyphens/>
            </w:pPr>
            <w:r>
              <w:rPr>
                <w:rFonts w:ascii="Cinzel" w:hAnsi="Cinzel"/>
                <w:color w:val="B08625"/>
                <w:b/>
                <w:sz w:val="19"/>
              </w:rPr>
              <w:t>12.3 </w:t>
            </w:r>
            <w:r>
              <w:rPr>
                <w:rFonts w:ascii="Liberation Sans" w:hAnsi="Liberation Sans"/>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13 OF 23</w:t>
            </w:r>
          </w:p>
          <w:p>
            <w:pPr>
              <w:spacing w:before="0" w:after="60"/>
              <w:suppressAutoHyphens/>
            </w:pPr>
            <w:r>
              <w:rPr>
                <w:rFonts w:ascii="Cinzel" w:hAnsi="Cinzel"/>
                <w:color w:val="B08625"/>
                <w:b/>
                <w:sz w:val="100"/>
              </w:rPr>
              <w:t>XIII</w:t>
            </w:r>
          </w:p>
          <w:p>
            <w:pPr>
              <w:spacing w:before="120" w:after="80"/>
              <w:suppressAutoHyphens/>
            </w:pPr>
            <w:r>
              <w:rPr>
                <w:rFonts w:ascii="Cormorant Garamond" w:hAnsi="Cormorant Garamond"/>
                <w:color w:val="FFFFFF"/>
                <w:b/>
                <w:sz w:val="52"/>
              </w:rPr>
              <w:t>Faculty Rights and Responsibilities</w:t>
            </w:r>
          </w:p>
          <w:p>
            <w:pPr>
              <w:spacing w:before="0" w:after="260"/>
              <w:pBdr>
                <w:bottom w:val="single" w:sz="10" w:space="8" w:color="B08625"/>
              </w:pBdr>
              <w:suppressAutoHyphens/>
            </w:pPr>
            <w:r>
              <w:rPr>
                <w:rFonts w:ascii="Liberation Sans" w:hAnsi="Liberation Sans"/>
                <w:color w:val="8C97AB"/>
                <w:sz w:val="17"/>
                <w:spacing w:val="14"/>
              </w:rPr>
              <w:t>SECTIONS 13.1–13.2</w:t>
            </w:r>
          </w:p>
          <w:p>
            <w:pPr>
              <w:spacing w:before="0" w:after="360"/>
              <w:ind w:right="700"/>
              <w:suppressAutoHyphens/>
            </w:pPr>
            <w:r>
              <w:rPr>
                <w:rFonts w:ascii="Cormorant Garamond" w:hAnsi="Cormorant Garamond"/>
                <w:i/>
                <w:color w:val="DCE3F0"/>
                <w:sz w:val="25"/>
              </w:rPr>
              <w:t>“Academic freedom exercised within, not against, the University’s Islamic identity.”</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13.1 </w:t>
            </w:r>
            <w:r>
              <w:rPr>
                <w:rFonts w:ascii="Liberation Sans" w:hAnsi="Liberation Sans"/>
                <w:color w:val="FFFFFF"/>
                <w:sz w:val="18"/>
              </w:rPr>
              <w:t>Academic Freedom</w:t>
            </w:r>
          </w:p>
          <w:p>
            <w:pPr>
              <w:spacing w:before="0" w:after="110"/>
              <w:suppressAutoHyphens/>
            </w:pPr>
            <w:r>
              <w:rPr>
                <w:rFonts w:ascii="Cinzel" w:hAnsi="Cinzel"/>
                <w:color w:val="B08625"/>
                <w:b/>
                <w:sz w:val="19"/>
              </w:rPr>
              <w:t>13.2 </w:t>
            </w:r>
            <w:r>
              <w:rPr>
                <w:rFonts w:ascii="Liberation Sans" w:hAnsi="Liberation Sans"/>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14 OF 23</w:t>
            </w:r>
          </w:p>
          <w:p>
            <w:pPr>
              <w:spacing w:before="0" w:after="60"/>
              <w:suppressAutoHyphens/>
            </w:pPr>
            <w:r>
              <w:rPr>
                <w:rFonts w:ascii="Cinzel" w:hAnsi="Cinzel"/>
                <w:color w:val="B08625"/>
                <w:b/>
                <w:sz w:val="100"/>
              </w:rPr>
              <w:t>XIV</w:t>
            </w:r>
          </w:p>
          <w:p>
            <w:pPr>
              <w:spacing w:before="120" w:after="80"/>
              <w:suppressAutoHyphens/>
            </w:pPr>
            <w:r>
              <w:rPr>
                <w:rFonts w:ascii="Cormorant Garamond" w:hAnsi="Cormorant Garamond"/>
                <w:color w:val="FFFFFF"/>
                <w:b/>
                <w:sz w:val="60"/>
              </w:rPr>
              <w:t>Financial Sustainability</w:t>
            </w:r>
          </w:p>
          <w:p>
            <w:pPr>
              <w:spacing w:before="0" w:after="260"/>
              <w:pBdr>
                <w:bottom w:val="single" w:sz="10" w:space="8" w:color="B08625"/>
              </w:pBdr>
              <w:suppressAutoHyphens/>
            </w:pPr>
            <w:r>
              <w:rPr>
                <w:rFonts w:ascii="Liberation Sans" w:hAnsi="Liberation Sans"/>
                <w:color w:val="8C97AB"/>
                <w:sz w:val="17"/>
                <w:spacing w:val="14"/>
              </w:rPr>
              <w:t>SECTIONS 14.1–14.3</w:t>
            </w:r>
          </w:p>
          <w:p>
            <w:pPr>
              <w:spacing w:before="0" w:after="360"/>
              <w:ind w:right="700"/>
              <w:suppressAutoHyphens/>
            </w:pPr>
            <w:r>
              <w:rPr>
                <w:rFonts w:ascii="Cormorant Garamond" w:hAnsi="Cormorant Garamond"/>
                <w:i/>
                <w:color w:val="DCE3F0"/>
                <w:sz w:val="25"/>
              </w:rPr>
              <w:t>“A zero-deficit model, a twenty-five percent contingency reserve, and tuition priced so financial capacity is never the barrier.”</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14.1 </w:t>
            </w:r>
            <w:r>
              <w:rPr>
                <w:rFonts w:ascii="Liberation Sans" w:hAnsi="Liberation Sans"/>
                <w:color w:val="FFFFFF"/>
                <w:sz w:val="18"/>
              </w:rPr>
              <w:t>Revenue Model</w:t>
            </w:r>
          </w:p>
          <w:p>
            <w:pPr>
              <w:spacing w:before="0" w:after="110"/>
              <w:suppressAutoHyphens/>
            </w:pPr>
            <w:r>
              <w:rPr>
                <w:rFonts w:ascii="Cinzel" w:hAnsi="Cinzel"/>
                <w:color w:val="B08625"/>
                <w:b/>
                <w:sz w:val="19"/>
              </w:rPr>
              <w:t>14.2 </w:t>
            </w:r>
            <w:r>
              <w:rPr>
                <w:rFonts w:ascii="Liberation Sans" w:hAnsi="Liberation Sans"/>
                <w:color w:val="FFFFFF"/>
                <w:sz w:val="18"/>
              </w:rPr>
              <w:t>Tuition</w:t>
            </w:r>
          </w:p>
          <w:p>
            <w:pPr>
              <w:spacing w:before="0" w:after="110"/>
              <w:suppressAutoHyphens/>
            </w:pPr>
            <w:r>
              <w:rPr>
                <w:rFonts w:ascii="Cinzel" w:hAnsi="Cinzel"/>
                <w:color w:val="B08625"/>
                <w:b/>
                <w:sz w:val="19"/>
              </w:rPr>
              <w:t>14.3 </w:t>
            </w:r>
            <w:r>
              <w:rPr>
                <w:rFonts w:ascii="Liberation Sans" w:hAnsi="Liberation Sans"/>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15 OF 23</w:t>
            </w:r>
          </w:p>
          <w:p>
            <w:pPr>
              <w:spacing w:before="0" w:after="60"/>
              <w:suppressAutoHyphens/>
            </w:pPr>
            <w:r>
              <w:rPr>
                <w:rFonts w:ascii="Cinzel" w:hAnsi="Cinzel"/>
                <w:color w:val="B08625"/>
                <w:b/>
                <w:sz w:val="100"/>
              </w:rPr>
              <w:t>XV</w:t>
            </w:r>
          </w:p>
          <w:p>
            <w:pPr>
              <w:spacing w:before="120" w:after="80"/>
              <w:suppressAutoHyphens/>
            </w:pPr>
            <w:r>
              <w:rPr>
                <w:rFonts w:ascii="Cormorant Garamond" w:hAnsi="Cormorant Garamond"/>
                <w:color w:val="FFFFFF"/>
                <w:b/>
                <w:sz w:val="52"/>
              </w:rPr>
              <w:t>Transparency and Accountability</w:t>
            </w:r>
          </w:p>
          <w:p>
            <w:pPr>
              <w:spacing w:before="0" w:after="260"/>
              <w:pBdr>
                <w:bottom w:val="single" w:sz="10" w:space="8" w:color="B08625"/>
              </w:pBdr>
              <w:suppressAutoHyphens/>
            </w:pPr>
            <w:r>
              <w:rPr>
                <w:rFonts w:ascii="Liberation Sans" w:hAnsi="Liberation Sans"/>
                <w:color w:val="8C97AB"/>
                <w:sz w:val="17"/>
                <w:spacing w:val="14"/>
              </w:rPr>
              <w:t>SECTIONS 15.1–15.4</w:t>
            </w:r>
          </w:p>
          <w:p>
            <w:pPr>
              <w:spacing w:before="0" w:after="360"/>
              <w:ind w:right="700"/>
              <w:suppressAutoHyphens/>
            </w:pPr>
            <w:r>
              <w:rPr>
                <w:rFonts w:ascii="Cormorant Garamond" w:hAnsi="Cormorant Garamond"/>
                <w:i/>
                <w:color w:val="DCE3F0"/>
                <w:sz w:val="25"/>
              </w:rPr>
              <w:t>“An annual report, an independent audit, disclosed conflicts of interest, and protection for anyone who reports misconduct in good faith.”</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15.1 </w:t>
            </w:r>
            <w:r>
              <w:rPr>
                <w:rFonts w:ascii="Liberation Sans" w:hAnsi="Liberation Sans"/>
                <w:color w:val="FFFFFF"/>
                <w:sz w:val="18"/>
              </w:rPr>
              <w:t>Annual Report</w:t>
            </w:r>
          </w:p>
          <w:p>
            <w:pPr>
              <w:spacing w:before="0" w:after="110"/>
              <w:suppressAutoHyphens/>
            </w:pPr>
            <w:r>
              <w:rPr>
                <w:rFonts w:ascii="Cinzel" w:hAnsi="Cinzel"/>
                <w:color w:val="B08625"/>
                <w:b/>
                <w:sz w:val="19"/>
              </w:rPr>
              <w:t>15.2 </w:t>
            </w:r>
            <w:r>
              <w:rPr>
                <w:rFonts w:ascii="Liberation Sans" w:hAnsi="Liberation Sans"/>
                <w:color w:val="FFFFFF"/>
                <w:sz w:val="18"/>
              </w:rPr>
              <w:t>Audit</w:t>
            </w:r>
          </w:p>
          <w:p>
            <w:pPr>
              <w:spacing w:before="0" w:after="110"/>
              <w:suppressAutoHyphens/>
            </w:pPr>
            <w:r>
              <w:rPr>
                <w:rFonts w:ascii="Cinzel" w:hAnsi="Cinzel"/>
                <w:color w:val="B08625"/>
                <w:b/>
                <w:sz w:val="19"/>
              </w:rPr>
              <w:t>15.3 </w:t>
            </w:r>
            <w:r>
              <w:rPr>
                <w:rFonts w:ascii="Liberation Sans" w:hAnsi="Liberation Sans"/>
                <w:color w:val="FFFFFF"/>
                <w:sz w:val="18"/>
              </w:rPr>
              <w:t>Conflict of Interest</w:t>
            </w:r>
          </w:p>
          <w:p>
            <w:pPr>
              <w:spacing w:before="0" w:after="110"/>
              <w:suppressAutoHyphens/>
            </w:pPr>
            <w:r>
              <w:rPr>
                <w:rFonts w:ascii="Cinzel" w:hAnsi="Cinzel"/>
                <w:color w:val="B08625"/>
                <w:b/>
                <w:sz w:val="19"/>
              </w:rPr>
              <w:t>15.4 </w:t>
            </w:r>
            <w:r>
              <w:rPr>
                <w:rFonts w:ascii="Liberation Sans" w:hAnsi="Liberation Sans"/>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16 OF 23</w:t>
            </w:r>
          </w:p>
          <w:p>
            <w:pPr>
              <w:spacing w:before="0" w:after="60"/>
              <w:suppressAutoHyphens/>
            </w:pPr>
            <w:r>
              <w:rPr>
                <w:rFonts w:ascii="Cinzel" w:hAnsi="Cinzel"/>
                <w:color w:val="B08625"/>
                <w:b/>
                <w:sz w:val="100"/>
              </w:rPr>
              <w:t>XVI</w:t>
            </w:r>
          </w:p>
          <w:p>
            <w:pPr>
              <w:spacing w:before="120" w:after="80"/>
              <w:suppressAutoHyphens/>
            </w:pPr>
            <w:r>
              <w:rPr>
                <w:rFonts w:ascii="Cormorant Garamond" w:hAnsi="Cormorant Garamond"/>
                <w:color w:val="FFFFFF"/>
                <w:b/>
                <w:sz w:val="60"/>
              </w:rPr>
              <w:t>Independent Officers</w:t>
            </w:r>
          </w:p>
          <w:p>
            <w:pPr>
              <w:spacing w:before="0" w:after="260"/>
              <w:pBdr>
                <w:bottom w:val="single" w:sz="10" w:space="8" w:color="B08625"/>
              </w:pBdr>
              <w:suppressAutoHyphens/>
            </w:pPr>
            <w:r>
              <w:rPr>
                <w:rFonts w:ascii="Liberation Sans" w:hAnsi="Liberation Sans"/>
                <w:color w:val="8C97AB"/>
                <w:sz w:val="17"/>
                <w:spacing w:val="14"/>
              </w:rPr>
              <w:t>SECTIONS 16.1–16.3</w:t>
            </w:r>
          </w:p>
          <w:p>
            <w:pPr>
              <w:spacing w:before="0" w:after="360"/>
              <w:ind w:right="700"/>
              <w:suppressAutoHyphens/>
            </w:pPr>
            <w:r>
              <w:rPr>
                <w:rFonts w:ascii="Cormorant Garamond" w:hAnsi="Cormorant Garamond"/>
                <w:i/>
                <w:color w:val="DCE3F0"/>
                <w:sz w:val="25"/>
              </w:rPr>
              <w:t>“The Secretary, the Registrar, and the General Counsel — three offices that keep the University’s own records and law honest.”</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16.1 </w:t>
            </w:r>
            <w:r>
              <w:rPr>
                <w:rFonts w:ascii="Liberation Sans" w:hAnsi="Liberation Sans"/>
                <w:color w:val="FFFFFF"/>
                <w:sz w:val="18"/>
              </w:rPr>
              <w:t>Secretary to the Board</w:t>
            </w:r>
          </w:p>
          <w:p>
            <w:pPr>
              <w:spacing w:before="0" w:after="110"/>
              <w:suppressAutoHyphens/>
            </w:pPr>
            <w:r>
              <w:rPr>
                <w:rFonts w:ascii="Cinzel" w:hAnsi="Cinzel"/>
                <w:color w:val="B08625"/>
                <w:b/>
                <w:sz w:val="19"/>
              </w:rPr>
              <w:t>16.2 </w:t>
            </w:r>
            <w:r>
              <w:rPr>
                <w:rFonts w:ascii="Liberation Sans" w:hAnsi="Liberation Sans"/>
                <w:color w:val="FFFFFF"/>
                <w:sz w:val="18"/>
              </w:rPr>
              <w:t>University Registrar</w:t>
            </w:r>
          </w:p>
          <w:p>
            <w:pPr>
              <w:spacing w:before="0" w:after="110"/>
              <w:suppressAutoHyphens/>
            </w:pPr>
            <w:r>
              <w:rPr>
                <w:rFonts w:ascii="Cinzel" w:hAnsi="Cinzel"/>
                <w:color w:val="B08625"/>
                <w:b/>
                <w:sz w:val="19"/>
              </w:rPr>
              <w:t>16.3 </w:t>
            </w:r>
            <w:r>
              <w:rPr>
                <w:rFonts w:ascii="Liberation Sans" w:hAnsi="Liberation Sans"/>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17 OF 23</w:t>
            </w:r>
          </w:p>
          <w:p>
            <w:pPr>
              <w:spacing w:before="0" w:after="60"/>
              <w:suppressAutoHyphens/>
            </w:pPr>
            <w:r>
              <w:rPr>
                <w:rFonts w:ascii="Cinzel" w:hAnsi="Cinzel"/>
                <w:color w:val="B08625"/>
                <w:b/>
                <w:sz w:val="100"/>
              </w:rPr>
              <w:t>XVII</w:t>
            </w:r>
          </w:p>
          <w:p>
            <w:pPr>
              <w:spacing w:before="120" w:after="80"/>
              <w:suppressAutoHyphens/>
            </w:pPr>
            <w:r>
              <w:rPr>
                <w:rFonts w:ascii="Cormorant Garamond" w:hAnsi="Cormorant Garamond"/>
                <w:color w:val="FFFFFF"/>
                <w:b/>
                <w:sz w:val="60"/>
              </w:rPr>
              <w:t>Records and Archives</w:t>
            </w:r>
          </w:p>
          <w:p>
            <w:pPr>
              <w:spacing w:before="0" w:after="260"/>
              <w:pBdr>
                <w:bottom w:val="single" w:sz="10" w:space="8" w:color="B08625"/>
              </w:pBdr>
              <w:suppressAutoHyphens/>
            </w:pPr>
            <w:r>
              <w:rPr>
                <w:rFonts w:ascii="Liberation Sans" w:hAnsi="Liberation Sans"/>
                <w:color w:val="8C97AB"/>
                <w:sz w:val="17"/>
                <w:spacing w:val="14"/>
              </w:rPr>
              <w:t>SECTIONS 17.1–17.2</w:t>
            </w:r>
          </w:p>
          <w:p>
            <w:pPr>
              <w:spacing w:before="0" w:after="360"/>
              <w:ind w:right="700"/>
              <w:suppressAutoHyphens/>
            </w:pPr>
            <w:r>
              <w:rPr>
                <w:rFonts w:ascii="Cormorant Garamond" w:hAnsi="Cormorant Garamond"/>
                <w:i/>
                <w:color w:val="DCE3F0"/>
                <w:sz w:val="25"/>
              </w:rPr>
              <w:t>“What the University keeps, for how long, and who is allowed to see it.”</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17.1 </w:t>
            </w:r>
            <w:r>
              <w:rPr>
                <w:rFonts w:ascii="Liberation Sans" w:hAnsi="Liberation Sans"/>
                <w:color w:val="FFFFFF"/>
                <w:sz w:val="18"/>
              </w:rPr>
              <w:t>Official Records</w:t>
            </w:r>
          </w:p>
          <w:p>
            <w:pPr>
              <w:spacing w:before="0" w:after="110"/>
              <w:suppressAutoHyphens/>
            </w:pPr>
            <w:r>
              <w:rPr>
                <w:rFonts w:ascii="Cinzel" w:hAnsi="Cinzel"/>
                <w:color w:val="B08625"/>
                <w:b/>
                <w:sz w:val="19"/>
              </w:rPr>
              <w:t>17.2 </w:t>
            </w:r>
            <w:r>
              <w:rPr>
                <w:rFonts w:ascii="Liberation Sans" w:hAnsi="Liberation Sans"/>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18 OF 23</w:t>
            </w:r>
          </w:p>
          <w:p>
            <w:pPr>
              <w:spacing w:before="0" w:after="60"/>
              <w:suppressAutoHyphens/>
            </w:pPr>
            <w:r>
              <w:rPr>
                <w:rFonts w:ascii="Cinzel" w:hAnsi="Cinzel"/>
                <w:color w:val="B08625"/>
                <w:b/>
                <w:sz w:val="100"/>
              </w:rPr>
              <w:t>XVIII</w:t>
            </w:r>
          </w:p>
          <w:p>
            <w:pPr>
              <w:spacing w:before="120" w:after="80"/>
              <w:suppressAutoHyphens/>
            </w:pPr>
            <w:r>
              <w:rPr>
                <w:rFonts w:ascii="Cormorant Garamond" w:hAnsi="Cormorant Garamond"/>
                <w:color w:val="FFFFFF"/>
                <w:b/>
                <w:sz w:val="60"/>
              </w:rPr>
              <w:t>Amendment</w:t>
            </w:r>
          </w:p>
          <w:p>
            <w:pPr>
              <w:spacing w:before="0" w:after="260"/>
              <w:pBdr>
                <w:bottom w:val="single" w:sz="10" w:space="8" w:color="B08625"/>
              </w:pBdr>
              <w:suppressAutoHyphens/>
            </w:pPr>
            <w:r>
              <w:rPr>
                <w:rFonts w:ascii="Liberation Sans" w:hAnsi="Liberation Sans"/>
                <w:color w:val="8C97AB"/>
                <w:sz w:val="17"/>
                <w:spacing w:val="14"/>
              </w:rPr>
              <w:t>SECTIONS 18.1–18.2</w:t>
            </w:r>
          </w:p>
          <w:p>
            <w:pPr>
              <w:spacing w:before="0" w:after="360"/>
              <w:ind w:right="700"/>
              <w:suppressAutoHyphens/>
            </w:pPr>
            <w:r>
              <w:rPr>
                <w:rFonts w:ascii="Cormorant Garamond" w:hAnsi="Cormorant Garamond"/>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18.1 </w:t>
            </w:r>
            <w:r>
              <w:rPr>
                <w:rFonts w:ascii="Liberation Sans" w:hAnsi="Liberation Sans"/>
                <w:color w:val="FFFFFF"/>
                <w:sz w:val="18"/>
              </w:rPr>
              <w:t>Amendment Procedure</w:t>
            </w:r>
          </w:p>
          <w:p>
            <w:pPr>
              <w:spacing w:before="0" w:after="110"/>
              <w:suppressAutoHyphens/>
            </w:pPr>
            <w:r>
              <w:rPr>
                <w:rFonts w:ascii="Cinzel" w:hAnsi="Cinzel"/>
                <w:color w:val="B08625"/>
                <w:b/>
                <w:sz w:val="19"/>
              </w:rPr>
              <w:t>18.2 </w:t>
            </w:r>
            <w:r>
              <w:rPr>
                <w:rFonts w:ascii="Liberation Sans" w:hAnsi="Liberation Sans"/>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19 OF 23</w:t>
            </w:r>
          </w:p>
          <w:p>
            <w:pPr>
              <w:spacing w:before="0" w:after="60"/>
              <w:suppressAutoHyphens/>
            </w:pPr>
            <w:r>
              <w:rPr>
                <w:rFonts w:ascii="Cinzel" w:hAnsi="Cinzel"/>
                <w:color w:val="B08625"/>
                <w:b/>
                <w:sz w:val="100"/>
              </w:rPr>
              <w:t>XIX</w:t>
            </w:r>
          </w:p>
          <w:p>
            <w:pPr>
              <w:spacing w:before="120" w:after="80"/>
              <w:suppressAutoHyphens/>
            </w:pPr>
            <w:r>
              <w:rPr>
                <w:rFonts w:ascii="Cormorant Garamond" w:hAnsi="Cormorant Garamond"/>
                <w:color w:val="FFFFFF"/>
                <w:b/>
                <w:sz w:val="60"/>
              </w:rPr>
              <w:t>Transitional Provisions</w:t>
            </w:r>
          </w:p>
          <w:p>
            <w:pPr>
              <w:spacing w:before="0" w:after="260"/>
              <w:pBdr>
                <w:bottom w:val="single" w:sz="10" w:space="8" w:color="B08625"/>
              </w:pBdr>
              <w:suppressAutoHyphens/>
            </w:pPr>
            <w:r>
              <w:rPr>
                <w:rFonts w:ascii="Liberation Sans" w:hAnsi="Liberation Sans"/>
                <w:color w:val="8C97AB"/>
                <w:sz w:val="17"/>
                <w:spacing w:val="14"/>
              </w:rPr>
              <w:t>SECTION 19.1</w:t>
            </w:r>
          </w:p>
          <w:p>
            <w:pPr>
              <w:spacing w:before="0" w:after="360"/>
              <w:ind w:right="700"/>
              <w:suppressAutoHyphens/>
            </w:pPr>
            <w:r>
              <w:rPr>
                <w:rFonts w:ascii="Cormorant Garamond" w:hAnsi="Cormorant Garamond"/>
                <w:i/>
                <w:color w:val="DCE3F0"/>
                <w:sz w:val="25"/>
              </w:rPr>
              <w:t>“How every prior governing document, appointment, and policy carries forward into this one without a gap in authority.”</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19.1 </w:t>
            </w:r>
            <w:r>
              <w:rPr>
                <w:rFonts w:ascii="Liberation Sans" w:hAnsi="Liberation Sans"/>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20 OF 23</w:t>
            </w:r>
          </w:p>
          <w:p>
            <w:pPr>
              <w:spacing w:before="0" w:after="60"/>
              <w:suppressAutoHyphens/>
            </w:pPr>
            <w:r>
              <w:rPr>
                <w:rFonts w:ascii="Cinzel" w:hAnsi="Cinzel"/>
                <w:color w:val="B08625"/>
                <w:b/>
                <w:sz w:val="100"/>
              </w:rPr>
              <w:t>XX</w:t>
            </w:r>
          </w:p>
          <w:p>
            <w:pPr>
              <w:spacing w:before="120" w:after="80"/>
              <w:suppressAutoHyphens/>
            </w:pPr>
            <w:r>
              <w:rPr>
                <w:rFonts w:ascii="Cormorant Garamond" w:hAnsi="Cormorant Garamond"/>
                <w:color w:val="FFFFFF"/>
                <w:b/>
                <w:sz w:val="60"/>
              </w:rPr>
              <w:t>Dissolution</w:t>
            </w:r>
          </w:p>
          <w:p>
            <w:pPr>
              <w:spacing w:before="0" w:after="260"/>
              <w:pBdr>
                <w:bottom w:val="single" w:sz="10" w:space="8" w:color="B08625"/>
              </w:pBdr>
              <w:suppressAutoHyphens/>
            </w:pPr>
            <w:r>
              <w:rPr>
                <w:rFonts w:ascii="Liberation Sans" w:hAnsi="Liberation Sans"/>
                <w:color w:val="8C97AB"/>
                <w:sz w:val="17"/>
                <w:spacing w:val="14"/>
              </w:rPr>
              <w:t>SECTION 20.1</w:t>
            </w:r>
          </w:p>
          <w:p>
            <w:pPr>
              <w:spacing w:before="0" w:after="360"/>
              <w:ind w:right="700"/>
              <w:suppressAutoHyphens/>
            </w:pPr>
            <w:r>
              <w:rPr>
                <w:rFonts w:ascii="Cormorant Garamond" w:hAnsi="Cormorant Garamond"/>
                <w:i/>
                <w:color w:val="DCE3F0"/>
                <w:sz w:val="25"/>
              </w:rPr>
              <w:t>“A unanimous Board vote, and every remaining asset to another 501(c)(3) charitable purpose — never to a person.”</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20.1 </w:t>
            </w:r>
            <w:r>
              <w:rPr>
                <w:rFonts w:ascii="Liberation Sans" w:hAnsi="Liberation Sans"/>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21 OF 23</w:t>
            </w:r>
          </w:p>
          <w:p>
            <w:pPr>
              <w:spacing w:before="0" w:after="60"/>
              <w:suppressAutoHyphens/>
            </w:pPr>
            <w:r>
              <w:rPr>
                <w:rFonts w:ascii="Cinzel" w:hAnsi="Cinzel"/>
                <w:color w:val="B08625"/>
                <w:b/>
                <w:sz w:val="100"/>
              </w:rPr>
              <w:t>XXI</w:t>
            </w:r>
          </w:p>
          <w:p>
            <w:pPr>
              <w:spacing w:before="120" w:after="80"/>
              <w:suppressAutoHyphens/>
            </w:pPr>
            <w:r>
              <w:rPr>
                <w:rFonts w:ascii="Cormorant Garamond" w:hAnsi="Cormorant Garamond"/>
                <w:color w:val="FFFFFF"/>
                <w:b/>
                <w:sz w:val="52"/>
              </w:rPr>
              <w:t>Non-Political and Non-Profit Provisions</w:t>
            </w:r>
          </w:p>
          <w:p>
            <w:pPr>
              <w:spacing w:before="0" w:after="260"/>
              <w:pBdr>
                <w:bottom w:val="single" w:sz="10" w:space="8" w:color="B08625"/>
              </w:pBdr>
              <w:suppressAutoHyphens/>
            </w:pPr>
            <w:r>
              <w:rPr>
                <w:rFonts w:ascii="Liberation Sans" w:hAnsi="Liberation Sans"/>
                <w:color w:val="8C97AB"/>
                <w:sz w:val="17"/>
                <w:spacing w:val="14"/>
              </w:rPr>
              <w:t>SECTIONS 21.1–21.3</w:t>
            </w:r>
          </w:p>
          <w:p>
            <w:pPr>
              <w:spacing w:before="0" w:after="360"/>
              <w:ind w:right="700"/>
              <w:suppressAutoHyphens/>
            </w:pPr>
            <w:r>
              <w:rPr>
                <w:rFonts w:ascii="Cormorant Garamond" w:hAnsi="Cormorant Garamond"/>
                <w:i/>
                <w:color w:val="DCE3F0"/>
                <w:sz w:val="25"/>
              </w:rPr>
              <w:t>“No private inurement, no political campaigning, no activity beyond what Section 501(c)(3) permits.”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21.1 </w:t>
            </w:r>
            <w:r>
              <w:rPr>
                <w:rFonts w:ascii="Liberation Sans" w:hAnsi="Liberation Sans"/>
                <w:color w:val="FFFFFF"/>
                <w:sz w:val="18"/>
              </w:rPr>
              <w:t>Private Inurement</w:t>
            </w:r>
          </w:p>
          <w:p>
            <w:pPr>
              <w:spacing w:before="0" w:after="110"/>
              <w:suppressAutoHyphens/>
            </w:pPr>
            <w:r>
              <w:rPr>
                <w:rFonts w:ascii="Cinzel" w:hAnsi="Cinzel"/>
                <w:color w:val="B08625"/>
                <w:b/>
                <w:sz w:val="19"/>
              </w:rPr>
              <w:t>21.2 </w:t>
            </w:r>
            <w:r>
              <w:rPr>
                <w:rFonts w:ascii="Liberation Sans" w:hAnsi="Liberation Sans"/>
                <w:color w:val="FFFFFF"/>
                <w:sz w:val="18"/>
              </w:rPr>
              <w:t>Political Activities</w:t>
            </w:r>
          </w:p>
          <w:p>
            <w:pPr>
              <w:spacing w:before="0" w:after="110"/>
              <w:suppressAutoHyphens/>
            </w:pPr>
            <w:r>
              <w:rPr>
                <w:rFonts w:ascii="Cinzel" w:hAnsi="Cinzel"/>
                <w:color w:val="B08625"/>
                <w:b/>
                <w:sz w:val="19"/>
              </w:rPr>
              <w:t>21.3 </w:t>
            </w:r>
            <w:r>
              <w:rPr>
                <w:rFonts w:ascii="Liberation Sans" w:hAnsi="Liberation Sans"/>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22 OF 23</w:t>
            </w:r>
          </w:p>
          <w:p>
            <w:pPr>
              <w:spacing w:before="0" w:after="60"/>
              <w:suppressAutoHyphens/>
            </w:pPr>
            <w:r>
              <w:rPr>
                <w:rFonts w:ascii="Cinzel" w:hAnsi="Cinzel"/>
                <w:color w:val="B08625"/>
                <w:b/>
                <w:sz w:val="100"/>
              </w:rPr>
              <w:t>XXII</w:t>
            </w:r>
          </w:p>
          <w:p>
            <w:pPr>
              <w:spacing w:before="120" w:after="80"/>
              <w:suppressAutoHyphens/>
            </w:pPr>
            <w:r>
              <w:rPr>
                <w:rFonts w:ascii="Cormorant Garamond" w:hAnsi="Cormorant Garamond"/>
                <w:color w:val="FFFFFF"/>
                <w:b/>
                <w:sz w:val="60"/>
              </w:rPr>
              <w:t>Indemnification</w:t>
            </w:r>
          </w:p>
          <w:p>
            <w:pPr>
              <w:spacing w:before="0" w:after="260"/>
              <w:pBdr>
                <w:bottom w:val="single" w:sz="10" w:space="8" w:color="B08625"/>
              </w:pBdr>
              <w:suppressAutoHyphens/>
            </w:pPr>
            <w:r>
              <w:rPr>
                <w:rFonts w:ascii="Liberation Sans" w:hAnsi="Liberation Sans"/>
                <w:color w:val="8C97AB"/>
                <w:sz w:val="17"/>
                <w:spacing w:val="14"/>
              </w:rPr>
              <w:t>SECTION 22.1</w:t>
            </w:r>
          </w:p>
          <w:p>
            <w:pPr>
              <w:spacing w:before="0" w:after="360"/>
              <w:ind w:right="700"/>
              <w:suppressAutoHyphens/>
            </w:pPr>
            <w:r>
              <w:rPr>
                <w:rFonts w:ascii="Cormorant Garamond" w:hAnsi="Cormorant Garamond"/>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22.1 </w:t>
            </w:r>
            <w:r>
              <w:rPr>
                <w:rFonts w:ascii="Liberation Sans" w:hAnsi="Liberation Sans"/>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Cinzel" w:hAnsi="Cinzel"/>
                <w:color w:val="8C97AB"/>
                <w:sz w:val="17"/>
                <w:spacing w:val="24"/>
              </w:rPr>
              <w:t>ARTICLE 23 OF 23</w:t>
            </w:r>
          </w:p>
          <w:p>
            <w:pPr>
              <w:spacing w:before="0" w:after="60"/>
              <w:suppressAutoHyphens/>
            </w:pPr>
            <w:r>
              <w:rPr>
                <w:rFonts w:ascii="Cinzel" w:hAnsi="Cinzel"/>
                <w:color w:val="B08625"/>
                <w:b/>
                <w:sz w:val="100"/>
              </w:rPr>
              <w:t>XXIII</w:t>
            </w:r>
          </w:p>
          <w:p>
            <w:pPr>
              <w:spacing w:before="120" w:after="80"/>
              <w:suppressAutoHyphens/>
            </w:pPr>
            <w:r>
              <w:rPr>
                <w:rFonts w:ascii="Cormorant Garamond" w:hAnsi="Cormorant Garamond"/>
                <w:color w:val="FFFFFF"/>
                <w:b/>
                <w:sz w:val="60"/>
              </w:rPr>
              <w:t>Final Provisions</w:t>
            </w:r>
          </w:p>
          <w:p>
            <w:pPr>
              <w:spacing w:before="0" w:after="260"/>
              <w:pBdr>
                <w:bottom w:val="single" w:sz="10" w:space="8" w:color="B08625"/>
              </w:pBdr>
              <w:suppressAutoHyphens/>
            </w:pPr>
            <w:r>
              <w:rPr>
                <w:rFonts w:ascii="Liberation Sans" w:hAnsi="Liberation Sans"/>
                <w:color w:val="8C97AB"/>
                <w:sz w:val="17"/>
                <w:spacing w:val="14"/>
              </w:rPr>
              <w:t>SECTIONS 23.1–23.2</w:t>
            </w:r>
          </w:p>
          <w:p>
            <w:pPr>
              <w:spacing w:before="0" w:after="360"/>
              <w:ind w:right="700"/>
              <w:suppressAutoHyphens/>
            </w:pPr>
            <w:r>
              <w:rPr>
                <w:rFonts w:ascii="Cormorant Garamond" w:hAnsi="Cormorant Garamond"/>
                <w:i/>
                <w:color w:val="DCE3F0"/>
                <w:sz w:val="25"/>
              </w:rPr>
              <w:t>“This Constitution’s own supremacy, restated once more, in its final words.”</w:t>
            </w:r>
          </w:p>
          <w:p>
            <w:pPr>
              <w:spacing w:before="0" w:after="140"/>
              <w:suppressAutoHyphens/>
            </w:pPr>
            <w:r>
              <w:rPr>
                <w:rFonts w:ascii="Liberation Sans" w:hAnsi="Liberation Sans"/>
                <w:color w:val="B08625"/>
                <w:b/>
                <w:sz w:val="16"/>
                <w:spacing w:val="20"/>
              </w:rPr>
              <w:t>SECTIONS OF THIS ARTICLE</w:t>
            </w:r>
          </w:p>
          <w:p>
            <w:pPr>
              <w:spacing w:before="0" w:after="110"/>
              <w:suppressAutoHyphens/>
            </w:pPr>
            <w:r>
              <w:rPr>
                <w:rFonts w:ascii="Cinzel" w:hAnsi="Cinzel"/>
                <w:color w:val="B08625"/>
                <w:b/>
                <w:sz w:val="19"/>
              </w:rPr>
              <w:t>23.1 </w:t>
            </w:r>
            <w:r>
              <w:rPr>
                <w:rFonts w:ascii="Liberation Sans" w:hAnsi="Liberation Sans"/>
                <w:color w:val="FFFFFF"/>
                <w:sz w:val="18"/>
              </w:rPr>
              <w:t>Supremacy</w:t>
            </w:r>
          </w:p>
          <w:p>
            <w:pPr>
              <w:spacing w:before="0" w:after="110"/>
              <w:suppressAutoHyphens/>
            </w:pPr>
            <w:r>
              <w:rPr>
                <w:rFonts w:ascii="Cinzel" w:hAnsi="Cinzel"/>
                <w:color w:val="B08625"/>
                <w:b/>
                <w:sz w:val="19"/>
              </w:rPr>
              <w:t>23.2 </w:t>
            </w:r>
            <w:r>
              <w:rPr>
                <w:rFonts w:ascii="Liberation Sans" w:hAnsi="Liberation Sans"/>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Chairperson, Board of Trustees</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Board</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Cinzel" w:hAnsi="Cinzel"/>
                <w:color w:val="FFFFFF"/>
                <w:b/>
                <w:sz w:val="34"/>
              </w:rPr>
              <w:t>AL-MULK INTERNATIONAL UNIVERSITY</w:t>
            </w:r>
          </w:p>
          <w:p>
            <w:pPr>
              <w:jc w:val="center"/>
              <w:spacing w:before="0" w:after="500"/>
              <w:suppressAutoHyphens/>
            </w:pPr>
            <w:r>
              <w:rPr>
                <w:rFonts w:ascii="Cormorant Garamond" w:hAnsi="Cormorant Garamond"/>
                <w:i/>
                <w:color w:val="DCE3F0"/>
                <w:sz w:val="22"/>
              </w:rPr>
              <w:t>“Knowledge Without Barriers”</w:t>
            </w:r>
          </w:p>
          <w:p>
            <w:pPr>
              <w:jc w:val="center"/>
              <w:spacing w:before="0" w:after="80"/>
              <w:suppressAutoHyphens/>
            </w:pPr>
            <w:r>
              <w:rPr>
                <w:rFonts w:ascii="Liberation Sans" w:hAnsi="Liberation Sans"/>
                <w:color w:val="B08625"/>
                <w:sz w:val="18"/>
              </w:rPr>
              <w:t>Constitution · Flagship Governance Edition · AMIU-CON-001</w:t>
            </w:r>
          </w:p>
          <w:p>
            <w:pPr>
              <w:jc w:val="center"/>
              <w:spacing w:before="0" w:after="0"/>
              <w:suppressAutoHyphens/>
            </w:pPr>
            <w:r>
              <w:rPr>
                <w:rFonts w:ascii="Liberation Sans" w:hAnsi="Liberation Sans"/>
                <w:color w:val="8C97AB"/>
                <w:sz w:val="16"/>
              </w:rPr>
              <w:t>edu.amiu.com  ·  Texas-Domiciled, Religiously Exempt  ·  Incorporated 6 December 2027</w:t>
            </w:r>
          </w:p>
          <w:p>
            <w:pPr>
              <w:jc w:val="center"/>
              <w:spacing w:before="240" w:after="0"/>
              <w:suppressAutoHyphens/>
            </w:pPr>
            <w:r>
              <w:rPr>
                <w:rFonts w:ascii="Liberation Sans" w:hAnsi="Liberation Sans"/>
                <w:i/>
                <w:color w:val="8C97AB"/>
                <w:sz w:val="15"/>
              </w:rPr>
              <w:t>This document is the property of Al-Mulk International University and is intended for internal use by</w:t>
            </w:r>
          </w:p>
          <w:p>
            <w:pPr>
              <w:jc w:val="center"/>
              <w:spacing w:before="0" w:after="0"/>
              <w:suppressAutoHyphens/>
            </w:pPr>
            <w:r>
              <w:rPr>
                <w:rFonts w:ascii="Liberation Sans" w:hAnsi="Liberation Sans"/>
                <w:i/>
                <w:color w:val="8C97AB"/>
                <w:sz w:val="15"/>
              </w:rPr>
              <w:t>the Board of Trustees and University Senate. Unauthorized distribution is prohibited.</w:t>
            </w:r>
          </w:p>
        </w:tc>
      </w:tr>
    </w:tbl>
    <w:bookmarkEnd w:id="121"/>
    <w:bookmarkEnd w:id="122"/>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suppressAutoHyphens w:val="true"/>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Cormorant Garamond" w:cs="Cormorant Garamond" w:eastAsia="Cormorant Garamond" w:hAnsi="Cormorant Garamond"/>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Cormorant Garamond" w:cs="Cormorant Garamond" w:eastAsia="Cormorant Garamond" w:hAnsi="Cormorant Garamond"/>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2026-07-25T11:01:21Z</dcterms:created>
  <dcterms:modified xsi:type="dcterms:W3CDTF">2026-07-25T11:01:21Z</dcterms:modified>
</cp:coreProperties>
</file>

<file path=docProps/custom.xml><?xml version="1.0" encoding="utf-8"?>
<Properties xmlns="http://schemas.openxmlformats.org/officeDocument/2006/custom-properties" xmlns:vt="http://schemas.openxmlformats.org/officeDocument/2006/docPropsVTypes"/>
</file>