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9"/>
                <w:spacing w:val="16"/>
              </w:rPr>
              <w:t>Supreme Strategic Planning Council · Founding-Decade Edition</w:t>
            </w:r>
          </w:p>
          <w:p>
            <w:pPr>
              <w:jc w:val="center"/>
              <w:spacing w:before="0" w:after="60"/>
              <w:suppressAutoHyphens/>
            </w:pPr>
            <w:r>
              <w:rPr>
                <w:rFonts w:ascii="Source Serif 4" w:hAnsi="Source Serif 4"/>
                <w:b/>
                <w:smallCaps/>
                <w:color w:val="B08625"/>
                <w:sz w:val="26"/>
                <w:spacing w:val="12"/>
              </w:rPr>
              <w:t>Al-Mulk International University</w:t>
            </w:r>
          </w:p>
          <w:p>
            <w:pPr>
              <w:jc w:val="center"/>
              <w:spacing w:before="0" w:after="80"/>
              <w:suppressAutoHyphens/>
            </w:pPr>
            <w:r>
              <w:rPr>
                <w:rFonts w:ascii="Source Serif 4" w:hAnsi="Source Serif 4"/>
                <w:i/>
                <w:smallCaps/>
                <w:color w:val="DCE3F0"/>
                <w:sz w:val="21"/>
                <w:spacing w:val="10"/>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Source Serif 4" w:hAnsi="Source Serif 4"/>
                <w:i/>
                <w:smallCaps/>
                <w:color w:val="8C97AB"/>
                <w:sz w:val="17"/>
              </w:rPr>
              <w:t xml:space="preserve">Document Reference  </w:t>
            </w:r>
            <w:r>
              <w:rPr>
                <w:rFonts w:ascii="Source Serif 4" w:hAnsi="Source Serif 4"/>
                <w:b/>
                <w:smallCaps/>
                <w:color w:val="B08625"/>
                <w:sz w:val="17"/>
              </w:rPr>
              <w:t>AMIU-SB-002</w:t>
            </w:r>
          </w:p>
          <w:p>
            <w:pPr>
              <w:jc w:val="center"/>
              <w:spacing w:before="0" w:after="0"/>
              <w:suppressAutoHyphens/>
            </w:pPr>
            <w:r>
              <w:rPr>
                <w:rFonts w:ascii="Source Serif 4" w:hAnsi="Source Serif 4"/>
                <w:i/>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This Strategic Implementation Blueprint is certified by the AMIU Office of Institutional Planning as the authoritative and current statement of the University’s twenty-three-year strategic and financial architecture, effective as of the date shown on the Document Control page. It supersedes all prior drafts and non-final versions.</w:t>
      </w:r>
    </w:p>
    <w:p>
      <w:pPr>
        <w:pStyle w:val="BodyText"/>
        <w:jc w:val="both"/>
      </w:pPr>
      <w:r>
        <w:t xml:space="preserve">Every dollar figure, percentage, and enrollment number in this Blueprint traces to the canonical figures adopted in AMIU-MP-001. Figure and table numbering, Table of Contents entries, and Index cross-references are generated directly from the document’s own structure, so they cannot drift from the sections they describe. Typography, headers and footers, table styling, and page-level hierarchy are applied through a single shared style system across the entire document.</w:t>
      </w:r>
    </w:p>
    <w:p>
      <w:pPr>
        <w:pStyle w:val="BodyText"/>
        <w:jc w:val="both"/>
      </w:pPr>
      <w:r>
        <w:t xml:space="preserve">A reader who identifies an issue is asked to report it to info@edu.amiu.com for consideration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Source Serif 4" w:hAnsi="Source Serif 4"/>
                <w:i/>
                <w:smallCaps/>
                <w:color w:val="B08625"/>
                <w:b/>
                <w:sz w:val="18"/>
                <w:spacing w:val="10"/>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35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E9EDF6"/>
          </w:tcPr>
          <w:p>
            <w:pPr>
              <w:pStyle w:val="Compact"/>
              <w:jc w:val="right"/>
              <w:suppressAutoHyphens/>
            </w:pPr>
            <w:r>
              <w:t xml:space="preserve">43</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50</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E9EDF6"/>
          </w:tcPr>
          <w:p>
            <w:pPr>
              <w:pStyle w:val="Compact"/>
              <w:jc w:val="right"/>
              <w:suppressAutoHyphens/>
            </w:pPr>
            <w:r>
              <w:t xml:space="preserve">64</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68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72</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E9EDF6"/>
          </w:tcPr>
          <w:p>
            <w:pPr>
              <w:pStyle w:val="Compact"/>
              <w:jc w:val="right"/>
              <w:suppressAutoHyphens/>
            </w:pPr>
            <w:r>
              <w:t xml:space="preserve">84</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E9EDF6"/>
          </w:tcPr>
          <w:p>
            <w:pPr>
              <w:pStyle w:val="Compact"/>
              <w:jc w:val="right"/>
              <w:suppressAutoHyphens/>
            </w:pPr>
            <w:r>
              <w:t xml:space="preserve">92</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106</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109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112</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119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E9EDF6"/>
          </w:tcPr>
          <w:p>
            <w:pPr>
              <w:pStyle w:val="Compact"/>
              <w:jc w:val="right"/>
              <w:suppressAutoHyphens/>
            </w:pPr>
            <w:r>
              <w:t xml:space="preserve">126</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129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132</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145</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148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151</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157</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162</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168</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174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179</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186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191</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196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203</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10</w:t>
            </w:r>
          </w:p>
        </w:tc>
        <w:tc>
          <w:tcPr>
            <w:tcMar>
              <w:top w:w="100" w:type="dxa"/>
              <w:bottom w:w="100" w:type="dxa"/>
              <w:left w:w="150" w:type="dxa"/>
              <w:right w:w="150" w:type="dxa"/>
            </w:tcMar>
            <w:vAlign w:val="center"/>
            <w:shd w:val="clear" w:color="auto" w:fill="E9EDF6"/>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w:t>
            </w:r>
          </w:p>
        </w:tc>
        <w:tc>
          <w:tcPr>
            <w:tcMar>
              <w:top w:w="100" w:type="dxa"/>
              <w:bottom w:w="100" w:type="dxa"/>
              <w:left w:w="150" w:type="dxa"/>
              <w:right w:w="150" w:type="dxa"/>
            </w:tcMar>
            <w:vAlign w:val="center"/>
            <w:shd w:val="clear" w:color="auto" w:fill="E9EDF6"/>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3</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5</w:t>
            </w:r>
          </w:p>
        </w:tc>
        <w:tc>
          <w:tcPr>
            <w:tcMar>
              <w:top w:w="100" w:type="dxa"/>
              <w:bottom w:w="100" w:type="dxa"/>
              <w:left w:w="150" w:type="dxa"/>
              <w:right w:w="150" w:type="dxa"/>
            </w:tcMar>
            <w:vAlign w:val="center"/>
            <w:shd w:val="clear" w:color="auto" w:fill="E9EDF6"/>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7</w:t>
            </w:r>
          </w:p>
        </w:tc>
        <w:tc>
          <w:tcPr>
            <w:tcMar>
              <w:top w:w="100" w:type="dxa"/>
              <w:bottom w:w="100" w:type="dxa"/>
              <w:left w:w="150" w:type="dxa"/>
              <w:right w:w="150" w:type="dxa"/>
            </w:tcMar>
            <w:vAlign w:val="center"/>
            <w:shd w:val="clear" w:color="auto" w:fill="E9EDF6"/>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9</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11</w:t>
            </w:r>
          </w:p>
        </w:tc>
        <w:tc>
          <w:tcPr>
            <w:tcMar>
              <w:top w:w="100" w:type="dxa"/>
              <w:bottom w:w="100" w:type="dxa"/>
              <w:left w:w="150" w:type="dxa"/>
              <w:right w:w="150" w:type="dxa"/>
            </w:tcMar>
            <w:vAlign w:val="center"/>
            <w:shd w:val="clear" w:color="auto" w:fill="E9EDF6"/>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13</w:t>
            </w:r>
          </w:p>
        </w:tc>
        <w:tc>
          <w:tcPr>
            <w:tcMar>
              <w:top w:w="100" w:type="dxa"/>
              <w:bottom w:w="100" w:type="dxa"/>
              <w:left w:w="150" w:type="dxa"/>
              <w:right w:w="150" w:type="dxa"/>
            </w:tcMar>
            <w:vAlign w:val="center"/>
            <w:shd w:val="clear" w:color="auto" w:fill="E9EDF6"/>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15</w:t>
            </w:r>
          </w:p>
        </w:tc>
        <w:tc>
          <w:tcPr>
            <w:tcMar>
              <w:top w:w="100" w:type="dxa"/>
              <w:bottom w:w="100" w:type="dxa"/>
              <w:left w:w="150" w:type="dxa"/>
              <w:right w:w="150" w:type="dxa"/>
            </w:tcMar>
            <w:vAlign w:val="center"/>
            <w:shd w:val="clear" w:color="auto" w:fill="E9EDF6"/>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17</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19</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21</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23</w:t>
            </w:r>
          </w:p>
        </w:tc>
        <w:tc>
          <w:tcPr>
            <w:tcMar>
              <w:top w:w="100" w:type="dxa"/>
              <w:bottom w:w="100" w:type="dxa"/>
              <w:left w:w="150" w:type="dxa"/>
              <w:right w:w="150" w:type="dxa"/>
            </w:tcMar>
            <w:vAlign w:val="center"/>
            <w:shd w:val="clear" w:color="auto" w:fill="E9EDF6"/>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25</w:t>
            </w:r>
          </w:p>
        </w:tc>
        <w:tc>
          <w:tcPr>
            <w:tcMar>
              <w:top w:w="100" w:type="dxa"/>
              <w:bottom w:w="100" w:type="dxa"/>
              <w:left w:w="150" w:type="dxa"/>
              <w:right w:w="150" w:type="dxa"/>
            </w:tcMar>
            <w:vAlign w:val="center"/>
            <w:shd w:val="clear" w:color="auto" w:fill="E9EDF6"/>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27</w:t>
            </w:r>
          </w:p>
        </w:tc>
        <w:tc>
          <w:tcPr>
            <w:tcMar>
              <w:top w:w="100" w:type="dxa"/>
              <w:bottom w:w="100" w:type="dxa"/>
              <w:left w:w="150" w:type="dxa"/>
              <w:right w:w="150" w:type="dxa"/>
            </w:tcMar>
            <w:vAlign w:val="center"/>
            <w:shd w:val="clear" w:color="auto" w:fill="E9EDF6"/>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AI</w:t>
            </w:r>
          </w:p>
        </w:tc>
        <w:tc>
          <w:tcPr>
            <w:tcMar>
              <w:top w:w="100" w:type="dxa"/>
              <w:bottom w:w="100" w:type="dxa"/>
              <w:left w:w="150" w:type="dxa"/>
              <w:right w:w="150" w:type="dxa"/>
            </w:tcMar>
            <w:vAlign w:val="center"/>
            <w:shd w:val="clear" w:color="auto" w:fill="E9EDF6"/>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ASSC</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CAC</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w:t>
            </w:r>
          </w:p>
        </w:tc>
        <w:tc>
          <w:tcPr>
            <w:tcMar>
              <w:top w:w="100" w:type="dxa"/>
              <w:bottom w:w="100" w:type="dxa"/>
              <w:left w:w="150" w:type="dxa"/>
              <w:right w:w="150" w:type="dxa"/>
            </w:tcMar>
            <w:vAlign w:val="center"/>
            <w:shd w:val="clear" w:color="auto" w:fill="E9EDF6"/>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DOAJ</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EMI</w:t>
            </w:r>
          </w:p>
        </w:tc>
        <w:tc>
          <w:tcPr>
            <w:tcMar>
              <w:top w:w="100" w:type="dxa"/>
              <w:bottom w:w="100" w:type="dxa"/>
              <w:left w:w="150" w:type="dxa"/>
              <w:right w:w="150" w:type="dxa"/>
            </w:tcMar>
            <w:vAlign w:val="center"/>
            <w:shd w:val="clear" w:color="auto" w:fill="E9EDF6"/>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ERM</w:t>
            </w:r>
          </w:p>
        </w:tc>
        <w:tc>
          <w:tcPr>
            <w:tcMar>
              <w:top w:w="100" w:type="dxa"/>
              <w:bottom w:w="100" w:type="dxa"/>
              <w:left w:w="150" w:type="dxa"/>
              <w:right w:w="150" w:type="dxa"/>
            </w:tcMar>
            <w:vAlign w:val="center"/>
            <w:shd w:val="clear" w:color="auto" w:fill="E9EDF6"/>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FTE</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GCC</w:t>
            </w:r>
          </w:p>
        </w:tc>
        <w:tc>
          <w:tcPr>
            <w:tcMar>
              <w:top w:w="100" w:type="dxa"/>
              <w:bottom w:w="100" w:type="dxa"/>
              <w:left w:w="150" w:type="dxa"/>
              <w:right w:w="150" w:type="dxa"/>
            </w:tcMar>
            <w:vAlign w:val="center"/>
            <w:shd w:val="clear" w:color="auto" w:fill="E9EDF6"/>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HoD</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ILO</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IRS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KOR</w:t>
            </w:r>
          </w:p>
        </w:tc>
        <w:tc>
          <w:tcPr>
            <w:tcMar>
              <w:top w:w="100" w:type="dxa"/>
              <w:bottom w:w="100" w:type="dxa"/>
              <w:left w:w="150" w:type="dxa"/>
              <w:right w:w="150" w:type="dxa"/>
            </w:tcMar>
            <w:vAlign w:val="center"/>
            <w:shd w:val="clear" w:color="auto" w:fill="E9EDF6"/>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LLB</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LLM</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LTI</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MBA</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MOU</w:t>
            </w:r>
          </w:p>
        </w:tc>
        <w:tc>
          <w:tcPr>
            <w:tcMar>
              <w:top w:w="100" w:type="dxa"/>
              <w:bottom w:w="100" w:type="dxa"/>
              <w:left w:w="150" w:type="dxa"/>
              <w:right w:w="150" w:type="dxa"/>
            </w:tcMar>
            <w:vAlign w:val="center"/>
            <w:shd w:val="clear" w:color="auto" w:fill="E9EDF6"/>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NAQAA</w:t>
            </w:r>
          </w:p>
        </w:tc>
        <w:tc>
          <w:tcPr>
            <w:tcMar>
              <w:top w:w="100" w:type="dxa"/>
              <w:bottom w:w="100" w:type="dxa"/>
              <w:left w:w="150" w:type="dxa"/>
              <w:right w:w="150" w:type="dxa"/>
            </w:tcMar>
            <w:vAlign w:val="center"/>
            <w:shd w:val="clear" w:color="auto" w:fill="E9EDF6"/>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OCR</w:t>
            </w:r>
          </w:p>
        </w:tc>
        <w:tc>
          <w:tcPr>
            <w:tcMar>
              <w:top w:w="100" w:type="dxa"/>
              <w:bottom w:w="100" w:type="dxa"/>
              <w:left w:w="150" w:type="dxa"/>
              <w:right w:w="150" w:type="dxa"/>
            </w:tcMar>
            <w:vAlign w:val="center"/>
            <w:shd w:val="clear" w:color="auto" w:fill="E9EDF6"/>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Ph.D.</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PLO</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PWA</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SACSCOC</w:t>
            </w:r>
          </w:p>
        </w:tc>
        <w:tc>
          <w:tcPr>
            <w:tcMar>
              <w:top w:w="100" w:type="dxa"/>
              <w:bottom w:w="100" w:type="dxa"/>
              <w:left w:w="150" w:type="dxa"/>
              <w:right w:w="150" w:type="dxa"/>
            </w:tcMar>
            <w:vAlign w:val="center"/>
            <w:shd w:val="clear" w:color="auto" w:fill="E9EDF6"/>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SIS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SSL</w:t>
            </w:r>
          </w:p>
        </w:tc>
        <w:tc>
          <w:tcPr>
            <w:tcMar>
              <w:top w:w="100" w:type="dxa"/>
              <w:bottom w:w="100" w:type="dxa"/>
              <w:left w:w="150" w:type="dxa"/>
              <w:right w:w="150" w:type="dxa"/>
            </w:tcMar>
            <w:vAlign w:val="center"/>
            <w:shd w:val="clear" w:color="auto" w:fill="E9EDF6"/>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TWC</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xAPI</w:t>
            </w:r>
          </w:p>
        </w:tc>
        <w:tc>
          <w:tcPr>
            <w:tcMar>
              <w:top w:w="100" w:type="dxa"/>
              <w:bottom w:w="100" w:type="dxa"/>
              <w:left w:w="150" w:type="dxa"/>
              <w:right w:w="150" w:type="dxa"/>
            </w:tcMar>
            <w:vAlign w:val="center"/>
            <w:shd w:val="clear" w:color="auto" w:fill="E9EDF6"/>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Aqeedah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E9EDF6"/>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Ijāza</w:t>
            </w:r>
          </w:p>
        </w:tc>
        <w:tc>
          <w:tcPr>
            <w:tcMar>
              <w:top w:w="100" w:type="dxa"/>
              <w:bottom w:w="100" w:type="dxa"/>
              <w:left w:w="150" w:type="dxa"/>
              <w:right w:w="150" w:type="dxa"/>
            </w:tcMar>
            <w:vAlign w:val="center"/>
            <w:shd w:val="clear" w:color="auto" w:fill="E9EDF6"/>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Fiqh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Tajweed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Hifz</w:t>
            </w:r>
          </w:p>
        </w:tc>
        <w:tc>
          <w:tcPr>
            <w:tcMar>
              <w:top w:w="100" w:type="dxa"/>
              <w:bottom w:w="100" w:type="dxa"/>
              <w:left w:w="150" w:type="dxa"/>
              <w:right w:w="150" w:type="dxa"/>
            </w:tcMar>
            <w:vAlign w:val="center"/>
            <w:shd w:val="clear" w:color="auto" w:fill="E9EDF6"/>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Zakāt</w:t>
            </w:r>
          </w:p>
        </w:tc>
        <w:tc>
          <w:tcPr>
            <w:tcMar>
              <w:top w:w="100" w:type="dxa"/>
              <w:bottom w:w="100" w:type="dxa"/>
              <w:left w:w="150" w:type="dxa"/>
              <w:right w:w="150" w:type="dxa"/>
            </w:tcMar>
            <w:vAlign w:val="center"/>
            <w:shd w:val="clear" w:color="auto" w:fill="E9EDF6"/>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Akhlāq</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Source Serif 4" w:hAnsi="Source Serif 4"/>
                <w:i/>
                <w:smallCaps/>
                <w:color w:val="8C97AB"/>
                <w:sz w:val="19"/>
                <w:spacing w:val="10"/>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2028–2037</w:t>
            </w:r>
          </w:p>
        </w:tc>
        <w:tc>
          <w:tcPr>
            <w:tcMar>
              <w:top w:w="100" w:type="dxa"/>
              <w:bottom w:w="100" w:type="dxa"/>
              <w:left w:w="150" w:type="dxa"/>
              <w:right w:w="150" w:type="dxa"/>
            </w:tcMar>
            <w:vAlign w:val="center"/>
            <w:shd w:val="clear" w:color="auto" w:fill="E9EDF6"/>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E9EDF6"/>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Source Serif 4" w:hAnsi="Source Serif 4"/>
                <w:i/>
                <w:smallCaps/>
                <w:color w:val="8C97AB"/>
                <w:sz w:val="19"/>
                <w:spacing w:val="10"/>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w:t>
            </w:r>
          </w:p>
        </w:tc>
        <w:tc>
          <w:tcPr>
            <w:tcMar>
              <w:top w:w="100" w:type="dxa"/>
              <w:bottom w:w="100" w:type="dxa"/>
              <w:left w:w="150" w:type="dxa"/>
              <w:right w:w="150" w:type="dxa"/>
            </w:tcMar>
            <w:vAlign w:val="center"/>
            <w:shd w:val="clear" w:color="auto" w:fill="E9EDF6"/>
            <w:tcW w:w="1753" w:type="dxa"/>
          </w:tcPr>
          <w:p>
            <w:pPr>
              <w:pStyle w:val="Compact"/>
              <w:jc w:val="left"/>
            </w:pPr>
            <w:r>
              <w:t xml:space="preserve">$44,949</w:t>
            </w:r>
          </w:p>
        </w:tc>
        <w:tc>
          <w:tcPr>
            <w:tcMar>
              <w:top w:w="100" w:type="dxa"/>
              <w:bottom w:w="100" w:type="dxa"/>
              <w:left w:w="150" w:type="dxa"/>
              <w:right w:w="150" w:type="dxa"/>
            </w:tcMar>
            <w:vAlign w:val="center"/>
            <w:shd w:val="clear" w:color="auto" w:fill="E9EDF6"/>
            <w:tcW w:w="1391" w:type="dxa"/>
          </w:tcPr>
          <w:p>
            <w:pPr>
              <w:pStyle w:val="Compact"/>
              <w:jc w:val="left"/>
            </w:pPr>
            <w:r>
              <w:t xml:space="preserve">1 (shared)</w:t>
            </w:r>
          </w:p>
        </w:tc>
        <w:tc>
          <w:tcPr>
            <w:tcMar>
              <w:top w:w="100" w:type="dxa"/>
              <w:bottom w:w="100" w:type="dxa"/>
              <w:left w:w="150" w:type="dxa"/>
              <w:right w:w="150" w:type="dxa"/>
            </w:tcMar>
            <w:vAlign w:val="center"/>
            <w:shd w:val="clear" w:color="auto" w:fill="E9EDF6"/>
            <w:tcW w:w="2120" w:type="dxa"/>
          </w:tcPr>
          <w:p>
            <w:pPr>
              <w:pStyle w:val="Compact"/>
              <w:jc w:val="left"/>
            </w:pPr>
            <w:r>
              <w:t xml:space="preserve">1</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E9EDF6"/>
            <w:tcW w:w="1753" w:type="dxa"/>
          </w:tcPr>
          <w:p>
            <w:pPr>
              <w:pStyle w:val="Compact"/>
              <w:jc w:val="left"/>
            </w:pPr>
            <w:r>
              <w:t xml:space="preserve">≈$8.62M</w:t>
            </w:r>
          </w:p>
        </w:tc>
        <w:tc>
          <w:tcPr>
            <w:tcMar>
              <w:top w:w="100" w:type="dxa"/>
              <w:bottom w:w="100" w:type="dxa"/>
              <w:left w:w="150" w:type="dxa"/>
              <w:right w:w="150" w:type="dxa"/>
            </w:tcMar>
            <w:vAlign w:val="center"/>
            <w:shd w:val="clear" w:color="auto" w:fill="E9EDF6"/>
            <w:tcW w:w="1391" w:type="dxa"/>
          </w:tcPr>
          <w:p>
            <w:pPr>
              <w:pStyle w:val="Compact"/>
              <w:jc w:val="left"/>
            </w:pPr>
            <w:r>
              <w:t xml:space="preserve">20–30</w:t>
            </w:r>
          </w:p>
        </w:tc>
        <w:tc>
          <w:tcPr>
            <w:tcMar>
              <w:top w:w="100" w:type="dxa"/>
              <w:bottom w:w="100" w:type="dxa"/>
              <w:left w:w="150" w:type="dxa"/>
              <w:right w:w="150" w:type="dxa"/>
            </w:tcMar>
            <w:vAlign w:val="center"/>
            <w:shd w:val="clear" w:color="auto" w:fill="E9EDF6"/>
            <w:tcW w:w="2120" w:type="dxa"/>
          </w:tcPr>
          <w:p>
            <w:pPr>
              <w:pStyle w:val="Compact"/>
              <w:jc w:val="left"/>
            </w:pPr>
            <w:r>
              <w:t xml:space="preserve">6–8</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2"/>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1</w:t>
            </w:r>
          </w:p>
        </w:tc>
        <w:tc>
          <w:tcPr>
            <w:tcMar>
              <w:top w:w="100" w:type="dxa"/>
              <w:bottom w:w="100" w:type="dxa"/>
              <w:left w:w="150" w:type="dxa"/>
              <w:right w:w="150" w:type="dxa"/>
            </w:tcMar>
            <w:vAlign w:val="center"/>
            <w:shd w:val="clear" w:color="auto" w:fill="E9EDF6"/>
            <w:tcW w:w="2269" w:type="dxa"/>
          </w:tcPr>
          <w:p>
            <w:pPr>
              <w:pStyle w:val="Compact"/>
              <w:jc w:val="left"/>
            </w:pPr>
            <w:r>
              <w:t xml:space="preserve">Yr1 (2028)</w:t>
            </w:r>
          </w:p>
        </w:tc>
        <w:tc>
          <w:tcPr>
            <w:tcMar>
              <w:top w:w="100" w:type="dxa"/>
              <w:bottom w:w="100" w:type="dxa"/>
              <w:left w:w="150" w:type="dxa"/>
              <w:right w:w="150" w:type="dxa"/>
            </w:tcMar>
            <w:vAlign w:val="center"/>
            <w:shd w:val="clear" w:color="auto" w:fill="E9EDF6"/>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E9EDF6"/>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3</w:t>
            </w:r>
          </w:p>
        </w:tc>
        <w:tc>
          <w:tcPr>
            <w:tcMar>
              <w:top w:w="100" w:type="dxa"/>
              <w:bottom w:w="100" w:type="dxa"/>
              <w:left w:w="150" w:type="dxa"/>
              <w:right w:w="150" w:type="dxa"/>
            </w:tcMar>
            <w:vAlign w:val="center"/>
            <w:shd w:val="clear" w:color="auto" w:fill="E9EDF6"/>
            <w:tcW w:w="2269" w:type="dxa"/>
          </w:tcPr>
          <w:p>
            <w:pPr>
              <w:pStyle w:val="Compact"/>
              <w:jc w:val="left"/>
            </w:pPr>
            <w:r>
              <w:t xml:space="preserve">Yr3 (2030)</w:t>
            </w:r>
          </w:p>
        </w:tc>
        <w:tc>
          <w:tcPr>
            <w:tcMar>
              <w:top w:w="100" w:type="dxa"/>
              <w:bottom w:w="100" w:type="dxa"/>
              <w:left w:w="150" w:type="dxa"/>
              <w:right w:w="150" w:type="dxa"/>
            </w:tcMar>
            <w:vAlign w:val="center"/>
            <w:shd w:val="clear" w:color="auto" w:fill="E9EDF6"/>
            <w:tcW w:w="2762" w:type="dxa"/>
          </w:tcPr>
          <w:p>
            <w:pPr>
              <w:pStyle w:val="Compact"/>
              <w:jc w:val="left"/>
            </w:pPr>
            <w:r>
              <w:t xml:space="preserve">VI PhD</w:t>
            </w:r>
          </w:p>
        </w:tc>
        <w:tc>
          <w:tcPr>
            <w:tcMar>
              <w:top w:w="100" w:type="dxa"/>
              <w:bottom w:w="100" w:type="dxa"/>
              <w:left w:w="150" w:type="dxa"/>
              <w:right w:w="150" w:type="dxa"/>
            </w:tcMar>
            <w:vAlign w:val="center"/>
            <w:shd w:val="clear" w:color="auto" w:fill="E9EDF6"/>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5</w:t>
            </w:r>
          </w:p>
        </w:tc>
        <w:tc>
          <w:tcPr>
            <w:tcMar>
              <w:top w:w="100" w:type="dxa"/>
              <w:bottom w:w="100" w:type="dxa"/>
              <w:left w:w="150" w:type="dxa"/>
              <w:right w:w="150" w:type="dxa"/>
            </w:tcMar>
            <w:vAlign w:val="center"/>
            <w:shd w:val="clear" w:color="auto" w:fill="E9EDF6"/>
            <w:tcW w:w="2269" w:type="dxa"/>
          </w:tcPr>
          <w:p>
            <w:pPr>
              <w:pStyle w:val="Compact"/>
              <w:jc w:val="left"/>
            </w:pPr>
            <w:r>
              <w:t xml:space="preserve">Yr11 (2038)</w:t>
            </w:r>
          </w:p>
        </w:tc>
        <w:tc>
          <w:tcPr>
            <w:tcMar>
              <w:top w:w="100" w:type="dxa"/>
              <w:bottom w:w="100" w:type="dxa"/>
              <w:left w:w="150" w:type="dxa"/>
              <w:right w:w="150" w:type="dxa"/>
            </w:tcMar>
            <w:vAlign w:val="center"/>
            <w:shd w:val="clear" w:color="auto" w:fill="E9EDF6"/>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E9EDF6"/>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7</w:t>
            </w:r>
          </w:p>
        </w:tc>
        <w:tc>
          <w:tcPr>
            <w:tcMar>
              <w:top w:w="100" w:type="dxa"/>
              <w:bottom w:w="100" w:type="dxa"/>
              <w:left w:w="150" w:type="dxa"/>
              <w:right w:w="150" w:type="dxa"/>
            </w:tcMar>
            <w:vAlign w:val="center"/>
            <w:shd w:val="clear" w:color="auto" w:fill="E9EDF6"/>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E9EDF6"/>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E9EDF6"/>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w:t>
            </w:r>
          </w:p>
        </w:tc>
        <w:tc>
          <w:tcPr>
            <w:tcMar>
              <w:top w:w="100" w:type="dxa"/>
              <w:bottom w:w="100" w:type="dxa"/>
              <w:left w:w="150" w:type="dxa"/>
              <w:right w:w="150" w:type="dxa"/>
            </w:tcMar>
            <w:vAlign w:val="center"/>
            <w:shd w:val="clear" w:color="auto" w:fill="E9EDF6"/>
            <w:tcW w:w="2433" w:type="dxa"/>
          </w:tcPr>
          <w:p>
            <w:pPr>
              <w:pStyle w:val="Compact"/>
              <w:jc w:val="left"/>
            </w:pPr>
            <w:r>
              <w:t xml:space="preserve">$17,980</w:t>
            </w:r>
          </w:p>
        </w:tc>
        <w:tc>
          <w:tcPr>
            <w:tcMar>
              <w:top w:w="100" w:type="dxa"/>
              <w:bottom w:w="100" w:type="dxa"/>
              <w:left w:w="150" w:type="dxa"/>
              <w:right w:w="150" w:type="dxa"/>
            </w:tcMar>
            <w:vAlign w:val="center"/>
            <w:shd w:val="clear" w:color="auto" w:fill="E9EDF6"/>
            <w:tcW w:w="2227" w:type="dxa"/>
          </w:tcPr>
          <w:p>
            <w:pPr>
              <w:pStyle w:val="Compact"/>
              <w:jc w:val="left"/>
            </w:pPr>
            <w:r>
              <w:t xml:space="preserve">8–12</w:t>
            </w:r>
          </w:p>
        </w:tc>
        <w:tc>
          <w:tcPr>
            <w:tcMar>
              <w:top w:w="100" w:type="dxa"/>
              <w:bottom w:w="100" w:type="dxa"/>
              <w:left w:w="150" w:type="dxa"/>
              <w:right w:w="150" w:type="dxa"/>
            </w:tcMar>
            <w:vAlign w:val="center"/>
            <w:shd w:val="clear" w:color="auto" w:fill="E9EDF6"/>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Yr10</w:t>
            </w:r>
          </w:p>
        </w:tc>
        <w:tc>
          <w:tcPr>
            <w:tcMar>
              <w:top w:w="100" w:type="dxa"/>
              <w:bottom w:w="100" w:type="dxa"/>
              <w:left w:w="150" w:type="dxa"/>
              <w:right w:w="150" w:type="dxa"/>
            </w:tcMar>
            <w:vAlign w:val="center"/>
            <w:shd w:val="clear" w:color="auto" w:fill="E9EDF6"/>
            <w:tcW w:w="2433" w:type="dxa"/>
          </w:tcPr>
          <w:p>
            <w:pPr>
              <w:pStyle w:val="Compact"/>
              <w:jc w:val="left"/>
            </w:pPr>
            <w:r>
              <w:t xml:space="preserve">$306,444</w:t>
            </w:r>
          </w:p>
        </w:tc>
        <w:tc>
          <w:tcPr>
            <w:tcMar>
              <w:top w:w="100" w:type="dxa"/>
              <w:bottom w:w="100" w:type="dxa"/>
              <w:left w:w="150" w:type="dxa"/>
              <w:right w:w="150" w:type="dxa"/>
            </w:tcMar>
            <w:vAlign w:val="center"/>
            <w:shd w:val="clear" w:color="auto" w:fill="E9EDF6"/>
            <w:tcW w:w="2227" w:type="dxa"/>
          </w:tcPr>
          <w:p>
            <w:pPr>
              <w:pStyle w:val="Compact"/>
              <w:jc w:val="left"/>
            </w:pPr>
            <w:r>
              <w:t xml:space="preserve">60–90</w:t>
            </w:r>
          </w:p>
        </w:tc>
        <w:tc>
          <w:tcPr>
            <w:tcMar>
              <w:top w:w="100" w:type="dxa"/>
              <w:bottom w:w="100" w:type="dxa"/>
              <w:left w:w="150" w:type="dxa"/>
              <w:right w:w="150" w:type="dxa"/>
            </w:tcMar>
            <w:vAlign w:val="center"/>
            <w:shd w:val="clear" w:color="auto" w:fill="E9EDF6"/>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E9EDF6"/>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E9EDF6"/>
            <w:tcW w:w="2560" w:type="dxa"/>
          </w:tcPr>
          <w:p>
            <w:pPr>
              <w:pStyle w:val="Compact"/>
              <w:jc w:val="left"/>
            </w:pPr>
            <w:r>
              <w:t xml:space="preserve">Aqeedah</w:t>
            </w:r>
          </w:p>
        </w:tc>
        <w:tc>
          <w:tcPr>
            <w:tcMar>
              <w:top w:w="100" w:type="dxa"/>
              <w:bottom w:w="100" w:type="dxa"/>
              <w:left w:w="150" w:type="dxa"/>
              <w:right w:w="150" w:type="dxa"/>
            </w:tcMar>
            <w:vAlign w:val="center"/>
            <w:shd w:val="clear" w:color="auto" w:fill="E9EDF6"/>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E9EDF6"/>
            <w:tcW w:w="2182" w:type="dxa"/>
          </w:tcPr>
          <w:p>
            <w:pPr>
              <w:pStyle w:val="Compact"/>
              <w:jc w:val="left"/>
            </w:pPr>
            <w:r>
              <w:t xml:space="preserve">solo Dean</w:t>
            </w:r>
          </w:p>
        </w:tc>
        <w:tc>
          <w:tcPr>
            <w:tcMar>
              <w:top w:w="100" w:type="dxa"/>
              <w:bottom w:w="100" w:type="dxa"/>
              <w:left w:w="150" w:type="dxa"/>
              <w:right w:w="150" w:type="dxa"/>
            </w:tcMar>
            <w:vAlign w:val="center"/>
            <w:shd w:val="clear" w:color="auto" w:fill="E9EDF6"/>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4"/>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E9EDF6"/>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Law</w:t>
            </w:r>
          </w:p>
        </w:tc>
        <w:tc>
          <w:tcPr>
            <w:tcMar>
              <w:top w:w="100" w:type="dxa"/>
              <w:bottom w:w="100" w:type="dxa"/>
              <w:left w:w="150" w:type="dxa"/>
              <w:right w:w="150" w:type="dxa"/>
            </w:tcMar>
            <w:vAlign w:val="center"/>
            <w:shd w:val="clear" w:color="auto" w:fill="E9EDF6"/>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E9EDF6"/>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5"/>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E9EDF6"/>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6"/>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w:t>
            </w:r>
          </w:p>
        </w:tc>
        <w:tc>
          <w:tcPr>
            <w:tcMar>
              <w:top w:w="100" w:type="dxa"/>
              <w:bottom w:w="100" w:type="dxa"/>
              <w:left w:w="150" w:type="dxa"/>
              <w:right w:w="150" w:type="dxa"/>
            </w:tcMar>
            <w:vAlign w:val="center"/>
            <w:shd w:val="clear" w:color="auto" w:fill="E9EDF6"/>
            <w:tcW w:w="2354" w:type="dxa"/>
          </w:tcPr>
          <w:p>
            <w:pPr>
              <w:pStyle w:val="Compact"/>
              <w:jc w:val="left"/>
            </w:pPr>
            <w:r>
              <w:t xml:space="preserve">$17,980</w:t>
            </w:r>
          </w:p>
        </w:tc>
        <w:tc>
          <w:tcPr>
            <w:tcMar>
              <w:top w:w="100" w:type="dxa"/>
              <w:bottom w:w="100" w:type="dxa"/>
              <w:left w:w="150" w:type="dxa"/>
              <w:right w:w="150" w:type="dxa"/>
            </w:tcMar>
            <w:vAlign w:val="center"/>
            <w:shd w:val="clear" w:color="auto" w:fill="E9EDF6"/>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Yr10</w:t>
            </w:r>
          </w:p>
        </w:tc>
        <w:tc>
          <w:tcPr>
            <w:tcMar>
              <w:top w:w="100" w:type="dxa"/>
              <w:bottom w:w="100" w:type="dxa"/>
              <w:left w:w="150" w:type="dxa"/>
              <w:right w:w="150" w:type="dxa"/>
            </w:tcMar>
            <w:vAlign w:val="center"/>
            <w:shd w:val="clear" w:color="auto" w:fill="E9EDF6"/>
            <w:tcW w:w="2354" w:type="dxa"/>
          </w:tcPr>
          <w:p>
            <w:pPr>
              <w:pStyle w:val="Compact"/>
              <w:jc w:val="left"/>
            </w:pPr>
            <w:r>
              <w:t xml:space="preserve">$306,444</w:t>
            </w:r>
          </w:p>
        </w:tc>
        <w:tc>
          <w:tcPr>
            <w:tcMar>
              <w:top w:w="100" w:type="dxa"/>
              <w:bottom w:w="100" w:type="dxa"/>
              <w:left w:w="150" w:type="dxa"/>
              <w:right w:w="150" w:type="dxa"/>
            </w:tcMar>
            <w:vAlign w:val="center"/>
            <w:shd w:val="clear" w:color="auto" w:fill="E9EDF6"/>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7"/>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Source Serif 4" w:hAnsi="Source Serif 4"/>
                <w:i/>
                <w:smallCaps/>
                <w:color w:val="8C97AB"/>
                <w:sz w:val="19"/>
                <w:spacing w:val="10"/>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2027</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2031–2034</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2038–2041</w:t>
            </w:r>
          </w:p>
        </w:tc>
        <w:tc>
          <w:tcPr>
            <w:tcMar>
              <w:top w:w="100" w:type="dxa"/>
              <w:bottom w:w="100" w:type="dxa"/>
              <w:left w:w="150" w:type="dxa"/>
              <w:right w:w="150" w:type="dxa"/>
            </w:tcMar>
            <w:vAlign w:val="center"/>
            <w:shd w:val="clear" w:color="auto" w:fill="E9EDF6"/>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(Yr15–23)</w:t>
            </w:r>
          </w:p>
        </w:tc>
        <w:tc>
          <w:tcPr>
            <w:tcMar>
              <w:top w:w="100" w:type="dxa"/>
              <w:bottom w:w="100" w:type="dxa"/>
              <w:left w:w="150" w:type="dxa"/>
              <w:right w:w="150" w:type="dxa"/>
            </w:tcMar>
            <w:vAlign w:val="center"/>
            <w:shd w:val="clear" w:color="auto" w:fill="E9EDF6"/>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E9EDF6"/>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 Diploma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9 (20%)</w:t>
            </w:r>
          </w:p>
        </w:tc>
        <w:tc>
          <w:tcPr>
            <w:tcMar>
              <w:top w:w="100" w:type="dxa"/>
              <w:bottom w:w="100" w:type="dxa"/>
              <w:left w:w="150" w:type="dxa"/>
              <w:right w:w="150" w:type="dxa"/>
            </w:tcMar>
            <w:vAlign w:val="center"/>
            <w:shd w:val="clear" w:color="auto" w:fill="E9EDF6"/>
            <w:tcW w:w="2228" w:type="dxa"/>
          </w:tcPr>
          <w:p>
            <w:pPr>
              <w:pStyle w:val="Compact"/>
              <w:jc w:val="left"/>
            </w:pPr>
            <w:r>
              <w:t xml:space="preserve">36 (80%)</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III BA</w:t>
            </w:r>
          </w:p>
        </w:tc>
        <w:tc>
          <w:tcPr>
            <w:tcMar>
              <w:top w:w="100" w:type="dxa"/>
              <w:bottom w:w="100" w:type="dxa"/>
              <w:left w:w="150" w:type="dxa"/>
              <w:right w:w="150" w:type="dxa"/>
            </w:tcMar>
            <w:vAlign w:val="center"/>
            <w:shd w:val="clear" w:color="auto" w:fill="E9EDF6"/>
            <w:tcW w:w="1666" w:type="dxa"/>
          </w:tcPr>
          <w:p>
            <w:pPr>
              <w:pStyle w:val="Compact"/>
              <w:jc w:val="left"/>
            </w:pPr>
            <w:r>
              <w:t xml:space="preserve">120</w:t>
            </w:r>
          </w:p>
        </w:tc>
        <w:tc>
          <w:tcPr>
            <w:tcMar>
              <w:top w:w="100" w:type="dxa"/>
              <w:bottom w:w="100" w:type="dxa"/>
              <w:left w:w="150" w:type="dxa"/>
              <w:right w:w="150" w:type="dxa"/>
            </w:tcMar>
            <w:vAlign w:val="center"/>
            <w:shd w:val="clear" w:color="auto" w:fill="E9EDF6"/>
            <w:tcW w:w="1563" w:type="dxa"/>
          </w:tcPr>
          <w:p>
            <w:pPr>
              <w:pStyle w:val="Compact"/>
              <w:jc w:val="left"/>
            </w:pPr>
            <w:r>
              <w:t xml:space="preserve">24 (20%)</w:t>
            </w:r>
          </w:p>
        </w:tc>
        <w:tc>
          <w:tcPr>
            <w:tcMar>
              <w:top w:w="100" w:type="dxa"/>
              <w:bottom w:w="100" w:type="dxa"/>
              <w:left w:w="150" w:type="dxa"/>
              <w:right w:w="150" w:type="dxa"/>
            </w:tcMar>
            <w:vAlign w:val="center"/>
            <w:shd w:val="clear" w:color="auto" w:fill="E9EDF6"/>
            <w:tcW w:w="2228" w:type="dxa"/>
          </w:tcPr>
          <w:p>
            <w:pPr>
              <w:pStyle w:val="Compact"/>
              <w:jc w:val="left"/>
            </w:pPr>
            <w:r>
              <w:t xml:space="preserve">72 (60%)</w:t>
            </w:r>
          </w:p>
        </w:tc>
        <w:tc>
          <w:tcPr>
            <w:tcMar>
              <w:top w:w="100" w:type="dxa"/>
              <w:bottom w:w="100" w:type="dxa"/>
              <w:left w:w="150" w:type="dxa"/>
              <w:right w:w="150" w:type="dxa"/>
            </w:tcMar>
            <w:vAlign w:val="center"/>
            <w:shd w:val="clear" w:color="auto" w:fill="E9EDF6"/>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 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E9EDF6"/>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E9EDF6"/>
            <w:tcW w:w="1666" w:type="dxa"/>
          </w:tcPr>
          <w:p>
            <w:pPr>
              <w:pStyle w:val="Compact"/>
              <w:jc w:val="left"/>
            </w:pPr>
            <w:r>
              <w:t xml:space="preserve">non-credit</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2041–2050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Inquiry</w:t>
            </w:r>
          </w:p>
        </w:tc>
        <w:tc>
          <w:tcPr>
            <w:tcMar>
              <w:top w:w="100" w:type="dxa"/>
              <w:bottom w:w="100" w:type="dxa"/>
              <w:left w:w="150" w:type="dxa"/>
              <w:right w:w="150" w:type="dxa"/>
            </w:tcMar>
            <w:vAlign w:val="center"/>
            <w:shd w:val="clear" w:color="auto" w:fill="E9EDF6"/>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E9EDF6"/>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E9EDF6"/>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Graduation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BA</w:t>
            </w:r>
          </w:p>
        </w:tc>
        <w:tc>
          <w:tcPr>
            <w:tcMar>
              <w:top w:w="100" w:type="dxa"/>
              <w:bottom w:w="100" w:type="dxa"/>
              <w:left w:w="150" w:type="dxa"/>
              <w:right w:w="150" w:type="dxa"/>
            </w:tcMar>
            <w:vAlign w:val="center"/>
            <w:shd w:val="clear" w:color="auto" w:fill="E9EDF6"/>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 MA</w:t>
            </w:r>
          </w:p>
        </w:tc>
        <w:tc>
          <w:tcPr>
            <w:tcMar>
              <w:top w:w="100" w:type="dxa"/>
              <w:bottom w:w="100" w:type="dxa"/>
              <w:left w:w="150" w:type="dxa"/>
              <w:right w:w="150" w:type="dxa"/>
            </w:tcMar>
            <w:vAlign w:val="center"/>
            <w:shd w:val="clear" w:color="auto" w:fill="E9EDF6"/>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E9EDF6"/>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E9EDF6"/>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Source Serif 4" w:hAnsi="Source Serif 4"/>
                <w:i/>
                <w:smallCaps/>
                <w:color w:val="8C97AB"/>
                <w:sz w:val="19"/>
                <w:spacing w:val="10"/>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E9EDF6"/>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Planning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E9EDF6"/>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E9EDF6"/>
          </w:tcPr>
          <w:p>
            <w:pPr>
              <w:pStyle w:val="Compact"/>
              <w:jc w:val="left"/>
              <w:suppressAutoHyphens/>
            </w:pPr>
            <w:r>
              <w:t xml:space="preserve">Yr11+ (2038+)</w:t>
            </w:r>
          </w:p>
        </w:tc>
        <w:tc>
          <w:tcPr>
            <w:tcMar>
              <w:top w:w="100" w:type="dxa"/>
              <w:bottom w:w="100" w:type="dxa"/>
              <w:left w:w="150" w:type="dxa"/>
              <w:right w:w="150" w:type="dxa"/>
            </w:tcMar>
            <w:vAlign w:val="center"/>
            <w:shd w:val="clear" w:color="auto" w:fill="E9EDF6"/>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E9EDF6"/>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E9EDF6"/>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E9EDF6"/>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E9EDF6"/>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Yr2 (2029)</w:t>
            </w:r>
          </w:p>
        </w:tc>
        <w:tc>
          <w:tcPr>
            <w:tcMar>
              <w:top w:w="100" w:type="dxa"/>
              <w:bottom w:w="100" w:type="dxa"/>
              <w:left w:w="150" w:type="dxa"/>
              <w:right w:w="150" w:type="dxa"/>
            </w:tcMar>
            <w:vAlign w:val="center"/>
            <w:shd w:val="clear" w:color="auto" w:fill="E9EDF6"/>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E9EDF6"/>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E9EDF6"/>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E9EDF6"/>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E9EDF6"/>
            <w:tcW w:w="1560"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E9EDF6"/>
            <w:tcW w:w="1560" w:type="dxa"/>
          </w:tcPr>
          <w:p>
            <w:pPr>
              <w:pStyle w:val="Compact"/>
              <w:jc w:val="left"/>
            </w:pPr>
            <w:r>
              <w:t xml:space="preserve">Yr2–3</w:t>
            </w:r>
          </w:p>
        </w:tc>
        <w:tc>
          <w:tcPr>
            <w:tcMar>
              <w:top w:w="100" w:type="dxa"/>
              <w:bottom w:w="100" w:type="dxa"/>
              <w:left w:w="150" w:type="dxa"/>
              <w:right w:w="150" w:type="dxa"/>
            </w:tcMar>
            <w:vAlign w:val="center"/>
            <w:shd w:val="clear" w:color="auto" w:fill="E9EDF6"/>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E9EDF6"/>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Source Serif 4" w:hAnsi="Source Serif 4"/>
          <w:i/>
          <w:smallCap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Source Serif 4" w:hAnsi="Source Serif 4"/>
                <w:i/>
                <w:smallCaps/>
                <w:color w:val="8C97AB"/>
                <w:sz w:val="19"/>
                <w:spacing w:val="10"/>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(2028)</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 (2037)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$191,527/yr</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E9EDF6"/>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E9EDF6"/>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4"/>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LMS</w:t>
            </w:r>
          </w:p>
        </w:tc>
        <w:tc>
          <w:tcPr>
            <w:tcMar>
              <w:top w:w="100" w:type="dxa"/>
              <w:bottom w:w="100" w:type="dxa"/>
              <w:left w:w="150" w:type="dxa"/>
              <w:right w:w="150" w:type="dxa"/>
            </w:tcMar>
            <w:vAlign w:val="center"/>
            <w:shd w:val="clear" w:color="auto" w:fill="E9EDF6"/>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E9EDF6"/>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E9EDF6"/>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E9EDF6"/>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Payments</w:t>
            </w:r>
          </w:p>
        </w:tc>
        <w:tc>
          <w:tcPr>
            <w:tcMar>
              <w:top w:w="100" w:type="dxa"/>
              <w:bottom w:w="100" w:type="dxa"/>
              <w:left w:w="150" w:type="dxa"/>
              <w:right w:w="150" w:type="dxa"/>
            </w:tcMar>
            <w:vAlign w:val="center"/>
            <w:shd w:val="clear" w:color="auto" w:fill="E9EDF6"/>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E9EDF6"/>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E9EDF6"/>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E9EDF6"/>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Security</w:t>
            </w:r>
          </w:p>
        </w:tc>
        <w:tc>
          <w:tcPr>
            <w:tcMar>
              <w:top w:w="100" w:type="dxa"/>
              <w:bottom w:w="100" w:type="dxa"/>
              <w:left w:w="150" w:type="dxa"/>
              <w:right w:w="150" w:type="dxa"/>
            </w:tcMar>
            <w:vAlign w:val="center"/>
            <w:shd w:val="clear" w:color="auto" w:fill="E9EDF6"/>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E9EDF6"/>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E9EDF6"/>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E9EDF6"/>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2033–36</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E9EDF6"/>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E9EDF6"/>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Scale-Up</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Source Serif 4" w:hAnsi="Source Serif 4"/>
                <w:i/>
                <w:smallCaps/>
                <w:color w:val="8C97AB"/>
                <w:sz w:val="19"/>
                <w:spacing w:val="10"/>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E9EDF6"/>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E9EDF6"/>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E9EDF6"/>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E9EDF6"/>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10</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E9EDF6"/>
            <w:tcW w:w="1964" w:type="dxa"/>
          </w:tcPr>
          <w:p>
            <w:pPr>
              <w:pStyle w:val="Compact"/>
              <w:jc w:val="left"/>
            </w:pPr>
            <w:r>
              <w:t xml:space="preserve">1.5</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E9EDF6"/>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E9EDF6"/>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w:t>
            </w:r>
          </w:p>
        </w:tc>
        <w:tc>
          <w:tcPr>
            <w:tcMar>
              <w:top w:w="100" w:type="dxa"/>
              <w:bottom w:w="100" w:type="dxa"/>
              <w:left w:w="150" w:type="dxa"/>
              <w:right w:w="150" w:type="dxa"/>
            </w:tcMar>
            <w:vAlign w:val="center"/>
            <w:shd w:val="clear" w:color="auto" w:fill="E9EDF6"/>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E9EDF6"/>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E9EDF6"/>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10</w:t>
            </w:r>
          </w:p>
        </w:tc>
        <w:tc>
          <w:tcPr>
            <w:tcMar>
              <w:top w:w="100" w:type="dxa"/>
              <w:bottom w:w="100" w:type="dxa"/>
              <w:left w:w="150" w:type="dxa"/>
              <w:right w:w="150" w:type="dxa"/>
            </w:tcMar>
            <w:vAlign w:val="center"/>
            <w:shd w:val="clear" w:color="auto" w:fill="E9EDF6"/>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E9EDF6"/>
            <w:tcW w:w="2031" w:type="dxa"/>
          </w:tcPr>
          <w:p>
            <w:pPr>
              <w:pStyle w:val="Compact"/>
              <w:jc w:val="left"/>
            </w:pPr>
            <w:r>
              <w:t xml:space="preserve">2–3</w:t>
            </w:r>
          </w:p>
        </w:tc>
        <w:tc>
          <w:tcPr>
            <w:tcMar>
              <w:top w:w="100" w:type="dxa"/>
              <w:bottom w:w="100" w:type="dxa"/>
              <w:left w:w="150" w:type="dxa"/>
              <w:right w:w="150" w:type="dxa"/>
            </w:tcMar>
            <w:vAlign w:val="center"/>
            <w:shd w:val="clear" w:color="auto" w:fill="E9EDF6"/>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8"/>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19"/>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E9EDF6"/>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10</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E9EDF6"/>
            <w:tcW w:w="1914" w:type="dxa"/>
          </w:tcPr>
          <w:p>
            <w:pPr>
              <w:pStyle w:val="Compact"/>
              <w:jc w:val="left"/>
            </w:pPr>
            <w:r>
              <w:t xml:space="preserve">1.0 +</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E9EDF6"/>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E9EDF6"/>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E9EDF6"/>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E9EDF6"/>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E9EDF6"/>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E9EDF6"/>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Gambia</w:t>
            </w:r>
          </w:p>
        </w:tc>
        <w:tc>
          <w:tcPr>
            <w:tcMar>
              <w:top w:w="100" w:type="dxa"/>
              <w:bottom w:w="100" w:type="dxa"/>
              <w:left w:w="150" w:type="dxa"/>
              <w:right w:w="150" w:type="dxa"/>
            </w:tcMar>
            <w:vAlign w:val="center"/>
            <w:shd w:val="clear" w:color="auto" w:fill="E9EDF6"/>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E9EDF6"/>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E9EDF6"/>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Gulf</w:t>
            </w:r>
          </w:p>
        </w:tc>
        <w:tc>
          <w:tcPr>
            <w:tcMar>
              <w:top w:w="100" w:type="dxa"/>
              <w:bottom w:w="100" w:type="dxa"/>
              <w:left w:w="150" w:type="dxa"/>
              <w:right w:w="150" w:type="dxa"/>
            </w:tcMar>
            <w:vAlign w:val="center"/>
            <w:shd w:val="clear" w:color="auto" w:fill="E9EDF6"/>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E9EDF6"/>
            <w:tcW w:w="1775" w:type="dxa"/>
          </w:tcPr>
          <w:p>
            <w:pPr>
              <w:pStyle w:val="Compact"/>
              <w:jc w:val="left"/>
            </w:pPr>
            <w:r>
              <w:t xml:space="preserve">Years 11–13</w:t>
            </w:r>
          </w:p>
        </w:tc>
        <w:tc>
          <w:tcPr>
            <w:tcMar>
              <w:top w:w="100" w:type="dxa"/>
              <w:bottom w:w="100" w:type="dxa"/>
              <w:left w:w="150" w:type="dxa"/>
              <w:right w:w="150" w:type="dxa"/>
            </w:tcMar>
            <w:vAlign w:val="center"/>
            <w:shd w:val="clear" w:color="auto" w:fill="E9EDF6"/>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Source Serif 4" w:hAnsi="Source Serif 4"/>
                <w:i/>
                <w:smallCaps/>
                <w:color w:val="8C97AB"/>
                <w:sz w:val="19"/>
                <w:spacing w:val="10"/>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2034–2036</w:t>
            </w:r>
          </w:p>
        </w:tc>
        <w:tc>
          <w:tcPr>
            <w:tcMar>
              <w:top w:w="100" w:type="dxa"/>
              <w:bottom w:w="100" w:type="dxa"/>
              <w:left w:w="150" w:type="dxa"/>
              <w:right w:w="150" w:type="dxa"/>
            </w:tcMar>
            <w:vAlign w:val="center"/>
            <w:shd w:val="clear" w:color="auto" w:fill="E9EDF6"/>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1"/>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2028–2031</w:t>
            </w:r>
          </w:p>
        </w:tc>
        <w:tc>
          <w:tcPr>
            <w:tcMar>
              <w:top w:w="100" w:type="dxa"/>
              <w:bottom w:w="100" w:type="dxa"/>
              <w:left w:w="150" w:type="dxa"/>
              <w:right w:w="150" w:type="dxa"/>
            </w:tcMar>
            <w:vAlign w:val="center"/>
            <w:shd w:val="clear" w:color="auto" w:fill="E9EDF6"/>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2036–2039</w:t>
            </w:r>
          </w:p>
        </w:tc>
        <w:tc>
          <w:tcPr>
            <w:tcMar>
              <w:top w:w="100" w:type="dxa"/>
              <w:bottom w:w="100" w:type="dxa"/>
              <w:left w:w="150" w:type="dxa"/>
              <w:right w:w="150" w:type="dxa"/>
            </w:tcMar>
            <w:vAlign w:val="center"/>
            <w:shd w:val="clear" w:color="auto" w:fill="E9EDF6"/>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2"/>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2"/>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3"/>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2033–2036</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Source Serif 4" w:hAnsi="Source Serif 4"/>
                <w:i/>
                <w:smallCaps/>
                <w:color w:val="8C97AB"/>
                <w:sz w:val="19"/>
                <w:spacing w:val="10"/>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w:t>
            </w:r>
          </w:p>
        </w:tc>
        <w:tc>
          <w:tcPr>
            <w:tcMar>
              <w:top w:w="100" w:type="dxa"/>
              <w:bottom w:w="100" w:type="dxa"/>
              <w:left w:w="150" w:type="dxa"/>
              <w:right w:w="150" w:type="dxa"/>
            </w:tcMar>
            <w:vAlign w:val="center"/>
            <w:shd w:val="clear" w:color="auto" w:fill="E9EDF6"/>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E9EDF6"/>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3</w:t>
            </w:r>
          </w:p>
        </w:tc>
        <w:tc>
          <w:tcPr>
            <w:tcMar>
              <w:top w:w="100" w:type="dxa"/>
              <w:bottom w:w="100" w:type="dxa"/>
              <w:left w:w="150" w:type="dxa"/>
              <w:right w:w="150" w:type="dxa"/>
            </w:tcMar>
            <w:vAlign w:val="center"/>
            <w:shd w:val="clear" w:color="auto" w:fill="E9EDF6"/>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Low/High</w:t>
            </w:r>
          </w:p>
        </w:tc>
        <w:tc>
          <w:tcPr>
            <w:tcMar>
              <w:top w:w="100" w:type="dxa"/>
              <w:bottom w:w="100" w:type="dxa"/>
              <w:left w:w="150" w:type="dxa"/>
              <w:right w:w="150" w:type="dxa"/>
            </w:tcMar>
            <w:vAlign w:val="center"/>
            <w:shd w:val="clear" w:color="auto" w:fill="E9EDF6"/>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5</w:t>
            </w:r>
          </w:p>
        </w:tc>
        <w:tc>
          <w:tcPr>
            <w:tcMar>
              <w:top w:w="100" w:type="dxa"/>
              <w:bottom w:w="100" w:type="dxa"/>
              <w:left w:w="150" w:type="dxa"/>
              <w:right w:w="150" w:type="dxa"/>
            </w:tcMar>
            <w:vAlign w:val="center"/>
            <w:shd w:val="clear" w:color="auto" w:fill="E9EDF6"/>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7</w:t>
            </w:r>
          </w:p>
        </w:tc>
        <w:tc>
          <w:tcPr>
            <w:tcMar>
              <w:top w:w="100" w:type="dxa"/>
              <w:bottom w:w="100" w:type="dxa"/>
              <w:left w:w="150" w:type="dxa"/>
              <w:right w:w="150" w:type="dxa"/>
            </w:tcMar>
            <w:vAlign w:val="center"/>
            <w:shd w:val="clear" w:color="auto" w:fill="E9EDF6"/>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9</w:t>
            </w:r>
          </w:p>
        </w:tc>
        <w:tc>
          <w:tcPr>
            <w:tcMar>
              <w:top w:w="100" w:type="dxa"/>
              <w:bottom w:w="100" w:type="dxa"/>
              <w:left w:w="150" w:type="dxa"/>
              <w:right w:w="150" w:type="dxa"/>
            </w:tcMar>
            <w:vAlign w:val="center"/>
            <w:shd w:val="clear" w:color="auto" w:fill="E9EDF6"/>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11</w:t>
            </w:r>
          </w:p>
        </w:tc>
        <w:tc>
          <w:tcPr>
            <w:tcMar>
              <w:top w:w="100" w:type="dxa"/>
              <w:bottom w:w="100" w:type="dxa"/>
              <w:left w:w="150" w:type="dxa"/>
              <w:right w:w="150" w:type="dxa"/>
            </w:tcMar>
            <w:vAlign w:val="center"/>
            <w:shd w:val="clear" w:color="auto" w:fill="E9EDF6"/>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13</w:t>
            </w:r>
          </w:p>
        </w:tc>
        <w:tc>
          <w:tcPr>
            <w:tcMar>
              <w:top w:w="100" w:type="dxa"/>
              <w:bottom w:w="100" w:type="dxa"/>
              <w:left w:w="150" w:type="dxa"/>
              <w:right w:w="150" w:type="dxa"/>
            </w:tcMar>
            <w:vAlign w:val="center"/>
            <w:shd w:val="clear" w:color="auto" w:fill="E9EDF6"/>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jc w:val="both"/>
      </w:pPr>
      <w:r>
        <w:rPr>
          <w:bCs/>
          <w:b/>
        </w:rPr>
        <w:t xml:space="preserve">Founding-Decade Addition: Risk 15 — Cybersecurity &amp; Data Breach</w:t>
      </w:r>
    </w:p>
    <w:p>
      <w:pPr>
        <w:pStyle w:val="BodyText"/>
        <w:jc w:val="both"/>
      </w:pPr>
      <w:r>
        <w:t xml:space="preserve">The 14 risks above are the register AMIU-MP-001 adopted at founding. A subsequent governance review identified one omission from that original register that could not wait for the Year-11 expansion window: a cybersecurity incident or student-data breach, given AMIU’s entirely online, globally distributed student body from Year 1. Section 37 (Compliance Framework) had already noted this exposure but treated it as a technical-control matter outside the register; that treatment is corrected here, since a breach of this kind carries reputational, regulatory, and enrollment consequences at least as severe as several risks already scored above (Risks 9 and 13), and a risk of that severity belongs in the register the Audit &amp; Risk Committee actually reviews quarterly, not left to be managed silently at the IT-operations level.</w:t>
      </w:r>
    </w:p>
    <w:tbl>
      <w:tblPr>
        <w:tblStyle w:val="Table"/>
        <w:tblW w:type="pct" w:w="5000"/>
        <w:tblLook w:firstRow="1" w:lastRow="0" w:firstColumn="0" w:lastColumn="0" w:noHBand="0" w:noVBand="0" w:val="0020"/>
        <w:jc w:val="start"/>
        <w:tblLayout w:type="fixed"/>
      </w:tblPr>
      <w:tblGrid>
        <w:gridCol w:w="747"/>
        <w:gridCol w:w="2501"/>
        <w:gridCol w:w="2582"/>
        <w:gridCol w:w="3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7"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501"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582"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242"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747" w:type="dxa"/>
          </w:tcPr>
          <w:p>
            <w:pPr>
              <w:pStyle w:val="Compact"/>
              <w:jc w:val="left"/>
            </w:pPr>
            <w:r>
              <w:t xml:space="preserve">15</w:t>
            </w:r>
          </w:p>
        </w:tc>
        <w:tc>
          <w:tcPr>
            <w:tcMar>
              <w:top w:w="100" w:type="dxa"/>
              <w:bottom w:w="100" w:type="dxa"/>
              <w:left w:w="150" w:type="dxa"/>
              <w:right w:w="150" w:type="dxa"/>
            </w:tcMar>
            <w:vAlign w:val="center"/>
            <w:shd w:val="clear" w:color="auto" w:fill="E9EDF6"/>
            <w:tcW w:w="2501" w:type="dxa"/>
          </w:tcPr>
          <w:p>
            <w:pPr>
              <w:pStyle w:val="Compact"/>
              <w:jc w:val="left"/>
            </w:pPr>
            <w:r>
              <w:t xml:space="preserve">Cybersecurity incident or student/financial data breach</w:t>
            </w:r>
          </w:p>
        </w:tc>
        <w:tc>
          <w:tcPr>
            <w:tcMar>
              <w:top w:w="100" w:type="dxa"/>
              <w:bottom w:w="100" w:type="dxa"/>
              <w:left w:w="150" w:type="dxa"/>
              <w:right w:w="150" w:type="dxa"/>
            </w:tcMar>
            <w:vAlign w:val="center"/>
            <w:shd w:val="clear" w:color="auto" w:fill="E9EDF6"/>
            <w:tcW w:w="2582" w:type="dxa"/>
          </w:tcPr>
          <w:p>
            <w:pPr>
              <w:pStyle w:val="Compact"/>
              <w:jc w:val="left"/>
            </w:pPr>
            <w:r>
              <w:t xml:space="preserve">Moderate/High</w:t>
            </w:r>
          </w:p>
        </w:tc>
        <w:tc>
          <w:tcPr>
            <w:tcMar>
              <w:top w:w="100" w:type="dxa"/>
              <w:bottom w:w="100" w:type="dxa"/>
              <w:left w:w="150" w:type="dxa"/>
              <w:right w:w="150" w:type="dxa"/>
            </w:tcMar>
            <w:vAlign w:val="center"/>
            <w:shd w:val="clear" w:color="auto" w:fill="E9EDF6"/>
            <w:tcW w:w="3242" w:type="dxa"/>
          </w:tcPr>
          <w:p>
            <w:pPr>
              <w:pStyle w:val="Compact"/>
              <w:jc w:val="left"/>
            </w:pPr>
            <w:r>
              <w:t xml:space="preserve">LMS &amp; Technology Infrastructure line (5%) funds technical controls (access management, encryption, breach-response retainer); Data Privacy &amp; Security Policy (OPS-016) and Backup &amp; Disaster Recovery Plan (OPS-017) govern response; Audit &amp; Risk Committee receives incident reports within 72 hours of detection and quarterly control-testing results year-round, not only upon incident</w:t>
            </w:r>
          </w:p>
        </w:tc>
      </w:tr>
    </w:tbl>
    <w:p>
      <w:pPr>
        <w:pStyle w:val="BodyText"/>
        <w:jc w:val="both"/>
      </w:pPr>
      <w:r>
        <w:t xml:space="preserve">Risk 15 is scored and reviewed on the same cadence as Risks 1–14 from Year 1 (2028) — it is a founding-decade risk, not a Year-11+ expansion risk. Its mitigation funding remains inside the existing LMS &amp; Technology Infrastructure line rather than a new budget category, consistent with this section’s proportionate-resourcing discipline, but its presence in the register ensures it receives Board-level visibility rather than purely operational handling.</w:t>
      </w:r>
    </w:p>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16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17 — Nigeria NUC compliance risk</w:t>
      </w:r>
      <w:r>
        <w:t xml:space="preserve"> </w:t>
      </w:r>
      <w:r>
        <w:t xml:space="preserve">(National Universities Commission approval separate from NAQAA/Texas tracks);</w:t>
      </w:r>
      <w:r>
        <w:t xml:space="preserve"> </w:t>
      </w:r>
      <w:r>
        <w:rPr>
          <w:bCs/>
          <w:b/>
        </w:rPr>
        <w:t xml:space="preserve">Risk 18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1–15,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15 (growing to 18+)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Risk 15 (cybersecurity/data breach) added at founding. 2029–2030: external audit cadence established. 2030 (Yr 3): succession plans documented (Risk 12 closes). 2033 (Yr 6): coordinator reaches 1.0 FTE. 2037 (Yr 10): founding-decade risk retrospective delivered to Board. 2038 (Yr 11): Risks 16–18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2027–2028</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E9EDF6"/>
          </w:tcPr>
          <w:p>
            <w:pPr>
              <w:pStyle w:val="Compact"/>
              <w:jc w:val="left"/>
              <w:suppressAutoHyphens/>
            </w:pPr>
            <w:r>
              <w:t xml:space="preserve">~$1,015</w:t>
            </w:r>
          </w:p>
        </w:tc>
        <w:tc>
          <w:tcPr>
            <w:tcMar>
              <w:top w:w="100" w:type="dxa"/>
              <w:bottom w:w="100" w:type="dxa"/>
              <w:left w:w="150" w:type="dxa"/>
              <w:right w:w="150" w:type="dxa"/>
            </w:tcMar>
            <w:vAlign w:val="center"/>
            <w:shd w:val="clear" w:color="auto" w:fill="E9EDF6"/>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E9EDF6"/>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Ongoing</w:t>
            </w:r>
          </w:p>
        </w:tc>
        <w:tc>
          <w:tcPr>
            <w:tcMar>
              <w:top w:w="100" w:type="dxa"/>
              <w:bottom w:w="100" w:type="dxa"/>
              <w:left w:w="150" w:type="dxa"/>
              <w:right w:w="150" w:type="dxa"/>
            </w:tcMar>
            <w:vAlign w:val="center"/>
            <w:shd w:val="clear" w:color="auto" w:fill="E9EDF6"/>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Risk 11 (accreditation candidacy delay — mitigated by framing candidacy as reserve-funded, not survival-dependent), and Risk 15 (cybersecurity/data breach — see Section 36). Risk 15’s mitigation cost sits inside the existing LMS &amp; Technology Infrastructure line (5%) rather than a new budget category, since it is a technical-control matter, but it is scored and reviewed as a full register item, not handled as an operational matter with no Board-level visibility.</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0"/>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E9EDF6"/>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E9EDF6"/>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E9EDF6"/>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E9EDF6"/>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E9EDF6"/>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E9EDF6"/>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E9EDF6"/>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2029–2031</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2027 (Dec 6)</w:t>
            </w:r>
          </w:p>
        </w:tc>
        <w:tc>
          <w:tcPr>
            <w:tcMar>
              <w:top w:w="100" w:type="dxa"/>
              <w:bottom w:w="100" w:type="dxa"/>
              <w:left w:w="150" w:type="dxa"/>
              <w:right w:w="150" w:type="dxa"/>
            </w:tcMar>
            <w:vAlign w:val="center"/>
            <w:shd w:val="clear" w:color="auto" w:fill="E9EDF6"/>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E9EDF6"/>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2029 (Yr 2)</w:t>
            </w:r>
          </w:p>
        </w:tc>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2031 (Yr 4)</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E9EDF6"/>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2033 (Yr 6)</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E9EDF6"/>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2037 (Yr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E9EDF6"/>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16–18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2041 (Yr 14)</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E9EDF6"/>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1</w:t>
            </w:r>
          </w:p>
        </w:tc>
        <w:tc>
          <w:tcPr>
            <w:tcMar>
              <w:top w:w="100" w:type="dxa"/>
              <w:bottom w:w="100" w:type="dxa"/>
              <w:left w:w="150" w:type="dxa"/>
              <w:right w:w="150" w:type="dxa"/>
            </w:tcMar>
            <w:vAlign w:val="center"/>
            <w:shd w:val="clear" w:color="auto" w:fill="E9EDF6"/>
            <w:tcW w:w="1758" w:type="dxa"/>
          </w:tcPr>
          <w:p>
            <w:pPr>
              <w:pStyle w:val="Compact"/>
              <w:jc w:val="left"/>
            </w:pPr>
            <w:r>
              <w:t xml:space="preserve">2028</w:t>
            </w:r>
          </w:p>
        </w:tc>
        <w:tc>
          <w:tcPr>
            <w:tcMar>
              <w:top w:w="100" w:type="dxa"/>
              <w:bottom w:w="100" w:type="dxa"/>
              <w:left w:w="150" w:type="dxa"/>
              <w:right w:w="150" w:type="dxa"/>
            </w:tcMar>
            <w:vAlign w:val="center"/>
            <w:shd w:val="clear" w:color="auto" w:fill="E9EDF6"/>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E9EDF6"/>
            <w:tcW w:w="1647" w:type="dxa"/>
          </w:tcPr>
          <w:p>
            <w:pPr>
              <w:pStyle w:val="Compact"/>
              <w:jc w:val="left"/>
            </w:pPr>
            <w:r>
              <w:t xml:space="preserve">RED</w:t>
            </w:r>
          </w:p>
        </w:tc>
        <w:tc>
          <w:tcPr>
            <w:tcMar>
              <w:top w:w="100" w:type="dxa"/>
              <w:bottom w:w="100" w:type="dxa"/>
              <w:left w:w="150" w:type="dxa"/>
              <w:right w:w="150" w:type="dxa"/>
            </w:tcMar>
            <w:vAlign w:val="center"/>
            <w:shd w:val="clear" w:color="auto" w:fill="E9EDF6"/>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3</w:t>
            </w:r>
          </w:p>
        </w:tc>
        <w:tc>
          <w:tcPr>
            <w:tcMar>
              <w:top w:w="100" w:type="dxa"/>
              <w:bottom w:w="100" w:type="dxa"/>
              <w:left w:w="150" w:type="dxa"/>
              <w:right w:w="150" w:type="dxa"/>
            </w:tcMar>
            <w:vAlign w:val="center"/>
            <w:shd w:val="clear" w:color="auto" w:fill="E9EDF6"/>
            <w:tcW w:w="1758" w:type="dxa"/>
          </w:tcPr>
          <w:p>
            <w:pPr>
              <w:pStyle w:val="Compact"/>
              <w:jc w:val="left"/>
            </w:pPr>
            <w:r>
              <w:t xml:space="preserve">2030</w:t>
            </w:r>
          </w:p>
        </w:tc>
        <w:tc>
          <w:tcPr>
            <w:tcMar>
              <w:top w:w="100" w:type="dxa"/>
              <w:bottom w:w="100" w:type="dxa"/>
              <w:left w:w="150" w:type="dxa"/>
              <w:right w:w="150" w:type="dxa"/>
            </w:tcMar>
            <w:vAlign w:val="center"/>
            <w:shd w:val="clear" w:color="auto" w:fill="E9EDF6"/>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E9EDF6"/>
            <w:tcW w:w="1647" w:type="dxa"/>
          </w:tcPr>
          <w:p>
            <w:pPr>
              <w:pStyle w:val="Compact"/>
              <w:jc w:val="left"/>
            </w:pPr>
            <w:r>
              <w:t xml:space="preserve">AMBER</w:t>
            </w:r>
          </w:p>
        </w:tc>
        <w:tc>
          <w:tcPr>
            <w:tcMar>
              <w:top w:w="100" w:type="dxa"/>
              <w:bottom w:w="100" w:type="dxa"/>
              <w:left w:w="150" w:type="dxa"/>
              <w:right w:w="150" w:type="dxa"/>
            </w:tcMar>
            <w:vAlign w:val="center"/>
            <w:shd w:val="clear" w:color="auto" w:fill="E9EDF6"/>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6–10</w:t>
            </w:r>
          </w:p>
        </w:tc>
        <w:tc>
          <w:tcPr>
            <w:tcMar>
              <w:top w:w="100" w:type="dxa"/>
              <w:bottom w:w="100" w:type="dxa"/>
              <w:left w:w="150" w:type="dxa"/>
              <w:right w:w="150" w:type="dxa"/>
            </w:tcMar>
            <w:vAlign w:val="center"/>
            <w:shd w:val="clear" w:color="auto" w:fill="E9EDF6"/>
            <w:tcW w:w="1758" w:type="dxa"/>
          </w:tcPr>
          <w:p>
            <w:pPr>
              <w:pStyle w:val="Compact"/>
              <w:jc w:val="left"/>
            </w:pPr>
            <w:r>
              <w:t xml:space="preserve">2033–2037</w:t>
            </w:r>
          </w:p>
        </w:tc>
        <w:tc>
          <w:tcPr>
            <w:tcMar>
              <w:top w:w="100" w:type="dxa"/>
              <w:bottom w:w="100" w:type="dxa"/>
              <w:left w:w="150" w:type="dxa"/>
              <w:right w:w="150" w:type="dxa"/>
            </w:tcMar>
            <w:vAlign w:val="center"/>
            <w:shd w:val="clear" w:color="auto" w:fill="E9EDF6"/>
            <w:tcW w:w="1903" w:type="dxa"/>
          </w:tcPr>
          <w:p>
            <w:pPr>
              <w:pStyle w:val="Compact"/>
              <w:jc w:val="left"/>
            </w:pPr>
            <w:r>
              <w:t xml:space="preserve">Expansion</w:t>
            </w:r>
          </w:p>
        </w:tc>
        <w:tc>
          <w:tcPr>
            <w:tcMar>
              <w:top w:w="100" w:type="dxa"/>
              <w:bottom w:w="100" w:type="dxa"/>
              <w:left w:w="150" w:type="dxa"/>
              <w:right w:w="150" w:type="dxa"/>
            </w:tcMar>
            <w:vAlign w:val="center"/>
            <w:shd w:val="clear" w:color="auto" w:fill="E9EDF6"/>
            <w:tcW w:w="1647" w:type="dxa"/>
          </w:tcPr>
          <w:p>
            <w:pPr>
              <w:pStyle w:val="Compact"/>
              <w:jc w:val="left"/>
            </w:pPr>
            <w:r>
              <w:t xml:space="preserve">GREEN</w:t>
            </w:r>
          </w:p>
        </w:tc>
        <w:tc>
          <w:tcPr>
            <w:tcMar>
              <w:top w:w="100" w:type="dxa"/>
              <w:bottom w:w="100" w:type="dxa"/>
              <w:left w:w="150" w:type="dxa"/>
              <w:right w:w="150" w:type="dxa"/>
            </w:tcMar>
            <w:vAlign w:val="center"/>
            <w:shd w:val="clear" w:color="auto" w:fill="E9EDF6"/>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E9EDF6"/>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E9EDF6"/>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E9EDF6"/>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E9EDF6"/>
            <w:tcW w:w="1901" w:type="dxa"/>
          </w:tcPr>
          <w:p>
            <w:pPr>
              <w:pStyle w:val="Compact"/>
              <w:jc w:val="left"/>
            </w:pPr>
            <w:r>
              <w:t xml:space="preserve">AMIU</w:t>
            </w:r>
          </w:p>
        </w:tc>
        <w:tc>
          <w:tcPr>
            <w:tcMar>
              <w:top w:w="100" w:type="dxa"/>
              <w:bottom w:w="100" w:type="dxa"/>
              <w:left w:w="150" w:type="dxa"/>
              <w:right w:w="150" w:type="dxa"/>
            </w:tcMar>
            <w:vAlign w:val="center"/>
            <w:shd w:val="clear" w:color="auto" w:fill="E9EDF6"/>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E9EDF6"/>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E9EDF6"/>
          </w:tcPr>
          <w:p>
            <w:pPr>
              <w:pStyle w:val="Compact"/>
              <w:jc w:val="left"/>
              <w:suppressAutoHyphens/>
            </w:pPr>
            <w:r>
              <w:t xml:space="preserve">$4,495</w:t>
            </w:r>
          </w:p>
        </w:tc>
        <w:tc>
          <w:tcPr>
            <w:tcMar>
              <w:top w:w="100" w:type="dxa"/>
              <w:bottom w:w="100" w:type="dxa"/>
              <w:left w:w="150" w:type="dxa"/>
              <w:right w:w="150" w:type="dxa"/>
            </w:tcMar>
            <w:vAlign w:val="center"/>
            <w:shd w:val="clear" w:color="auto" w:fill="E9EDF6"/>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E9EDF6"/>
          </w:tcPr>
          <w:p>
            <w:pPr>
              <w:pStyle w:val="Compact"/>
              <w:jc w:val="left"/>
              <w:suppressAutoHyphens/>
            </w:pPr>
            <w:r>
              <w:t xml:space="preserve">$13,523</w:t>
            </w:r>
          </w:p>
        </w:tc>
        <w:tc>
          <w:tcPr>
            <w:tcMar>
              <w:top w:w="100" w:type="dxa"/>
              <w:bottom w:w="100" w:type="dxa"/>
              <w:left w:w="150" w:type="dxa"/>
              <w:right w:w="150" w:type="dxa"/>
            </w:tcMar>
            <w:vAlign w:val="center"/>
            <w:shd w:val="clear" w:color="auto" w:fill="E9EDF6"/>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E9EDF6"/>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E9EDF6"/>
            <w:tcW w:w="2640" w:type="dxa"/>
          </w:tcPr>
          <w:p>
            <w:pPr>
              <w:pStyle w:val="Compact"/>
              <w:jc w:val="left"/>
            </w:pPr>
            <w:r>
              <w:t xml:space="preserve">33</w:t>
            </w:r>
          </w:p>
        </w:tc>
        <w:tc>
          <w:tcPr>
            <w:tcMar>
              <w:top w:w="100" w:type="dxa"/>
              <w:bottom w:w="100" w:type="dxa"/>
              <w:left w:w="150" w:type="dxa"/>
              <w:right w:w="150" w:type="dxa"/>
            </w:tcMar>
            <w:vAlign w:val="center"/>
            <w:shd w:val="clear" w:color="auto" w:fill="E9EDF6"/>
            <w:tcW w:w="2273" w:type="dxa"/>
          </w:tcPr>
          <w:p>
            <w:pPr>
              <w:pStyle w:val="Compact"/>
              <w:jc w:val="left"/>
            </w:pPr>
            <w:r>
              <w:t xml:space="preserve">64</w:t>
            </w:r>
          </w:p>
        </w:tc>
        <w:tc>
          <w:tcPr>
            <w:tcMar>
              <w:top w:w="100" w:type="dxa"/>
              <w:bottom w:w="100" w:type="dxa"/>
              <w:left w:w="150" w:type="dxa"/>
              <w:right w:w="150" w:type="dxa"/>
            </w:tcMar>
            <w:vAlign w:val="center"/>
            <w:shd w:val="clear" w:color="auto" w:fill="E9EDF6"/>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E9EDF6"/>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E9EDF6"/>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Source Serif 4" w:hAnsi="Source Serif 4"/>
                <w:i/>
                <w:smallCaps/>
                <w:color w:val="B08625"/>
                <w:b/>
                <w:sz w:val="18"/>
                <w:spacing w:val="10"/>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E9EDF6"/>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E9EDF6"/>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E9EDF6"/>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w:t>
            </w:r>
          </w:p>
        </w:tc>
        <w:tc>
          <w:tcPr>
            <w:tcMar>
              <w:top w:w="100" w:type="dxa"/>
              <w:bottom w:w="100" w:type="dxa"/>
              <w:left w:w="150" w:type="dxa"/>
              <w:right w:w="150" w:type="dxa"/>
            </w:tcMar>
            <w:vAlign w:val="center"/>
            <w:shd w:val="clear" w:color="auto" w:fill="E9EDF6"/>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E9EDF6"/>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w:t>
            </w:r>
          </w:p>
        </w:tc>
        <w:tc>
          <w:tcPr>
            <w:tcMar>
              <w:top w:w="100" w:type="dxa"/>
              <w:bottom w:w="100" w:type="dxa"/>
              <w:left w:w="150" w:type="dxa"/>
              <w:right w:w="150" w:type="dxa"/>
            </w:tcMar>
            <w:vAlign w:val="center"/>
            <w:shd w:val="clear" w:color="auto" w:fill="E9EDF6"/>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35%</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Source Serif 4" w:hAnsi="Source Serif 4"/>
                <w:i/>
                <w:smallCaps/>
                <w:color w:val="B08625"/>
                <w:sz w:val="18"/>
                <w:spacing w:val="8"/>
              </w:rPr>
              <w:t>Strategic Implementation Blueprint · 2028–2050 · AMIU-SB-002</w:t>
            </w:r>
          </w:p>
          <w:p>
            <w:pPr>
              <w:jc w:val="center"/>
              <w:spacing w:before="0" w:after="0"/>
              <w:suppressAutoHyphens/>
            </w:pPr>
            <w:r>
              <w:rPr>
                <w:rFonts w:ascii="Source Serif 4" w:hAnsi="Source Serif 4"/>
                <w:i/>
                <w:smallCaps/>
                <w:color w:val="8C97AB"/>
                <w:sz w:val="16"/>
                <w:spacing w:val="8"/>
              </w:rPr>
              <w:t>edu.amiu.com  ·  info@edu.amiu.com  ·  Texas-Domiciled, Religiously Exempt  ·  Incorporated 6 December 2027</w:t>
            </w:r>
          </w:p>
          <w:p>
            <w:pPr>
              <w:jc w:val="center"/>
              <w:spacing w:before="240" w:after="0"/>
              <w:suppressAutoHyphens/>
            </w:pPr>
            <w:r>
              <w:rPr>
                <w:rFonts w:ascii="Source Serif 4" w:hAnsi="Source Serif 4"/>
                <w:i/>
                <w:smallCaps/>
                <w:color w:val="8C97AB"/>
                <w:sz w:val="15"/>
              </w:rPr>
              <w:t>This document is a strategic planning model prepared for Board, Senate, and accreditation-body decision-making.</w:t>
            </w:r>
          </w:p>
          <w:p>
            <w:pPr>
              <w:jc w:val="center"/>
              <w:spacing w:before="0" w:after="0"/>
              <w:suppressAutoHyphens/>
            </w:pPr>
            <w:r>
              <w:rPr>
                <w:rFonts w:ascii="Source Serif 4" w:hAnsi="Source Serif 4"/>
                <w:i/>
                <w:smallCaps/>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2026-07-27T14:43:05Z</dcterms:created>
  <dcterms:modified xsi:type="dcterms:W3CDTF">2026-07-27T14:43:05Z</dcterms:modified>
</cp:coreProperties>
</file>

<file path=docProps/custom.xml><?xml version="1.0" encoding="utf-8"?>
<Properties xmlns="http://schemas.openxmlformats.org/officeDocument/2006/custom-properties" xmlns:vt="http://schemas.openxmlformats.org/officeDocument/2006/docPropsVTypes"/>
</file>