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3"/>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FLAGSHIP GOVERNANCE EDITION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Archivo SemiBold" w:hAnsi="Archivo SemiBold"/>
                <w:color w:val="8C97AB"/>
                <w:sz w:val="20"/>
                <w:spacing w:val="18"/>
              </w:rPr>
              <w:t>2028</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AMIU-CON-001</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 No.</w:t>
            </w:r>
          </w:p>
        </w:tc>
        <w:tc>
          <w:tcPr/>
          <w:p>
            <w:pPr>
              <w:pStyle w:val="Compact"/>
              <w:jc w:val="left"/>
              <w:suppressAutoHyphens/>
            </w:pPr>
            <w:r>
              <w:t xml:space="preserve">AMIU-CON-001</w:t>
            </w:r>
          </w:p>
        </w:tc>
      </w:tr>
      <w:tr>
        <w:trPr>
          <w:cantSplit/>
        </w:trPr>
        <w:tc>
          <w:tcPr/>
          <w:p>
            <w:pPr>
              <w:pStyle w:val="Compact"/>
              <w:jc w:val="left"/>
              <w:suppressAutoHyphens/>
            </w:pPr>
            <w:r>
              <w:rPr>
                <w:bCs/>
                <w:b/>
              </w:rPr>
              <w:t xml:space="preserve">Version</w:t>
            </w:r>
          </w:p>
        </w:tc>
        <w:tc>
          <w:tcPr/>
          <w:p>
            <w:pPr>
              <w:pStyle w:val="Compact"/>
              <w:jc w:val="left"/>
              <w:suppressAutoHyphens/>
            </w:pPr>
            <w:r>
              <w:t xml:space="preserve">6.0 (Complete Comprehensive Edition)</w:t>
            </w:r>
          </w:p>
        </w:tc>
      </w:tr>
      <w:tr>
        <w:trPr>
          <w:cantSplit/>
        </w:trPr>
        <w:tc>
          <w:tcPr/>
          <w:p>
            <w:pPr>
              <w:pStyle w:val="Compact"/>
              <w:jc w:val="left"/>
              <w:suppressAutoHyphens/>
            </w:pPr>
            <w:r>
              <w:rPr>
                <w:bCs/>
                <w:b/>
              </w:rP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rPr>
                <w:bCs/>
                <w:b/>
              </w:rPr>
              <w:t xml:space="preserve">Classification</w:t>
            </w:r>
          </w:p>
        </w:tc>
        <w:tc>
          <w:tcPr/>
          <w:p>
            <w:pPr>
              <w:pStyle w:val="Compact"/>
              <w:jc w:val="left"/>
              <w:suppressAutoHyphens/>
            </w:pPr>
            <w:r>
              <w:t xml:space="preserve">Public — All Stakeholders</w:t>
            </w:r>
          </w:p>
        </w:tc>
      </w:tr>
      <w:tr>
        <w:trPr>
          <w:cantSplit/>
        </w:trPr>
        <w:tc>
          <w:tcPr/>
          <w:p>
            <w:pPr>
              <w:pStyle w:val="Compact"/>
              <w:jc w:val="left"/>
              <w:suppressAutoHyphens/>
            </w:pPr>
            <w:r>
              <w:rPr>
                <w:bCs/>
                <w:b/>
              </w:rPr>
              <w:t xml:space="preserve">Supersedes</w:t>
            </w:r>
          </w:p>
        </w:tc>
        <w:tc>
          <w:tcPr/>
          <w:p>
            <w:pPr>
              <w:pStyle w:val="Compact"/>
              <w:jc w:val="left"/>
              <w:suppressAutoHyphens/>
            </w:pPr>
            <w:r>
              <w:t xml:space="preserve">All prior governing documents of Al-Mulk International University</w:t>
            </w:r>
          </w:p>
        </w:tc>
      </w:tr>
      <w:tr>
        <w:trPr>
          <w:cantSplit/>
        </w:trPr>
        <w:tc>
          <w:tcPr/>
          <w:p>
            <w:pPr>
              <w:pStyle w:val="Compact"/>
              <w:jc w:val="left"/>
              <w:suppressAutoHyphens/>
            </w:pPr>
            <w:r>
              <w:rPr>
                <w:bCs/>
                <w:b/>
              </w:rPr>
              <w:t xml:space="preserve">Companion Volume</w:t>
            </w:r>
          </w:p>
        </w:tc>
        <w:tc>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w:t>
            </w:r>
          </w:p>
        </w:tc>
        <w:tc>
          <w:tcPr/>
          <w:p>
            <w:pPr>
              <w:pStyle w:val="Compact"/>
              <w:jc w:val="right"/>
              <w:suppressAutoHyphens/>
            </w:pPr>
            <w:r>
              <w:rPr>
                <w:bCs/>
                <w:b/>
              </w:rPr>
              <w:t xml:space="preserve">3</w:t>
            </w:r>
          </w:p>
        </w:tc>
      </w:tr>
      <w:tr>
        <w:trPr>
          <w:cantSplit/>
        </w:trPr>
        <w:tc>
          <w:tcPr/>
          <w:p>
            <w:pPr>
              <w:pStyle w:val="Compact"/>
              <w:jc w:val="left"/>
              <w:suppressAutoHyphens/>
            </w:pPr>
            <w:r>
              <w:rPr>
                <w:bCs/>
                <w:b/>
              </w:rPr>
              <w:t xml:space="preserve">Constitutional Declaration</w:t>
            </w:r>
          </w:p>
        </w:tc>
        <w:tc>
          <w:tcPr/>
          <w:p>
            <w:pPr>
              <w:pStyle w:val="Compact"/>
              <w:jc w:val="right"/>
              <w:suppressAutoHyphens/>
            </w:pPr>
            <w:r>
              <w:rPr>
                <w:bCs/>
                <w:b/>
              </w:rPr>
              <w:t xml:space="preserve">4</w:t>
            </w:r>
          </w:p>
        </w:tc>
      </w:tr>
      <w:tr>
        <w:trPr>
          <w:cantSplit/>
        </w:trPr>
        <w:tc>
          <w:tcPr/>
          <w:p>
            <w:pPr>
              <w:pStyle w:val="Compact"/>
              <w:jc w:val="left"/>
              <w:suppressAutoHyphens/>
            </w:pPr>
            <w:r>
              <w:rPr>
                <w:bCs/>
                <w:b/>
              </w:rPr>
              <w:t xml:space="preserve">Preamble</w:t>
            </w:r>
          </w:p>
        </w:tc>
        <w:tc>
          <w:tcPr/>
          <w:p>
            <w:pPr>
              <w:pStyle w:val="Compact"/>
              <w:jc w:val="right"/>
              <w:suppressAutoHyphens/>
            </w:pPr>
            <w:r>
              <w:rPr>
                <w:bCs/>
                <w:b/>
              </w:rPr>
              <w:t xml:space="preserve">5</w:t>
            </w:r>
          </w:p>
        </w:tc>
      </w:tr>
      <w:tr>
        <w:trPr>
          <w:cantSplit/>
        </w:trPr>
        <w:tc>
          <w:tcPr/>
          <w:p>
            <w:pPr>
              <w:pStyle w:val="Compact"/>
              <w:jc w:val="left"/>
              <w:suppressAutoHyphens/>
            </w:pPr>
            <w:r>
              <w:rPr>
                <w:bCs/>
                <w:b/>
              </w:rPr>
              <w:t xml:space="preserve">Governance Architecture</w:t>
            </w:r>
          </w:p>
        </w:tc>
        <w:tc>
          <w:tcPr/>
          <w:p>
            <w:pPr>
              <w:pStyle w:val="Compact"/>
              <w:jc w:val="right"/>
              <w:suppressAutoHyphens/>
            </w:pPr>
            <w:r>
              <w:rPr>
                <w:bCs/>
                <w:b/>
              </w:rPr>
              <w:t xml:space="preserve">6</w:t>
            </w:r>
          </w:p>
        </w:tc>
      </w:tr>
      <w:tr>
        <w:trPr>
          <w:cantSplit/>
        </w:trPr>
        <w:tc>
          <w:tcPr/>
          <w:p>
            <w:pPr>
              <w:pStyle w:val="Compact"/>
              <w:jc w:val="left"/>
              <w:suppressAutoHyphens/>
            </w:pPr>
            <w:r>
              <w:rPr>
                <w:bCs/>
                <w:b/>
              </w:rPr>
              <w:t xml:space="preserve">Academic Framework</w:t>
            </w:r>
          </w:p>
        </w:tc>
        <w:tc>
          <w:tcPr/>
          <w:p>
            <w:pPr>
              <w:pStyle w:val="Compact"/>
              <w:jc w:val="right"/>
              <w:suppressAutoHyphens/>
            </w:pPr>
            <w:r>
              <w:rPr>
                <w:bCs/>
                <w:b/>
              </w:rPr>
              <w:t xml:space="preserve">7</w:t>
            </w:r>
          </w:p>
        </w:tc>
      </w:tr>
      <w:tr>
        <w:trPr>
          <w:cantSplit/>
        </w:trPr>
        <w:tc>
          <w:tcPr/>
          <w:p>
            <w:pPr>
              <w:pStyle w:val="Compact"/>
              <w:jc w:val="left"/>
              <w:suppressAutoHyphens/>
            </w:pPr>
            <w:r>
              <w:rPr>
                <w:bCs/>
                <w:b/>
              </w:rPr>
              <w:t xml:space="preserve">The ISLAMIC Framework</w:t>
            </w:r>
          </w:p>
        </w:tc>
        <w:tc>
          <w:tcPr/>
          <w:p>
            <w:pPr>
              <w:pStyle w:val="Compact"/>
              <w:jc w:val="right"/>
              <w:suppressAutoHyphens/>
            </w:pPr>
            <w:r>
              <w:rPr>
                <w:bCs/>
                <w:b/>
              </w:rPr>
              <w:t xml:space="preserve">8</w:t>
            </w:r>
          </w:p>
        </w:tc>
      </w:tr>
      <w:tr>
        <w:trPr>
          <w:cantSplit/>
        </w:trPr>
        <w:tc>
          <w:tcPr/>
          <w:p>
            <w:pPr>
              <w:pStyle w:val="Compact"/>
              <w:jc w:val="left"/>
              <w:suppressAutoHyphens/>
            </w:pPr>
            <w:r>
              <w:rPr>
                <w:bCs/>
                <w:b/>
              </w:rPr>
              <w:t xml:space="preserve">Article I — Definitions</w:t>
            </w:r>
          </w:p>
        </w:tc>
        <w:tc>
          <w:tcPr/>
          <w:p>
            <w:pPr>
              <w:pStyle w:val="Compact"/>
              <w:jc w:val="right"/>
              <w:suppressAutoHyphens/>
            </w:pPr>
            <w:r>
              <w:rPr>
                <w:bCs/>
                <w:b/>
              </w:rPr>
              <w:t xml:space="preserve">12</w:t>
            </w:r>
          </w:p>
        </w:tc>
      </w:tr>
      <w:tr>
        <w:trPr>
          <w:cantSplit/>
        </w:trPr>
        <w:tc>
          <w:tcPr/>
          <w:p>
            <w:pPr>
              <w:pStyle w:val="Compact"/>
              <w:jc w:val="left"/>
              <w:suppressAutoHyphens/>
            </w:pPr>
            <w:r>
              <w:rPr>
                <w:bCs/>
                <w:b/>
              </w:rPr>
              <w:t xml:space="preserve">Article II — Legal Identity</w:t>
            </w:r>
          </w:p>
        </w:tc>
        <w:tc>
          <w:tcPr/>
          <w:p>
            <w:pPr>
              <w:pStyle w:val="Compact"/>
              <w:jc w:val="right"/>
              <w:suppressAutoHyphens/>
            </w:pPr>
            <w:r>
              <w:rPr>
                <w:bCs/>
                <w:b/>
              </w:rPr>
              <w:t xml:space="preserve">17</w:t>
            </w:r>
          </w:p>
        </w:tc>
      </w:tr>
      <w:tr>
        <w:trPr>
          <w:cantSplit/>
        </w:trPr>
        <w:tc>
          <w:tcPr/>
          <w:p>
            <w:pPr>
              <w:pStyle w:val="Compact"/>
              <w:jc w:val="left"/>
              <w:suppressAutoHyphens/>
            </w:pPr>
            <w:r>
              <w:rPr>
                <w:bCs/>
                <w:b/>
              </w:rPr>
              <w:t xml:space="preserve">Article III — Mission, Vision and Values</w:t>
            </w:r>
          </w:p>
        </w:tc>
        <w:tc>
          <w:tcPr/>
          <w:p>
            <w:pPr>
              <w:pStyle w:val="Compact"/>
              <w:jc w:val="right"/>
              <w:suppressAutoHyphens/>
            </w:pPr>
            <w:r>
              <w:rPr>
                <w:bCs/>
                <w:b/>
              </w:rPr>
              <w:t xml:space="preserve">22</w:t>
            </w:r>
          </w:p>
        </w:tc>
      </w:tr>
      <w:tr>
        <w:trPr>
          <w:cantSplit/>
        </w:trPr>
        <w:tc>
          <w:tcPr/>
          <w:p>
            <w:pPr>
              <w:pStyle w:val="Compact"/>
              <w:jc w:val="left"/>
              <w:suppressAutoHyphens/>
            </w:pPr>
            <w:r>
              <w:rPr>
                <w:bCs/>
                <w:b/>
              </w:rPr>
              <w:t xml:space="preserve">Article IV — Interpretation</w:t>
            </w:r>
          </w:p>
        </w:tc>
        <w:tc>
          <w:tcPr/>
          <w:p>
            <w:pPr>
              <w:pStyle w:val="Compact"/>
              <w:jc w:val="right"/>
              <w:suppressAutoHyphens/>
            </w:pPr>
            <w:r>
              <w:rPr>
                <w:bCs/>
                <w:b/>
              </w:rPr>
              <w:t xml:space="preserve">26</w:t>
            </w:r>
          </w:p>
        </w:tc>
      </w:tr>
      <w:tr>
        <w:trPr>
          <w:cantSplit/>
        </w:trPr>
        <w:tc>
          <w:tcPr/>
          <w:p>
            <w:pPr>
              <w:pStyle w:val="Compact"/>
              <w:jc w:val="left"/>
              <w:suppressAutoHyphens/>
            </w:pPr>
            <w:r>
              <w:rPr>
                <w:bCs/>
                <w:b/>
              </w:rPr>
              <w:t xml:space="preserve">Article V — Governance Structure</w:t>
            </w:r>
          </w:p>
        </w:tc>
        <w:tc>
          <w:tcPr/>
          <w:p>
            <w:pPr>
              <w:pStyle w:val="Compact"/>
              <w:jc w:val="right"/>
              <w:suppressAutoHyphens/>
            </w:pPr>
            <w:r>
              <w:rPr>
                <w:bCs/>
                <w:b/>
              </w:rPr>
              <w:t xml:space="preserve">29</w:t>
            </w:r>
          </w:p>
        </w:tc>
      </w:tr>
      <w:tr>
        <w:trPr>
          <w:cantSplit/>
        </w:trPr>
        <w:tc>
          <w:tcPr/>
          <w:p>
            <w:pPr>
              <w:pStyle w:val="Compact"/>
              <w:jc w:val="left"/>
              <w:suppressAutoHyphens/>
            </w:pPr>
            <w:r>
              <w:rPr>
                <w:bCs/>
                <w:b/>
              </w:rPr>
              <w:t xml:space="preserve">Article VI — Board of Trustees</w:t>
            </w:r>
          </w:p>
        </w:tc>
        <w:tc>
          <w:tcPr/>
          <w:p>
            <w:pPr>
              <w:pStyle w:val="Compact"/>
              <w:jc w:val="right"/>
              <w:suppressAutoHyphens/>
            </w:pPr>
            <w:r>
              <w:rPr>
                <w:bCs/>
                <w:b/>
              </w:rPr>
              <w:t xml:space="preserve">33</w:t>
            </w:r>
          </w:p>
        </w:tc>
      </w:tr>
      <w:tr>
        <w:trPr>
          <w:cantSplit/>
        </w:trPr>
        <w:tc>
          <w:tcPr/>
          <w:p>
            <w:pPr>
              <w:pStyle w:val="Compact"/>
              <w:jc w:val="left"/>
              <w:suppressAutoHyphens/>
            </w:pPr>
            <w:r>
              <w:rPr>
                <w:bCs/>
                <w:b/>
              </w:rPr>
              <w:t xml:space="preserve">Article VII — President &amp; Vice-Chancellor</w:t>
            </w:r>
          </w:p>
        </w:tc>
        <w:tc>
          <w:tcPr/>
          <w:p>
            <w:pPr>
              <w:pStyle w:val="Compact"/>
              <w:jc w:val="right"/>
              <w:suppressAutoHyphens/>
            </w:pPr>
            <w:r>
              <w:rPr>
                <w:bCs/>
                <w:b/>
              </w:rPr>
              <w:t xml:space="preserve">41</w:t>
            </w:r>
          </w:p>
        </w:tc>
      </w:tr>
      <w:tr>
        <w:trPr>
          <w:cantSplit/>
        </w:trPr>
        <w:tc>
          <w:tcPr/>
          <w:p>
            <w:pPr>
              <w:pStyle w:val="Compact"/>
              <w:jc w:val="left"/>
              <w:suppressAutoHyphens/>
            </w:pPr>
            <w:r>
              <w:rPr>
                <w:bCs/>
                <w:b/>
              </w:rPr>
              <w:t xml:space="preserve">Article VIII — University Senate</w:t>
            </w:r>
          </w:p>
        </w:tc>
        <w:tc>
          <w:tcPr/>
          <w:p>
            <w:pPr>
              <w:pStyle w:val="Compact"/>
              <w:jc w:val="right"/>
              <w:suppressAutoHyphens/>
            </w:pPr>
            <w:r>
              <w:rPr>
                <w:bCs/>
                <w:b/>
              </w:rPr>
              <w:t xml:space="preserve">45</w:t>
            </w:r>
          </w:p>
        </w:tc>
      </w:tr>
      <w:tr>
        <w:trPr>
          <w:cantSplit/>
        </w:trPr>
        <w:tc>
          <w:tcPr/>
          <w:p>
            <w:pPr>
              <w:pStyle w:val="Compact"/>
              <w:jc w:val="left"/>
              <w:suppressAutoHyphens/>
            </w:pPr>
            <w:r>
              <w:rPr>
                <w:bCs/>
                <w:b/>
              </w:rPr>
              <w:t xml:space="preserve">Article IX — Administration</w:t>
            </w:r>
          </w:p>
        </w:tc>
        <w:tc>
          <w:tcPr/>
          <w:p>
            <w:pPr>
              <w:pStyle w:val="Compact"/>
              <w:jc w:val="right"/>
              <w:suppressAutoHyphens/>
            </w:pPr>
            <w:r>
              <w:rPr>
                <w:bCs/>
                <w:b/>
              </w:rPr>
              <w:t xml:space="preserve">51</w:t>
            </w:r>
          </w:p>
        </w:tc>
      </w:tr>
      <w:tr>
        <w:trPr>
          <w:cantSplit/>
        </w:trPr>
        <w:tc>
          <w:tcPr/>
          <w:p>
            <w:pPr>
              <w:pStyle w:val="Compact"/>
              <w:jc w:val="left"/>
              <w:suppressAutoHyphens/>
            </w:pPr>
            <w:r>
              <w:rPr>
                <w:bCs/>
                <w:b/>
              </w:rPr>
              <w:t xml:space="preserve">Article X — Academic Program</w:t>
            </w:r>
          </w:p>
        </w:tc>
        <w:tc>
          <w:tcPr/>
          <w:p>
            <w:pPr>
              <w:pStyle w:val="Compact"/>
              <w:jc w:val="right"/>
              <w:suppressAutoHyphens/>
            </w:pPr>
            <w:r>
              <w:rPr>
                <w:bCs/>
                <w:b/>
              </w:rPr>
              <w:t xml:space="preserve">54</w:t>
            </w:r>
          </w:p>
        </w:tc>
      </w:tr>
      <w:tr>
        <w:trPr>
          <w:cantSplit/>
        </w:trPr>
        <w:tc>
          <w:tcPr/>
          <w:p>
            <w:pPr>
              <w:pStyle w:val="Compact"/>
              <w:jc w:val="left"/>
              <w:suppressAutoHyphens/>
            </w:pPr>
            <w:r>
              <w:rPr>
                <w:bCs/>
                <w:b/>
              </w:rPr>
              <w:t xml:space="preserve">Article XI — Waqf and Endowment</w:t>
            </w:r>
          </w:p>
        </w:tc>
        <w:tc>
          <w:tcPr/>
          <w:p>
            <w:pPr>
              <w:pStyle w:val="Compact"/>
              <w:jc w:val="right"/>
              <w:suppressAutoHyphens/>
            </w:pPr>
            <w:r>
              <w:rPr>
                <w:bCs/>
                <w:b/>
              </w:rPr>
              <w:t xml:space="preserve">57</w:t>
            </w:r>
          </w:p>
        </w:tc>
      </w:tr>
      <w:tr>
        <w:trPr>
          <w:cantSplit/>
        </w:trPr>
        <w:tc>
          <w:tcPr/>
          <w:p>
            <w:pPr>
              <w:pStyle w:val="Compact"/>
              <w:jc w:val="left"/>
              <w:suppressAutoHyphens/>
            </w:pPr>
            <w:r>
              <w:rPr>
                <w:bCs/>
                <w:b/>
              </w:rPr>
              <w:t xml:space="preserve">Article XII — Students’ Rights and Responsibilities</w:t>
            </w:r>
          </w:p>
        </w:tc>
        <w:tc>
          <w:tcPr/>
          <w:p>
            <w:pPr>
              <w:pStyle w:val="Compact"/>
              <w:jc w:val="right"/>
              <w:suppressAutoHyphens/>
            </w:pPr>
            <w:r>
              <w:rPr>
                <w:bCs/>
                <w:b/>
              </w:rPr>
              <w:t xml:space="preserve">59</w:t>
            </w:r>
          </w:p>
        </w:tc>
      </w:tr>
      <w:tr>
        <w:trPr>
          <w:cantSplit/>
        </w:trPr>
        <w:tc>
          <w:tcPr/>
          <w:p>
            <w:pPr>
              <w:pStyle w:val="Compact"/>
              <w:jc w:val="left"/>
              <w:suppressAutoHyphens/>
            </w:pPr>
            <w:r>
              <w:rPr>
                <w:bCs/>
                <w:b/>
              </w:rPr>
              <w:t xml:space="preserve">Article XIII — Faculty Rights and Responsibilities</w:t>
            </w:r>
          </w:p>
        </w:tc>
        <w:tc>
          <w:tcPr/>
          <w:p>
            <w:pPr>
              <w:pStyle w:val="Compact"/>
              <w:jc w:val="right"/>
              <w:suppressAutoHyphens/>
            </w:pPr>
            <w:r>
              <w:rPr>
                <w:bCs/>
                <w:b/>
              </w:rPr>
              <w:t xml:space="preserve">62</w:t>
            </w:r>
          </w:p>
        </w:tc>
      </w:tr>
      <w:tr>
        <w:trPr>
          <w:cantSplit/>
        </w:trPr>
        <w:tc>
          <w:tcPr/>
          <w:p>
            <w:pPr>
              <w:pStyle w:val="Compact"/>
              <w:jc w:val="left"/>
              <w:suppressAutoHyphens/>
            </w:pPr>
            <w:r>
              <w:rPr>
                <w:bCs/>
                <w:b/>
              </w:rPr>
              <w:t xml:space="preserve">Article XIV — Financial Sustainability</w:t>
            </w:r>
          </w:p>
        </w:tc>
        <w:tc>
          <w:tcPr/>
          <w:p>
            <w:pPr>
              <w:pStyle w:val="Compact"/>
              <w:jc w:val="right"/>
              <w:suppressAutoHyphens/>
            </w:pPr>
            <w:r>
              <w:rPr>
                <w:bCs/>
                <w:b/>
              </w:rPr>
              <w:t xml:space="preserve">64</w:t>
            </w:r>
          </w:p>
        </w:tc>
      </w:tr>
      <w:tr>
        <w:trPr>
          <w:cantSplit/>
        </w:trPr>
        <w:tc>
          <w:tcPr/>
          <w:p>
            <w:pPr>
              <w:pStyle w:val="Compact"/>
              <w:jc w:val="left"/>
              <w:suppressAutoHyphens/>
            </w:pPr>
            <w:r>
              <w:rPr>
                <w:bCs/>
                <w:b/>
              </w:rPr>
              <w:t xml:space="preserve">Article XV — Transparency and Accountability</w:t>
            </w:r>
          </w:p>
        </w:tc>
        <w:tc>
          <w:tcPr/>
          <w:p>
            <w:pPr>
              <w:pStyle w:val="Compact"/>
              <w:jc w:val="right"/>
              <w:suppressAutoHyphens/>
            </w:pPr>
            <w:r>
              <w:rPr>
                <w:bCs/>
                <w:b/>
              </w:rPr>
              <w:t xml:space="preserve">66</w:t>
            </w:r>
          </w:p>
        </w:tc>
      </w:tr>
      <w:tr>
        <w:trPr>
          <w:cantSplit/>
        </w:trPr>
        <w:tc>
          <w:tcPr/>
          <w:p>
            <w:pPr>
              <w:pStyle w:val="Compact"/>
              <w:jc w:val="left"/>
              <w:suppressAutoHyphens/>
            </w:pPr>
            <w:r>
              <w:rPr>
                <w:bCs/>
                <w:b/>
              </w:rPr>
              <w:t xml:space="preserve">Article XVI — Independent Officers</w:t>
            </w:r>
          </w:p>
        </w:tc>
        <w:tc>
          <w:tcPr/>
          <w:p>
            <w:pPr>
              <w:pStyle w:val="Compact"/>
              <w:jc w:val="right"/>
              <w:suppressAutoHyphens/>
            </w:pPr>
            <w:r>
              <w:rPr>
                <w:bCs/>
                <w:b/>
              </w:rPr>
              <w:t xml:space="preserve">69</w:t>
            </w:r>
          </w:p>
        </w:tc>
      </w:tr>
      <w:tr>
        <w:trPr>
          <w:cantSplit/>
        </w:trPr>
        <w:tc>
          <w:tcPr/>
          <w:p>
            <w:pPr>
              <w:pStyle w:val="Compact"/>
              <w:jc w:val="left"/>
              <w:suppressAutoHyphens/>
            </w:pPr>
            <w:r>
              <w:rPr>
                <w:bCs/>
                <w:b/>
              </w:rPr>
              <w:t xml:space="preserve">Article XVII — Records and Archives</w:t>
            </w:r>
          </w:p>
        </w:tc>
        <w:tc>
          <w:tcPr/>
          <w:p>
            <w:pPr>
              <w:pStyle w:val="Compact"/>
              <w:jc w:val="right"/>
              <w:suppressAutoHyphens/>
            </w:pPr>
            <w:r>
              <w:rPr>
                <w:bCs/>
                <w:b/>
              </w:rPr>
              <w:t xml:space="preserve">71</w:t>
            </w:r>
          </w:p>
        </w:tc>
      </w:tr>
      <w:tr>
        <w:trPr>
          <w:cantSplit/>
        </w:trPr>
        <w:tc>
          <w:tcPr/>
          <w:p>
            <w:pPr>
              <w:pStyle w:val="Compact"/>
              <w:jc w:val="left"/>
              <w:suppressAutoHyphens/>
            </w:pPr>
            <w:r>
              <w:rPr>
                <w:bCs/>
                <w:b/>
              </w:rPr>
              <w:t xml:space="preserve">Article XVIII — Amendment</w:t>
            </w:r>
          </w:p>
        </w:tc>
        <w:tc>
          <w:tcPr/>
          <w:p>
            <w:pPr>
              <w:pStyle w:val="Compact"/>
              <w:jc w:val="right"/>
              <w:suppressAutoHyphens/>
            </w:pPr>
            <w:r>
              <w:rPr>
                <w:bCs/>
                <w:b/>
              </w:rPr>
              <w:t xml:space="preserve">73</w:t>
            </w:r>
          </w:p>
        </w:tc>
      </w:tr>
      <w:tr>
        <w:trPr>
          <w:cantSplit/>
        </w:trPr>
        <w:tc>
          <w:tcPr/>
          <w:p>
            <w:pPr>
              <w:pStyle w:val="Compact"/>
              <w:jc w:val="left"/>
              <w:suppressAutoHyphens/>
            </w:pPr>
            <w:r>
              <w:rPr>
                <w:bCs/>
                <w:b/>
              </w:rPr>
              <w:t xml:space="preserve">Article XIX — Transitional Provisions</w:t>
            </w:r>
          </w:p>
        </w:tc>
        <w:tc>
          <w:tcPr/>
          <w:p>
            <w:pPr>
              <w:pStyle w:val="Compact"/>
              <w:jc w:val="right"/>
              <w:suppressAutoHyphens/>
            </w:pPr>
            <w:r>
              <w:rPr>
                <w:bCs/>
                <w:b/>
              </w:rPr>
              <w:t xml:space="preserve">75</w:t>
            </w:r>
          </w:p>
        </w:tc>
      </w:tr>
      <w:tr>
        <w:trPr>
          <w:cantSplit/>
        </w:trPr>
        <w:tc>
          <w:tcPr/>
          <w:p>
            <w:pPr>
              <w:pStyle w:val="Compact"/>
              <w:jc w:val="left"/>
              <w:suppressAutoHyphens/>
            </w:pPr>
            <w:r>
              <w:rPr>
                <w:bCs/>
                <w:b/>
              </w:rPr>
              <w:t xml:space="preserve">Article XX — Dissolution</w:t>
            </w:r>
          </w:p>
        </w:tc>
        <w:tc>
          <w:tcPr/>
          <w:p>
            <w:pPr>
              <w:pStyle w:val="Compact"/>
              <w:jc w:val="right"/>
              <w:suppressAutoHyphens/>
            </w:pPr>
            <w:r>
              <w:rPr>
                <w:bCs/>
                <w:b/>
              </w:rPr>
              <w:t xml:space="preserve">77</w:t>
            </w:r>
          </w:p>
        </w:tc>
      </w:tr>
      <w:tr>
        <w:trPr>
          <w:cantSplit/>
        </w:trPr>
        <w:tc>
          <w:tcPr/>
          <w:p>
            <w:pPr>
              <w:pStyle w:val="Compact"/>
              <w:jc w:val="left"/>
              <w:suppressAutoHyphens/>
            </w:pPr>
            <w:r>
              <w:rPr>
                <w:bCs/>
                <w:b/>
              </w:rPr>
              <w:t xml:space="preserve">Article XXI — Non-Political and Non-Profit Provisions</w:t>
            </w:r>
          </w:p>
        </w:tc>
        <w:tc>
          <w:tcPr/>
          <w:p>
            <w:pPr>
              <w:pStyle w:val="Compact"/>
              <w:jc w:val="right"/>
              <w:suppressAutoHyphens/>
            </w:pPr>
            <w:r>
              <w:rPr>
                <w:bCs/>
                <w:b/>
              </w:rPr>
              <w:t xml:space="preserve">79</w:t>
            </w:r>
          </w:p>
        </w:tc>
      </w:tr>
      <w:tr>
        <w:trPr>
          <w:cantSplit/>
        </w:trPr>
        <w:tc>
          <w:tcPr/>
          <w:p>
            <w:pPr>
              <w:pStyle w:val="Compact"/>
              <w:jc w:val="left"/>
              <w:suppressAutoHyphens/>
            </w:pPr>
            <w:r>
              <w:rPr>
                <w:bCs/>
                <w:b/>
              </w:rPr>
              <w:t xml:space="preserve">Article XXII — Indemnification</w:t>
            </w:r>
          </w:p>
        </w:tc>
        <w:tc>
          <w:tcPr/>
          <w:p>
            <w:pPr>
              <w:pStyle w:val="Compact"/>
              <w:jc w:val="right"/>
              <w:suppressAutoHyphens/>
            </w:pPr>
            <w:r>
              <w:rPr>
                <w:bCs/>
                <w:b/>
              </w:rPr>
              <w:t xml:space="preserve">81</w:t>
            </w:r>
          </w:p>
        </w:tc>
      </w:tr>
      <w:tr>
        <w:trPr>
          <w:cantSplit/>
        </w:trPr>
        <w:tc>
          <w:tcPr/>
          <w:p>
            <w:pPr>
              <w:pStyle w:val="Compact"/>
              <w:jc w:val="left"/>
              <w:suppressAutoHyphens/>
            </w:pPr>
            <w:r>
              <w:rPr>
                <w:bCs/>
                <w:b/>
              </w:rPr>
              <w:t xml:space="preserve">Article XXIII — Final Provisions</w:t>
            </w:r>
          </w:p>
        </w:tc>
        <w:tc>
          <w:tcPr/>
          <w:p>
            <w:pPr>
              <w:pStyle w:val="Compact"/>
              <w:jc w:val="right"/>
              <w:suppressAutoHyphens/>
            </w:pPr>
            <w:r>
              <w:rPr>
                <w:bCs/>
                <w:b/>
              </w:rPr>
              <w:t xml:space="preserve">83</w:t>
            </w:r>
          </w:p>
        </w:tc>
      </w:tr>
      <w:tr>
        <w:trPr>
          <w:cantSplit/>
        </w:trPr>
        <w:tc>
          <w:tcPr/>
          <w:p>
            <w:pPr>
              <w:pStyle w:val="Compact"/>
              <w:jc w:val="left"/>
              <w:suppressAutoHyphens/>
            </w:pPr>
            <w:r>
              <w:rPr>
                <w:bCs/>
                <w:b/>
              </w:rPr>
              <w:t xml:space="preserve">Adoption</w:t>
            </w:r>
          </w:p>
        </w:tc>
        <w:tc>
          <w:tcPr/>
          <w:p>
            <w:pPr>
              <w:pStyle w:val="Compact"/>
              <w:jc w:val="right"/>
              <w:suppressAutoHyphens/>
            </w:pPr>
            <w:r>
              <w:rPr>
                <w:bCs/>
                <w:b/>
              </w:rPr>
              <w:t xml:space="preserve">84</w:t>
            </w:r>
          </w:p>
        </w:tc>
      </w:tr>
      <w:tr>
        <w:trPr>
          <w:cantSplit/>
        </w:trPr>
        <w:tc>
          <w:tcPr/>
          <w:p>
            <w:pPr>
              <w:pStyle w:val="Compact"/>
              <w:jc w:val="left"/>
              <w:suppressAutoHyphens/>
            </w:pPr>
            <w:r>
              <w:rPr>
                <w:bCs/>
                <w:b/>
              </w:rPr>
              <w:t xml:space="preserve">Publication Certification Statement</w:t>
            </w:r>
          </w:p>
        </w:tc>
        <w:tc>
          <w:tcPr/>
          <w:p>
            <w:pPr>
              <w:pStyle w:val="Compact"/>
              <w:jc w:val="right"/>
              <w:suppressAutoHyphens/>
            </w:pPr>
            <w:r>
              <w:rPr>
                <w:bCs/>
                <w:b/>
              </w:rPr>
              <w:t xml:space="preserve">85</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Archivo" w:hAnsi="Archivo"/>
                <w:color w:val="8C97AB"/>
                <w:sz w:val="17"/>
                <w:spacing w:val="14"/>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Archivo" w:hAnsi="Archivo"/>
                <w:color w:val="8C97AB"/>
                <w:sz w:val="17"/>
                <w:spacing w:val="14"/>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Archivo" w:hAnsi="Archivo"/>
                <w:color w:val="8C97AB"/>
                <w:sz w:val="17"/>
                <w:spacing w:val="14"/>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Letter</w:t>
            </w:r>
          </w:p>
        </w:tc>
        <w:tc>
          <w:tcPr/>
          <w:p>
            <w:pPr>
              <w:pStyle w:val="Compact"/>
              <w:jc w:val="left"/>
              <w:suppressAutoHyphens/>
            </w:pPr>
            <w:r>
              <w:t xml:space="preserve">Word</w:t>
            </w:r>
          </w:p>
        </w:tc>
        <w:tc>
          <w:tcPr/>
          <w:p>
            <w:pPr>
              <w:pStyle w:val="Compact"/>
              <w:jc w:val="left"/>
              <w:suppressAutoHyphens/>
            </w:pPr>
            <w:r>
              <w:t xml:space="preserve">Meaning</w:t>
            </w:r>
          </w:p>
        </w:tc>
      </w:tr>
      <w:tr>
        <w:trPr>
          <w:cantSplit/>
        </w:trPr>
        <w:tc>
          <w:tcPr/>
          <w:p>
            <w:pPr>
              <w:pStyle w:val="Compact"/>
              <w:jc w:val="left"/>
              <w:suppressAutoHyphens/>
            </w:pPr>
            <w:r>
              <w:t xml:space="preserve">I</w:t>
            </w:r>
          </w:p>
        </w:tc>
        <w:tc>
          <w:tcPr/>
          <w:p>
            <w:pPr>
              <w:pStyle w:val="Compact"/>
              <w:jc w:val="left"/>
              <w:suppressAutoHyphens/>
            </w:pPr>
            <w:r>
              <w:t xml:space="preserve">Illumination</w:t>
            </w:r>
          </w:p>
        </w:tc>
        <w:tc>
          <w:tcPr/>
          <w:p>
            <w:pPr>
              <w:pStyle w:val="Compact"/>
              <w:jc w:val="left"/>
              <w:suppressAutoHyphens/>
            </w:pPr>
            <w:r>
              <w:t xml:space="preserve">The pursuit of knowledge is an act of worship that illuminates the heart and draws the seeker closer to Allah.</w:t>
            </w:r>
          </w:p>
        </w:tc>
      </w:tr>
      <w:tr>
        <w:trPr>
          <w:cantSplit/>
        </w:trPr>
        <w:tc>
          <w:tcPr/>
          <w:p>
            <w:pPr>
              <w:pStyle w:val="Compact"/>
              <w:jc w:val="left"/>
              <w:suppressAutoHyphens/>
            </w:pPr>
            <w:r>
              <w:t xml:space="preserve">S</w:t>
            </w:r>
          </w:p>
        </w:tc>
        <w:tc>
          <w:tcPr/>
          <w:p>
            <w:pPr>
              <w:pStyle w:val="Compact"/>
              <w:jc w:val="left"/>
              <w:suppressAutoHyphens/>
            </w:pPr>
            <w:r>
              <w:t xml:space="preserve">Sanad</w:t>
            </w:r>
          </w:p>
        </w:tc>
        <w:tc>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p>
            <w:pPr>
              <w:pStyle w:val="Compact"/>
              <w:jc w:val="left"/>
              <w:suppressAutoHyphens/>
            </w:pPr>
            <w:r>
              <w:t xml:space="preserve">L</w:t>
            </w:r>
          </w:p>
        </w:tc>
        <w:tc>
          <w:tcPr/>
          <w:p>
            <w:pPr>
              <w:pStyle w:val="Compact"/>
              <w:jc w:val="left"/>
              <w:suppressAutoHyphens/>
            </w:pPr>
            <w:r>
              <w:t xml:space="preserve">Love</w:t>
            </w:r>
          </w:p>
        </w:tc>
        <w:tc>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p>
            <w:pPr>
              <w:pStyle w:val="Compact"/>
              <w:jc w:val="left"/>
              <w:suppressAutoHyphens/>
            </w:pPr>
            <w:r>
              <w:t xml:space="preserve">A</w:t>
            </w:r>
          </w:p>
        </w:tc>
        <w:tc>
          <w:tcPr/>
          <w:p>
            <w:pPr>
              <w:pStyle w:val="Compact"/>
              <w:jc w:val="left"/>
              <w:suppressAutoHyphens/>
            </w:pPr>
            <w:r>
              <w:t xml:space="preserve">Access</w:t>
            </w:r>
          </w:p>
        </w:tc>
        <w:tc>
          <w:tcPr/>
          <w:p>
            <w:pPr>
              <w:pStyle w:val="Compact"/>
              <w:jc w:val="left"/>
              <w:suppressAutoHyphens/>
            </w:pPr>
            <w:r>
              <w:t xml:space="preserve">Guided by compassion and justice, the University ensures that financial capacity shall never be a barrier to knowledge.</w:t>
            </w:r>
          </w:p>
        </w:tc>
      </w:tr>
      <w:tr>
        <w:trPr>
          <w:cantSplit/>
        </w:trPr>
        <w:tc>
          <w:tcPr/>
          <w:p>
            <w:pPr>
              <w:pStyle w:val="Compact"/>
              <w:jc w:val="left"/>
              <w:suppressAutoHyphens/>
            </w:pPr>
            <w:r>
              <w:t xml:space="preserve">M</w:t>
            </w:r>
          </w:p>
        </w:tc>
        <w:tc>
          <w:tcPr/>
          <w:p>
            <w:pPr>
              <w:pStyle w:val="Compact"/>
              <w:jc w:val="left"/>
              <w:suppressAutoHyphens/>
            </w:pPr>
            <w:r>
              <w:t xml:space="preserve">Morality</w:t>
            </w:r>
          </w:p>
        </w:tc>
        <w:tc>
          <w:tcPr/>
          <w:p>
            <w:pPr>
              <w:pStyle w:val="Compact"/>
              <w:jc w:val="left"/>
              <w:suppressAutoHyphens/>
            </w:pPr>
            <w:r>
              <w:t xml:space="preserve">The University cultivates noble character — honesty, humility, patience, generosity, and compassion — following the Prophetic example.</w:t>
            </w:r>
          </w:p>
        </w:tc>
      </w:tr>
      <w:tr>
        <w:trPr>
          <w:cantSplit/>
        </w:trPr>
        <w:tc>
          <w:tcPr/>
          <w:p>
            <w:pPr>
              <w:pStyle w:val="Compact"/>
              <w:jc w:val="left"/>
              <w:suppressAutoHyphens/>
            </w:pPr>
            <w:r>
              <w:t xml:space="preserve">I</w:t>
            </w:r>
          </w:p>
        </w:tc>
        <w:tc>
          <w:tcPr/>
          <w:p>
            <w:pPr>
              <w:pStyle w:val="Compact"/>
              <w:jc w:val="left"/>
              <w:suppressAutoHyphens/>
            </w:pPr>
            <w:r>
              <w:t xml:space="preserve">Inquiry</w:t>
            </w:r>
          </w:p>
        </w:tc>
        <w:tc>
          <w:tcPr/>
          <w:p>
            <w:pPr>
              <w:pStyle w:val="Compact"/>
              <w:jc w:val="left"/>
              <w:suppressAutoHyphens/>
            </w:pPr>
            <w:r>
              <w:t xml:space="preserve">The University encourages intellectual rigor, critical inquiry, and the pursuit of truth through ijtihād and taḥqīq.</w:t>
            </w:r>
          </w:p>
        </w:tc>
      </w:tr>
      <w:tr>
        <w:trPr>
          <w:cantSplit/>
        </w:trPr>
        <w:tc>
          <w:tcPr/>
          <w:p>
            <w:pPr>
              <w:pStyle w:val="Compact"/>
              <w:jc w:val="left"/>
              <w:suppressAutoHyphens/>
            </w:pPr>
            <w:r>
              <w:t xml:space="preserve">C</w:t>
            </w:r>
          </w:p>
        </w:tc>
        <w:tc>
          <w:tcPr/>
          <w:p>
            <w:pPr>
              <w:pStyle w:val="Compact"/>
              <w:jc w:val="left"/>
              <w:suppressAutoHyphens/>
            </w:pPr>
            <w:r>
              <w:t xml:space="preserve">Calling</w:t>
            </w:r>
          </w:p>
        </w:tc>
        <w:tc>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Archivo" w:hAnsi="Archivo"/>
                <w:color w:val="8C97AB"/>
                <w:sz w:val="17"/>
                <w:spacing w:val="14"/>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Archivo" w:hAnsi="Archivo"/>
                <w:color w:val="8C97AB"/>
                <w:sz w:val="17"/>
                <w:spacing w:val="14"/>
              </w:rPr>
              <w:t>SECTIONS 5.1–5.5</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Body</w:t>
            </w:r>
          </w:p>
        </w:tc>
        <w:tc>
          <w:tcPr/>
          <w:p>
            <w:pPr>
              <w:pStyle w:val="Compact"/>
              <w:jc w:val="left"/>
              <w:suppressAutoHyphens/>
            </w:pPr>
            <w:r>
              <w:t xml:space="preserve">Authority</w:t>
            </w:r>
          </w:p>
        </w:tc>
        <w:tc>
          <w:tcPr/>
          <w:p>
            <w:pPr>
              <w:pStyle w:val="Compact"/>
              <w:jc w:val="left"/>
              <w:suppressAutoHyphens/>
            </w:pPr>
            <w:r>
              <w:t xml:space="preserve">Reports</w:t>
            </w:r>
          </w:p>
        </w:tc>
      </w:tr>
      <w:tr>
        <w:trPr>
          <w:cantSplit/>
        </w:trPr>
        <w:tc>
          <w:tcPr/>
          <w:p>
            <w:pPr>
              <w:pStyle w:val="Compact"/>
              <w:jc w:val="left"/>
              <w:suppressAutoHyphens/>
            </w:pPr>
            <w:r>
              <w:t xml:space="preserve">Board of Trustees</w:t>
            </w:r>
          </w:p>
        </w:tc>
        <w:tc>
          <w:tcPr/>
          <w:p>
            <w:pPr>
              <w:pStyle w:val="Compact"/>
              <w:jc w:val="left"/>
              <w:suppressAutoHyphens/>
            </w:pPr>
            <w:r>
              <w:t xml:space="preserve">Supreme Governing Authority</w:t>
            </w:r>
          </w:p>
        </w:tc>
        <w:tc>
          <w:tcPr/>
          <w:p>
            <w:pPr>
              <w:pStyle w:val="Compact"/>
              <w:jc w:val="left"/>
              <w:suppressAutoHyphens/>
            </w:pPr>
            <w:r>
              <w:t xml:space="preserve">To no body; final appellate authority</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Academic Authority</w:t>
            </w:r>
          </w:p>
        </w:tc>
        <w:tc>
          <w:tcPr/>
          <w:p>
            <w:pPr>
              <w:pStyle w:val="Compact"/>
              <w:jc w:val="left"/>
              <w:suppressAutoHyphens/>
            </w:pPr>
            <w:r>
              <w:t xml:space="preserve">To the Board, through the President (Section 8.1.3) — a reporting line, not a subordination of academic authority (see Section 5.2)</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Chief Executive Officer</w:t>
            </w:r>
          </w:p>
        </w:tc>
        <w:tc>
          <w:tcPr/>
          <w:p>
            <w:pPr>
              <w:pStyle w:val="Compact"/>
              <w:jc w:val="left"/>
              <w:suppressAutoHyphens/>
            </w:pPr>
            <w:r>
              <w:t xml:space="preserve">To the Board of Trustees</w:t>
            </w:r>
          </w:p>
        </w:tc>
      </w:tr>
      <w:tr>
        <w:trPr>
          <w:cantSplit/>
        </w:trPr>
        <w:tc>
          <w:tcPr/>
          <w:p>
            <w:pPr>
              <w:pStyle w:val="Compact"/>
              <w:jc w:val="left"/>
              <w:suppressAutoHyphens/>
            </w:pPr>
            <w:r>
              <w:t xml:space="preserve">Administration</w:t>
            </w:r>
          </w:p>
        </w:tc>
        <w:tc>
          <w:tcPr/>
          <w:p>
            <w:pPr>
              <w:pStyle w:val="Compact"/>
              <w:jc w:val="left"/>
              <w:suppressAutoHyphens/>
            </w:pPr>
            <w:r>
              <w:t xml:space="preserve">Executive Management</w:t>
            </w:r>
          </w:p>
        </w:tc>
        <w:tc>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Archivo" w:hAnsi="Archivo"/>
                <w:color w:val="8C97AB"/>
                <w:sz w:val="17"/>
                <w:spacing w:val="14"/>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Archivo" w:hAnsi="Archivo"/>
                <w:color w:val="8C97AB"/>
                <w:sz w:val="17"/>
                <w:spacing w:val="14"/>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Archivo" w:hAnsi="Archivo"/>
                <w:color w:val="8C97AB"/>
                <w:sz w:val="17"/>
                <w:spacing w:val="14"/>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w:t>
            </w:r>
          </w:p>
        </w:tc>
        <w:tc>
          <w:tcPr/>
          <w:p>
            <w:pPr>
              <w:pStyle w:val="Compact"/>
              <w:jc w:val="left"/>
              <w:suppressAutoHyphens/>
            </w:pPr>
            <w:r>
              <w:t xml:space="preserve">President &amp; Vice-Chancellor (Chairperson)</w:t>
            </w:r>
          </w:p>
        </w:tc>
        <w:tc>
          <w:tcPr/>
          <w:p>
            <w:pPr>
              <w:pStyle w:val="Compact"/>
              <w:jc w:val="left"/>
              <w:suppressAutoHyphens/>
            </w:pPr>
            <w:r>
              <w:t xml:space="preserve">Ex-Officio</w:t>
            </w:r>
          </w:p>
        </w:tc>
      </w:tr>
      <w:tr>
        <w:trPr>
          <w:cantSplit/>
        </w:trPr>
        <w:tc>
          <w:tcPr/>
          <w:p>
            <w:pPr>
              <w:pStyle w:val="Compact"/>
              <w:jc w:val="left"/>
              <w:suppressAutoHyphens/>
            </w:pPr>
            <w:r>
              <w:t xml:space="preserve">2</w:t>
            </w:r>
          </w:p>
        </w:tc>
        <w:tc>
          <w:tcPr/>
          <w:p>
            <w:pPr>
              <w:pStyle w:val="Compact"/>
              <w:jc w:val="left"/>
              <w:suppressAutoHyphens/>
            </w:pPr>
            <w:r>
              <w:t xml:space="preserve">Deputy Vice-Chancellor, Academic Affairs (Vice-Chairperson)</w:t>
            </w:r>
          </w:p>
        </w:tc>
        <w:tc>
          <w:tcPr/>
          <w:p>
            <w:pPr>
              <w:pStyle w:val="Compact"/>
              <w:jc w:val="left"/>
              <w:suppressAutoHyphens/>
            </w:pPr>
            <w:r>
              <w:t xml:space="preserve">Appointed by President</w:t>
            </w:r>
          </w:p>
        </w:tc>
      </w:tr>
      <w:tr>
        <w:trPr>
          <w:cantSplit/>
        </w:trPr>
        <w:tc>
          <w:tcPr/>
          <w:p>
            <w:pPr>
              <w:pStyle w:val="Compact"/>
              <w:jc w:val="left"/>
              <w:suppressAutoHyphens/>
            </w:pPr>
            <w:r>
              <w:t xml:space="preserve">3</w:t>
            </w:r>
          </w:p>
        </w:tc>
        <w:tc>
          <w:tcPr/>
          <w:p>
            <w:pPr>
              <w:pStyle w:val="Compact"/>
              <w:jc w:val="left"/>
              <w:suppressAutoHyphens/>
            </w:pPr>
            <w:r>
              <w:t xml:space="preserve">Deputy Vice-Chancellor, Admin &amp; Finance (Secretary)</w:t>
            </w:r>
          </w:p>
        </w:tc>
        <w:tc>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4</w:t>
            </w:r>
          </w:p>
        </w:tc>
        <w:tc>
          <w:tcPr/>
          <w:p>
            <w:pPr>
              <w:pStyle w:val="Compact"/>
              <w:jc w:val="left"/>
              <w:suppressAutoHyphens/>
            </w:pPr>
            <w:r>
              <w:t xml:space="preserve">Dean, Qur’anic &amp; Hadith Sciences / Shari’ah &amp; Islamic Law</w:t>
            </w:r>
          </w:p>
        </w:tc>
        <w:tc>
          <w:tcPr/>
          <w:p>
            <w:pPr>
              <w:pStyle w:val="Compact"/>
              <w:jc w:val="left"/>
              <w:suppressAutoHyphens/>
            </w:pPr>
            <w:r>
              <w:t xml:space="preserve">Appointed by President</w:t>
            </w:r>
          </w:p>
        </w:tc>
      </w:tr>
      <w:tr>
        <w:trPr>
          <w:cantSplit/>
        </w:trPr>
        <w:tc>
          <w:tcPr/>
          <w:p>
            <w:pPr>
              <w:pStyle w:val="Compact"/>
              <w:jc w:val="left"/>
              <w:suppressAutoHyphens/>
            </w:pPr>
            <w:r>
              <w:t xml:space="preserve">5</w:t>
            </w:r>
          </w:p>
        </w:tc>
        <w:tc>
          <w:tcPr/>
          <w:p>
            <w:pPr>
              <w:pStyle w:val="Compact"/>
              <w:jc w:val="left"/>
              <w:suppressAutoHyphens/>
            </w:pPr>
            <w:r>
              <w:t xml:space="preserve">Dean, Islamic Theology &amp; Philosophy / Da’wah, Communication &amp; Chaplaincy</w:t>
            </w:r>
          </w:p>
        </w:tc>
        <w:tc>
          <w:tcPr/>
          <w:p>
            <w:pPr>
              <w:pStyle w:val="Compact"/>
              <w:jc w:val="left"/>
              <w:suppressAutoHyphens/>
            </w:pPr>
            <w:r>
              <w:t xml:space="preserve">Appointed by President</w:t>
            </w:r>
          </w:p>
        </w:tc>
      </w:tr>
      <w:tr>
        <w:trPr>
          <w:cantSplit/>
        </w:trPr>
        <w:tc>
          <w:tcPr/>
          <w:p>
            <w:pPr>
              <w:pStyle w:val="Compact"/>
              <w:jc w:val="left"/>
              <w:suppressAutoHyphens/>
            </w:pPr>
            <w:r>
              <w:t xml:space="preserve">6</w:t>
            </w:r>
          </w:p>
        </w:tc>
        <w:tc>
          <w:tcPr/>
          <w:p>
            <w:pPr>
              <w:pStyle w:val="Compact"/>
              <w:jc w:val="left"/>
              <w:suppressAutoHyphens/>
            </w:pPr>
            <w:r>
              <w:t xml:space="preserve">Dean, Arabic Language &amp; Linguistics</w:t>
            </w:r>
          </w:p>
        </w:tc>
        <w:tc>
          <w:tcPr/>
          <w:p>
            <w:pPr>
              <w:pStyle w:val="Compact"/>
              <w:jc w:val="left"/>
              <w:suppressAutoHyphens/>
            </w:pPr>
            <w:r>
              <w:t xml:space="preserve">Appointed by President</w:t>
            </w:r>
          </w:p>
        </w:tc>
      </w:tr>
      <w:tr>
        <w:trPr>
          <w:cantSplit/>
        </w:trPr>
        <w:tc>
          <w:tcPr/>
          <w:p>
            <w:pPr>
              <w:pStyle w:val="Compact"/>
              <w:jc w:val="left"/>
              <w:suppressAutoHyphens/>
            </w:pPr>
            <w:r>
              <w:t xml:space="preserve">7</w:t>
            </w:r>
          </w:p>
        </w:tc>
        <w:tc>
          <w:tcPr/>
          <w:p>
            <w:pPr>
              <w:pStyle w:val="Compact"/>
              <w:jc w:val="left"/>
              <w:suppressAutoHyphens/>
            </w:pPr>
            <w:r>
              <w:t xml:space="preserve">Dean, Islamic Finance, Economics &amp; Waqf Administration</w:t>
            </w:r>
          </w:p>
        </w:tc>
        <w:tc>
          <w:tcPr/>
          <w:p>
            <w:pPr>
              <w:pStyle w:val="Compact"/>
              <w:jc w:val="left"/>
              <w:suppressAutoHyphens/>
            </w:pPr>
            <w:r>
              <w:t xml:space="preserve">Appointed by President</w:t>
            </w:r>
          </w:p>
        </w:tc>
      </w:tr>
      <w:tr>
        <w:trPr>
          <w:cantSplit/>
        </w:trPr>
        <w:tc>
          <w:tcPr/>
          <w:p>
            <w:pPr>
              <w:pStyle w:val="Compact"/>
              <w:jc w:val="left"/>
              <w:suppressAutoHyphens/>
            </w:pPr>
            <w:r>
              <w:t xml:space="preserve">8</w:t>
            </w:r>
          </w:p>
        </w:tc>
        <w:tc>
          <w:tcPr/>
          <w:p>
            <w:pPr>
              <w:pStyle w:val="Compact"/>
              <w:jc w:val="left"/>
              <w:suppressAutoHyphens/>
            </w:pPr>
            <w:r>
              <w:t xml:space="preserve">University Librarian</w:t>
            </w:r>
          </w:p>
        </w:tc>
        <w:tc>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9</w:t>
            </w:r>
          </w:p>
        </w:tc>
        <w:tc>
          <w:tcPr/>
          <w:p>
            <w:pPr>
              <w:pStyle w:val="Compact"/>
              <w:jc w:val="left"/>
              <w:suppressAutoHyphens/>
            </w:pPr>
            <w:r>
              <w:t xml:space="preserve">Head of Department, Qur’anic Studies &amp; Tafsir</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10</w:t>
            </w:r>
          </w:p>
        </w:tc>
        <w:tc>
          <w:tcPr/>
          <w:p>
            <w:pPr>
              <w:pStyle w:val="Compact"/>
              <w:jc w:val="left"/>
              <w:suppressAutoHyphens/>
            </w:pPr>
            <w:r>
              <w:t xml:space="preserve">Head of Department, Hadith Sciences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11</w:t>
            </w:r>
          </w:p>
        </w:tc>
        <w:tc>
          <w:tcPr/>
          <w:p>
            <w:pPr>
              <w:pStyle w:val="Compact"/>
              <w:jc w:val="left"/>
              <w:suppressAutoHyphens/>
            </w:pPr>
            <w:r>
              <w:t xml:space="preserve">Head of Department, Shari’ah &amp; Fiqh</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12</w:t>
            </w:r>
          </w:p>
        </w:tc>
        <w:tc>
          <w:tcPr/>
          <w:p>
            <w:pPr>
              <w:pStyle w:val="Compact"/>
              <w:jc w:val="left"/>
              <w:suppressAutoHyphens/>
            </w:pPr>
            <w:r>
              <w:t xml:space="preserve">Head of Department, Aqeedah &amp; Islamic Philosophy</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13</w:t>
            </w:r>
          </w:p>
        </w:tc>
        <w:tc>
          <w:tcPr/>
          <w:p>
            <w:pPr>
              <w:pStyle w:val="Compact"/>
              <w:jc w:val="left"/>
              <w:suppressAutoHyphens/>
            </w:pPr>
            <w:r>
              <w:t xml:space="preserve">Head of Department, Arabic Language &amp; Linguistics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14</w:t>
            </w:r>
          </w:p>
        </w:tc>
        <w:tc>
          <w:tcPr/>
          <w:p>
            <w:pPr>
              <w:pStyle w:val="Compact"/>
              <w:jc w:val="left"/>
              <w:suppressAutoHyphens/>
            </w:pPr>
            <w:r>
              <w:t xml:space="preserve">Head of Department, Da’wah &amp; Islamic Communication</w:t>
            </w:r>
          </w:p>
        </w:tc>
        <w:tc>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15</w:t>
            </w:r>
          </w:p>
        </w:tc>
        <w:tc>
          <w:tcPr/>
          <w:p>
            <w:pPr>
              <w:pStyle w:val="Compact"/>
              <w:jc w:val="left"/>
              <w:suppressAutoHyphens/>
            </w:pPr>
            <w:r>
              <w:t xml:space="preserve">Director of Academic Planning &amp; LMS Infrastructure</w:t>
            </w:r>
          </w:p>
        </w:tc>
        <w:tc>
          <w:tcPr/>
          <w:p>
            <w:pPr>
              <w:pStyle w:val="Compact"/>
              <w:jc w:val="left"/>
              <w:suppressAutoHyphens/>
            </w:pPr>
            <w:r>
              <w:t xml:space="preserve">Appointed by President</w:t>
            </w:r>
          </w:p>
        </w:tc>
      </w:tr>
      <w:tr>
        <w:trPr>
          <w:cantSplit/>
        </w:trPr>
        <w:tc>
          <w:tcPr/>
          <w:p>
            <w:pPr>
              <w:pStyle w:val="Compact"/>
              <w:jc w:val="left"/>
              <w:suppressAutoHyphens/>
            </w:pPr>
            <w:r>
              <w:t xml:space="preserve">16</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17</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18</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Archivo" w:hAnsi="Archivo"/>
                <w:color w:val="8C97AB"/>
                <w:sz w:val="17"/>
                <w:spacing w:val="14"/>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Archivo" w:hAnsi="Archivo"/>
                <w:color w:val="8C97AB"/>
                <w:sz w:val="17"/>
                <w:spacing w:val="14"/>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Level</w:t>
            </w:r>
          </w:p>
        </w:tc>
        <w:tc>
          <w:tcPr/>
          <w:p>
            <w:pPr>
              <w:pStyle w:val="Compact"/>
              <w:jc w:val="left"/>
              <w:suppressAutoHyphens/>
            </w:pPr>
            <w:r>
              <w:t xml:space="preserve">Credential</w:t>
            </w:r>
          </w:p>
        </w:tc>
        <w:tc>
          <w:tcPr/>
          <w:p>
            <w:pPr>
              <w:pStyle w:val="Compact"/>
              <w:jc w:val="left"/>
              <w:suppressAutoHyphens/>
            </w:pPr>
            <w:r>
              <w:t xml:space="preserve">Credit Hours</w:t>
            </w:r>
          </w:p>
        </w:tc>
      </w:tr>
      <w:tr>
        <w:trPr>
          <w:cantSplit/>
        </w:trPr>
        <w:tc>
          <w:tcPr/>
          <w:p>
            <w:pPr>
              <w:pStyle w:val="Compact"/>
              <w:jc w:val="left"/>
              <w:suppressAutoHyphens/>
            </w:pPr>
            <w:r>
              <w:t xml:space="preserve">I</w:t>
            </w:r>
          </w:p>
        </w:tc>
        <w:tc>
          <w:tcPr/>
          <w:p>
            <w:pPr>
              <w:pStyle w:val="Compact"/>
              <w:jc w:val="left"/>
              <w:suppressAutoHyphens/>
            </w:pPr>
            <w:r>
              <w:t xml:space="preserve">Undergraduate Diploma</w:t>
            </w:r>
          </w:p>
        </w:tc>
        <w:tc>
          <w:tcPr/>
          <w:p>
            <w:pPr>
              <w:pStyle w:val="Compact"/>
              <w:jc w:val="left"/>
              <w:suppressAutoHyphens/>
            </w:pPr>
            <w:r>
              <w:t xml:space="preserve">45 CH</w:t>
            </w:r>
          </w:p>
        </w:tc>
      </w:tr>
      <w:tr>
        <w:trPr>
          <w:cantSplit/>
        </w:trPr>
        <w:tc>
          <w:tcPr/>
          <w:p>
            <w:pPr>
              <w:pStyle w:val="Compact"/>
              <w:jc w:val="left"/>
              <w:suppressAutoHyphens/>
            </w:pPr>
            <w:r>
              <w:t xml:space="preserve">II</w:t>
            </w:r>
          </w:p>
        </w:tc>
        <w:tc>
          <w:tcPr/>
          <w:p>
            <w:pPr>
              <w:pStyle w:val="Compact"/>
              <w:jc w:val="left"/>
              <w:suppressAutoHyphens/>
            </w:pPr>
            <w:r>
              <w:t xml:space="preserve">Associate Degree</w:t>
            </w:r>
          </w:p>
        </w:tc>
        <w:tc>
          <w:tcPr/>
          <w:p>
            <w:pPr>
              <w:pStyle w:val="Compact"/>
              <w:jc w:val="left"/>
              <w:suppressAutoHyphens/>
            </w:pPr>
            <w:r>
              <w:t xml:space="preserve">60 CH</w:t>
            </w:r>
          </w:p>
        </w:tc>
      </w:tr>
      <w:tr>
        <w:trPr>
          <w:cantSplit/>
        </w:trPr>
        <w:tc>
          <w:tcPr/>
          <w:p>
            <w:pPr>
              <w:pStyle w:val="Compact"/>
              <w:jc w:val="left"/>
              <w:suppressAutoHyphens/>
            </w:pPr>
            <w:r>
              <w:t xml:space="preserve">III</w:t>
            </w:r>
          </w:p>
        </w:tc>
        <w:tc>
          <w:tcPr/>
          <w:p>
            <w:pPr>
              <w:pStyle w:val="Compact"/>
              <w:jc w:val="left"/>
              <w:suppressAutoHyphens/>
            </w:pPr>
            <w:r>
              <w:t xml:space="preserve">Bachelor of Arts</w:t>
            </w:r>
          </w:p>
        </w:tc>
        <w:tc>
          <w:tcPr/>
          <w:p>
            <w:pPr>
              <w:pStyle w:val="Compact"/>
              <w:jc w:val="left"/>
              <w:suppressAutoHyphens/>
            </w:pPr>
            <w:r>
              <w:t xml:space="preserve">120 CH</w:t>
            </w:r>
          </w:p>
        </w:tc>
      </w:tr>
      <w:tr>
        <w:trPr>
          <w:cantSplit/>
        </w:trPr>
        <w:tc>
          <w:tcPr/>
          <w:p>
            <w:pPr>
              <w:pStyle w:val="Compact"/>
              <w:jc w:val="left"/>
              <w:suppressAutoHyphens/>
            </w:pPr>
            <w:r>
              <w:t xml:space="preserve">IV</w:t>
            </w:r>
          </w:p>
        </w:tc>
        <w:tc>
          <w:tcPr/>
          <w:p>
            <w:pPr>
              <w:pStyle w:val="Compact"/>
              <w:jc w:val="left"/>
              <w:suppressAutoHyphens/>
            </w:pPr>
            <w:r>
              <w:t xml:space="preserve">Postgraduate Diploma</w:t>
            </w:r>
          </w:p>
        </w:tc>
        <w:tc>
          <w:tcPr/>
          <w:p>
            <w:pPr>
              <w:pStyle w:val="Compact"/>
              <w:jc w:val="left"/>
              <w:suppressAutoHyphens/>
            </w:pPr>
            <w:r>
              <w:t xml:space="preserve">30 CH</w:t>
            </w:r>
          </w:p>
        </w:tc>
      </w:tr>
      <w:tr>
        <w:trPr>
          <w:cantSplit/>
        </w:trPr>
        <w:tc>
          <w:tcPr/>
          <w:p>
            <w:pPr>
              <w:pStyle w:val="Compact"/>
              <w:jc w:val="left"/>
              <w:suppressAutoHyphens/>
            </w:pPr>
            <w:r>
              <w:t xml:space="preserve">V</w:t>
            </w:r>
          </w:p>
        </w:tc>
        <w:tc>
          <w:tcPr/>
          <w:p>
            <w:pPr>
              <w:pStyle w:val="Compact"/>
              <w:jc w:val="left"/>
              <w:suppressAutoHyphens/>
            </w:pPr>
            <w:r>
              <w:t xml:space="preserve">Master of Arts</w:t>
            </w:r>
          </w:p>
        </w:tc>
        <w:tc>
          <w:tcPr/>
          <w:p>
            <w:pPr>
              <w:pStyle w:val="Compact"/>
              <w:jc w:val="left"/>
              <w:suppressAutoHyphens/>
            </w:pPr>
            <w:r>
              <w:t xml:space="preserve">45 CH</w:t>
            </w:r>
          </w:p>
        </w:tc>
      </w:tr>
      <w:tr>
        <w:trPr>
          <w:cantSplit/>
        </w:trPr>
        <w:tc>
          <w:tcPr/>
          <w:p>
            <w:pPr>
              <w:pStyle w:val="Compact"/>
              <w:jc w:val="left"/>
              <w:suppressAutoHyphens/>
            </w:pPr>
            <w:r>
              <w:t xml:space="preserve">VI</w:t>
            </w:r>
          </w:p>
        </w:tc>
        <w:tc>
          <w:tcPr/>
          <w:p>
            <w:pPr>
              <w:pStyle w:val="Compact"/>
              <w:jc w:val="left"/>
              <w:suppressAutoHyphens/>
            </w:pPr>
            <w:r>
              <w:t xml:space="preserve">Doctor of Philosophy</w:t>
            </w:r>
          </w:p>
        </w:tc>
        <w:tc>
          <w:tcPr/>
          <w:p>
            <w:pPr>
              <w:pStyle w:val="Compact"/>
              <w:jc w:val="left"/>
              <w:suppressAutoHyphens/>
            </w:pPr>
            <w:r>
              <w:t xml:space="preserve">60 CH</w:t>
            </w:r>
          </w:p>
        </w:tc>
      </w:tr>
      <w:tr>
        <w:trPr>
          <w:cantSplit/>
        </w:trPr>
        <w:tc>
          <w:tcPr/>
          <w:p>
            <w:pPr>
              <w:pStyle w:val="Compact"/>
              <w:jc w:val="left"/>
              <w:suppressAutoHyphens/>
            </w:pPr>
            <w:r>
              <w:t xml:space="preserve">VII</w:t>
            </w:r>
          </w:p>
        </w:tc>
        <w:tc>
          <w:tcPr/>
          <w:p>
            <w:pPr>
              <w:pStyle w:val="Compact"/>
              <w:jc w:val="left"/>
              <w:suppressAutoHyphens/>
            </w:pPr>
            <w:r>
              <w:t xml:space="preserve">Post-Doctoral Fellowship</w:t>
            </w:r>
          </w:p>
        </w:tc>
        <w:tc>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Archivo" w:hAnsi="Archivo"/>
                <w:color w:val="8C97AB"/>
                <w:sz w:val="17"/>
                <w:spacing w:val="14"/>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Archivo" w:hAnsi="Archivo"/>
                <w:color w:val="8C97AB"/>
                <w:sz w:val="17"/>
                <w:spacing w:val="14"/>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Archivo" w:hAnsi="Archivo"/>
                <w:color w:val="8C97AB"/>
                <w:sz w:val="17"/>
                <w:spacing w:val="14"/>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Archivo" w:hAnsi="Archivo"/>
                <w:color w:val="8C97AB"/>
                <w:sz w:val="17"/>
                <w:spacing w:val="14"/>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Archivo" w:hAnsi="Archivo"/>
                <w:color w:val="8C97AB"/>
                <w:sz w:val="17"/>
                <w:spacing w:val="14"/>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Archivo" w:hAnsi="Archivo"/>
                <w:color w:val="8C97AB"/>
                <w:sz w:val="17"/>
                <w:spacing w:val="14"/>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Archivo" w:hAnsi="Archivo"/>
                <w:color w:val="8C97AB"/>
                <w:sz w:val="17"/>
                <w:spacing w:val="14"/>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Archivo" w:hAnsi="Archivo"/>
                <w:color w:val="8C97AB"/>
                <w:sz w:val="17"/>
                <w:spacing w:val="14"/>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Archivo" w:hAnsi="Archivo"/>
                <w:color w:val="8C97AB"/>
                <w:sz w:val="17"/>
                <w:spacing w:val="14"/>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Archivo" w:hAnsi="Archivo"/>
                <w:color w:val="8C97AB"/>
                <w:sz w:val="17"/>
                <w:spacing w:val="14"/>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Archivo" w:hAnsi="Archivo"/>
                <w:color w:val="8C97AB"/>
                <w:sz w:val="17"/>
                <w:spacing w:val="14"/>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Archivo" w:hAnsi="Archivo"/>
                <w:color w:val="8C97AB"/>
                <w:sz w:val="17"/>
                <w:spacing w:val="14"/>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Archivo" w:hAnsi="Archivo"/>
                <w:color w:val="8C97AB"/>
                <w:sz w:val="17"/>
                <w:spacing w:val="14"/>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Chairperson, Board of Trustees</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Board</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Constitution · Flagship Governance Edition · AMIU-CON-001</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21"/>
    <w:bookmarkEnd w:id="122"/>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2026-07-25T13:19:06Z</dcterms:created>
  <dcterms:modified xsi:type="dcterms:W3CDTF">2026-07-25T13:19:06Z</dcterms:modified>
</cp:coreProperties>
</file>

<file path=docProps/custom.xml><?xml version="1.0" encoding="utf-8"?>
<Properties xmlns="http://schemas.openxmlformats.org/officeDocument/2006/custom-properties" xmlns:vt="http://schemas.openxmlformats.org/officeDocument/2006/docPropsVTypes"/>
</file>