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0"/>
                <w:color w:val="B08625"/>
                <w:spacing w:val="14"/>
                <w:caps/>
              </w:rPr>
              <w:t>STRATEGIC IMPLEMENTATION BLUEPRINT · 2028–2050</w:t>
            </w:r>
          </w:p>
          <w:p>
            <w:pPr>
              <w:jc w:val="center"/>
              <w:spacing w:before="500" w:after="0"/>
            </w:pPr>
            <w:r>
              <w:rPr>
                <w:rFonts w:ascii="Bitstream Charter" w:hAnsi="Bitstream Charter"/>
                <w:b/>
                <w:color w:val="B08625"/>
                <w:sz w:val="20"/>
                <w:caps/>
                <w:spacing w:val="14"/>
              </w:rPr>
              <w:t>AL-MULK</w:t>
            </w:r>
          </w:p>
          <w:p>
            <w:pPr>
              <w:jc w:val="center"/>
              <w:spacing w:before="0" w:after="500"/>
            </w:pPr>
            <w:r>
              <w:rPr>
                <w:rFonts w:ascii="Bitstream Charter" w:hAnsi="Bitstream Charter"/>
                <w:b/>
                <w:color w:val="B08625"/>
                <w:sz w:val="20"/>
                <w:caps/>
                <w:spacing w:val="14"/>
              </w:rPr>
              <w:t>INTERNATIONAL UNIVERSITY</w:t>
            </w:r>
          </w:p>
          <w:p>
            <w:pPr>
              <w:jc w:val="center"/>
              <w:spacing w:before="300" w:after="100"/>
            </w:pPr>
            <w:r>
              <w:rPr>
                <w:rFonts w:ascii="Liberation Serif" w:hAnsi="Liberation Serif"/>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0"/>
                <w:caps/>
                <w:spacing w:val="14"/>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r>
        <w:br w:type="page"/>
      </w:r>
    </w:p>
    <w:bookmarkEnd w:id="20"/>
    <w:bookmarkEnd w:id="21"/>
    <w:bookmarkStart w:id="40"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pPr>
    </w:p>
    <w:p>
      <w:pPr>
        <w:pStyle w:val="BodyText"/>
      </w:pPr>
      <w:r>
        <w:rPr>
          <w:bCs/>
          <w:b/>
          <w:color w:val="B08625"/>
          <w:sz w:val="20"/>
          <w:caps/>
          <w:spacing w:val="14"/>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pPr>
      <w:r>
        <w:rPr>
          <w:bCs/>
          <w:b/>
          <w:color w:val="B08625"/>
          <w:sz w:val="20"/>
          <w:caps/>
          <w:spacing w:val="14"/>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r>
        <w:br w:type="page"/>
      </w:r>
    </w:p>
    <w:bookmarkEnd w:id="22"/>
    <w:bookmarkEnd w:id="23"/>
    <w:bookmarkStart w:id="24" w:name="copyright-publication-notice"/>
    <w:p>
      <w:pPr>
        <w:pStyle w:val="Heading2"/>
      </w:pPr>
      <w:r>
        <w:t xml:space="preserve">Copyright &amp; Publication Notice</w:t>
      </w:r>
    </w:p>
    <w:p>
      <w:pPr>
        <w:pStyle w:val="FirstParagraph"/>
      </w:pPr>
      <w:r>
        <w:t xml:space="preserve">© 2028 Al-Mulk International University. All rights reserved.</w:t>
      </w:r>
    </w:p>
    <w:p>
      <w:pPr>
        <w:pStyle w:val="BodyText"/>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pPr>
      <w:r>
        <w:rPr>
          <w:bCs/>
          <w:b/>
          <w:color w:val="B08625"/>
          <w:sz w:val="20"/>
          <w:caps/>
          <w:spacing w:val="14"/>
        </w:rPr>
        <w:t xml:space="preserve">Typesetting &amp; Publication Design:</w:t>
      </w:r>
      <w:r>
        <w:t xml:space="preserve"> </w:t>
      </w:r>
      <w:r>
        <w:t xml:space="preserve">Prepared in-house by the AMIU Office of Institutional Planning, using the AMIU institutional style system (Bitstream Charter display serif, Liberation Sans body, navy/gold institutional palette).</w:t>
      </w:r>
    </w:p>
    <w:p>
      <w:pPr>
        <w:pStyle w:val="BodyText"/>
      </w:pPr>
      <w:r>
        <w:rPr>
          <w:bCs/>
          <w:b/>
          <w:color w:val="B08625"/>
          <w:sz w:val="20"/>
          <w:caps/>
          <w:spacing w:val="14"/>
        </w:rPr>
        <w:t xml:space="preserve">Document control:</w:t>
      </w:r>
      <w:r>
        <w:t xml:space="preserve"> </w:t>
      </w:r>
      <w:r>
        <w:t xml:space="preserve">AMIU-SB-002 · Version 1.0 · Founding-Decade Edition</w:t>
      </w:r>
    </w:p>
    <w:p>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pPr>
      <w:r>
        <w:t xml:space="preserve"> </w:t>
      </w:r>
    </w:p>
    <w:p>
      <w:pPr>
        <w:pStyle w:val="BodyText"/>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r>
        <w:br w:type="page"/>
      </w:r>
    </w:p>
    <w:bookmarkEnd w:id="24"/>
    <w:bookmarkStart w:id="25" w:name="endorsement-approval"/>
    <w:p>
      <w:pPr>
        <w:pStyle w:val="Heading2"/>
      </w:pPr>
      <w:r>
        <w:t xml:space="preserve">Endorsement &amp; Approval</w:t>
      </w:r>
    </w:p>
    <w:p>
      <w:pPr>
        <w:pStyle w:val="FirstParagrap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pPr>
      <w:r>
        <w:rPr>
          <w:iCs/>
          <w:i/>
        </w:rPr>
        <w:t xml:space="preserve">Endorsement of this Blueprint does not, by itself, amend any figure, seat, or percentage fixed in AMIU-MP-001. Any such amendment requires the specific governance pathway named in the relevant section.</w:t>
      </w:r>
    </w:p>
    <w:p>
      <w:r>
        <w:br w:type="page"/>
      </w:r>
    </w:p>
    <w:bookmarkEnd w:id="25"/>
    <w:bookmarkStart w:id="26" w:name="foreword"/>
    <w:p>
      <w:pPr>
        <w:pStyle w:val="Heading2"/>
      </w:pPr>
      <w:r>
        <w:t xml:space="preserve">Foreword</w:t>
      </w:r>
    </w:p>
    <w:p>
      <w:pPr>
        <w:pStyle w:val="FirstParagraph"/>
      </w:pPr>
      <w:r>
        <w:rPr>
          <w:iCs/>
          <w:i/>
        </w:rPr>
        <w:t xml:space="preserve">By the Supreme Strategic Planning Council</w:t>
      </w:r>
    </w:p>
    <w:p>
      <w:pPr>
        <w:pStyle w:val="BodyText"/>
      </w:pPr>
      <w:r>
        <w:t xml:space="preserve">A 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r>
        <w:br w:type="page"/>
      </w:r>
    </w:p>
    <w:bookmarkEnd w:id="26"/>
    <w:bookmarkStart w:id="27" w:name="founders-message"/>
    <w:p>
      <w:pPr>
        <w:pStyle w:val="Heading2"/>
      </w:pPr>
      <w:r>
        <w:t xml:space="preserve">Founder’s Message</w:t>
      </w:r>
    </w:p>
    <w:p>
      <w:pPr>
        <w:pStyle w:val="FirstParagraph"/>
      </w:pPr>
      <w:r>
        <w:t xml:space="preserve">When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BodyText"/>
      </w:pPr>
      <w:r>
        <w:rPr>
          <w:iCs/>
          <w:i/>
        </w:rPr>
        <w:t xml:space="preserve">Founder &amp; Vision Architect, Al-Mulk International University</w:t>
      </w:r>
    </w:p>
    <w:p>
      <w:r>
        <w:br w:type="page"/>
      </w:r>
    </w:p>
    <w:bookmarkEnd w:id="27"/>
    <w:bookmarkStart w:id="28" w:name="chairmans-message"/>
    <w:p>
      <w:pPr>
        <w:pStyle w:val="Heading2"/>
      </w:pPr>
      <w:r>
        <w:t xml:space="preserve">Chairman’s Message</w:t>
      </w:r>
    </w:p>
    <w:p>
      <w:pPr>
        <w:pStyle w:val="FirstParagraph"/>
      </w:pPr>
      <w:r>
        <w:rPr>
          <w:iCs/>
          <w:i/>
        </w:rPr>
        <w:t xml:space="preserve">From the Chairman, Board of Trustees</w:t>
      </w:r>
    </w:p>
    <w:p>
      <w:pPr>
        <w:pStyle w:val="BodyText"/>
      </w:pPr>
      <w:r>
        <w:t xml:space="preserve">The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BodyText"/>
      </w:pPr>
      <w:r>
        <w:rPr>
          <w:iCs/>
          <w:i/>
        </w:rPr>
        <w:t xml:space="preserve">Chairman, Board of Trustees</w:t>
      </w:r>
    </w:p>
    <w:p>
      <w:r>
        <w:br w:type="page"/>
      </w:r>
    </w:p>
    <w:bookmarkEnd w:id="28"/>
    <w:bookmarkStart w:id="29" w:name="presidents-message"/>
    <w:p>
      <w:pPr>
        <w:pStyle w:val="Heading2"/>
      </w:pPr>
      <w:r>
        <w:t xml:space="preserve">President’s Message</w:t>
      </w:r>
    </w:p>
    <w:p>
      <w:pPr>
        <w:pStyle w:val="FirstParagraph"/>
      </w:pPr>
      <w:r>
        <w:rPr>
          <w:iCs/>
          <w:i/>
        </w:rPr>
        <w:t xml:space="preserve">From the President &amp; Vice-Chancellor</w:t>
      </w:r>
    </w:p>
    <w:p>
      <w:pPr>
        <w:pStyle w:val="BodyText"/>
      </w:pPr>
      <w:r>
        <w:t xml:space="preserve">A 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BodyText"/>
      </w:pPr>
      <w:r>
        <w:rPr>
          <w:iCs/>
          <w:i/>
        </w:rPr>
        <w:t xml:space="preserve">President &amp; Vice-Chancellor, Al-Mulk International University</w:t>
      </w:r>
    </w:p>
    <w:p>
      <w:r>
        <w:br w:type="page"/>
      </w:r>
    </w:p>
    <w:bookmarkEnd w:id="29"/>
    <w:bookmarkStart w:id="30" w:name="executive-summary"/>
    <w:p>
      <w:pPr>
        <w:pStyle w:val="Heading2"/>
      </w:pPr>
      <w:r>
        <w:t xml:space="preserve">Executive Summary</w:t>
      </w:r>
    </w:p>
    <w:p>
      <w:pPr>
        <w:pStyle w:val="FirstParagrap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 sections spanning institutional vision, governance structure, academic architecture, digital infrastructure, financial strategy, regional expansion, and risk management.</w:t>
      </w:r>
    </w:p>
    <w:p>
      <w:pPr>
        <w:pStyle w:val="BodyText"/>
      </w:pPr>
      <w:r>
        <w:rPr>
          <w:bCs/>
          <w:b/>
          <w:color w:val="B08625"/>
          <w:sz w:val="20"/>
          <w:caps/>
          <w:spacing w:val="14"/>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 sections traces to one of the seven fixed allocation percentages, a named Waqf sub-line, or an already-adopted certification-cost figure (ISO 21001, CPD, Gambia NAQAA) — never to an invented category.</w:t>
      </w:r>
    </w:p>
    <w:p>
      <w:pPr>
        <w:pStyle w:val="BodyText"/>
      </w:pPr>
      <w:r>
        <w:rPr>
          <w:bCs/>
          <w:b/>
        </w:rPr>
        <w:t xml:space="preserve">Four disciplines recur across all forty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r>
        <w:br w:type="page"/>
      </w:r>
    </w:p>
    <w:bookmarkEnd w:id="30"/>
    <w:bookmarkStart w:id="31" w:name="amiu-at-a-glance"/>
    <w:p>
      <w:pPr>
        <w:pStyle w:val="Heading2"/>
      </w:pPr>
      <w:r>
        <w:t xml:space="preserve">AMIU at a Glance</w:t>
      </w:r>
    </w:p>
    <w:p>
      <w:pPr>
        <w:pStyle w:val="FirstParagrap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$3.3M</w:t>
            </w:r>
          </w:p>
          <w:p>
            <w:pPr>
              <w:spacing w:before="0" w:after="0"/>
            </w:pPr>
            <w:r>
              <w:rPr>
                <w:rFonts w:ascii="Liberation Sans" w:hAnsi="Liberation Sans"/>
                <w:color w:val="5B6372"/>
                <w:sz w:val="15"/>
                <w:spacing w:val="8"/>
              </w:rPr>
              <w:t>TEN-YEAR WAQF &amp; STAKEHOLDER RESERVE</w:t>
            </w:r>
          </w:p>
        </w:tc>
      </w:tr>
    </w:tbl>
    <w:p>
      <w:pPr>
        <w:pStyle w:val="BodyText"/>
      </w:pPr>
      <w:r>
        <w:rPr>
          <w:iCs/>
          <w:i/>
        </w:rPr>
        <w:t xml:space="preserve">Figures reflect the adopted Growth Scenario. Years 11–20 are explicitly directional planning estimates — see Section 1 and Section 40.</w: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Bitstream Charter" w:hAnsi="Bitstream Charter"/>
                <w:color w:val="B08625"/>
                <w:sz w:val="64"/>
              </w:rPr>
              <w:t>“</w:t>
            </w:r>
          </w:p>
          <w:p>
            <w:pPr>
              <w:jc w:val="center"/>
              <w:spacing w:before="0" w:after="320"/>
            </w:pPr>
            <w:r>
              <w:rPr>
                <w:rFonts w:ascii="Liberation Serif" w:hAnsi="Liberation Serif"/>
                <w:i/>
                <w:color w:val="FFFFFF"/>
                <w:sz w:val="34"/>
              </w:rPr>
              <w:t>Financial capacity shall never be a barrier to knowledge.</w:t>
            </w:r>
          </w:p>
          <w:p>
            <w:pPr>
              <w:jc w:val="center"/>
              <w:spacing w:before="0" w:after="0"/>
            </w:pPr>
            <w:r>
              <w:rPr>
                <w:rFonts w:ascii="Liberation Sans" w:hAnsi="Liberation Sans"/>
                <w:b/>
                <w:sz w:val="20"/>
                <w:color w:val="B08625"/>
                <w:spacing w:val="14"/>
                <w:caps/>
              </w:rPr>
              <w:t>AMIU MISSION PRINCIPLE · AMIU-MP-001 § 3</w:t>
            </w:r>
          </w:p>
        </w:tc>
      </w:tr>
    </w:tbl>
    <w:p>
      <w:r>
        <w:br w:type="page"/>
      </w:r>
    </w:p>
    <w:bookmarkEnd w:id="31"/>
    <w:bookmarkStart w:id="3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0"/>
                <w:caps/>
                <w:spacing w:val="14"/>
              </w:rPr>
              <w:t xml:space="preserve">Foreword</w:t>
            </w:r>
          </w:p>
        </w:tc>
        <w:tc>
          <w:tcPr/>
          <w:p>
            <w:pPr>
              <w:pStyle w:val="Compact"/>
              <w:jc w:val="right"/>
            </w:pPr>
            <w:r>
              <w:rPr>
                <w:bCs/>
                <w:b/>
              </w:rPr>
              <w:t xml:space="preserve">7</w:t>
            </w:r>
          </w:p>
        </w:tc>
      </w:tr>
      <w:tr>
        <w:trPr>
          <w:cantSplit/>
        </w:trPr>
        <w:tc>
          <w:tcPr/>
          <w:p>
            <w:pPr>
              <w:pStyle w:val="Compact"/>
              <w:jc w:val="left"/>
            </w:pPr>
            <w:r>
              <w:rPr>
                <w:bCs/>
                <w:b/>
                <w:color w:val="B08625"/>
                <w:sz w:val="20"/>
                <w:caps/>
                <w:spacing w:val="14"/>
              </w:rPr>
              <w:t xml:space="preserve">Founder’s Message</w:t>
            </w:r>
          </w:p>
        </w:tc>
        <w:tc>
          <w:tcPr/>
          <w:p>
            <w:pPr>
              <w:pStyle w:val="Compact"/>
              <w:jc w:val="right"/>
            </w:pPr>
            <w:r>
              <w:rPr>
                <w:bCs/>
                <w:b/>
              </w:rPr>
              <w:t xml:space="preserve">8</w:t>
            </w:r>
          </w:p>
        </w:tc>
      </w:tr>
      <w:tr>
        <w:trPr>
          <w:cantSplit/>
        </w:trPr>
        <w:tc>
          <w:tcPr/>
          <w:p>
            <w:pPr>
              <w:pStyle w:val="Compact"/>
              <w:jc w:val="left"/>
            </w:pPr>
            <w:r>
              <w:rPr>
                <w:bCs/>
                <w:b/>
                <w:color w:val="B08625"/>
                <w:sz w:val="20"/>
                <w:caps/>
                <w:spacing w:val="14"/>
              </w:rPr>
              <w:t xml:space="preserve">Chairman’s Message</w:t>
            </w:r>
          </w:p>
        </w:tc>
        <w:tc>
          <w:tcPr/>
          <w:p>
            <w:pPr>
              <w:pStyle w:val="Compact"/>
              <w:jc w:val="right"/>
            </w:pPr>
            <w:r>
              <w:rPr>
                <w:bCs/>
                <w:b/>
              </w:rPr>
              <w:t xml:space="preserve">9</w:t>
            </w:r>
          </w:p>
        </w:tc>
      </w:tr>
      <w:tr>
        <w:trPr>
          <w:cantSplit/>
        </w:trPr>
        <w:tc>
          <w:tcPr/>
          <w:p>
            <w:pPr>
              <w:pStyle w:val="Compact"/>
              <w:jc w:val="left"/>
            </w:pPr>
            <w:r>
              <w:rPr>
                <w:bCs/>
                <w:b/>
                <w:color w:val="B08625"/>
                <w:sz w:val="20"/>
                <w:caps/>
                <w:spacing w:val="14"/>
              </w:rPr>
              <w:t xml:space="preserve">President’s Message</w:t>
            </w:r>
          </w:p>
        </w:tc>
        <w:tc>
          <w:tcPr/>
          <w:p>
            <w:pPr>
              <w:pStyle w:val="Compact"/>
              <w:jc w:val="right"/>
            </w:pPr>
            <w:r>
              <w:rPr>
                <w:bCs/>
                <w:b/>
                <w:color w:val="B08625"/>
                <w:sz w:val="20"/>
                <w:caps/>
                <w:spacing w:val="14"/>
              </w:rPr>
              <w:t xml:space="preserve">10</w:t>
            </w:r>
          </w:p>
        </w:tc>
      </w:tr>
      <w:tr>
        <w:trPr>
          <w:cantSplit/>
        </w:trPr>
        <w:tc>
          <w:tcPr/>
          <w:p>
            <w:pPr>
              <w:pStyle w:val="Compact"/>
              <w:jc w:val="left"/>
            </w:pPr>
            <w:r>
              <w:rPr>
                <w:bCs/>
                <w:b/>
                <w:color w:val="B08625"/>
                <w:sz w:val="20"/>
                <w:caps/>
                <w:spacing w:val="14"/>
              </w:rPr>
              <w:t xml:space="preserve">Executive Summary</w:t>
            </w:r>
          </w:p>
        </w:tc>
        <w:tc>
          <w:tcPr/>
          <w:p>
            <w:pPr>
              <w:pStyle w:val="Compact"/>
              <w:jc w:val="right"/>
            </w:pPr>
            <w:r>
              <w:rPr>
                <w:bCs/>
                <w:b/>
                <w:color w:val="B08625"/>
                <w:sz w:val="20"/>
                <w:caps/>
                <w:spacing w:val="14"/>
              </w:rPr>
              <w:t xml:space="preserve">11</w:t>
            </w:r>
          </w:p>
        </w:tc>
      </w:tr>
      <w:tr>
        <w:trPr>
          <w:cantSplit/>
        </w:trPr>
        <w:tc>
          <w:tcPr/>
          <w:p>
            <w:pPr>
              <w:pStyle w:val="Compact"/>
              <w:jc w:val="left"/>
            </w:pPr>
            <w:r>
              <w:rPr>
                <w:bCs/>
                <w:b/>
                <w:color w:val="B08625"/>
                <w:sz w:val="20"/>
                <w:caps/>
                <w:spacing w:val="14"/>
              </w:rPr>
              <w:t xml:space="preserve">AMIU at a Glance</w:t>
            </w:r>
          </w:p>
        </w:tc>
        <w:tc>
          <w:tcPr/>
          <w:p>
            <w:pPr>
              <w:pStyle w:val="Compact"/>
              <w:jc w:val="right"/>
            </w:pPr>
            <w:r>
              <w:rPr>
                <w:bCs/>
                <w:b/>
                <w:color w:val="B08625"/>
                <w:sz w:val="20"/>
                <w:caps/>
                <w:spacing w:val="14"/>
              </w:rPr>
              <w:t xml:space="preserve">13</w:t>
            </w:r>
          </w:p>
        </w:tc>
      </w:tr>
      <w:tr>
        <w:trPr>
          <w:cantSplit/>
        </w:trPr>
        <w:tc>
          <w:tcPr/>
          <w:p>
            <w:pPr>
              <w:pStyle w:val="Compact"/>
              <w:jc w:val="left"/>
            </w:pPr>
            <w:r>
              <w:rPr>
                <w:bCs/>
                <w:b/>
                <w:color w:val="B08625"/>
                <w:sz w:val="20"/>
                <w:caps/>
                <w:spacing w:val="14"/>
              </w:rPr>
              <w:t xml:space="preserve">List of Figures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Charts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Diagrams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Flowcharts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Tables</w:t>
            </w:r>
          </w:p>
        </w:tc>
        <w:tc>
          <w:tcPr/>
          <w:p>
            <w:pPr>
              <w:pStyle w:val="Compact"/>
              <w:jc w:val="right"/>
            </w:pPr>
            <w:r>
              <w:rPr>
                <w:bCs/>
                <w:b/>
                <w:color w:val="B08625"/>
                <w:sz w:val="20"/>
                <w:caps/>
                <w:spacing w:val="14"/>
              </w:rPr>
              <w:t xml:space="preserve">21</w:t>
            </w:r>
          </w:p>
        </w:tc>
      </w:tr>
      <w:tr>
        <w:trPr>
          <w:cantSplit/>
        </w:trPr>
        <w:tc>
          <w:tcPr/>
          <w:p>
            <w:pPr>
              <w:pStyle w:val="Compact"/>
              <w:jc w:val="left"/>
            </w:pPr>
            <w:r>
              <w:rPr>
                <w:bCs/>
                <w:b/>
                <w:color w:val="B08625"/>
                <w:sz w:val="20"/>
                <w:caps/>
                <w:spacing w:val="14"/>
              </w:rPr>
              <w:t xml:space="preserve">List of Abbreviations</w:t>
            </w:r>
          </w:p>
        </w:tc>
        <w:tc>
          <w:tcPr/>
          <w:p>
            <w:pPr>
              <w:pStyle w:val="Compact"/>
              <w:jc w:val="right"/>
            </w:pPr>
            <w:r>
              <w:rPr>
                <w:bCs/>
                <w:b/>
                <w:color w:val="B08625"/>
                <w:sz w:val="20"/>
                <w:caps/>
                <w:spacing w:val="14"/>
              </w:rPr>
              <w:t xml:space="preserve">24</w:t>
            </w:r>
          </w:p>
        </w:tc>
      </w:tr>
      <w:tr>
        <w:trPr>
          <w:cantSplit/>
        </w:trPr>
        <w:tc>
          <w:tcPr/>
          <w:p>
            <w:pPr>
              <w:pStyle w:val="Compact"/>
              <w:jc w:val="left"/>
            </w:pPr>
            <w:r>
              <w:rPr>
                <w:bCs/>
                <w:b/>
                <w:color w:val="B08625"/>
                <w:sz w:val="20"/>
                <w:caps/>
                <w:spacing w:val="14"/>
              </w:rPr>
              <w:t xml:space="preserve">Glossary</w:t>
            </w:r>
          </w:p>
        </w:tc>
        <w:tc>
          <w:tcPr/>
          <w:p>
            <w:pPr>
              <w:pStyle w:val="Compact"/>
              <w:jc w:val="right"/>
            </w:pPr>
            <w:r>
              <w:rPr>
                <w:bCs/>
                <w:b/>
                <w:color w:val="B08625"/>
                <w:sz w:val="20"/>
                <w:caps/>
                <w:spacing w:val="14"/>
              </w:rPr>
              <w:t xml:space="preserve">27</w:t>
            </w:r>
          </w:p>
        </w:tc>
      </w:tr>
      <w:tr>
        <w:trPr>
          <w:cantSplit/>
        </w:trPr>
        <w:tc>
          <w:tcPr/>
          <w:p>
            <w:pPr>
              <w:pStyle w:val="Compact"/>
              <w:jc w:val="left"/>
            </w:pPr>
            <w:r>
              <w:rPr>
                <w:bCs/>
                <w:b/>
                <w:color w:val="B08625"/>
                <w:sz w:val="20"/>
                <w:caps/>
                <w:spacing w:val="14"/>
              </w:rPr>
              <w:t xml:space="preserve">Part I — Governance &amp; Institutional Foundations</w:t>
            </w:r>
          </w:p>
        </w:tc>
        <w:tc>
          <w:tcPr/>
          <w:p>
            <w:pPr>
              <w:pStyle w:val="Compact"/>
              <w:jc w:val="right"/>
            </w:pPr>
            <w:r>
              <w:rPr>
                <w:bCs/>
                <w:b/>
                <w:color w:val="B08625"/>
                <w:sz w:val="20"/>
                <w:caps/>
                <w:spacing w:val="14"/>
              </w:rPr>
              <w:t xml:space="preserve">32</w:t>
            </w:r>
          </w:p>
        </w:tc>
      </w:tr>
      <w:tr>
        <w:trPr>
          <w:cantSplit/>
        </w:trPr>
        <w:tc>
          <w:tcPr/>
          <w:p>
            <w:pPr>
              <w:pStyle w:val="Compact"/>
              <w:jc w:val="left"/>
            </w:pPr>
            <w:r>
              <w:t xml:space="preserve">    Section 1: Institutional Vision 2028–2050</w:t>
            </w:r>
          </w:p>
        </w:tc>
        <w:tc>
          <w:tcPr/>
          <w:p>
            <w:pPr>
              <w:pStyle w:val="Compact"/>
              <w:jc w:val="right"/>
            </w:pPr>
            <w:r>
              <w:t xml:space="preserve">33</w:t>
            </w:r>
          </w:p>
        </w:tc>
      </w:tr>
      <w:tr>
        <w:trPr>
          <w:cantSplit/>
        </w:trPr>
        <w:tc>
          <w:tcPr/>
          <w:p>
            <w:pPr>
              <w:pStyle w:val="Compact"/>
              <w:jc w:val="left"/>
            </w:pPr>
            <w:r>
              <w:t xml:space="preserve">    Section 2: Mission, Values, and Identity</w:t>
            </w:r>
          </w:p>
        </w:tc>
        <w:tc>
          <w:tcPr/>
          <w:p>
            <w:pPr>
              <w:pStyle w:val="Compact"/>
              <w:jc w:val="right"/>
            </w:pPr>
            <w:r>
              <w:t xml:space="preserve">36</w:t>
            </w:r>
          </w:p>
        </w:tc>
      </w:tr>
      <w:tr>
        <w:trPr>
          <w:cantSplit/>
        </w:trPr>
        <w:tc>
          <w:tcPr/>
          <w:p>
            <w:pPr>
              <w:pStyle w:val="Compact"/>
              <w:jc w:val="left"/>
            </w:pPr>
            <w:r>
              <w:t xml:space="preserve">    Section 3: Governance Framework</w:t>
            </w:r>
          </w:p>
        </w:tc>
        <w:tc>
          <w:tcPr/>
          <w:p>
            <w:pPr>
              <w:pStyle w:val="Compact"/>
              <w:jc w:val="right"/>
            </w:pPr>
            <w:r>
              <w:t xml:space="preserve">39</w:t>
            </w:r>
          </w:p>
        </w:tc>
      </w:tr>
      <w:tr>
        <w:trPr>
          <w:cantSplit/>
        </w:trPr>
        <w:tc>
          <w:tcPr/>
          <w:p>
            <w:pPr>
              <w:pStyle w:val="Compact"/>
              <w:jc w:val="left"/>
            </w:pPr>
            <w:r>
              <w:t xml:space="preserve">    Section 4: Senate Structure</w:t>
            </w:r>
          </w:p>
        </w:tc>
        <w:tc>
          <w:tcPr/>
          <w:p>
            <w:pPr>
              <w:pStyle w:val="Compact"/>
              <w:jc w:val="right"/>
            </w:pPr>
            <w:r>
              <w:t xml:space="preserve">41</w:t>
            </w:r>
          </w:p>
        </w:tc>
      </w:tr>
      <w:tr>
        <w:trPr>
          <w:cantSplit/>
        </w:trPr>
        <w:tc>
          <w:tcPr/>
          <w:p>
            <w:pPr>
              <w:pStyle w:val="Compact"/>
              <w:jc w:val="left"/>
            </w:pPr>
            <w:r>
              <w:t xml:space="preserve">    Section 5: Board Structure</w:t>
            </w:r>
          </w:p>
        </w:tc>
        <w:tc>
          <w:tcPr/>
          <w:p>
            <w:pPr>
              <w:pStyle w:val="Compact"/>
              <w:jc w:val="right"/>
            </w:pPr>
            <w:r>
              <w:t xml:space="preserve">44</w:t>
            </w:r>
          </w:p>
        </w:tc>
      </w:tr>
      <w:tr>
        <w:trPr>
          <w:cantSplit/>
        </w:trPr>
        <w:tc>
          <w:tcPr/>
          <w:p>
            <w:pPr>
              <w:pStyle w:val="Compact"/>
              <w:jc w:val="left"/>
            </w:pPr>
            <w:r>
              <w:rPr>
                <w:bCs/>
                <w:b/>
                <w:color w:val="B08625"/>
                <w:sz w:val="20"/>
                <w:caps/>
                <w:spacing w:val="14"/>
              </w:rPr>
              <w:t xml:space="preserve">Part II — Organizational &amp; Academic Structure</w:t>
            </w:r>
          </w:p>
        </w:tc>
        <w:tc>
          <w:tcPr/>
          <w:p>
            <w:pPr>
              <w:pStyle w:val="Compact"/>
              <w:jc w:val="right"/>
            </w:pPr>
            <w:r>
              <w:rPr>
                <w:bCs/>
                <w:b/>
                <w:color w:val="B08625"/>
                <w:sz w:val="20"/>
                <w:caps/>
                <w:spacing w:val="14"/>
              </w:rPr>
              <w:t xml:space="preserve">48</w:t>
            </w:r>
          </w:p>
        </w:tc>
      </w:tr>
      <w:tr>
        <w:trPr>
          <w:cantSplit/>
        </w:trPr>
        <w:tc>
          <w:tcPr/>
          <w:p>
            <w:pPr>
              <w:pStyle w:val="Compact"/>
              <w:jc w:val="left"/>
            </w:pPr>
            <w:r>
              <w:t xml:space="preserve">    Section 6: Organizational Chart</w:t>
            </w:r>
          </w:p>
        </w:tc>
        <w:tc>
          <w:tcPr/>
          <w:p>
            <w:pPr>
              <w:pStyle w:val="Compact"/>
              <w:jc w:val="right"/>
            </w:pPr>
            <w:r>
              <w:t xml:space="preserve">49</w:t>
            </w:r>
          </w:p>
        </w:tc>
      </w:tr>
      <w:tr>
        <w:trPr>
          <w:cantSplit/>
        </w:trPr>
        <w:tc>
          <w:tcPr/>
          <w:p>
            <w:pPr>
              <w:pStyle w:val="Compact"/>
              <w:jc w:val="left"/>
            </w:pPr>
            <w:r>
              <w:t xml:space="preserve">    Section 7: Academic Master Plan</w:t>
            </w:r>
          </w:p>
        </w:tc>
        <w:tc>
          <w:tcPr/>
          <w:p>
            <w:pPr>
              <w:pStyle w:val="Compact"/>
              <w:jc w:val="right"/>
            </w:pPr>
            <w:r>
              <w:t xml:space="preserve">53</w:t>
            </w:r>
          </w:p>
        </w:tc>
      </w:tr>
      <w:tr>
        <w:trPr>
          <w:cantSplit/>
        </w:trPr>
        <w:tc>
          <w:tcPr/>
          <w:p>
            <w:pPr>
              <w:pStyle w:val="Compact"/>
              <w:jc w:val="left"/>
            </w:pPr>
            <w:r>
              <w:t xml:space="preserve">    Section 8: College Structure</w:t>
            </w:r>
          </w:p>
        </w:tc>
        <w:tc>
          <w:tcPr/>
          <w:p>
            <w:pPr>
              <w:pStyle w:val="Compact"/>
              <w:jc w:val="right"/>
            </w:pPr>
            <w:r>
              <w:t xml:space="preserve">56</w:t>
            </w:r>
          </w:p>
        </w:tc>
      </w:tr>
      <w:tr>
        <w:trPr>
          <w:cantSplit/>
        </w:trPr>
        <w:tc>
          <w:tcPr/>
          <w:p>
            <w:pPr>
              <w:pStyle w:val="Compact"/>
              <w:jc w:val="left"/>
            </w:pPr>
            <w:r>
              <w:t xml:space="preserve">    Section 9: Faculty Structure</w:t>
            </w:r>
          </w:p>
        </w:tc>
        <w:tc>
          <w:tcPr/>
          <w:p>
            <w:pPr>
              <w:pStyle w:val="Compact"/>
              <w:jc w:val="right"/>
            </w:pPr>
            <w:r>
              <w:t xml:space="preserve">58</w:t>
            </w:r>
          </w:p>
        </w:tc>
      </w:tr>
      <w:tr>
        <w:trPr>
          <w:cantSplit/>
        </w:trPr>
        <w:tc>
          <w:tcPr/>
          <w:p>
            <w:pPr>
              <w:pStyle w:val="Compact"/>
              <w:jc w:val="left"/>
            </w:pPr>
            <w:r>
              <w:t xml:space="preserve">    Section 10: Department Structure</w:t>
            </w:r>
          </w:p>
        </w:tc>
        <w:tc>
          <w:tcPr/>
          <w:p>
            <w:pPr>
              <w:pStyle w:val="Compact"/>
              <w:jc w:val="right"/>
            </w:pPr>
            <w:r>
              <w:t xml:space="preserve">61</w:t>
            </w:r>
          </w:p>
        </w:tc>
      </w:tr>
      <w:tr>
        <w:trPr>
          <w:cantSplit/>
        </w:trPr>
        <w:tc>
          <w:tcPr/>
          <w:p>
            <w:pPr>
              <w:pStyle w:val="Compact"/>
              <w:jc w:val="left"/>
            </w:pPr>
            <w:r>
              <w:rPr>
                <w:bCs/>
                <w:b/>
                <w:color w:val="B08625"/>
                <w:sz w:val="20"/>
                <w:caps/>
                <w:spacing w:val="14"/>
              </w:rPr>
              <w:t xml:space="preserve">Part III — Curriculum &amp; Student Journey</w:t>
            </w:r>
          </w:p>
        </w:tc>
        <w:tc>
          <w:tcPr/>
          <w:p>
            <w:pPr>
              <w:pStyle w:val="Compact"/>
              <w:jc w:val="right"/>
            </w:pPr>
            <w:r>
              <w:rPr>
                <w:bCs/>
                <w:b/>
                <w:color w:val="B08625"/>
                <w:sz w:val="20"/>
                <w:caps/>
                <w:spacing w:val="14"/>
              </w:rPr>
              <w:t xml:space="preserve">64</w:t>
            </w:r>
          </w:p>
        </w:tc>
      </w:tr>
      <w:tr>
        <w:trPr>
          <w:cantSplit/>
        </w:trPr>
        <w:tc>
          <w:tcPr/>
          <w:p>
            <w:pPr>
              <w:pStyle w:val="Compact"/>
              <w:jc w:val="left"/>
            </w:pPr>
            <w:r>
              <w:t xml:space="preserve">    Section 11: Programme Portfolio</w:t>
            </w:r>
          </w:p>
        </w:tc>
        <w:tc>
          <w:tcPr/>
          <w:p>
            <w:pPr>
              <w:pStyle w:val="Compact"/>
              <w:jc w:val="right"/>
            </w:pPr>
            <w:r>
              <w:t xml:space="preserve">65</w:t>
            </w:r>
          </w:p>
        </w:tc>
      </w:tr>
      <w:tr>
        <w:trPr>
          <w:cantSplit/>
        </w:trPr>
        <w:tc>
          <w:tcPr/>
          <w:p>
            <w:pPr>
              <w:pStyle w:val="Compact"/>
              <w:jc w:val="left"/>
            </w:pPr>
            <w:r>
              <w:t xml:space="preserve">    Section 12: Curriculum Architecture</w:t>
            </w:r>
          </w:p>
        </w:tc>
        <w:tc>
          <w:tcPr/>
          <w:p>
            <w:pPr>
              <w:pStyle w:val="Compact"/>
              <w:jc w:val="right"/>
            </w:pPr>
            <w:r>
              <w:t xml:space="preserve">67</w:t>
            </w:r>
          </w:p>
        </w:tc>
      </w:tr>
      <w:tr>
        <w:trPr>
          <w:cantSplit/>
        </w:trPr>
        <w:tc>
          <w:tcPr/>
          <w:p>
            <w:pPr>
              <w:pStyle w:val="Compact"/>
              <w:jc w:val="left"/>
            </w:pPr>
            <w:r>
              <w:t xml:space="preserve">    Section 13: Student Journey Map</w:t>
            </w:r>
          </w:p>
        </w:tc>
        <w:tc>
          <w:tcPr/>
          <w:p>
            <w:pPr>
              <w:pStyle w:val="Compact"/>
              <w:jc w:val="right"/>
            </w:pPr>
            <w:r>
              <w:t xml:space="preserve">70</w:t>
            </w:r>
          </w:p>
        </w:tc>
      </w:tr>
      <w:tr>
        <w:trPr>
          <w:cantSplit/>
        </w:trPr>
        <w:tc>
          <w:tcPr/>
          <w:p>
            <w:pPr>
              <w:pStyle w:val="Compact"/>
              <w:jc w:val="left"/>
            </w:pPr>
            <w:r>
              <w:t xml:space="preserve">    Section 14: Admission Policies</w:t>
            </w:r>
          </w:p>
        </w:tc>
        <w:tc>
          <w:tcPr/>
          <w:p>
            <w:pPr>
              <w:pStyle w:val="Compact"/>
              <w:jc w:val="right"/>
            </w:pPr>
            <w:r>
              <w:t xml:space="preserve">73</w:t>
            </w:r>
          </w:p>
        </w:tc>
      </w:tr>
      <w:tr>
        <w:trPr>
          <w:cantSplit/>
        </w:trPr>
        <w:tc>
          <w:tcPr/>
          <w:p>
            <w:pPr>
              <w:pStyle w:val="Compact"/>
              <w:jc w:val="left"/>
            </w:pPr>
            <w:r>
              <w:t xml:space="preserve">    Section 15: Faculty Recruitment Strategy</w:t>
            </w:r>
          </w:p>
        </w:tc>
        <w:tc>
          <w:tcPr/>
          <w:p>
            <w:pPr>
              <w:pStyle w:val="Compact"/>
              <w:jc w:val="right"/>
            </w:pPr>
            <w:r>
              <w:t xml:space="preserve">76</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0"/>
                <w:caps/>
                <w:spacing w:val="14"/>
              </w:rPr>
              <w:t xml:space="preserve">80</w:t>
            </w:r>
          </w:p>
        </w:tc>
      </w:tr>
      <w:tr>
        <w:trPr>
          <w:cantSplit/>
        </w:trPr>
        <w:tc>
          <w:tcPr/>
          <w:p>
            <w:pPr>
              <w:pStyle w:val="Compact"/>
              <w:jc w:val="left"/>
            </w:pPr>
            <w:r>
              <w:t xml:space="preserve">    Section 16: Research Strategy</w:t>
            </w:r>
          </w:p>
        </w:tc>
        <w:tc>
          <w:tcPr/>
          <w:p>
            <w:pPr>
              <w:pStyle w:val="Compact"/>
              <w:jc w:val="right"/>
            </w:pPr>
            <w:r>
              <w:t xml:space="preserve">81</w:t>
            </w:r>
          </w:p>
        </w:tc>
      </w:tr>
      <w:tr>
        <w:trPr>
          <w:cantSplit/>
        </w:trPr>
        <w:tc>
          <w:tcPr/>
          <w:p>
            <w:pPr>
              <w:pStyle w:val="Compact"/>
              <w:jc w:val="left"/>
            </w:pPr>
            <w:r>
              <w:t xml:space="preserve">    Section 17: Publishing Strategy</w:t>
            </w:r>
          </w:p>
        </w:tc>
        <w:tc>
          <w:tcPr/>
          <w:p>
            <w:pPr>
              <w:pStyle w:val="Compact"/>
              <w:jc w:val="right"/>
            </w:pPr>
            <w:r>
              <w:t xml:space="preserve">83</w:t>
            </w:r>
          </w:p>
        </w:tc>
      </w:tr>
      <w:tr>
        <w:trPr>
          <w:cantSplit/>
        </w:trPr>
        <w:tc>
          <w:tcPr/>
          <w:p>
            <w:pPr>
              <w:pStyle w:val="Compact"/>
              <w:jc w:val="left"/>
            </w:pPr>
            <w:r>
              <w:t xml:space="preserve">    Section 18: Global Partnerships Strategy</w:t>
            </w:r>
          </w:p>
        </w:tc>
        <w:tc>
          <w:tcPr/>
          <w:p>
            <w:pPr>
              <w:pStyle w:val="Compact"/>
              <w:jc w:val="right"/>
            </w:pPr>
            <w:r>
              <w:t xml:space="preserve">85</w:t>
            </w:r>
          </w:p>
        </w:tc>
      </w:tr>
      <w:tr>
        <w:trPr>
          <w:cantSplit/>
        </w:trPr>
        <w:tc>
          <w:tcPr/>
          <w:p>
            <w:pPr>
              <w:pStyle w:val="Compact"/>
              <w:jc w:val="left"/>
            </w:pPr>
            <w:r>
              <w:t xml:space="preserve">    Section 19: Accreditation Roadmap</w:t>
            </w:r>
          </w:p>
        </w:tc>
        <w:tc>
          <w:tcPr/>
          <w:p>
            <w:pPr>
              <w:pStyle w:val="Compact"/>
              <w:jc w:val="right"/>
            </w:pPr>
            <w:r>
              <w:t xml:space="preserve">88</w:t>
            </w:r>
          </w:p>
        </w:tc>
      </w:tr>
      <w:tr>
        <w:trPr>
          <w:cantSplit/>
        </w:trPr>
        <w:tc>
          <w:tcPr/>
          <w:p>
            <w:pPr>
              <w:pStyle w:val="Compact"/>
              <w:jc w:val="left"/>
            </w:pPr>
            <w:r>
              <w:t xml:space="preserve">    Section 20: ISO 21001 Roadmap</w:t>
            </w:r>
          </w:p>
        </w:tc>
        <w:tc>
          <w:tcPr/>
          <w:p>
            <w:pPr>
              <w:pStyle w:val="Compact"/>
              <w:jc w:val="right"/>
            </w:pPr>
            <w:r>
              <w:t xml:space="preserve">90</w:t>
            </w:r>
          </w:p>
        </w:tc>
      </w:tr>
      <w:tr>
        <w:trPr>
          <w:cantSplit/>
        </w:trPr>
        <w:tc>
          <w:tcPr/>
          <w:p>
            <w:pPr>
              <w:pStyle w:val="Compact"/>
              <w:jc w:val="left"/>
            </w:pPr>
            <w:r>
              <w:rPr>
                <w:bCs/>
                <w:b/>
                <w:color w:val="B08625"/>
                <w:sz w:val="20"/>
                <w:caps/>
                <w:spacing w:val="14"/>
              </w:rPr>
              <w:t xml:space="preserve">Part V — Digital Infrastructure, AI &amp; Waqf Development</w:t>
            </w:r>
          </w:p>
        </w:tc>
        <w:tc>
          <w:tcPr/>
          <w:p>
            <w:pPr>
              <w:pStyle w:val="Compact"/>
              <w:jc w:val="right"/>
            </w:pPr>
            <w:r>
              <w:rPr>
                <w:bCs/>
                <w:b/>
                <w:color w:val="B08625"/>
                <w:sz w:val="20"/>
                <w:caps/>
                <w:spacing w:val="14"/>
              </w:rPr>
              <w:t xml:space="preserve">95</w:t>
            </w:r>
          </w:p>
        </w:tc>
      </w:tr>
      <w:tr>
        <w:trPr>
          <w:cantSplit/>
        </w:trPr>
        <w:tc>
          <w:tcPr/>
          <w:p>
            <w:pPr>
              <w:pStyle w:val="Compact"/>
              <w:jc w:val="left"/>
            </w:pPr>
            <w:r>
              <w:t xml:space="preserve">    Section 21: LMS Ecosystem</w:t>
            </w:r>
          </w:p>
        </w:tc>
        <w:tc>
          <w:tcPr/>
          <w:p>
            <w:pPr>
              <w:pStyle w:val="Compact"/>
              <w:jc w:val="right"/>
            </w:pPr>
            <w:r>
              <w:t xml:space="preserve">96</w:t>
            </w:r>
          </w:p>
        </w:tc>
      </w:tr>
      <w:tr>
        <w:trPr>
          <w:cantSplit/>
        </w:trPr>
        <w:tc>
          <w:tcPr/>
          <w:p>
            <w:pPr>
              <w:pStyle w:val="Compact"/>
              <w:jc w:val="left"/>
            </w:pPr>
            <w:r>
              <w:t xml:space="preserve">    Section 22: AI Strategy</w:t>
            </w:r>
          </w:p>
        </w:tc>
        <w:tc>
          <w:tcPr/>
          <w:p>
            <w:pPr>
              <w:pStyle w:val="Compact"/>
              <w:jc w:val="right"/>
            </w:pPr>
            <w:r>
              <w:t xml:space="preserve">98</w:t>
            </w:r>
          </w:p>
        </w:tc>
      </w:tr>
      <w:tr>
        <w:trPr>
          <w:cantSplit/>
        </w:trPr>
        <w:tc>
          <w:tcPr/>
          <w:p>
            <w:pPr>
              <w:pStyle w:val="Compact"/>
              <w:jc w:val="left"/>
            </w:pPr>
            <w:r>
              <w:t xml:space="preserve">    Section 23: Digital Transformation Strategy</w:t>
            </w:r>
          </w:p>
        </w:tc>
        <w:tc>
          <w:tcPr/>
          <w:p>
            <w:pPr>
              <w:pStyle w:val="Compact"/>
              <w:jc w:val="right"/>
            </w:pPr>
            <w:r>
              <w:t xml:space="preserve">100</w:t>
            </w:r>
          </w:p>
        </w:tc>
      </w:tr>
      <w:tr>
        <w:trPr>
          <w:cantSplit/>
        </w:trPr>
        <w:tc>
          <w:tcPr/>
          <w:p>
            <w:pPr>
              <w:pStyle w:val="Compact"/>
              <w:jc w:val="left"/>
            </w:pPr>
            <w:r>
              <w:t xml:space="preserve">    Section 24: Library Strategy</w:t>
            </w:r>
          </w:p>
        </w:tc>
        <w:tc>
          <w:tcPr/>
          <w:p>
            <w:pPr>
              <w:pStyle w:val="Compact"/>
              <w:jc w:val="right"/>
            </w:pPr>
            <w:r>
              <w:t xml:space="preserve">102</w:t>
            </w:r>
          </w:p>
        </w:tc>
      </w:tr>
      <w:tr>
        <w:trPr>
          <w:cantSplit/>
        </w:trPr>
        <w:tc>
          <w:tcPr/>
          <w:p>
            <w:pPr>
              <w:pStyle w:val="Compact"/>
              <w:jc w:val="left"/>
            </w:pPr>
            <w:r>
              <w:t xml:space="preserve">    Section 25: Waqf Development Strategy</w:t>
            </w:r>
          </w:p>
        </w:tc>
        <w:tc>
          <w:tcPr/>
          <w:p>
            <w:pPr>
              <w:pStyle w:val="Compact"/>
              <w:jc w:val="right"/>
            </w:pPr>
            <w:r>
              <w:t xml:space="preserve">105</w:t>
            </w:r>
          </w:p>
        </w:tc>
      </w:tr>
      <w:tr>
        <w:trPr>
          <w:cantSplit/>
        </w:trPr>
        <w:tc>
          <w:tcPr/>
          <w:p>
            <w:pPr>
              <w:pStyle w:val="Compact"/>
              <w:jc w:val="left"/>
            </w:pPr>
            <w:r>
              <w:rPr>
                <w:bCs/>
                <w:b/>
                <w:color w:val="B08625"/>
                <w:sz w:val="20"/>
                <w:caps/>
                <w:spacing w:val="14"/>
              </w:rPr>
              <w:t xml:space="preserve">Part VI — Financial Growth, Marketing &amp; Branding</w:t>
            </w:r>
          </w:p>
        </w:tc>
        <w:tc>
          <w:tcPr/>
          <w:p>
            <w:pPr>
              <w:pStyle w:val="Compact"/>
              <w:jc w:val="right"/>
            </w:pPr>
            <w:r>
              <w:rPr>
                <w:bCs/>
                <w:b/>
                <w:color w:val="B08625"/>
                <w:sz w:val="20"/>
                <w:caps/>
                <w:spacing w:val="14"/>
              </w:rPr>
              <w:t xml:space="preserve">109</w:t>
            </w:r>
          </w:p>
        </w:tc>
      </w:tr>
      <w:tr>
        <w:trPr>
          <w:cantSplit/>
        </w:trPr>
        <w:tc>
          <w:tcPr/>
          <w:p>
            <w:pPr>
              <w:pStyle w:val="Compact"/>
              <w:jc w:val="left"/>
            </w:pPr>
            <w:r>
              <w:t xml:space="preserve">    Section 26: Scholarship Strategy</w:t>
            </w:r>
          </w:p>
        </w:tc>
        <w:tc>
          <w:tcPr/>
          <w:p>
            <w:pPr>
              <w:pStyle w:val="Compact"/>
              <w:jc w:val="right"/>
            </w:pPr>
            <w:r>
              <w:t xml:space="preserve">110</w:t>
            </w:r>
          </w:p>
        </w:tc>
      </w:tr>
      <w:tr>
        <w:trPr>
          <w:cantSplit/>
        </w:trPr>
        <w:tc>
          <w:tcPr/>
          <w:p>
            <w:pPr>
              <w:pStyle w:val="Compact"/>
              <w:jc w:val="left"/>
            </w:pPr>
            <w:r>
              <w:t xml:space="preserve">    Section 27: Revenue Diversification Strategy</w:t>
            </w:r>
          </w:p>
        </w:tc>
        <w:tc>
          <w:tcPr/>
          <w:p>
            <w:pPr>
              <w:pStyle w:val="Compact"/>
              <w:jc w:val="right"/>
            </w:pPr>
            <w:r>
              <w:t xml:space="preserve">112</w:t>
            </w:r>
          </w:p>
        </w:tc>
      </w:tr>
      <w:tr>
        <w:trPr>
          <w:cantSplit/>
        </w:trPr>
        <w:tc>
          <w:tcPr/>
          <w:p>
            <w:pPr>
              <w:pStyle w:val="Compact"/>
              <w:jc w:val="left"/>
            </w:pPr>
            <w:r>
              <w:t xml:space="preserve">    Section 28: Marketing Strategy</w:t>
            </w:r>
          </w:p>
        </w:tc>
        <w:tc>
          <w:tcPr/>
          <w:p>
            <w:pPr>
              <w:pStyle w:val="Compact"/>
              <w:jc w:val="right"/>
            </w:pPr>
            <w:r>
              <w:t xml:space="preserve">114</w:t>
            </w:r>
          </w:p>
        </w:tc>
      </w:tr>
      <w:tr>
        <w:trPr>
          <w:cantSplit/>
        </w:trPr>
        <w:tc>
          <w:tcPr/>
          <w:p>
            <w:pPr>
              <w:pStyle w:val="Compact"/>
              <w:jc w:val="left"/>
            </w:pPr>
            <w:r>
              <w:t xml:space="preserve">    Section 29: Branding Strategy</w:t>
            </w:r>
          </w:p>
        </w:tc>
        <w:tc>
          <w:tcPr/>
          <w:p>
            <w:pPr>
              <w:pStyle w:val="Compact"/>
              <w:jc w:val="right"/>
            </w:pPr>
            <w:r>
              <w:t xml:space="preserve">116</w:t>
            </w:r>
          </w:p>
        </w:tc>
      </w:tr>
      <w:tr>
        <w:trPr>
          <w:cantSplit/>
        </w:trPr>
        <w:tc>
          <w:tcPr/>
          <w:p>
            <w:pPr>
              <w:pStyle w:val="Compact"/>
              <w:jc w:val="left"/>
            </w:pPr>
            <w:r>
              <w:t xml:space="preserve">    Section 30: International Expansion Strategy</w:t>
            </w:r>
          </w:p>
        </w:tc>
        <w:tc>
          <w:tcPr/>
          <w:p>
            <w:pPr>
              <w:pStyle w:val="Compact"/>
              <w:jc w:val="right"/>
            </w:pPr>
            <w:r>
              <w:t xml:space="preserve">118</w:t>
            </w:r>
          </w:p>
        </w:tc>
      </w:tr>
      <w:tr>
        <w:trPr>
          <w:cantSplit/>
        </w:trPr>
        <w:tc>
          <w:tcPr/>
          <w:p>
            <w:pPr>
              <w:pStyle w:val="Compact"/>
              <w:jc w:val="left"/>
            </w:pPr>
            <w:r>
              <w:rPr>
                <w:bCs/>
                <w:b/>
                <w:color w:val="B08625"/>
                <w:sz w:val="20"/>
                <w:caps/>
                <w:spacing w:val="14"/>
              </w:rPr>
              <w:t xml:space="preserve">Part VII — Regional Campuses &amp; Student Lifecycle</w:t>
            </w:r>
          </w:p>
        </w:tc>
        <w:tc>
          <w:tcPr/>
          <w:p>
            <w:pPr>
              <w:pStyle w:val="Compact"/>
              <w:jc w:val="right"/>
            </w:pPr>
            <w:r>
              <w:rPr>
                <w:bCs/>
                <w:b/>
                <w:color w:val="B08625"/>
                <w:sz w:val="20"/>
                <w:caps/>
                <w:spacing w:val="14"/>
              </w:rPr>
              <w:t xml:space="preserve">122</w:t>
            </w:r>
          </w:p>
        </w:tc>
      </w:tr>
      <w:tr>
        <w:trPr>
          <w:cantSplit/>
        </w:trPr>
        <w:tc>
          <w:tcPr/>
          <w:p>
            <w:pPr>
              <w:pStyle w:val="Compact"/>
              <w:jc w:val="left"/>
            </w:pPr>
            <w:r>
              <w:t xml:space="preserve">    Section 31: Nigeria Campus Strategy</w:t>
            </w:r>
          </w:p>
        </w:tc>
        <w:tc>
          <w:tcPr/>
          <w:p>
            <w:pPr>
              <w:pStyle w:val="Compact"/>
              <w:jc w:val="right"/>
            </w:pPr>
            <w:r>
              <w:t xml:space="preserve">123</w:t>
            </w:r>
          </w:p>
        </w:tc>
      </w:tr>
      <w:tr>
        <w:trPr>
          <w:cantSplit/>
        </w:trPr>
        <w:tc>
          <w:tcPr/>
          <w:p>
            <w:pPr>
              <w:pStyle w:val="Compact"/>
              <w:jc w:val="left"/>
            </w:pPr>
            <w:r>
              <w:t xml:space="preserve">    Section 32: Gulf Cooperation Strategy</w:t>
            </w:r>
          </w:p>
        </w:tc>
        <w:tc>
          <w:tcPr/>
          <w:p>
            <w:pPr>
              <w:pStyle w:val="Compact"/>
              <w:jc w:val="right"/>
            </w:pPr>
            <w:r>
              <w:t xml:space="preserve">125</w:t>
            </w:r>
          </w:p>
        </w:tc>
      </w:tr>
      <w:tr>
        <w:trPr>
          <w:cantSplit/>
        </w:trPr>
        <w:tc>
          <w:tcPr/>
          <w:p>
            <w:pPr>
              <w:pStyle w:val="Compact"/>
              <w:jc w:val="left"/>
            </w:pPr>
            <w:r>
              <w:t xml:space="preserve">    Section 33: Student Support Framework</w:t>
            </w:r>
          </w:p>
        </w:tc>
        <w:tc>
          <w:tcPr/>
          <w:p>
            <w:pPr>
              <w:pStyle w:val="Compact"/>
              <w:jc w:val="right"/>
            </w:pPr>
            <w:r>
              <w:t xml:space="preserve">127</w:t>
            </w:r>
          </w:p>
        </w:tc>
      </w:tr>
      <w:tr>
        <w:trPr>
          <w:cantSplit/>
        </w:trPr>
        <w:tc>
          <w:tcPr/>
          <w:p>
            <w:pPr>
              <w:pStyle w:val="Compact"/>
              <w:jc w:val="left"/>
            </w:pPr>
            <w:r>
              <w:t xml:space="preserve">    Section 34: Alumni Framework</w:t>
            </w:r>
          </w:p>
        </w:tc>
        <w:tc>
          <w:tcPr/>
          <w:p>
            <w:pPr>
              <w:pStyle w:val="Compact"/>
              <w:jc w:val="right"/>
            </w:pPr>
            <w:r>
              <w:t xml:space="preserve">129</w:t>
            </w:r>
          </w:p>
        </w:tc>
      </w:tr>
      <w:tr>
        <w:trPr>
          <w:cantSplit/>
        </w:trPr>
        <w:tc>
          <w:tcPr/>
          <w:p>
            <w:pPr>
              <w:pStyle w:val="Compact"/>
              <w:jc w:val="left"/>
            </w:pPr>
            <w:r>
              <w:t xml:space="preserve">    Section 35: Career Development Framework</w:t>
            </w:r>
          </w:p>
        </w:tc>
        <w:tc>
          <w:tcPr/>
          <w:p>
            <w:pPr>
              <w:pStyle w:val="Compact"/>
              <w:jc w:val="right"/>
            </w:pPr>
            <w:r>
              <w:t xml:space="preserve">131</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0"/>
                <w:caps/>
                <w:spacing w:val="14"/>
              </w:rPr>
              <w:t xml:space="preserve">135</w:t>
            </w:r>
          </w:p>
        </w:tc>
      </w:tr>
      <w:tr>
        <w:trPr>
          <w:cantSplit/>
        </w:trPr>
        <w:tc>
          <w:tcPr/>
          <w:p>
            <w:pPr>
              <w:pStyle w:val="Compact"/>
              <w:jc w:val="left"/>
            </w:pPr>
            <w:r>
              <w:t xml:space="preserve">    Section 36: Risk Management Framework</w:t>
            </w:r>
          </w:p>
        </w:tc>
        <w:tc>
          <w:tcPr/>
          <w:p>
            <w:pPr>
              <w:pStyle w:val="Compact"/>
              <w:jc w:val="right"/>
            </w:pPr>
            <w:r>
              <w:t xml:space="preserve">136</w:t>
            </w:r>
          </w:p>
        </w:tc>
      </w:tr>
      <w:tr>
        <w:trPr>
          <w:cantSplit/>
        </w:trPr>
        <w:tc>
          <w:tcPr/>
          <w:p>
            <w:pPr>
              <w:pStyle w:val="Compact"/>
              <w:jc w:val="left"/>
            </w:pPr>
            <w:r>
              <w:t xml:space="preserve">    Section 37: Compliance Framework</w:t>
            </w:r>
          </w:p>
        </w:tc>
        <w:tc>
          <w:tcPr/>
          <w:p>
            <w:pPr>
              <w:pStyle w:val="Compact"/>
              <w:jc w:val="right"/>
            </w:pPr>
            <w:r>
              <w:t xml:space="preserve">140</w:t>
            </w:r>
          </w:p>
        </w:tc>
      </w:tr>
      <w:tr>
        <w:trPr>
          <w:cantSplit/>
        </w:trPr>
        <w:tc>
          <w:tcPr/>
          <w:p>
            <w:pPr>
              <w:pStyle w:val="Compact"/>
              <w:jc w:val="left"/>
            </w:pPr>
            <w:r>
              <w:t xml:space="preserve">    Section 38: Financial Sustainability Framework</w:t>
            </w:r>
          </w:p>
        </w:tc>
        <w:tc>
          <w:tcPr/>
          <w:p>
            <w:pPr>
              <w:pStyle w:val="Compact"/>
              <w:jc w:val="right"/>
            </w:pPr>
            <w:r>
              <w:t xml:space="preserve">144</w:t>
            </w:r>
          </w:p>
        </w:tc>
      </w:tr>
      <w:tr>
        <w:trPr>
          <w:cantSplit/>
        </w:trPr>
        <w:tc>
          <w:tcPr/>
          <w:p>
            <w:pPr>
              <w:pStyle w:val="Compact"/>
              <w:jc w:val="left"/>
            </w:pPr>
            <w:r>
              <w:t xml:space="preserve">    Section 39: Capital Development Framework</w:t>
            </w:r>
          </w:p>
        </w:tc>
        <w:tc>
          <w:tcPr/>
          <w:p>
            <w:pPr>
              <w:pStyle w:val="Compact"/>
              <w:jc w:val="right"/>
            </w:pPr>
            <w:r>
              <w:t xml:space="preserve">148</w:t>
            </w:r>
          </w:p>
        </w:tc>
      </w:tr>
      <w:tr>
        <w:trPr>
          <w:cantSplit/>
        </w:trPr>
        <w:tc>
          <w:tcPr/>
          <w:p>
            <w:pPr>
              <w:pStyle w:val="Compact"/>
              <w:jc w:val="left"/>
            </w:pPr>
            <w:r>
              <w:t xml:space="preserve">    Section 40: Twenty-Year Strategic Roadmap</w:t>
            </w:r>
          </w:p>
        </w:tc>
        <w:tc>
          <w:tcPr/>
          <w:p>
            <w:pPr>
              <w:pStyle w:val="Compact"/>
              <w:jc w:val="right"/>
            </w:pPr>
            <w:r>
              <w:t xml:space="preserve">153</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0"/>
                <w:caps/>
                <w:spacing w:val="14"/>
              </w:rPr>
              <w:t xml:space="preserve">159</w:t>
            </w:r>
          </w:p>
        </w:tc>
      </w:tr>
      <w:tr>
        <w:trPr>
          <w:cantSplit/>
        </w:trPr>
        <w:tc>
          <w:tcPr/>
          <w:p>
            <w:pPr>
              <w:pStyle w:val="Compact"/>
              <w:jc w:val="left"/>
            </w:pPr>
            <w:r>
              <w:rPr>
                <w:bCs/>
                <w:b/>
                <w:color w:val="B08625"/>
                <w:sz w:val="20"/>
                <w:caps/>
                <w:spacing w:val="14"/>
              </w:rPr>
              <w:t xml:space="preserve">Appendix B — Master Plan Exhibit Checklist</w:t>
            </w:r>
          </w:p>
        </w:tc>
        <w:tc>
          <w:tcPr/>
          <w:p>
            <w:pPr>
              <w:pStyle w:val="Compact"/>
              <w:jc w:val="right"/>
            </w:pPr>
            <w:r>
              <w:rPr>
                <w:bCs/>
                <w:b/>
                <w:color w:val="B08625"/>
                <w:sz w:val="20"/>
                <w:caps/>
                <w:spacing w:val="14"/>
              </w:rPr>
              <w:t xml:space="preserve">160</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0"/>
                <w:caps/>
                <w:spacing w:val="14"/>
              </w:rPr>
              <w:t xml:space="preserve">161</w:t>
            </w:r>
          </w:p>
        </w:tc>
      </w:tr>
      <w:tr>
        <w:trPr>
          <w:cantSplit/>
        </w:trPr>
        <w:tc>
          <w:tcPr/>
          <w:p>
            <w:pPr>
              <w:pStyle w:val="Compact"/>
              <w:jc w:val="left"/>
            </w:pPr>
            <w:r>
              <w:rPr>
                <w:bCs/>
                <w:b/>
                <w:color w:val="B08625"/>
                <w:sz w:val="20"/>
                <w:caps/>
                <w:spacing w:val="14"/>
              </w:rPr>
              <w:t xml:space="preserve">Appendix D — Programme Catalog Reference</w:t>
            </w:r>
          </w:p>
        </w:tc>
        <w:tc>
          <w:tcPr/>
          <w:p>
            <w:pPr>
              <w:pStyle w:val="Compact"/>
              <w:jc w:val="right"/>
            </w:pPr>
            <w:r>
              <w:rPr>
                <w:bCs/>
                <w:b/>
                <w:color w:val="B08625"/>
                <w:sz w:val="20"/>
                <w:caps/>
                <w:spacing w:val="14"/>
              </w:rPr>
              <w:t xml:space="preserve">162</w:t>
            </w:r>
          </w:p>
        </w:tc>
      </w:tr>
      <w:tr>
        <w:trPr>
          <w:cantSplit/>
        </w:trPr>
        <w:tc>
          <w:tcPr/>
          <w:p>
            <w:pPr>
              <w:pStyle w:val="Compact"/>
              <w:jc w:val="left"/>
            </w:pPr>
            <w:r>
              <w:rPr>
                <w:bCs/>
                <w:b/>
                <w:color w:val="B08625"/>
                <w:sz w:val="20"/>
                <w:caps/>
                <w:spacing w:val="14"/>
              </w:rPr>
              <w:t xml:space="preserve">References</w:t>
            </w:r>
          </w:p>
        </w:tc>
        <w:tc>
          <w:tcPr/>
          <w:p>
            <w:pPr>
              <w:pStyle w:val="Compact"/>
              <w:jc w:val="right"/>
            </w:pPr>
            <w:r>
              <w:rPr>
                <w:bCs/>
                <w:b/>
                <w:color w:val="B08625"/>
                <w:sz w:val="20"/>
                <w:caps/>
                <w:spacing w:val="14"/>
              </w:rPr>
              <w:t xml:space="preserve">163</w:t>
            </w:r>
          </w:p>
        </w:tc>
      </w:tr>
      <w:tr>
        <w:trPr>
          <w:cantSplit/>
        </w:trPr>
        <w:tc>
          <w:tcPr/>
          <w:p>
            <w:pPr>
              <w:pStyle w:val="Compact"/>
              <w:jc w:val="left"/>
            </w:pPr>
            <w:r>
              <w:rPr>
                <w:bCs/>
                <w:b/>
                <w:color w:val="B08625"/>
                <w:sz w:val="20"/>
                <w:caps/>
                <w:spacing w:val="14"/>
              </w:rPr>
              <w:t xml:space="preserve">Index</w:t>
            </w:r>
          </w:p>
        </w:tc>
        <w:tc>
          <w:tcPr/>
          <w:p>
            <w:pPr>
              <w:pStyle w:val="Compact"/>
              <w:jc w:val="right"/>
            </w:pPr>
            <w:r>
              <w:rPr>
                <w:bCs/>
                <w:b/>
                <w:color w:val="B08625"/>
                <w:sz w:val="20"/>
                <w:caps/>
                <w:spacing w:val="14"/>
              </w:rPr>
              <w:t xml:space="preserve">165</w:t>
            </w:r>
          </w:p>
        </w:tc>
      </w:tr>
    </w:tbl>
    <w:p>
      <w:r>
        <w:br w:type="page"/>
      </w:r>
    </w:p>
    <w:bookmarkEnd w:id="32"/>
    <w:bookmarkStart w:id="33"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charts"/>
    <w:p>
      <w:pPr>
        <w:pStyle w:val="Heading2"/>
      </w:pPr>
      <w:r>
        <w:t xml:space="preserve">List of Charts</w:t>
      </w:r>
    </w:p>
    <w:p>
      <w:pPr>
        <w:pStyle w:val="FirstParagrap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diagrams"/>
    <w:p>
      <w:pPr>
        <w:pStyle w:val="Heading2"/>
      </w:pPr>
      <w:r>
        <w:t xml:space="preserve">List of Diagrams</w:t>
      </w:r>
    </w:p>
    <w:p>
      <w:pPr>
        <w:pStyle w:val="FirstParagrap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5"/>
    <w:bookmarkStart w:id="36" w:name="list-of-flowcharts"/>
    <w:p>
      <w:pPr>
        <w:pStyle w:val="Heading2"/>
      </w:pPr>
      <w:r>
        <w:t xml:space="preserve">List of Flowcharts</w:t>
      </w:r>
    </w:p>
    <w:p>
      <w:pPr>
        <w:pStyle w:val="FirstParagrap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6"/>
    <w:bookmarkStart w:id="37" w:name="list-of-tables"/>
    <w:p>
      <w:pPr>
        <w:pStyle w:val="Heading2"/>
      </w:pPr>
      <w:r>
        <w:t xml:space="preserve">List of Tables</w:t>
      </w:r>
    </w:p>
    <w:p>
      <w:pPr>
        <w:pStyle w:val="FirstParagraph"/>
      </w:pPr>
      <w:r>
        <w:t xml:space="preserve">This Blueprint contains 83 tables across its forty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r>
        <w:br w:type="page"/>
      </w:r>
    </w:p>
    <w:bookmarkEnd w:id="37"/>
    <w:bookmarkStart w:id="38"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8"/>
    <w:bookmarkStart w:id="39" w:name="glossary"/>
    <w:p>
      <w:pPr>
        <w:pStyle w:val="Heading2"/>
      </w:pPr>
      <w:r>
        <w:t xml:space="preserve">Glossary</w:t>
      </w:r>
    </w:p>
    <w:p>
      <w:pPr>
        <w:pStyle w:val="FirstParagrap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r>
        <w:br w:type="page"/>
      </w:r>
    </w:p>
    <w:bookmarkEnd w:id="39"/>
    <w:bookmarkEnd w:id="40"/>
    <w:bookmarkStart w:id="111" w:name="main-contents"/>
    <w:p>
      <w:pPr>
        <w:pStyle w:val="Heading1"/>
      </w:pPr>
      <w:r>
        <w:t xml:space="preserve">Main Contents</w: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Bitstream Charter" w:hAnsi="Bitstream Charter"/>
                <w:color w:val="B08625"/>
                <w:b/>
                <w:sz w:val="108"/>
              </w:rPr>
              <w:t>I</w:t>
            </w:r>
          </w:p>
          <w:p>
            <w:pPr>
              <w:spacing w:before="120" w:after="80"/>
            </w:pPr>
            <w:r>
              <w:rPr>
                <w:rFonts w:ascii="Bitstream Charter" w:hAnsi="Bitstream Charter"/>
                <w:b/>
                <w:color w:val="B08625"/>
                <w:sz w:val="20"/>
                <w:caps/>
                <w:spacing w:val="14"/>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Liberation Serif" w:hAnsi="Liberation Serif"/>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01 </w:t>
            </w:r>
            <w:r>
              <w:rPr>
                <w:rFonts w:ascii="Liberation Sans" w:hAnsi="Liberation Sans"/>
                <w:color w:val="FFFFFF"/>
                <w:sz w:val="20"/>
              </w:rPr>
              <w:t>Institutional Vision 2028–2050</w:t>
            </w:r>
          </w:p>
          <w:p>
            <w:pPr>
              <w:spacing w:before="0" w:after="130"/>
            </w:pPr>
            <w:r>
              <w:rPr>
                <w:rFonts w:ascii="Bitstream Charter" w:hAnsi="Bitstream Charter"/>
                <w:b/>
                <w:color w:val="B08625"/>
                <w:sz w:val="20"/>
                <w:caps/>
                <w:spacing w:val="14"/>
              </w:rPr>
              <w:t>02 </w:t>
            </w:r>
            <w:r>
              <w:rPr>
                <w:rFonts w:ascii="Liberation Sans" w:hAnsi="Liberation Sans"/>
                <w:color w:val="FFFFFF"/>
                <w:sz w:val="20"/>
              </w:rPr>
              <w:t>Mission, Values, and Identity</w:t>
            </w:r>
          </w:p>
          <w:p>
            <w:pPr>
              <w:spacing w:before="0" w:after="130"/>
            </w:pPr>
            <w:r>
              <w:rPr>
                <w:rFonts w:ascii="Bitstream Charter" w:hAnsi="Bitstream Charter"/>
                <w:b/>
                <w:color w:val="B08625"/>
                <w:sz w:val="20"/>
                <w:caps/>
                <w:spacing w:val="14"/>
              </w:rPr>
              <w:t>03 </w:t>
            </w:r>
            <w:r>
              <w:rPr>
                <w:rFonts w:ascii="Liberation Sans" w:hAnsi="Liberation Sans"/>
                <w:color w:val="FFFFFF"/>
                <w:sz w:val="20"/>
              </w:rPr>
              <w:t>Governance Framework</w:t>
            </w:r>
          </w:p>
          <w:p>
            <w:pPr>
              <w:spacing w:before="0" w:after="130"/>
            </w:pPr>
            <w:r>
              <w:rPr>
                <w:rFonts w:ascii="Bitstream Charter" w:hAnsi="Bitstream Charter"/>
                <w:b/>
                <w:color w:val="B08625"/>
                <w:sz w:val="20"/>
                <w:caps/>
                <w:spacing w:val="14"/>
              </w:rPr>
              <w:t>04 </w:t>
            </w:r>
            <w:r>
              <w:rPr>
                <w:rFonts w:ascii="Liberation Sans" w:hAnsi="Liberation Sans"/>
                <w:color w:val="FFFFFF"/>
                <w:sz w:val="20"/>
              </w:rPr>
              <w:t>Senate Structure</w:t>
            </w:r>
          </w:p>
          <w:p>
            <w:pPr>
              <w:spacing w:before="0" w:after="130"/>
            </w:pPr>
            <w:r>
              <w:rPr>
                <w:rFonts w:ascii="Bitstream Charter" w:hAnsi="Bitstream Charter"/>
                <w:b/>
                <w:color w:val="B08625"/>
                <w:sz w:val="20"/>
                <w:caps/>
                <w:spacing w:val="14"/>
              </w:rPr>
              <w:t>05 </w:t>
            </w:r>
            <w:r>
              <w:rPr>
                <w:rFonts w:ascii="Liberation Sans" w:hAnsi="Liberation Sans"/>
                <w:color w:val="FFFFFF"/>
                <w:sz w:val="20"/>
              </w:rPr>
              <w:t>Board Structure</w:t>
            </w:r>
          </w:p>
        </w:tc>
      </w:tr>
    </w:tbl>
    <w:p>
      <w:r>
        <w:br w:type="page"/>
      </w:r>
    </w:p>
    <w:p>
      <w:pPr>
        <w:pStyle w:val="SectionKicker"/>
      </w:pPr>
      <w:r>
        <w:t xml:space="preserve">PART I · SECTION 01</w:t>
      </w:r>
    </w:p>
    <w:bookmarkStart w:id="47" w:name="section-1-institutional-vision-20282050"/>
    <w:p>
      <w:pPr>
        <w:pStyle w:val="Heading2"/>
      </w:pPr>
      <w:r>
        <w:t xml:space="preserve">Section 1: Institutional Vision 2028–2050</w:t>
      </w:r>
    </w:p>
    <w:p>
      <w:pPr>
        <w:pStyle w:val="CaptionedFigure"/>
      </w:pPr>
      <w:r>
        <w:drawing>
          <wp:inline>
            <wp:extent cx="5292852" cy="313181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13181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pPr>
      <w:r>
        <w:rPr>
          <w:iCs/>
          <w:i/>
        </w:rPr>
        <w:t xml:space="preserve">Source: AMIU-MP-001 §5.1, adopted Growth Scenario.</w:t>
      </w:r>
    </w:p>
    <w:p>
      <w:pPr>
        <w:pStyle w:val="CaptionedFigure"/>
      </w:pPr>
      <w:r>
        <w:drawing>
          <wp:inline>
            <wp:extent cx="5292852" cy="3365208"/>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365208"/>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pPr>
      <w:r>
        <w:rPr>
          <w:iCs/>
          <w:i/>
        </w:rPr>
        <w:t xml:space="preserve">Source: AMIU-MP-001 §5.1/§5.8, adopted Growth Scenario.</w:t>
      </w:r>
    </w:p>
    <w:p>
      <w:pPr>
        <w:pStyle w:val="BodyText"/>
      </w:pPr>
      <w:r>
        <w:rPr>
          <w:bCs/>
          <w:b/>
          <w:color w:val="B08625"/>
          <w:sz w:val="20"/>
          <w:caps/>
          <w:spacing w:val="14"/>
        </w:rPr>
        <w:t xml:space="preserve">Rationale</w:t>
      </w:r>
    </w:p>
    <w:p>
      <w:pPr>
        <w:pStyle w:val="BodyText"/>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pPr>
      <w:r>
        <w:rPr>
          <w:bCs/>
          <w:b/>
          <w:color w:val="B08625"/>
          <w:sz w:val="20"/>
          <w:caps/>
          <w:spacing w:val="14"/>
        </w:rPr>
        <w:t xml:space="preserve">Global Best Practices</w:t>
      </w:r>
    </w:p>
    <w:p>
      <w:pPr>
        <w:pStyle w:val="BodyText"/>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pPr>
      <w:r>
        <w:rPr>
          <w:bCs/>
          <w:b/>
          <w:color w:val="B08625"/>
          <w:sz w:val="20"/>
          <w:caps/>
          <w:spacing w:val="14"/>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pPr>
      <w:r>
        <w:rPr>
          <w:bCs/>
          <w:b/>
          <w:color w:val="B08625"/>
          <w:sz w:val="20"/>
          <w:caps/>
          <w:spacing w:val="14"/>
        </w:rPr>
        <w:t xml:space="preserve">Staffing Requirements</w:t>
      </w:r>
    </w:p>
    <w:p>
      <w:pPr>
        <w:pStyle w:val="BodyText"/>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pPr>
      <w:r>
        <w:rPr>
          <w:bCs/>
          <w:b/>
          <w:color w:val="B08625"/>
          <w:sz w:val="20"/>
          <w:caps/>
          <w:spacing w:val="14"/>
        </w:rPr>
        <w:t xml:space="preserve">Annual Budget</w:t>
      </w:r>
    </w:p>
    <w:p>
      <w:pPr>
        <w:pStyle w:val="BodyText"/>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pPr>
      <w:r>
        <w:rPr>
          <w:bCs/>
          <w:b/>
          <w:color w:val="B08625"/>
          <w:sz w:val="20"/>
          <w:caps/>
          <w:spacing w:val="14"/>
        </w:rPr>
        <w:t xml:space="preserve">KPIs</w:t>
      </w:r>
    </w:p>
    <w:p>
      <w:pPr>
        <w:numPr>
          <w:ilvl w:val="0"/>
          <w:numId w:val="1001"/>
        </w:numPr>
        <w:pStyle w:val="Compact"/>
      </w:pPr>
      <w:r>
        <w:t xml:space="preserve">Active enrolment vs. Master Plan targets (347 / 3,493 / 11,021 at Years 1/5/10)</w:t>
      </w:r>
    </w:p>
    <w:p>
      <w:pPr>
        <w:numPr>
          <w:ilvl w:val="0"/>
          <w:numId w:val="1001"/>
        </w:numPr>
        <w:pStyle w:val="Compact"/>
      </w:pPr>
      <w:r>
        <w:t xml:space="preserve">Number of jurisdictions holding active accreditation or recognition</w:t>
      </w:r>
    </w:p>
    <w:p>
      <w:pPr>
        <w:numPr>
          <w:ilvl w:val="0"/>
          <w:numId w:val="1001"/>
        </w:numPr>
        <w:pStyle w:val="Compact"/>
      </w:pPr>
      <w:r>
        <w:t xml:space="preserve">Ratio of secular-program revenue to religious-program revenue post-2038 (monitor for mission-drift)</w:t>
      </w:r>
    </w:p>
    <w:p>
      <w:pPr>
        <w:numPr>
          <w:ilvl w:val="0"/>
          <w:numId w:val="1001"/>
        </w:numPr>
        <w:pStyle w:val="Compact"/>
      </w:pPr>
      <w:r>
        <w:t xml:space="preserve">Waqf &amp; Stakeholder Reserve balance growth (target: real institutional scale by 2048-2050, not merely nominal growth)</w:t>
      </w:r>
    </w:p>
    <w:p>
      <w:pPr>
        <w:pStyle w:val="FirstParagraph"/>
      </w:pPr>
      <w:r>
        <w:rPr>
          <w:bCs/>
          <w:b/>
          <w:color w:val="B08625"/>
          <w:sz w:val="20"/>
          <w:caps/>
          <w:spacing w:val="14"/>
        </w:rPr>
        <w:t xml:space="preserve">Risks &amp; Mitigation</w:t>
      </w:r>
    </w:p>
    <w:p>
      <w:pPr>
        <w:pStyle w:val="BodyText"/>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pPr>
      <w:r>
        <w:rPr>
          <w:bCs/>
          <w:b/>
          <w:color w:val="B08625"/>
          <w:sz w:val="20"/>
          <w:caps/>
          <w:spacing w:val="14"/>
        </w:rPr>
        <w:t xml:space="preserve">Timeline</w:t>
      </w:r>
    </w:p>
    <w:p>
      <w:pPr>
        <w:pStyle w:val="BodyText"/>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pPr>
      <w:r>
        <w:rPr>
          <w:bCs/>
          <w:b/>
          <w:color w:val="B08625"/>
          <w:sz w:val="20"/>
          <w:caps/>
          <w:spacing w:val="14"/>
        </w:rPr>
        <w:t xml:space="preserve">Governance Responsibilities</w:t>
      </w:r>
    </w:p>
    <w:p>
      <w:pPr>
        <w:pStyle w:val="BodyText"/>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pPr>
      <w:r>
        <w:rPr>
          <w:bCs/>
          <w:b/>
          <w:color w:val="B08625"/>
          <w:sz w:val="20"/>
          <w:caps/>
          <w:spacing w:val="14"/>
        </w:rPr>
        <w:t xml:space="preserve">Measurable Success Indicators</w:t>
      </w:r>
    </w:p>
    <w:p>
      <w:pPr>
        <w:pStyle w:val="BodyText"/>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7"/>
    <w:bookmarkStart w:id="48" w:name="section-2-mission-values-and-identity"/>
    <w:p>
      <w:pPr>
        <w:pStyle w:val="Heading2"/>
      </w:pPr>
      <w:r>
        <w:t xml:space="preserve">Section 2: Mission, Values, and Identity</w:t>
      </w:r>
    </w:p>
    <w:p>
      <w:pPr>
        <w:pStyle w:val="FirstParagraph"/>
      </w:pPr>
      <w:r>
        <w:rPr>
          <w:bCs/>
          <w:b/>
          <w:color w:val="B08625"/>
          <w:sz w:val="20"/>
          <w:caps/>
          <w:spacing w:val="14"/>
        </w:rPr>
        <w:t xml:space="preserve">Rationale</w:t>
      </w:r>
    </w:p>
    <w:p>
      <w:pPr>
        <w:pStyle w:val="BodyText"/>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pPr>
      <w:r>
        <w:rPr>
          <w:bCs/>
          <w:b/>
          <w:color w:val="B08625"/>
          <w:sz w:val="20"/>
          <w:caps/>
          <w:spacing w:val="14"/>
        </w:rPr>
        <w:t xml:space="preserve">Global Best Practices</w:t>
      </w:r>
    </w:p>
    <w:p>
      <w:pPr>
        <w:pStyle w:val="BodyText"/>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pPr>
      <w:r>
        <w:rPr>
          <w:bCs/>
          <w:b/>
          <w:color w:val="B08625"/>
          <w:sz w:val="20"/>
          <w:caps/>
          <w:spacing w:val="14"/>
        </w:rPr>
        <w:t xml:space="preserve">Implementation Phases (Target Years)</w:t>
      </w:r>
    </w:p>
    <w:p>
      <w:pPr>
        <w:pStyle w:val="BodyText"/>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pPr>
      <w:r>
        <w:rPr>
          <w:bCs/>
          <w:b/>
          <w:color w:val="B08625"/>
          <w:sz w:val="20"/>
          <w:caps/>
          <w:spacing w:val="14"/>
        </w:rPr>
        <w:t xml:space="preserve">Staffing Requirements</w:t>
      </w:r>
    </w:p>
    <w:p>
      <w:pPr>
        <w:pStyle w:val="BodyText"/>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pPr>
      <w:r>
        <w:rPr>
          <w:bCs/>
          <w:b/>
          <w:color w:val="B08625"/>
          <w:sz w:val="20"/>
          <w:caps/>
          <w:spacing w:val="14"/>
        </w:rPr>
        <w:t xml:space="preserve">Annual Budget</w:t>
      </w:r>
    </w:p>
    <w:p>
      <w:pPr>
        <w:pStyle w:val="BodyText"/>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pPr>
      <w:r>
        <w:rPr>
          <w:bCs/>
          <w:b/>
          <w:color w:val="B08625"/>
          <w:sz w:val="20"/>
          <w:caps/>
          <w:spacing w:val="14"/>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pPr>
      <w:r>
        <w:rPr>
          <w:bCs/>
          <w:b/>
          <w:color w:val="B08625"/>
          <w:sz w:val="20"/>
          <w:caps/>
          <w:spacing w:val="14"/>
        </w:rPr>
        <w:t xml:space="preserve">KPIs</w:t>
      </w:r>
    </w:p>
    <w:p>
      <w:pPr>
        <w:pStyle w:val="BodyText"/>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pPr>
      <w:r>
        <w:rPr>
          <w:bCs/>
          <w:b/>
          <w:color w:val="B08625"/>
          <w:sz w:val="20"/>
          <w:caps/>
          <w:spacing w:val="14"/>
        </w:rPr>
        <w:t xml:space="preserve">Risks &amp; Mitigation</w:t>
      </w:r>
    </w:p>
    <w:p>
      <w:pPr>
        <w:pStyle w:val="BodyText"/>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pPr>
      <w:r>
        <w:rPr>
          <w:bCs/>
          <w:b/>
          <w:color w:val="B08625"/>
          <w:sz w:val="20"/>
          <w:caps/>
          <w:spacing w:val="14"/>
        </w:rPr>
        <w:t xml:space="preserve">Timeline</w:t>
      </w:r>
    </w:p>
    <w:p>
      <w:pPr>
        <w:pStyle w:val="BodyText"/>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pPr>
      <w:r>
        <w:rPr>
          <w:bCs/>
          <w:b/>
          <w:color w:val="B08625"/>
          <w:sz w:val="20"/>
          <w:caps/>
          <w:spacing w:val="14"/>
        </w:rPr>
        <w:t xml:space="preserve">Governance Responsibilities</w:t>
      </w:r>
    </w:p>
    <w:p>
      <w:pPr>
        <w:pStyle w:val="BodyText"/>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pPr>
      <w:r>
        <w:rPr>
          <w:bCs/>
          <w:b/>
          <w:color w:val="B08625"/>
          <w:sz w:val="20"/>
          <w:caps/>
          <w:spacing w:val="14"/>
        </w:rPr>
        <w:t xml:space="preserve">Measurable Success Indicators</w:t>
      </w:r>
    </w:p>
    <w:p>
      <w:pPr>
        <w:pStyle w:val="BodyText"/>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8"/>
    <w:bookmarkStart w:id="49" w:name="section-3-governance-framework"/>
    <w:p>
      <w:pPr>
        <w:pStyle w:val="Heading2"/>
      </w:pPr>
      <w:r>
        <w:t xml:space="preserve">Section 3: Governance Framework</w:t>
      </w:r>
    </w:p>
    <w:p>
      <w:pPr>
        <w:pStyle w:val="FirstParagraph"/>
      </w:pPr>
      <w:r>
        <w:rPr>
          <w:bCs/>
          <w:b/>
          <w:color w:val="B08625"/>
          <w:sz w:val="20"/>
          <w:caps/>
          <w:spacing w:val="14"/>
        </w:rPr>
        <w:t xml:space="preserve">Rationale</w:t>
      </w:r>
    </w:p>
    <w:p>
      <w:pPr>
        <w:pStyle w:val="BodyText"/>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pPr>
      <w:r>
        <w:rPr>
          <w:bCs/>
          <w:b/>
          <w:color w:val="B08625"/>
          <w:sz w:val="20"/>
          <w:caps/>
          <w:spacing w:val="14"/>
        </w:rPr>
        <w:t xml:space="preserve">Global Best Practices</w:t>
      </w:r>
    </w:p>
    <w:p>
      <w:pPr>
        <w:pStyle w:val="BodyText"/>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pPr>
      <w:r>
        <w:rPr>
          <w:bCs/>
          <w:b/>
          <w:color w:val="B08625"/>
          <w:sz w:val="20"/>
          <w:caps/>
          <w:spacing w:val="14"/>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pPr>
      <w:r>
        <w:rPr>
          <w:bCs/>
          <w:b/>
          <w:color w:val="B08625"/>
          <w:sz w:val="20"/>
          <w:caps/>
          <w:spacing w:val="14"/>
        </w:rPr>
        <w:t xml:space="preserve">Implementation Phases (Target Years)</w:t>
      </w:r>
    </w:p>
    <w:p>
      <w:pPr>
        <w:pStyle w:val="BodyText"/>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pPr>
      <w:r>
        <w:rPr>
          <w:bCs/>
          <w:b/>
          <w:color w:val="B08625"/>
          <w:sz w:val="20"/>
          <w:caps/>
          <w:spacing w:val="14"/>
        </w:rPr>
        <w:t xml:space="preserve">Staffing Requirements</w:t>
      </w:r>
    </w:p>
    <w:p>
      <w:pPr>
        <w:pStyle w:val="BodyText"/>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pPr>
      <w:r>
        <w:rPr>
          <w:bCs/>
          <w:b/>
          <w:color w:val="B08625"/>
          <w:sz w:val="20"/>
          <w:caps/>
          <w:spacing w:val="14"/>
        </w:rPr>
        <w:t xml:space="preserve">Annual Budget</w:t>
      </w:r>
    </w:p>
    <w:p>
      <w:pPr>
        <w:pStyle w:val="BodyText"/>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pPr>
      <w:r>
        <w:rPr>
          <w:bCs/>
          <w:b/>
          <w:color w:val="B08625"/>
          <w:sz w:val="20"/>
          <w:caps/>
          <w:spacing w:val="14"/>
        </w:rPr>
        <w:t xml:space="preserve">KPIs</w:t>
      </w:r>
    </w:p>
    <w:p>
      <w:pPr>
        <w:pStyle w:val="BodyText"/>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pPr>
      <w:r>
        <w:rPr>
          <w:bCs/>
          <w:b/>
          <w:color w:val="B08625"/>
          <w:sz w:val="20"/>
          <w:caps/>
          <w:spacing w:val="14"/>
        </w:rPr>
        <w:t xml:space="preserve">Risks &amp; Mitigation</w:t>
      </w:r>
    </w:p>
    <w:p>
      <w:pPr>
        <w:pStyle w:val="BodyText"/>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pPr>
      <w:r>
        <w:rPr>
          <w:bCs/>
          <w:b/>
          <w:color w:val="B08625"/>
          <w:sz w:val="20"/>
          <w:caps/>
          <w:spacing w:val="14"/>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pPr>
      <w:r>
        <w:rPr>
          <w:bCs/>
          <w:b/>
          <w:color w:val="B08625"/>
          <w:sz w:val="20"/>
          <w:caps/>
          <w:spacing w:val="14"/>
        </w:rPr>
        <w:t xml:space="preserve">Governance Responsibilities</w:t>
      </w:r>
    </w:p>
    <w:p>
      <w:pPr>
        <w:pStyle w:val="BodyText"/>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pPr>
      <w:r>
        <w:rPr>
          <w:bCs/>
          <w:b/>
          <w:color w:val="B08625"/>
          <w:sz w:val="20"/>
          <w:caps/>
          <w:spacing w:val="14"/>
        </w:rPr>
        <w:t xml:space="preserve">Measurable Success Indicators</w:t>
      </w:r>
    </w:p>
    <w:p>
      <w:pPr>
        <w:pStyle w:val="BodyText"/>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49"/>
    <w:bookmarkStart w:id="50" w:name="section-4-senate-structure"/>
    <w:p>
      <w:pPr>
        <w:pStyle w:val="Heading2"/>
      </w:pPr>
      <w:r>
        <w:t xml:space="preserve">Section 4: Senate Structure</w:t>
      </w:r>
    </w:p>
    <w:p>
      <w:pPr>
        <w:pStyle w:val="FirstParagraph"/>
      </w:pPr>
      <w:r>
        <w:rPr>
          <w:bCs/>
          <w:b/>
          <w:color w:val="B08625"/>
          <w:sz w:val="20"/>
          <w:caps/>
          <w:spacing w:val="14"/>
        </w:rPr>
        <w:t xml:space="preserve">Rationale</w:t>
      </w:r>
    </w:p>
    <w:p>
      <w:pPr>
        <w:pStyle w:val="BodyText"/>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pPr>
      <w:r>
        <w:rPr>
          <w:bCs/>
          <w:b/>
          <w:color w:val="B08625"/>
          <w:sz w:val="20"/>
          <w:caps/>
          <w:spacing w:val="14"/>
        </w:rPr>
        <w:t xml:space="preserve">Global Best Practices</w:t>
      </w:r>
    </w:p>
    <w:p>
      <w:pPr>
        <w:pStyle w:val="BodyText"/>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pPr>
      <w:r>
        <w:rPr>
          <w:bCs/>
          <w:b/>
          <w:color w:val="B08625"/>
          <w:sz w:val="20"/>
          <w:caps/>
          <w:spacing w:val="14"/>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pPr>
      <w:r>
        <w:rPr>
          <w:bCs/>
          <w:b/>
          <w:color w:val="B08625"/>
          <w:sz w:val="20"/>
          <w:caps/>
          <w:spacing w:val="14"/>
        </w:rPr>
        <w:t xml:space="preserve">Election/Appointment Procedures</w:t>
      </w:r>
    </w:p>
    <w:p>
      <w:pPr>
        <w:pStyle w:val="BodyText"/>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pPr>
      <w:r>
        <w:rPr>
          <w:bCs/>
          <w:b/>
          <w:color w:val="B08625"/>
          <w:sz w:val="20"/>
          <w:caps/>
          <w:spacing w:val="14"/>
        </w:rPr>
        <w:t xml:space="preserve">Terms</w:t>
      </w:r>
    </w:p>
    <w:p>
      <w:pPr>
        <w:pStyle w:val="BodyText"/>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pPr>
      <w:r>
        <w:rPr>
          <w:bCs/>
          <w:b/>
          <w:color w:val="B08625"/>
          <w:sz w:val="20"/>
          <w:caps/>
          <w:spacing w:val="14"/>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pPr>
      <w:r>
        <w:rPr>
          <w:bCs/>
          <w:b/>
          <w:color w:val="B08625"/>
          <w:sz w:val="20"/>
          <w:caps/>
          <w:spacing w:val="14"/>
        </w:rPr>
        <w:t xml:space="preserve">Implementation Phases (Target Years)</w:t>
      </w:r>
    </w:p>
    <w:p>
      <w:pPr>
        <w:pStyle w:val="BodyText"/>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pPr>
      <w:r>
        <w:rPr>
          <w:bCs/>
          <w:b/>
          <w:color w:val="B08625"/>
          <w:sz w:val="20"/>
          <w:caps/>
          <w:spacing w:val="14"/>
        </w:rPr>
        <w:t xml:space="preserve">Staffing Requirements</w:t>
      </w:r>
    </w:p>
    <w:p>
      <w:pPr>
        <w:pStyle w:val="BodyText"/>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pPr>
      <w:r>
        <w:rPr>
          <w:bCs/>
          <w:b/>
          <w:color w:val="B08625"/>
          <w:sz w:val="20"/>
          <w:caps/>
          <w:spacing w:val="14"/>
        </w:rPr>
        <w:t xml:space="preserve">Annual Budget</w:t>
      </w:r>
    </w:p>
    <w:p>
      <w:pPr>
        <w:pStyle w:val="BodyText"/>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pPr>
      <w:r>
        <w:rPr>
          <w:bCs/>
          <w:b/>
          <w:color w:val="B08625"/>
          <w:sz w:val="20"/>
          <w:caps/>
          <w:spacing w:val="14"/>
        </w:rPr>
        <w:t xml:space="preserve">Risks &amp; Mitigation</w:t>
      </w:r>
    </w:p>
    <w:p>
      <w:pPr>
        <w:pStyle w:val="BodyText"/>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pPr>
      <w:r>
        <w:rPr>
          <w:bCs/>
          <w:b/>
          <w:color w:val="B08625"/>
          <w:sz w:val="20"/>
          <w:caps/>
          <w:spacing w:val="14"/>
        </w:rPr>
        <w:t xml:space="preserve">Timeline</w:t>
      </w:r>
    </w:p>
    <w:p>
      <w:pPr>
        <w:pStyle w:val="BodyText"/>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pPr>
      <w:r>
        <w:rPr>
          <w:bCs/>
          <w:b/>
          <w:color w:val="B08625"/>
          <w:sz w:val="20"/>
          <w:caps/>
          <w:spacing w:val="14"/>
        </w:rPr>
        <w:t xml:space="preserve">Governance Responsibilities</w:t>
      </w:r>
    </w:p>
    <w:p>
      <w:pPr>
        <w:pStyle w:val="BodyText"/>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pPr>
      <w:r>
        <w:rPr>
          <w:bCs/>
          <w:b/>
          <w:color w:val="B08625"/>
          <w:sz w:val="20"/>
          <w:caps/>
          <w:spacing w:val="14"/>
        </w:rPr>
        <w:t xml:space="preserve">Measurable Success Indicators</w:t>
      </w:r>
    </w:p>
    <w:p>
      <w:pPr>
        <w:pStyle w:val="BodyText"/>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0"/>
    <w:bookmarkStart w:id="51" w:name="section-5-board-structure"/>
    <w:p>
      <w:pPr>
        <w:pStyle w:val="Heading2"/>
      </w:pPr>
      <w:r>
        <w:t xml:space="preserve">Section 5: Board Structure</w:t>
      </w:r>
    </w:p>
    <w:p>
      <w:pPr>
        <w:pStyle w:val="FirstParagraph"/>
      </w:pPr>
      <w:r>
        <w:rPr>
          <w:bCs/>
          <w:b/>
          <w:color w:val="B08625"/>
          <w:sz w:val="20"/>
          <w:caps/>
          <w:spacing w:val="14"/>
        </w:rPr>
        <w:t xml:space="preserve">Rationale</w:t>
      </w:r>
    </w:p>
    <w:p>
      <w:pPr>
        <w:pStyle w:val="BodyText"/>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pPr>
      <w:r>
        <w:rPr>
          <w:bCs/>
          <w:b/>
          <w:color w:val="B08625"/>
          <w:sz w:val="20"/>
          <w:caps/>
          <w:spacing w:val="14"/>
        </w:rPr>
        <w:t xml:space="preserve">Global Best Practices</w:t>
      </w:r>
    </w:p>
    <w:p>
      <w:pPr>
        <w:pStyle w:val="BodyText"/>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pPr>
      <w:r>
        <w:rPr>
          <w:bCs/>
          <w:b/>
          <w:color w:val="B08625"/>
          <w:sz w:val="20"/>
          <w:caps/>
          <w:spacing w:val="14"/>
        </w:rPr>
        <w:t xml:space="preserve">Exclusive Board Powers</w:t>
      </w:r>
    </w:p>
    <w:p>
      <w:pPr>
        <w:pStyle w:val="BodyText"/>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pPr>
      <w:r>
        <w:rPr>
          <w:bCs/>
          <w:b/>
          <w:color w:val="B08625"/>
          <w:sz w:val="20"/>
          <w:caps/>
          <w:spacing w:val="14"/>
        </w:rPr>
        <w:t xml:space="preserve">Implementation Phases (Target Years)</w:t>
      </w:r>
    </w:p>
    <w:p>
      <w:pPr>
        <w:pStyle w:val="BodyText"/>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pPr>
      <w:r>
        <w:rPr>
          <w:bCs/>
          <w:b/>
          <w:color w:val="B08625"/>
          <w:sz w:val="20"/>
          <w:caps/>
          <w:spacing w:val="14"/>
        </w:rPr>
        <w:t xml:space="preserve">Staffing Requirements</w:t>
      </w:r>
    </w:p>
    <w:p>
      <w:pPr>
        <w:pStyle w:val="BodyText"/>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pPr>
      <w:r>
        <w:rPr>
          <w:bCs/>
          <w:b/>
          <w:color w:val="B08625"/>
          <w:sz w:val="20"/>
          <w:caps/>
          <w:spacing w:val="14"/>
        </w:rPr>
        <w:t xml:space="preserve">Annual Budget</w:t>
      </w:r>
    </w:p>
    <w:p>
      <w:pPr>
        <w:pStyle w:val="BodyText"/>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pPr>
      <w:r>
        <w:rPr>
          <w:bCs/>
          <w:b/>
          <w:color w:val="B08625"/>
          <w:sz w:val="20"/>
          <w:caps/>
          <w:spacing w:val="14"/>
        </w:rPr>
        <w:t xml:space="preserve">KPIs</w:t>
      </w:r>
    </w:p>
    <w:p>
      <w:pPr>
        <w:pStyle w:val="BodyText"/>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pPr>
      <w:r>
        <w:rPr>
          <w:bCs/>
          <w:b/>
          <w:color w:val="B08625"/>
          <w:sz w:val="20"/>
          <w:caps/>
          <w:spacing w:val="14"/>
        </w:rPr>
        <w:t xml:space="preserve">Risks &amp; Mitigation</w:t>
      </w:r>
    </w:p>
    <w:p>
      <w:pPr>
        <w:pStyle w:val="BodyText"/>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pPr>
      <w:r>
        <w:rPr>
          <w:bCs/>
          <w:b/>
        </w:rPr>
        <w:t xml:space="preserve">Trustee Recruitment, Term Limits, and Conflict-of-Interest Policy</w:t>
      </w:r>
    </w:p>
    <w:p>
      <w:pPr>
        <w:pStyle w:val="BodyText"/>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pPr>
      <w:r>
        <w:rPr>
          <w:bCs/>
          <w:b/>
          <w:color w:val="B08625"/>
          <w:sz w:val="20"/>
          <w:caps/>
          <w:spacing w:val="14"/>
        </w:rPr>
        <w:t xml:space="preserve">Timeline</w:t>
      </w:r>
    </w:p>
    <w:p>
      <w:pPr>
        <w:pStyle w:val="BodyText"/>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pPr>
      <w:r>
        <w:rPr>
          <w:bCs/>
          <w:b/>
          <w:color w:val="B08625"/>
          <w:sz w:val="20"/>
          <w:caps/>
          <w:spacing w:val="14"/>
        </w:rPr>
        <w:t xml:space="preserve">Governance Responsibilities</w:t>
      </w:r>
    </w:p>
    <w:p>
      <w:pPr>
        <w:pStyle w:val="BodyText"/>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pPr>
      <w:r>
        <w:rPr>
          <w:bCs/>
          <w:b/>
          <w:color w:val="B08625"/>
          <w:sz w:val="20"/>
          <w:caps/>
          <w:spacing w:val="14"/>
        </w:rPr>
        <w:t xml:space="preserve">Measurable Success Indicators</w:t>
      </w:r>
    </w:p>
    <w:p>
      <w:pPr>
        <w:pStyle w:val="BodyText"/>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Bitstream Charter" w:hAnsi="Bitstream Charter"/>
                <w:b/>
                <w:color w:val="B08625"/>
                <w:sz w:val="20"/>
                <w:caps/>
                <w:spacing w:val="14"/>
              </w:rPr>
              <w:t>II</w:t>
            </w:r>
          </w:p>
          <w:p>
            <w:pPr>
              <w:spacing w:before="120" w:after="80"/>
            </w:pPr>
            <w:r>
              <w:rPr>
                <w:rFonts w:ascii="Bitstream Charter" w:hAnsi="Bitstream Charter"/>
                <w:b/>
                <w:color w:val="B08625"/>
                <w:sz w:val="20"/>
                <w:caps/>
                <w:spacing w:val="14"/>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Liberation Serif" w:hAnsi="Liberation Serif"/>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06 </w:t>
            </w:r>
            <w:r>
              <w:rPr>
                <w:rFonts w:ascii="Liberation Sans" w:hAnsi="Liberation Sans"/>
                <w:color w:val="FFFFFF"/>
                <w:sz w:val="20"/>
              </w:rPr>
              <w:t>Organizational Chart</w:t>
            </w:r>
          </w:p>
          <w:p>
            <w:pPr>
              <w:spacing w:before="0" w:after="130"/>
            </w:pPr>
            <w:r>
              <w:rPr>
                <w:rFonts w:ascii="Bitstream Charter" w:hAnsi="Bitstream Charter"/>
                <w:b/>
                <w:color w:val="B08625"/>
                <w:sz w:val="20"/>
                <w:caps/>
                <w:spacing w:val="14"/>
              </w:rPr>
              <w:t>07 </w:t>
            </w:r>
            <w:r>
              <w:rPr>
                <w:rFonts w:ascii="Liberation Sans" w:hAnsi="Liberation Sans"/>
                <w:color w:val="FFFFFF"/>
                <w:sz w:val="20"/>
              </w:rPr>
              <w:t>Academic Master Plan</w:t>
            </w:r>
          </w:p>
          <w:p>
            <w:pPr>
              <w:spacing w:before="0" w:after="130"/>
            </w:pPr>
            <w:r>
              <w:rPr>
                <w:rFonts w:ascii="Bitstream Charter" w:hAnsi="Bitstream Charter"/>
                <w:b/>
                <w:color w:val="B08625"/>
                <w:sz w:val="20"/>
                <w:caps/>
                <w:spacing w:val="14"/>
              </w:rPr>
              <w:t>08 </w:t>
            </w:r>
            <w:r>
              <w:rPr>
                <w:rFonts w:ascii="Liberation Sans" w:hAnsi="Liberation Sans"/>
                <w:color w:val="FFFFFF"/>
                <w:sz w:val="20"/>
              </w:rPr>
              <w:t>College Structure</w:t>
            </w:r>
          </w:p>
          <w:p>
            <w:pPr>
              <w:spacing w:before="0" w:after="130"/>
            </w:pPr>
            <w:r>
              <w:rPr>
                <w:rFonts w:ascii="Bitstream Charter" w:hAnsi="Bitstream Charter"/>
                <w:b/>
                <w:color w:val="B08625"/>
                <w:sz w:val="20"/>
                <w:caps/>
                <w:spacing w:val="14"/>
              </w:rPr>
              <w:t>09 </w:t>
            </w:r>
            <w:r>
              <w:rPr>
                <w:rFonts w:ascii="Liberation Sans" w:hAnsi="Liberation Sans"/>
                <w:color w:val="FFFFFF"/>
                <w:sz w:val="20"/>
              </w:rPr>
              <w:t>Faculty Structure</w:t>
            </w:r>
          </w:p>
          <w:p>
            <w:pPr>
              <w:spacing w:before="0" w:after="130"/>
            </w:pPr>
            <w:r>
              <w:rPr>
                <w:rFonts w:ascii="Bitstream Charter" w:hAnsi="Bitstream Charter"/>
                <w:b/>
                <w:color w:val="B08625"/>
                <w:sz w:val="20"/>
                <w:caps/>
                <w:spacing w:val="14"/>
              </w:rPr>
              <w:t>10 </w:t>
            </w:r>
            <w:r>
              <w:rPr>
                <w:rFonts w:ascii="Liberation Sans" w:hAnsi="Liberation Sans"/>
                <w:color w:val="FFFFFF"/>
                <w:sz w:val="20"/>
              </w:rPr>
              <w:t>Department Structure</w:t>
            </w:r>
          </w:p>
        </w:tc>
      </w:tr>
    </w:tbl>
    <w:p>
      <w:r>
        <w:br w:type="page"/>
      </w:r>
    </w:p>
    <w:p>
      <w:pPr>
        <w:pStyle w:val="SectionKicker"/>
      </w:pPr>
      <w:r>
        <w:t xml:space="preserve">PART II · SECTION 06</w:t>
      </w:r>
    </w:p>
    <w:bookmarkEnd w:id="51"/>
    <w:bookmarkStart w:id="55" w:name="section-6-organizational-chart"/>
    <w:p>
      <w:pPr>
        <w:pStyle w:val="Heading2"/>
      </w:pPr>
      <w:r>
        <w:t xml:space="preserve">Section 6: Organizational Chart</w:t>
      </w:r>
    </w:p>
    <w:p>
      <w:pPr>
        <w:pStyle w:val="CaptionedFigure"/>
      </w:pPr>
      <w:r>
        <w:drawing>
          <wp:inline>
            <wp:extent cx="5292852" cy="4178029"/>
            <wp:effectExtent b="0" l="0" r="0" t="0"/>
            <wp:docPr descr="Figure 3. AMIU Governance &amp; Organisational Structure" title="" id="53" name="Picture"/>
            <a:graphic>
              <a:graphicData uri="http://schemas.openxmlformats.org/drawingml/2006/picture">
                <pic:pic>
                  <pic:nvPicPr>
                    <pic:cNvPr descr="assets/figures/fig06_governance_orgchart.png" id="54" name="Picture"/>
                    <pic:cNvPicPr>
                      <a:picLocks noChangeArrowheads="1" noChangeAspect="1"/>
                    </pic:cNvPicPr>
                  </pic:nvPicPr>
                  <pic:blipFill>
                    <a:blip r:embed="rId52"/>
                    <a:stretch>
                      <a:fillRect/>
                    </a:stretch>
                  </pic:blipFill>
                  <pic:spPr bwMode="auto">
                    <a:xfrm>
                      <a:off x="0" y="0"/>
                      <a:ext cx="5292852" cy="417802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pPr>
      <w:r>
        <w:rPr>
          <w:iCs/>
          <w:i/>
        </w:rPr>
        <w:t xml:space="preserve">Bicameral authority: Board of Trustees and University Senate, founding-decade configuration.</w:t>
      </w:r>
    </w:p>
    <w:p>
      <w:pPr>
        <w:pStyle w:val="BodyText"/>
      </w:pPr>
      <w:r>
        <w:rPr>
          <w:bCs/>
          <w:b/>
          <w:color w:val="B08625"/>
          <w:sz w:val="20"/>
          <w:caps/>
          <w:spacing w:val="14"/>
        </w:rPr>
        <w:t xml:space="preserve">Rationale</w:t>
      </w:r>
    </w:p>
    <w:p>
      <w:pPr>
        <w:pStyle w:val="BodyText"/>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pPr>
      <w:r>
        <w:rPr>
          <w:bCs/>
          <w:b/>
          <w:color w:val="B08625"/>
          <w:sz w:val="20"/>
          <w:caps/>
          <w:spacing w:val="14"/>
        </w:rPr>
        <w:t xml:space="preserve">Global Best Practices</w:t>
      </w:r>
    </w:p>
    <w:p>
      <w:pPr>
        <w:pStyle w:val="BodyText"/>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pPr>
      <w:r>
        <w:rPr>
          <w:bCs/>
          <w:b/>
        </w:rPr>
        <w:t xml:space="preserve">Year 5 (2032) — Snapshot: 3,493 students, Total Payroll $258,157</w:t>
      </w:r>
    </w:p>
    <w:p>
      <w:pPr>
        <w:pStyle w:val="BodyText"/>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pPr>
      <w:r>
        <w:rPr>
          <w:bCs/>
          <w:b/>
          <w:color w:val="B08625"/>
          <w:sz w:val="20"/>
          <w:caps/>
          <w:spacing w:val="14"/>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pPr>
      <w:r>
        <w:rPr>
          <w:bCs/>
          <w:b/>
          <w:color w:val="B08625"/>
          <w:sz w:val="20"/>
          <w:caps/>
          <w:spacing w:val="14"/>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pPr>
      <w:r>
        <w:rPr>
          <w:bCs/>
          <w:b/>
          <w:color w:val="B08625"/>
          <w:sz w:val="20"/>
          <w:caps/>
          <w:spacing w:val="14"/>
        </w:rPr>
        <w:t xml:space="preserve">Risks &amp; Mitigation</w:t>
      </w:r>
    </w:p>
    <w:p>
      <w:pPr>
        <w:numPr>
          <w:ilvl w:val="0"/>
          <w:numId w:val="1002"/>
        </w:numPr>
        <w:pStyle w:val="Compact"/>
      </w:pPr>
      <w:r>
        <w:rPr>
          <w:bCs/>
          <w:b/>
          <w:color w:val="B08625"/>
          <w:sz w:val="20"/>
          <w:caps/>
          <w:spacing w:val="14"/>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pPr>
      <w:r>
        <w:rPr>
          <w:bCs/>
          <w:b/>
          <w:color w:val="B08625"/>
          <w:sz w:val="20"/>
          <w:caps/>
          <w:spacing w:val="14"/>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pPr>
      <w:r>
        <w:rPr>
          <w:bCs/>
          <w:b/>
          <w:color w:val="B08625"/>
          <w:sz w:val="20"/>
          <w:caps/>
          <w:spacing w:val="14"/>
        </w:rPr>
        <w:t xml:space="preserve">Secular-school authority ambiguity</w:t>
      </w:r>
      <w:r>
        <w:t xml:space="preserve"> </w:t>
      </w:r>
      <w:r>
        <w:t xml:space="preserve">→ resolved explicitly: academic authority stays with Senate; Schools are administrative, not governance, units.</w:t>
      </w:r>
    </w:p>
    <w:p>
      <w:pPr>
        <w:pStyle w:val="FirstParagraph"/>
      </w:pPr>
      <w:r>
        <w:rPr>
          <w:bCs/>
          <w:b/>
          <w:color w:val="B08625"/>
          <w:sz w:val="20"/>
          <w:caps/>
          <w:spacing w:val="14"/>
        </w:rPr>
        <w:t xml:space="preserve">Timeline &amp; Governance Mapping</w:t>
      </w:r>
    </w:p>
    <w:p>
      <w:pPr>
        <w:pStyle w:val="BodyText"/>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pPr>
      <w:r>
        <w:rPr>
          <w:bCs/>
          <w:b/>
          <w:color w:val="B08625"/>
          <w:sz w:val="20"/>
          <w:caps/>
          <w:spacing w:val="14"/>
        </w:rPr>
        <w:t xml:space="preserve">Measurable Success Indicators</w:t>
      </w:r>
    </w:p>
    <w:p>
      <w:pPr>
        <w:pStyle w:val="BodyText"/>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5"/>
    <w:bookmarkStart w:id="59" w:name="section-7-academic-master-plan"/>
    <w:p>
      <w:pPr>
        <w:pStyle w:val="Heading2"/>
      </w:pPr>
      <w:r>
        <w:t xml:space="preserve">Section 7: Academic Master Plan</w:t>
      </w:r>
    </w:p>
    <w:p>
      <w:pPr>
        <w:pStyle w:val="CaptionedFigure"/>
      </w:pPr>
      <w:r>
        <w:drawing>
          <wp:inline>
            <wp:extent cx="5292852" cy="4223615"/>
            <wp:effectExtent b="0" l="0" r="0" t="0"/>
            <wp:docPr descr="Figure 4. The Seven-Tier Stackable Academic Ladder" title="" id="57" name="Picture"/>
            <a:graphic>
              <a:graphicData uri="http://schemas.openxmlformats.org/drawingml/2006/picture">
                <pic:pic>
                  <pic:nvPicPr>
                    <pic:cNvPr descr="assets/figures/fig07_seven_tier_ladder.png" id="58" name="Picture"/>
                    <pic:cNvPicPr>
                      <a:picLocks noChangeArrowheads="1" noChangeAspect="1"/>
                    </pic:cNvPicPr>
                  </pic:nvPicPr>
                  <pic:blipFill>
                    <a:blip r:embed="rId56"/>
                    <a:stretch>
                      <a:fillRect/>
                    </a:stretch>
                  </pic:blipFill>
                  <pic:spPr bwMode="auto">
                    <a:xfrm>
                      <a:off x="0" y="0"/>
                      <a:ext cx="5292852" cy="4223615"/>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pPr>
      <w:r>
        <w:rPr>
          <w:iCs/>
          <w:i/>
        </w:rPr>
        <w:t xml:space="preserve">71 named programs, founding decade; every credential stacks into the next with zero credit loss.</w:t>
      </w:r>
    </w:p>
    <w:p>
      <w:pPr>
        <w:pStyle w:val="BodyText"/>
      </w:pPr>
      <w:r>
        <w:rPr>
          <w:bCs/>
          <w:b/>
          <w:color w:val="B08625"/>
          <w:sz w:val="20"/>
          <w:caps/>
          <w:spacing w:val="14"/>
        </w:rPr>
        <w:t xml:space="preserve">Rationale</w:t>
      </w:r>
    </w:p>
    <w:p>
      <w:pPr>
        <w:pStyle w:val="BodyText"/>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pPr>
      <w:r>
        <w:rPr>
          <w:bCs/>
          <w:b/>
          <w:color w:val="B08625"/>
          <w:sz w:val="20"/>
          <w:caps/>
          <w:spacing w:val="14"/>
        </w:rPr>
        <w:t xml:space="preserve">Global Best Practices</w:t>
      </w:r>
    </w:p>
    <w:p>
      <w:pPr>
        <w:pStyle w:val="BodyText"/>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pPr>
      <w:r>
        <w:rPr>
          <w:bCs/>
          <w:b/>
          <w:color w:val="B08625"/>
          <w:sz w:val="20"/>
          <w:caps/>
          <w:spacing w:val="14"/>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pPr>
      <w:r>
        <w:rPr>
          <w:bCs/>
          <w:b/>
          <w:color w:val="B08625"/>
          <w:sz w:val="20"/>
          <w:caps/>
          <w:spacing w:val="14"/>
        </w:rPr>
        <w:t xml:space="preserve">Academic Calendar / Semester Model</w:t>
      </w:r>
    </w:p>
    <w:p>
      <w:pPr>
        <w:pStyle w:val="BodyText"/>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pPr>
      <w:r>
        <w:rPr>
          <w:bCs/>
          <w:b/>
          <w:color w:val="B08625"/>
          <w:sz w:val="20"/>
          <w:caps/>
          <w:spacing w:val="14"/>
        </w:rPr>
        <w:t xml:space="preserve">Annual Budget (fixed allocation ties)</w:t>
      </w:r>
    </w:p>
    <w:p>
      <w:pPr>
        <w:pStyle w:val="BodyText"/>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pPr>
      <w:r>
        <w:rPr>
          <w:bCs/>
          <w:b/>
          <w:color w:val="B08625"/>
          <w:sz w:val="20"/>
          <w:caps/>
          <w:spacing w:val="14"/>
        </w:rPr>
        <w:t xml:space="preserve">Quality Assurance Cycle</w:t>
      </w:r>
    </w:p>
    <w:p>
      <w:pPr>
        <w:pStyle w:val="BodyText"/>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pPr>
      <w:r>
        <w:rPr>
          <w:bCs/>
          <w:b/>
          <w:color w:val="B08625"/>
          <w:sz w:val="20"/>
          <w:caps/>
          <w:spacing w:val="14"/>
        </w:rPr>
        <w:t xml:space="preserve">KPIs &amp; Measurable Success Indicators</w:t>
      </w:r>
    </w:p>
    <w:p>
      <w:pPr>
        <w:pStyle w:val="BodyText"/>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pPr>
      <w:r>
        <w:rPr>
          <w:bCs/>
          <w:b/>
          <w:color w:val="B08625"/>
          <w:sz w:val="20"/>
          <w:caps/>
          <w:spacing w:val="14"/>
        </w:rPr>
        <w:t xml:space="preserve">Risks &amp; Mitigation</w:t>
      </w:r>
    </w:p>
    <w:p>
      <w:pPr>
        <w:numPr>
          <w:ilvl w:val="0"/>
          <w:numId w:val="1003"/>
        </w:numPr>
        <w:pStyle w:val="Compact"/>
      </w:pPr>
      <w:r>
        <w:rPr>
          <w:bCs/>
          <w:b/>
          <w:color w:val="B08625"/>
          <w:sz w:val="20"/>
          <w:caps/>
          <w:spacing w:val="14"/>
        </w:rPr>
        <w:t xml:space="preserve">Overexpansion before financial proof</w:t>
      </w:r>
      <w:r>
        <w:t xml:space="preserve"> </w:t>
      </w:r>
      <w:r>
        <w:t xml:space="preserve">→ secular launch hard-gated to Year 11, not accelerated regardless of demand.</w:t>
      </w:r>
    </w:p>
    <w:p>
      <w:pPr>
        <w:numPr>
          <w:ilvl w:val="0"/>
          <w:numId w:val="1003"/>
        </w:numPr>
        <w:pStyle w:val="Compact"/>
      </w:pPr>
      <w:r>
        <w:rPr>
          <w:bCs/>
          <w:b/>
          <w:color w:val="B08625"/>
          <w:sz w:val="20"/>
          <w:caps/>
          <w:spacing w:val="14"/>
        </w:rPr>
        <w:t xml:space="preserve">Credit-loss disputes</w:t>
      </w:r>
      <w:r>
        <w:t xml:space="preserve"> </w:t>
      </w:r>
      <w:r>
        <w:t xml:space="preserve">→ Registrar-held master transcript ledger, audited annually, is the single source of truth.</w:t>
      </w:r>
    </w:p>
    <w:p>
      <w:pPr>
        <w:numPr>
          <w:ilvl w:val="0"/>
          <w:numId w:val="1003"/>
        </w:numPr>
        <w:pStyle w:val="Compact"/>
      </w:pPr>
      <w:r>
        <w:rPr>
          <w:bCs/>
          <w:b/>
          <w:color w:val="B08625"/>
          <w:sz w:val="20"/>
          <w:caps/>
          <w:spacing w:val="14"/>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pPr>
      <w:r>
        <w:rPr>
          <w:bCs/>
          <w:b/>
          <w:color w:val="B08625"/>
          <w:sz w:val="20"/>
          <w:caps/>
          <w:spacing w:val="14"/>
        </w:rPr>
        <w:t xml:space="preserve">Governance Responsibilities</w:t>
      </w:r>
    </w:p>
    <w:p>
      <w:pPr>
        <w:pStyle w:val="BodyText"/>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pPr>
      <w:r>
        <w:rPr>
          <w:bCs/>
          <w:b/>
          <w:color w:val="B08625"/>
          <w:sz w:val="20"/>
          <w:caps/>
          <w:spacing w:val="14"/>
        </w:rPr>
        <w:t xml:space="preserve">Timeline</w:t>
      </w:r>
    </w:p>
    <w:p>
      <w:pPr>
        <w:pStyle w:val="BodyText"/>
      </w:pPr>
      <w:r>
        <w:t xml:space="preserve">2028 Phase 1 → 2029 Phase 2 → 2030 Phase 3 → 2033 Phase 4 → 2038 Phase 5 → 2039–2047 Phase 6 → 2048–2050 Phase 7.</w:t>
      </w:r>
    </w:p>
    <w:p>
      <w:pPr>
        <w:pStyle w:val="SectionKicker"/>
      </w:pPr>
      <w:r>
        <w:t xml:space="preserve">PART II · SECTION 08</w:t>
      </w:r>
    </w:p>
    <w:bookmarkEnd w:id="59"/>
    <w:bookmarkStart w:id="60" w:name="section-8-college-structure"/>
    <w:p>
      <w:pPr>
        <w:pStyle w:val="Heading2"/>
      </w:pPr>
      <w:r>
        <w:t xml:space="preserve">Section 8: College Structure</w:t>
      </w:r>
    </w:p>
    <w:p>
      <w:pPr>
        <w:pStyle w:val="FirstParagraph"/>
      </w:pPr>
      <w:r>
        <w:rPr>
          <w:bCs/>
          <w:b/>
          <w:color w:val="B08625"/>
          <w:sz w:val="20"/>
          <w:caps/>
          <w:spacing w:val="14"/>
        </w:rPr>
        <w:t xml:space="preserve">Rationale</w:t>
      </w:r>
    </w:p>
    <w:p>
      <w:pPr>
        <w:pStyle w:val="BodyText"/>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pPr>
      <w:r>
        <w:rPr>
          <w:bCs/>
          <w:b/>
          <w:color w:val="B08625"/>
          <w:sz w:val="20"/>
          <w:caps/>
          <w:spacing w:val="14"/>
        </w:rPr>
        <w:t xml:space="preserve">Global Best Practices</w:t>
      </w:r>
    </w:p>
    <w:p>
      <w:pPr>
        <w:pStyle w:val="BodyText"/>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pPr>
      <w:r>
        <w:rPr>
          <w:iCs/>
          <w:i/>
        </w:rPr>
        <w:t xml:space="preserve">(Roman numerals here follow the Master Plan’s six-college numbering; Dean pairing exactly matches AMIU-MP-001.)</w:t>
      </w:r>
    </w:p>
    <w:p>
      <w:pPr>
        <w:pStyle w:val="BodyText"/>
      </w:pPr>
      <w:r>
        <w:rPr>
          <w:bCs/>
          <w:b/>
          <w:color w:val="B08625"/>
          <w:sz w:val="20"/>
          <w:caps/>
          <w:spacing w:val="14"/>
        </w:rPr>
        <w:t xml:space="preserve">Inter-College Shared Services</w:t>
      </w:r>
    </w:p>
    <w:p>
      <w:pPr>
        <w:numPr>
          <w:ilvl w:val="0"/>
          <w:numId w:val="1004"/>
        </w:numPr>
        <w:pStyle w:val="Compact"/>
      </w:pPr>
      <w:r>
        <w:rPr>
          <w:bCs/>
          <w:b/>
          <w:color w:val="B08625"/>
          <w:sz w:val="20"/>
          <w:caps/>
          <w:spacing w:val="14"/>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pPr>
      <w:r>
        <w:rPr>
          <w:bCs/>
          <w:b/>
          <w:color w:val="B08625"/>
          <w:sz w:val="20"/>
          <w:caps/>
          <w:spacing w:val="14"/>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pPr>
      <w:r>
        <w:rPr>
          <w:bCs/>
          <w:b/>
          <w:color w:val="B08625"/>
          <w:sz w:val="20"/>
          <w:caps/>
          <w:spacing w:val="14"/>
        </w:rPr>
        <w:t xml:space="preserve">Staffing Requirements</w:t>
      </w:r>
    </w:p>
    <w:p>
      <w:pPr>
        <w:pStyle w:val="BodyText"/>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pPr>
      <w:r>
        <w:rPr>
          <w:bCs/>
          <w:b/>
          <w:color w:val="B08625"/>
          <w:sz w:val="20"/>
          <w:caps/>
          <w:spacing w:val="14"/>
        </w:rPr>
        <w:t xml:space="preserve">Annual Budget</w:t>
      </w:r>
    </w:p>
    <w:p>
      <w:pPr>
        <w:pStyle w:val="BodyText"/>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pPr>
      <w:r>
        <w:rPr>
          <w:bCs/>
          <w:b/>
          <w:color w:val="B08625"/>
          <w:sz w:val="20"/>
          <w:caps/>
          <w:spacing w:val="14"/>
        </w:rPr>
        <w:t xml:space="preserve">KPIs</w:t>
      </w:r>
    </w:p>
    <w:p>
      <w:pPr>
        <w:pStyle w:val="BodyText"/>
      </w:pPr>
      <w:r>
        <w:t xml:space="preserve">Cost-per-credit-hour by college; shared-core utilization rate (% of eligible students enrolled); secular-school gen-ed completion rate; college-level enrolment share vs. Master Plan targets.</w:t>
      </w:r>
    </w:p>
    <w:p>
      <w:pPr>
        <w:pStyle w:val="BodyText"/>
      </w:pPr>
      <w:r>
        <w:rPr>
          <w:bCs/>
          <w:b/>
          <w:color w:val="B08625"/>
          <w:sz w:val="20"/>
          <w:caps/>
          <w:spacing w:val="14"/>
        </w:rPr>
        <w:t xml:space="preserve">Risks &amp; Mitigation</w:t>
      </w:r>
    </w:p>
    <w:p>
      <w:pPr>
        <w:numPr>
          <w:ilvl w:val="0"/>
          <w:numId w:val="1005"/>
        </w:numPr>
        <w:pStyle w:val="Compact"/>
      </w:pPr>
      <w:r>
        <w:rPr>
          <w:bCs/>
          <w:b/>
          <w:color w:val="B08625"/>
          <w:sz w:val="20"/>
          <w:caps/>
          <w:spacing w:val="14"/>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pPr>
      <w:r>
        <w:rPr>
          <w:bCs/>
          <w:b/>
          <w:color w:val="B08625"/>
          <w:sz w:val="20"/>
          <w:caps/>
          <w:spacing w:val="14"/>
        </w:rPr>
        <w:t xml:space="preserve">Secular Schools diluting Islamic identity</w:t>
      </w:r>
      <w:r>
        <w:t xml:space="preserve"> </w:t>
      </w:r>
      <w:r>
        <w:t xml:space="preserve">→ gen-ed core is a hard graduation requirement, Senate-enforced, not elective.</w:t>
      </w:r>
    </w:p>
    <w:p>
      <w:pPr>
        <w:pStyle w:val="FirstParagraph"/>
      </w:pPr>
      <w:r>
        <w:rPr>
          <w:bCs/>
          <w:b/>
          <w:color w:val="B08625"/>
          <w:sz w:val="20"/>
          <w:caps/>
          <w:spacing w:val="14"/>
        </w:rPr>
        <w:t xml:space="preserve">Governance Responsibilities</w:t>
      </w:r>
    </w:p>
    <w:p>
      <w:pPr>
        <w:pStyle w:val="BodyText"/>
      </w:pPr>
      <w:r>
        <w:t xml:space="preserve">Each college’s Dean sits in Senate Group II; each School Head (Yr11+) reports administratively to DVC Academic Affairs; program-level curriculum changes still require full Senate approval regardless of college/school.</w:t>
      </w:r>
    </w:p>
    <w:p>
      <w:pPr>
        <w:pStyle w:val="BodyText"/>
      </w:pPr>
      <w:r>
        <w:rPr>
          <w:bCs/>
          <w:b/>
          <w:color w:val="B08625"/>
          <w:sz w:val="20"/>
          <w:caps/>
          <w:spacing w:val="14"/>
        </w:rPr>
        <w:t xml:space="preserve">Timeline &amp; Success Indicators</w:t>
      </w:r>
    </w:p>
    <w:p>
      <w:pPr>
        <w:pStyle w:val="BodyText"/>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p>
      <w:pPr>
        <w:pStyle w:val="SectionKicker"/>
      </w:pPr>
      <w:r>
        <w:t xml:space="preserve">PART II · SECTION 09</w:t>
      </w:r>
    </w:p>
    <w:bookmarkEnd w:id="60"/>
    <w:bookmarkStart w:id="61" w:name="section-9-faculty-structure"/>
    <w:p>
      <w:pPr>
        <w:pStyle w:val="Heading2"/>
      </w:pPr>
      <w:r>
        <w:t xml:space="preserve">Section 9: Faculty Structure</w:t>
      </w:r>
    </w:p>
    <w:p>
      <w:pPr>
        <w:pStyle w:val="FirstParagraph"/>
      </w:pPr>
      <w:r>
        <w:rPr>
          <w:bCs/>
          <w:b/>
          <w:color w:val="B08625"/>
          <w:sz w:val="20"/>
          <w:caps/>
          <w:spacing w:val="14"/>
        </w:rPr>
        <w:t xml:space="preserve">Rationale</w:t>
      </w:r>
    </w:p>
    <w:p>
      <w:pPr>
        <w:pStyle w:val="BodyText"/>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pPr>
      <w:r>
        <w:rPr>
          <w:bCs/>
          <w:b/>
          <w:color w:val="B08625"/>
          <w:sz w:val="20"/>
          <w:caps/>
          <w:spacing w:val="14"/>
        </w:rPr>
        <w:t xml:space="preserve">Global Best Practices</w:t>
      </w:r>
    </w:p>
    <w:p>
      <w:pPr>
        <w:pStyle w:val="BodyText"/>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pPr>
      <w:r>
        <w:rPr>
          <w:bCs/>
          <w:b/>
          <w:color w:val="B08625"/>
          <w:sz w:val="20"/>
          <w:caps/>
          <w:spacing w:val="14"/>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pPr>
      <w:r>
        <w:rPr>
          <w:bCs/>
          <w:b/>
          <w:color w:val="B08625"/>
          <w:sz w:val="20"/>
          <w:caps/>
          <w:spacing w:val="14"/>
        </w:rPr>
        <w:t xml:space="preserve">Promotion Pathway</w:t>
      </w:r>
    </w:p>
    <w:p>
      <w:pPr>
        <w:pStyle w:val="BodyText"/>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pPr>
      <w:r>
        <w:rPr>
          <w:bCs/>
          <w:b/>
          <w:color w:val="B08625"/>
          <w:sz w:val="20"/>
          <w:caps/>
          <w:spacing w:val="14"/>
        </w:rPr>
        <w:t xml:space="preserve">Credentialing Standards</w:t>
      </w:r>
    </w:p>
    <w:p>
      <w:pPr>
        <w:numPr>
          <w:ilvl w:val="0"/>
          <w:numId w:val="1006"/>
        </w:numPr>
        <w:pStyle w:val="Compact"/>
      </w:pPr>
      <w:r>
        <w:rPr>
          <w:bCs/>
          <w:b/>
          <w:color w:val="B08625"/>
          <w:sz w:val="20"/>
          <w:caps/>
          <w:spacing w:val="14"/>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pPr>
      <w:r>
        <w:rPr>
          <w:bCs/>
          <w:b/>
          <w:color w:val="B08625"/>
          <w:sz w:val="20"/>
          <w:caps/>
          <w:spacing w:val="14"/>
        </w:rPr>
        <w:t xml:space="preserve">Arabic Language faculty</w:t>
      </w:r>
      <w:r>
        <w:t xml:space="preserve"> </w:t>
      </w:r>
      <w:r>
        <w:t xml:space="preserve">(College IV): native/near-native competency + academic linguistics credential.</w:t>
      </w:r>
    </w:p>
    <w:p>
      <w:pPr>
        <w:numPr>
          <w:ilvl w:val="0"/>
          <w:numId w:val="1006"/>
        </w:numPr>
        <w:pStyle w:val="Compact"/>
      </w:pPr>
      <w:r>
        <w:rPr>
          <w:bCs/>
          <w:b/>
          <w:color w:val="B08625"/>
          <w:sz w:val="20"/>
          <w:caps/>
          <w:spacing w:val="14"/>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pPr>
      <w:r>
        <w:rPr>
          <w:bCs/>
          <w:b/>
          <w:color w:val="B08625"/>
          <w:sz w:val="20"/>
          <w:caps/>
          <w:spacing w:val="14"/>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pPr>
      <w:r>
        <w:rPr>
          <w:bCs/>
          <w:b/>
          <w:color w:val="B08625"/>
          <w:sz w:val="20"/>
          <w:caps/>
          <w:spacing w:val="14"/>
        </w:rPr>
        <w:t xml:space="preserve">Workload Model</w:t>
      </w:r>
    </w:p>
    <w:p>
      <w:pPr>
        <w:pStyle w:val="BodyText"/>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pPr>
      <w:r>
        <w:rPr>
          <w:bCs/>
          <w:b/>
          <w:color w:val="B08625"/>
          <w:sz w:val="20"/>
          <w:caps/>
          <w:spacing w:val="14"/>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pPr>
      <w:r>
        <w:rPr>
          <w:bCs/>
          <w:b/>
          <w:color w:val="B08625"/>
          <w:sz w:val="20"/>
          <w:caps/>
          <w:spacing w:val="14"/>
        </w:rPr>
        <w:t xml:space="preserve">KPIs</w:t>
      </w:r>
    </w:p>
    <w:p>
      <w:pPr>
        <w:pStyle w:val="BodyText"/>
      </w:pPr>
      <w:r>
        <w:t xml:space="preserve">Faculty-to-student ratio by college; % faculty with verified credentials on file; promotion cycle completion time; honorarium-per-CH trend vs. revenue growth (should track proportionally, not lag).</w:t>
      </w:r>
    </w:p>
    <w:p>
      <w:pPr>
        <w:pStyle w:val="BodyText"/>
      </w:pPr>
      <w:r>
        <w:rPr>
          <w:bCs/>
          <w:b/>
          <w:color w:val="B08625"/>
          <w:sz w:val="20"/>
          <w:caps/>
          <w:spacing w:val="14"/>
        </w:rPr>
        <w:t xml:space="preserve">Risks &amp; Mitigation</w:t>
      </w:r>
    </w:p>
    <w:p>
      <w:pPr>
        <w:numPr>
          <w:ilvl w:val="0"/>
          <w:numId w:val="1007"/>
        </w:numPr>
        <w:pStyle w:val="Compact"/>
      </w:pPr>
      <w:r>
        <w:rPr>
          <w:bCs/>
          <w:b/>
          <w:color w:val="B08625"/>
          <w:sz w:val="20"/>
          <w:caps/>
          <w:spacing w:val="14"/>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pPr>
      <w:r>
        <w:rPr>
          <w:bCs/>
          <w:b/>
          <w:color w:val="B08625"/>
          <w:sz w:val="20"/>
          <w:caps/>
          <w:spacing w:val="14"/>
        </w:rPr>
        <w:t xml:space="preserve">Governance Responsibilities &amp; Timeline</w:t>
      </w:r>
    </w:p>
    <w:p>
      <w:pPr>
        <w:pStyle w:val="BodyText"/>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pPr>
      <w:r>
        <w:rPr>
          <w:bCs/>
          <w:b/>
          <w:color w:val="B08625"/>
          <w:sz w:val="20"/>
          <w:caps/>
          <w:spacing w:val="14"/>
        </w:rPr>
        <w:t xml:space="preserve">Measurable Success Indicators</w:t>
      </w:r>
    </w:p>
    <w:p>
      <w:pPr>
        <w:pStyle w:val="BodyText"/>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1"/>
    <w:bookmarkStart w:id="62" w:name="section-10-department-structure"/>
    <w:p>
      <w:pPr>
        <w:pStyle w:val="Heading2"/>
      </w:pPr>
      <w:r>
        <w:t xml:space="preserve">Section 10: Department Structure</w:t>
      </w:r>
    </w:p>
    <w:p>
      <w:pPr>
        <w:pStyle w:val="FirstParagraph"/>
      </w:pPr>
      <w:r>
        <w:rPr>
          <w:bCs/>
          <w:b/>
          <w:color w:val="B08625"/>
          <w:sz w:val="20"/>
          <w:caps/>
          <w:spacing w:val="14"/>
        </w:rPr>
        <w:t xml:space="preserve">Rationale</w:t>
      </w:r>
    </w:p>
    <w:p>
      <w:pPr>
        <w:pStyle w:val="BodyText"/>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pPr>
      <w:r>
        <w:rPr>
          <w:bCs/>
          <w:b/>
          <w:color w:val="B08625"/>
          <w:sz w:val="20"/>
          <w:caps/>
          <w:spacing w:val="14"/>
        </w:rPr>
        <w:t xml:space="preserve">Global Best Practices</w:t>
      </w:r>
    </w:p>
    <w:p>
      <w:pPr>
        <w:pStyle w:val="BodyText"/>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pPr>
      <w:r>
        <w:rPr>
          <w:bCs/>
          <w:b/>
          <w:color w:val="B08625"/>
          <w:sz w:val="20"/>
          <w:caps/>
          <w:spacing w:val="14"/>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pPr>
      <w:r>
        <w:t xml:space="preserve">Each HoD is simultaneously a teaching scholar and the department’s sole administrator in Years 1–5 — there is no department office beyond the HoD until enrolment/revenue justifies one.</w:t>
      </w:r>
    </w:p>
    <w:p>
      <w:pPr>
        <w:pStyle w:val="BodyText"/>
      </w:pPr>
      <w:r>
        <w:rPr>
          <w:bCs/>
          <w:b/>
          <w:color w:val="B08625"/>
          <w:sz w:val="20"/>
          <w:caps/>
          <w:spacing w:val="14"/>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pPr>
      <w:r>
        <w:t xml:space="preserve">Apportionment is not equal-split in practice — it follows enrolled CH per department’s subject spine (e.g., Sharī’ah &amp; Fiqh and Qur’ānic Studies typically carry higher enrolment share and thus larger pro-rata pools).</w:t>
      </w:r>
    </w:p>
    <w:p>
      <w:pPr>
        <w:pStyle w:val="BodyText"/>
      </w:pPr>
      <w:r>
        <w:rPr>
          <w:bCs/>
          <w:b/>
          <w:color w:val="B08625"/>
          <w:sz w:val="20"/>
          <w:caps/>
          <w:spacing w:val="14"/>
        </w:rPr>
        <w:t xml:space="preserve">New Departments Under the Year-11 Secular Schools</w:t>
      </w:r>
    </w:p>
    <w:p>
      <w:pPr>
        <w:pStyle w:val="BodyText"/>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pPr>
      <w:r>
        <w:rPr>
          <w:bCs/>
          <w:b/>
          <w:color w:val="B08625"/>
          <w:sz w:val="20"/>
          <w:caps/>
          <w:spacing w:val="14"/>
        </w:rPr>
        <w:t xml:space="preserve">Reporting Line</w:t>
      </w:r>
    </w:p>
    <w:p>
      <w:pPr>
        <w:pStyle w:val="BodyText"/>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pPr>
      <w:r>
        <w:rPr>
          <w:bCs/>
          <w:b/>
          <w:color w:val="B08625"/>
          <w:sz w:val="20"/>
          <w:caps/>
          <w:spacing w:val="14"/>
        </w:rPr>
        <w:t xml:space="preserve">KPIs</w:t>
      </w:r>
    </w:p>
    <w:p>
      <w:pPr>
        <w:pStyle w:val="BodyText"/>
      </w:pPr>
      <w:r>
        <w:t xml:space="preserve">Cost-per-CH by department; adjunct-to-HoD ratio; department-level program completion rate; time from School proposal to Senate approval for new secular departments (target &lt;2 semesters).</w:t>
      </w:r>
    </w:p>
    <w:p>
      <w:pPr>
        <w:pStyle w:val="BodyText"/>
      </w:pPr>
      <w:r>
        <w:rPr>
          <w:bCs/>
          <w:b/>
          <w:color w:val="B08625"/>
          <w:sz w:val="20"/>
          <w:caps/>
          <w:spacing w:val="14"/>
        </w:rPr>
        <w:t xml:space="preserve">Risks &amp; Mitigation</w:t>
      </w:r>
    </w:p>
    <w:p>
      <w:pPr>
        <w:numPr>
          <w:ilvl w:val="0"/>
          <w:numId w:val="1008"/>
        </w:numPr>
        <w:pStyle w:val="Compact"/>
      </w:pPr>
      <w:r>
        <w:rPr>
          <w:bCs/>
          <w:b/>
          <w:color w:val="B08625"/>
          <w:sz w:val="20"/>
          <w:caps/>
          <w:spacing w:val="14"/>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pPr>
      <w:r>
        <w:rPr>
          <w:bCs/>
          <w:b/>
          <w:color w:val="B08625"/>
          <w:sz w:val="20"/>
          <w:caps/>
          <w:spacing w:val="14"/>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pPr>
      <w:r>
        <w:rPr>
          <w:bCs/>
          <w:b/>
          <w:color w:val="B08625"/>
          <w:sz w:val="20"/>
          <w:caps/>
          <w:spacing w:val="14"/>
        </w:rPr>
        <w:t xml:space="preserve">Timeline &amp; Governance Responsibilities</w:t>
      </w:r>
    </w:p>
    <w:p>
      <w:pPr>
        <w:pStyle w:val="BodyText"/>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pPr>
      <w:r>
        <w:rPr>
          <w:bCs/>
          <w:b/>
          <w:color w:val="B08625"/>
          <w:sz w:val="20"/>
          <w:caps/>
          <w:spacing w:val="14"/>
        </w:rPr>
        <w:t xml:space="preserve">Measurable Success Indicators</w:t>
      </w:r>
    </w:p>
    <w:p>
      <w:pPr>
        <w:pStyle w:val="BodyText"/>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Bitstream Charter" w:hAnsi="Bitstream Charter"/>
                <w:b/>
                <w:color w:val="B08625"/>
                <w:sz w:val="20"/>
                <w:caps/>
                <w:spacing w:val="14"/>
              </w:rPr>
              <w:t>III</w:t>
            </w:r>
          </w:p>
          <w:p>
            <w:pPr>
              <w:spacing w:before="120" w:after="80"/>
            </w:pPr>
            <w:r>
              <w:rPr>
                <w:rFonts w:ascii="Bitstream Charter" w:hAnsi="Bitstream Charter"/>
                <w:b/>
                <w:color w:val="B08625"/>
                <w:sz w:val="20"/>
                <w:caps/>
                <w:spacing w:val="14"/>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Liberation Serif" w:hAnsi="Liberation Serif"/>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11 </w:t>
            </w:r>
            <w:r>
              <w:rPr>
                <w:rFonts w:ascii="Liberation Sans" w:hAnsi="Liberation Sans"/>
                <w:color w:val="FFFFFF"/>
                <w:sz w:val="20"/>
              </w:rPr>
              <w:t>Programme Portfolio</w:t>
            </w:r>
          </w:p>
          <w:p>
            <w:pPr>
              <w:spacing w:before="0" w:after="130"/>
            </w:pPr>
            <w:r>
              <w:rPr>
                <w:rFonts w:ascii="Bitstream Charter" w:hAnsi="Bitstream Charter"/>
                <w:b/>
                <w:color w:val="B08625"/>
                <w:sz w:val="20"/>
                <w:caps/>
                <w:spacing w:val="14"/>
              </w:rPr>
              <w:t>12 </w:t>
            </w:r>
            <w:r>
              <w:rPr>
                <w:rFonts w:ascii="Liberation Sans" w:hAnsi="Liberation Sans"/>
                <w:color w:val="FFFFFF"/>
                <w:sz w:val="20"/>
              </w:rPr>
              <w:t>Curriculum Architecture</w:t>
            </w:r>
          </w:p>
          <w:p>
            <w:pPr>
              <w:spacing w:before="0" w:after="130"/>
            </w:pPr>
            <w:r>
              <w:rPr>
                <w:rFonts w:ascii="Bitstream Charter" w:hAnsi="Bitstream Charter"/>
                <w:b/>
                <w:color w:val="B08625"/>
                <w:sz w:val="20"/>
                <w:caps/>
                <w:spacing w:val="14"/>
              </w:rPr>
              <w:t>13 </w:t>
            </w:r>
            <w:r>
              <w:rPr>
                <w:rFonts w:ascii="Liberation Sans" w:hAnsi="Liberation Sans"/>
                <w:color w:val="FFFFFF"/>
                <w:sz w:val="20"/>
              </w:rPr>
              <w:t>Student Journey Map</w:t>
            </w:r>
          </w:p>
          <w:p>
            <w:pPr>
              <w:spacing w:before="0" w:after="130"/>
            </w:pPr>
            <w:r>
              <w:rPr>
                <w:rFonts w:ascii="Bitstream Charter" w:hAnsi="Bitstream Charter"/>
                <w:b/>
                <w:color w:val="B08625"/>
                <w:sz w:val="20"/>
                <w:caps/>
                <w:spacing w:val="14"/>
              </w:rPr>
              <w:t>14 </w:t>
            </w:r>
            <w:r>
              <w:rPr>
                <w:rFonts w:ascii="Liberation Sans" w:hAnsi="Liberation Sans"/>
                <w:color w:val="FFFFFF"/>
                <w:sz w:val="20"/>
              </w:rPr>
              <w:t>Admission Policies</w:t>
            </w:r>
          </w:p>
          <w:p>
            <w:pPr>
              <w:spacing w:before="0" w:after="130"/>
            </w:pPr>
            <w:r>
              <w:rPr>
                <w:rFonts w:ascii="Bitstream Charter" w:hAnsi="Bitstream Charter"/>
                <w:b/>
                <w:color w:val="B08625"/>
                <w:sz w:val="20"/>
                <w:caps/>
                <w:spacing w:val="14"/>
              </w:rPr>
              <w:t>15 </w:t>
            </w:r>
            <w:r>
              <w:rPr>
                <w:rFonts w:ascii="Liberation Sans" w:hAnsi="Liberation Sans"/>
                <w:color w:val="FFFFFF"/>
                <w:sz w:val="20"/>
              </w:rPr>
              <w:t>Faculty Recruitment Strategy</w:t>
            </w:r>
          </w:p>
        </w:tc>
      </w:tr>
    </w:tbl>
    <w:p>
      <w:r>
        <w:br w:type="page"/>
      </w:r>
    </w:p>
    <w:p>
      <w:pPr>
        <w:pStyle w:val="SectionKicker"/>
      </w:pPr>
      <w:r>
        <w:t xml:space="preserve">PART III · SECTION 11</w:t>
      </w:r>
    </w:p>
    <w:bookmarkEnd w:id="62"/>
    <w:bookmarkStart w:id="63" w:name="section-11-programme-portfolio"/>
    <w:p>
      <w:pPr>
        <w:pStyle w:val="Heading2"/>
      </w:pPr>
      <w:r>
        <w:t xml:space="preserve">Section 11: Programme Portfolio</w:t>
      </w:r>
    </w:p>
    <w:p>
      <w:pPr>
        <w:pStyle w:val="FirstParagraph"/>
      </w:pPr>
      <w:r>
        <w:rPr>
          <w:bCs/>
          <w:b/>
          <w:color w:val="B08625"/>
          <w:sz w:val="20"/>
          <w:caps/>
          <w:spacing w:val="14"/>
        </w:rPr>
        <w:t xml:space="preserve">Rationale</w:t>
      </w:r>
    </w:p>
    <w:p>
      <w:pPr>
        <w:pStyle w:val="BodyText"/>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pPr>
      <w:r>
        <w:rPr>
          <w:bCs/>
          <w:b/>
          <w:color w:val="B08625"/>
          <w:sz w:val="20"/>
          <w:caps/>
          <w:spacing w:val="14"/>
        </w:rPr>
        <w:t xml:space="preserve">Global Best Practices</w:t>
      </w:r>
    </w:p>
    <w:p>
      <w:pPr>
        <w:pStyle w:val="BodyText"/>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pPr>
      <w:r>
        <w:rPr>
          <w:bCs/>
          <w:b/>
          <w:color w:val="B08625"/>
          <w:sz w:val="20"/>
          <w:caps/>
          <w:spacing w:val="14"/>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pPr>
      <w:r>
        <w:rPr>
          <w:bCs/>
          <w:b/>
          <w:color w:val="B08625"/>
          <w:sz w:val="20"/>
          <w:caps/>
          <w:spacing w:val="14"/>
        </w:rPr>
        <w:t xml:space="preserve">Annual Budget</w:t>
      </w:r>
    </w:p>
    <w:p>
      <w:pPr>
        <w:pStyle w:val="BodyText"/>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pPr>
      <w:r>
        <w:rPr>
          <w:bCs/>
          <w:b/>
          <w:color w:val="B08625"/>
          <w:sz w:val="20"/>
          <w:caps/>
          <w:spacing w:val="14"/>
        </w:rPr>
        <w:t xml:space="preserve">KPIs</w:t>
      </w:r>
    </w:p>
    <w:p>
      <w:pPr>
        <w:numPr>
          <w:ilvl w:val="0"/>
          <w:numId w:val="1009"/>
        </w:numPr>
        <w:pStyle w:val="Compact"/>
      </w:pPr>
      <w:r>
        <w:t xml:space="preserve">No single tier exceeds ~45% of total enrolled headcount (ladder-balance guardrail)</w:t>
      </w:r>
    </w:p>
    <w:p>
      <w:pPr>
        <w:numPr>
          <w:ilvl w:val="0"/>
          <w:numId w:val="1009"/>
        </w:numPr>
        <w:pStyle w:val="Compact"/>
      </w:pPr>
      <w:r>
        <w:t xml:space="preserve">100% of active programs reviewed on a rolling 3–5-year cycle</w:t>
      </w:r>
    </w:p>
    <w:p>
      <w:pPr>
        <w:numPr>
          <w:ilvl w:val="0"/>
          <w:numId w:val="1009"/>
        </w:numPr>
        <w:pStyle w:val="Compact"/>
      </w:pPr>
      <w:r>
        <w:t xml:space="preserve">Median Senate turnaround on new-program proposals &lt; 180 days</w:t>
      </w:r>
    </w:p>
    <w:p>
      <w:pPr>
        <w:numPr>
          <w:ilvl w:val="0"/>
          <w:numId w:val="1009"/>
        </w:numPr>
        <w:pStyle w:val="Compact"/>
      </w:pPr>
      <w:r>
        <w:t xml:space="preserve">≤5% of programs below minimum-viable-cohort threshold for 2 consecutive years without a corrective plan</w:t>
      </w:r>
    </w:p>
    <w:p>
      <w:pPr>
        <w:pStyle w:val="FirstParagrap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pPr>
      <w:r>
        <w:rPr>
          <w:bCs/>
          <w:b/>
          <w:color w:val="B08625"/>
          <w:sz w:val="20"/>
          <w:caps/>
          <w:spacing w:val="14"/>
        </w:rPr>
        <w:t xml:space="preserve">Timeline</w:t>
      </w:r>
    </w:p>
    <w:p>
      <w:pPr>
        <w:pStyle w:val="BodyText"/>
      </w:pPr>
      <w:r>
        <w:t xml:space="preserve">2028 catalog live → 2031 first triennial review → 2034 balance audit → 2037 expansion readiness certified → 2038 Schools 72–99 launch → 2041 secular-portfolio first review → 2050 full-catalog maturity review.</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pPr>
      <w:r>
        <w:rPr>
          <w:bCs/>
          <w:b/>
          <w:color w:val="B08625"/>
          <w:sz w:val="20"/>
          <w:caps/>
          <w:spacing w:val="14"/>
        </w:rPr>
        <w:t xml:space="preserve">Measurable Success Indicators</w:t>
      </w:r>
    </w:p>
    <w:p>
      <w:pPr>
        <w:pStyle w:val="BodyText"/>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3"/>
    <w:bookmarkStart w:id="64" w:name="section-12-curriculum-architecture"/>
    <w:p>
      <w:pPr>
        <w:pStyle w:val="Heading2"/>
      </w:pPr>
      <w:r>
        <w:t xml:space="preserve">Section 12: Curriculum Architecture</w:t>
      </w:r>
    </w:p>
    <w:p>
      <w:pPr>
        <w:pStyle w:val="FirstParagraph"/>
      </w:pPr>
      <w:r>
        <w:rPr>
          <w:bCs/>
          <w:b/>
          <w:color w:val="B08625"/>
          <w:sz w:val="20"/>
          <w:caps/>
          <w:spacing w:val="14"/>
        </w:rPr>
        <w:t xml:space="preserve">Rationale</w:t>
      </w:r>
    </w:p>
    <w:p>
      <w:pPr>
        <w:pStyle w:val="BodyText"/>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pPr>
      <w:r>
        <w:rPr>
          <w:bCs/>
          <w:b/>
          <w:color w:val="B08625"/>
          <w:sz w:val="20"/>
          <w:caps/>
          <w:spacing w:val="14"/>
        </w:rPr>
        <w:t xml:space="preserve">Global Best Practices</w:t>
      </w:r>
    </w:p>
    <w:p>
      <w:pPr>
        <w:pStyle w:val="BodyText"/>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pPr>
      <w:r>
        <w:t xml:space="preserve">HPGD carries no gen-ed block by design — it is the bridge for secular degree-holders, so general education is presumed satisfied by their prior degree.</w:t>
      </w:r>
    </w:p>
    <w:p>
      <w:pPr>
        <w:pStyle w:val="BodyText"/>
      </w:pPr>
      <w:r>
        <w:rPr>
          <w:bCs/>
          <w:b/>
          <w:color w:val="B08625"/>
          <w:sz w:val="20"/>
          <w:caps/>
          <w:spacing w:val="14"/>
        </w:rPr>
        <w:t xml:space="preserve">Sanad Verification Protocol</w:t>
      </w:r>
    </w:p>
    <w:p>
      <w:pPr>
        <w:pStyle w:val="BodyText"/>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pPr>
      <w:r>
        <w:rPr>
          <w:bCs/>
          <w:b/>
          <w:color w:val="B08625"/>
          <w:sz w:val="20"/>
          <w:caps/>
          <w:spacing w:val="14"/>
        </w:rPr>
        <w:t xml:space="preserve">English-Medium Instruction Standards</w:t>
      </w:r>
    </w:p>
    <w:p>
      <w:pPr>
        <w:pStyle w:val="BodyText"/>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pPr>
      <w:r>
        <w:rPr>
          <w:bCs/>
          <w:b/>
          <w:color w:val="B08625"/>
          <w:sz w:val="20"/>
          <w:caps/>
          <w:spacing w:val="14"/>
        </w:rPr>
        <w:t xml:space="preserve">Fast-Track (Competency-Based) Assessment Mechanics</w:t>
      </w:r>
    </w:p>
    <w:p>
      <w:pPr>
        <w:pStyle w:val="BodyText"/>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pPr>
      <w:r>
        <w:rPr>
          <w:bCs/>
          <w:b/>
          <w:color w:val="B08625"/>
          <w:sz w:val="20"/>
          <w:caps/>
          <w:spacing w:val="14"/>
        </w:rPr>
        <w:t xml:space="preserve">Curriculum Mapping to Outcomes</w:t>
      </w:r>
    </w:p>
    <w:p>
      <w:pPr>
        <w:pStyle w:val="BodyText"/>
      </w:pPr>
      <w:r>
        <w:t xml:space="preserve">Every course maps to PLOs and Institutional Learning Outcomes (ILOs) in a matrix maintained by CAC and reviewed on the same 3-year cycle as portfolio review (Section 11), feeding external program review evidence.</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pPr>
      <w:r>
        <w:rPr>
          <w:bCs/>
          <w:b/>
          <w:color w:val="B08625"/>
          <w:sz w:val="20"/>
          <w:caps/>
          <w:spacing w:val="14"/>
        </w:rPr>
        <w:t xml:space="preserve">Staffing</w:t>
      </w:r>
    </w:p>
    <w:p>
      <w:pPr>
        <w:pStyle w:val="BodyText"/>
      </w:pPr>
      <w:r>
        <w:t xml:space="preserve">Yr1–3: DVC Academic Affairs plus volunteer scholar subcommittee, part-time. Yr4–7: Curriculum Coordinator, 1 FTE. Yr8–10: add Assessment/Accreditation Officer, 1 FTE. Yr11+: add secular-curriculum specialists per new School.</w:t>
      </w:r>
    </w:p>
    <w:p>
      <w:pPr>
        <w:pStyle w:val="BodyText"/>
      </w:pPr>
      <w:r>
        <w:rPr>
          <w:bCs/>
          <w:b/>
          <w:color w:val="B08625"/>
          <w:sz w:val="20"/>
          <w:caps/>
          <w:spacing w:val="14"/>
        </w:rPr>
        <w:t xml:space="preserve">Annual Budget</w:t>
      </w:r>
    </w:p>
    <w:p>
      <w:pPr>
        <w:pStyle w:val="BodyText"/>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pPr>
      <w:r>
        <w:rPr>
          <w:bCs/>
          <w:b/>
          <w:color w:val="B08625"/>
          <w:sz w:val="20"/>
          <w:caps/>
          <w:spacing w:val="14"/>
        </w:rPr>
        <w:t xml:space="preserve">KPIs</w:t>
      </w:r>
    </w:p>
    <w:p>
      <w:pPr>
        <w:pStyle w:val="BodyText"/>
      </w:pPr>
      <w:r>
        <w:t xml:space="preserve">100% Sanad Audit completion before course activation; 100% programs with a current curriculum map; Fast-Track uptake rate tracked but capped by pass-rate integrity (no volume target); EMI placement-test pass rate trend.</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pPr>
      <w:r>
        <w:rPr>
          <w:bCs/>
          <w:b/>
          <w:color w:val="B08625"/>
          <w:sz w:val="20"/>
          <w:caps/>
          <w:spacing w:val="14"/>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pPr>
      <w:r>
        <w:rPr>
          <w:bCs/>
          <w:b/>
          <w:color w:val="B08625"/>
          <w:sz w:val="20"/>
          <w:caps/>
          <w:spacing w:val="14"/>
        </w:rPr>
        <w:t xml:space="preserve">Measurable Success Indicators</w:t>
      </w:r>
    </w:p>
    <w:p>
      <w:pPr>
        <w:pStyle w:val="BodyText"/>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4"/>
    <w:bookmarkStart w:id="68" w:name="section-13-student-journey-map"/>
    <w:p>
      <w:pPr>
        <w:pStyle w:val="Heading2"/>
      </w:pPr>
      <w:r>
        <w:t xml:space="preserve">Section 13: Student Journey Map</w:t>
      </w:r>
    </w:p>
    <w:p>
      <w:pPr>
        <w:pStyle w:val="CaptionedFigure"/>
      </w:pPr>
      <w:r>
        <w:drawing>
          <wp:inline>
            <wp:extent cx="5292852" cy="2099663"/>
            <wp:effectExtent b="0" l="0" r="0" t="0"/>
            <wp:docPr descr="Figure 5. Student Journey Map: Inquiry to Alumni" title="" id="66" name="Picture"/>
            <a:graphic>
              <a:graphicData uri="http://schemas.openxmlformats.org/drawingml/2006/picture">
                <pic:pic>
                  <pic:nvPicPr>
                    <pic:cNvPr descr="assets/figures/fig09_student_journey.png" id="67" name="Picture"/>
                    <pic:cNvPicPr>
                      <a:picLocks noChangeArrowheads="1" noChangeAspect="1"/>
                    </pic:cNvPicPr>
                  </pic:nvPicPr>
                  <pic:blipFill>
                    <a:blip r:embed="rId65"/>
                    <a:stretch>
                      <a:fillRect/>
                    </a:stretch>
                  </pic:blipFill>
                  <pic:spPr bwMode="auto">
                    <a:xfrm>
                      <a:off x="0" y="0"/>
                      <a:ext cx="5292852" cy="2099663"/>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pPr>
      <w:r>
        <w:rPr>
          <w:iCs/>
          <w:i/>
        </w:rPr>
        <w:t xml:space="preserve">Digital self-service by design; human touch reserved for exceptions.</w:t>
      </w:r>
    </w:p>
    <w:p>
      <w:pPr>
        <w:pStyle w:val="BodyText"/>
      </w:pPr>
      <w:r>
        <w:rPr>
          <w:bCs/>
          <w:b/>
          <w:color w:val="B08625"/>
          <w:sz w:val="20"/>
          <w:caps/>
          <w:spacing w:val="14"/>
        </w:rPr>
        <w:t xml:space="preserve">Rationale</w:t>
      </w:r>
    </w:p>
    <w:p>
      <w:pPr>
        <w:pStyle w:val="BodyText"/>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pPr>
      <w:r>
        <w:rPr>
          <w:bCs/>
          <w:b/>
          <w:color w:val="B08625"/>
          <w:sz w:val="20"/>
          <w:caps/>
          <w:spacing w:val="14"/>
        </w:rPr>
        <w:t xml:space="preserve">Global Best Practices</w:t>
      </w:r>
    </w:p>
    <w:p>
      <w:pPr>
        <w:pStyle w:val="BodyText"/>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pPr>
      <w:r>
        <w:rPr>
          <w:bCs/>
          <w:b/>
          <w:color w:val="B08625"/>
          <w:sz w:val="20"/>
          <w:caps/>
          <w:spacing w:val="14"/>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pPr>
      <w:r>
        <w:rPr>
          <w:bCs/>
          <w:b/>
          <w:color w:val="B08625"/>
          <w:sz w:val="20"/>
          <w:caps/>
          <w:spacing w:val="14"/>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pPr>
      <w:r>
        <w:rPr>
          <w:bCs/>
          <w:b/>
          <w:color w:val="B08625"/>
          <w:sz w:val="20"/>
          <w:caps/>
          <w:spacing w:val="14"/>
        </w:rPr>
        <w:t xml:space="preserve">Annual Budget</w:t>
      </w:r>
    </w:p>
    <w:p>
      <w:pPr>
        <w:pStyle w:val="BodyText"/>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pPr>
      <w:r>
        <w:rPr>
          <w:bCs/>
          <w:b/>
          <w:color w:val="B08625"/>
          <w:sz w:val="20"/>
          <w:caps/>
          <w:spacing w:val="14"/>
        </w:rPr>
        <w:t xml:space="preserve">KPIs</w:t>
      </w:r>
    </w:p>
    <w:p>
      <w:pPr>
        <w:pStyle w:val="BodyText"/>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pPr>
      <w:r>
        <w:rPr>
          <w:bCs/>
          <w:b/>
          <w:color w:val="B08625"/>
          <w:sz w:val="20"/>
          <w:caps/>
          <w:spacing w:val="14"/>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pPr>
      <w:r>
        <w:rPr>
          <w:bCs/>
          <w:b/>
          <w:color w:val="B08625"/>
          <w:sz w:val="20"/>
          <w:caps/>
          <w:spacing w:val="14"/>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pPr>
      <w:r>
        <w:rPr>
          <w:bCs/>
          <w:b/>
          <w:color w:val="B08625"/>
          <w:sz w:val="20"/>
          <w:caps/>
          <w:spacing w:val="14"/>
        </w:rPr>
        <w:t xml:space="preserve">Measurable Success Indicators</w:t>
      </w:r>
    </w:p>
    <w:p>
      <w:pPr>
        <w:pStyle w:val="BodyText"/>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8"/>
    <w:bookmarkStart w:id="69" w:name="section-14-admission-policies"/>
    <w:p>
      <w:pPr>
        <w:pStyle w:val="Heading2"/>
      </w:pPr>
      <w:r>
        <w:t xml:space="preserve">Section 14: Admission Policies</w:t>
      </w:r>
    </w:p>
    <w:p>
      <w:pPr>
        <w:pStyle w:val="FirstParagraph"/>
      </w:pPr>
      <w:r>
        <w:rPr>
          <w:bCs/>
          <w:b/>
          <w:color w:val="B08625"/>
          <w:sz w:val="20"/>
          <w:caps/>
          <w:spacing w:val="14"/>
        </w:rPr>
        <w:t xml:space="preserve">Rationale</w:t>
      </w:r>
    </w:p>
    <w:p>
      <w:pPr>
        <w:pStyle w:val="BodyText"/>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pPr>
      <w:r>
        <w:rPr>
          <w:bCs/>
          <w:b/>
          <w:color w:val="B08625"/>
          <w:sz w:val="20"/>
          <w:caps/>
          <w:spacing w:val="14"/>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pPr>
      <w:r>
        <w:rPr>
          <w:bCs/>
          <w:b/>
          <w:color w:val="B08625"/>
          <w:sz w:val="20"/>
          <w:caps/>
          <w:spacing w:val="14"/>
        </w:rPr>
        <w:t xml:space="preserve">English Proficiency &amp; Islamic-Studies Readiness</w:t>
      </w:r>
    </w:p>
    <w:p>
      <w:pPr>
        <w:pStyle w:val="BodyText"/>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Country-Tier Verification &amp; Appeal Process</w:t>
      </w:r>
    </w:p>
    <w:p>
      <w:pPr>
        <w:pStyle w:val="BodyText"/>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pPr>
      <w:r>
        <w:rPr>
          <w:bCs/>
          <w:b/>
          <w:color w:val="B08625"/>
          <w:sz w:val="20"/>
          <w:caps/>
          <w:spacing w:val="14"/>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pPr>
      <w:r>
        <w:rPr>
          <w:bCs/>
          <w:b/>
          <w:color w:val="B08625"/>
          <w:sz w:val="20"/>
          <w:caps/>
          <w:spacing w:val="14"/>
        </w:rPr>
        <w:t xml:space="preserve">Transfer Credit Policy</w:t>
      </w:r>
    </w:p>
    <w:p>
      <w:pPr>
        <w:pStyle w:val="BodyText"/>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pPr>
      <w:r>
        <w:rPr>
          <w:bCs/>
          <w:b/>
          <w:color w:val="B08625"/>
          <w:sz w:val="20"/>
          <w:caps/>
          <w:spacing w:val="14"/>
        </w:rPr>
        <w:t xml:space="preserve">Staffing &amp; Budget</w:t>
      </w:r>
    </w:p>
    <w:p>
      <w:pPr>
        <w:pStyle w:val="BodyText"/>
      </w:pPr>
      <w:r>
        <w:t xml:space="preserve">Same OpEx-funded operational base as Section 13 ($11,237 / $64,539 / $191,527 in Yr1/5/10); the Appeals Panel operates as a standing committee with modest per-case honoraria rather than dedicated headcount through Phase 3.</w:t>
      </w:r>
    </w:p>
    <w:p>
      <w:pPr>
        <w:pStyle w:val="BodyText"/>
      </w:pPr>
      <w:r>
        <w:rPr>
          <w:bCs/>
          <w:b/>
          <w:color w:val="B08625"/>
          <w:sz w:val="20"/>
          <w:caps/>
          <w:spacing w:val="14"/>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pPr>
      <w:r>
        <w:rPr>
          <w:bCs/>
          <w:b/>
          <w:color w:val="B08625"/>
          <w:sz w:val="20"/>
          <w:caps/>
          <w:spacing w:val="14"/>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pPr>
      <w:r>
        <w:rPr>
          <w:bCs/>
          <w:b/>
          <w:color w:val="B08625"/>
          <w:sz w:val="20"/>
          <w:caps/>
          <w:spacing w:val="14"/>
        </w:rPr>
        <w:t xml:space="preserve">Measurable Success Indicators</w:t>
      </w:r>
    </w:p>
    <w:p>
      <w:pPr>
        <w:pStyle w:val="BodyText"/>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69"/>
    <w:bookmarkStart w:id="70" w:name="section-15-faculty-recruitment-strategy"/>
    <w:p>
      <w:pPr>
        <w:pStyle w:val="Heading2"/>
      </w:pPr>
      <w:r>
        <w:t xml:space="preserve">Section 15: Faculty Recruitment Strategy</w:t>
      </w:r>
    </w:p>
    <w:p>
      <w:pPr>
        <w:pStyle w:val="FirstParagraph"/>
      </w:pPr>
      <w:r>
        <w:rPr>
          <w:bCs/>
          <w:b/>
          <w:color w:val="B08625"/>
          <w:sz w:val="20"/>
          <w:caps/>
          <w:spacing w:val="14"/>
        </w:rPr>
        <w:t xml:space="preserve">Rationale</w:t>
      </w:r>
    </w:p>
    <w:p>
      <w:pPr>
        <w:pStyle w:val="BodyText"/>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pPr>
      <w:r>
        <w:rPr>
          <w:bCs/>
          <w:b/>
          <w:color w:val="B08625"/>
          <w:sz w:val="20"/>
          <w:caps/>
          <w:spacing w:val="14"/>
        </w:rPr>
        <w:t xml:space="preserve">Global Best Practices</w:t>
      </w:r>
    </w:p>
    <w:p>
      <w:pPr>
        <w:pStyle w:val="BodyText"/>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pPr>
      <w:r>
        <w:rPr>
          <w:bCs/>
          <w:b/>
          <w:color w:val="B08625"/>
          <w:sz w:val="20"/>
          <w:caps/>
          <w:spacing w:val="14"/>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pPr>
      <w:r>
        <w:rPr>
          <w:bCs/>
          <w:b/>
          <w:color w:val="B08625"/>
          <w:sz w:val="20"/>
          <w:caps/>
          <w:spacing w:val="14"/>
        </w:rPr>
        <w:t xml:space="preserve">Honoraria-Based Compensation Model</w:t>
      </w:r>
    </w:p>
    <w:p>
      <w:pPr>
        <w:pStyle w:val="BodyText"/>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pPr>
      <w:r>
        <w:rPr>
          <w:bCs/>
          <w:b/>
          <w:color w:val="B08625"/>
          <w:sz w:val="20"/>
          <w:caps/>
          <w:spacing w:val="14"/>
        </w:rPr>
        <w:t xml:space="preserve">Remote/Diaspora Scholar Engagement Model</w:t>
      </w:r>
    </w:p>
    <w:p>
      <w:pPr>
        <w:pStyle w:val="BodyText"/>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pPr>
      <w:r>
        <w:rPr>
          <w:bCs/>
          <w:b/>
          <w:color w:val="B08625"/>
          <w:sz w:val="20"/>
          <w:caps/>
          <w:spacing w:val="14"/>
        </w:rPr>
        <w:t xml:space="preserve">Vetting/Credentialing Process</w:t>
      </w:r>
    </w:p>
    <w:p>
      <w:pPr>
        <w:pStyle w:val="BodyText"/>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pPr>
      <w:r>
        <w:rPr>
          <w:bCs/>
          <w:b/>
          <w:color w:val="B08625"/>
          <w:sz w:val="20"/>
          <w:caps/>
          <w:spacing w:val="14"/>
        </w:rPr>
        <w:t xml:space="preserve">Madhhab &amp; Doctrinal Diversity</w:t>
      </w:r>
    </w:p>
    <w:p>
      <w:pPr>
        <w:pStyle w:val="BodyText"/>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pPr>
      <w:r>
        <w:rPr>
          <w:bCs/>
          <w:b/>
          <w:color w:val="B08625"/>
          <w:sz w:val="20"/>
          <w:caps/>
          <w:spacing w:val="14"/>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pPr>
      <w:r>
        <w:rPr>
          <w:bCs/>
          <w:b/>
          <w:color w:val="B08625"/>
          <w:sz w:val="20"/>
          <w:caps/>
          <w:spacing w:val="14"/>
        </w:rPr>
        <w:t xml:space="preserve">Annual Budget</w:t>
      </w:r>
    </w:p>
    <w:p>
      <w:pPr>
        <w:pStyle w:val="BodyText"/>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pPr>
      <w:r>
        <w:rPr>
          <w:bCs/>
          <w:b/>
          <w:color w:val="B08625"/>
          <w:sz w:val="20"/>
          <w:caps/>
          <w:spacing w:val="14"/>
        </w:rPr>
        <w:t xml:space="preserve">KPIs</w:t>
      </w:r>
    </w:p>
    <w:p>
      <w:pPr>
        <w:pStyle w:val="BodyText"/>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pPr>
      <w:r>
        <w:rPr>
          <w:bCs/>
          <w:b/>
          <w:color w:val="B08625"/>
          <w:sz w:val="20"/>
          <w:caps/>
          <w:spacing w:val="14"/>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pPr>
      <w:r>
        <w:rPr>
          <w:bCs/>
          <w:b/>
          <w:color w:val="B08625"/>
          <w:sz w:val="20"/>
          <w:caps/>
          <w:spacing w:val="14"/>
        </w:rPr>
        <w:t xml:space="preserve">Measurable Success Indicators</w:t>
      </w:r>
    </w:p>
    <w:p>
      <w:pPr>
        <w:pStyle w:val="BodyText"/>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Bitstream Charter" w:hAnsi="Bitstream Charter"/>
                <w:b/>
                <w:color w:val="B08625"/>
                <w:sz w:val="20"/>
                <w:caps/>
                <w:spacing w:val="14"/>
              </w:rPr>
              <w:t>IV</w:t>
            </w:r>
          </w:p>
          <w:p>
            <w:pPr>
              <w:spacing w:before="120" w:after="80"/>
            </w:pPr>
            <w:r>
              <w:rPr>
                <w:rFonts w:ascii="Bitstream Charter" w:hAnsi="Bitstream Charter"/>
                <w:b/>
                <w:color w:val="B08625"/>
                <w:sz w:val="20"/>
                <w:caps/>
                <w:spacing w:val="14"/>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Liberation Serif" w:hAnsi="Liberation Serif"/>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16 </w:t>
            </w:r>
            <w:r>
              <w:rPr>
                <w:rFonts w:ascii="Liberation Sans" w:hAnsi="Liberation Sans"/>
                <w:color w:val="FFFFFF"/>
                <w:sz w:val="20"/>
              </w:rPr>
              <w:t>Research Strategy</w:t>
            </w:r>
          </w:p>
          <w:p>
            <w:pPr>
              <w:spacing w:before="0" w:after="130"/>
            </w:pPr>
            <w:r>
              <w:rPr>
                <w:rFonts w:ascii="Bitstream Charter" w:hAnsi="Bitstream Charter"/>
                <w:b/>
                <w:color w:val="B08625"/>
                <w:sz w:val="20"/>
                <w:caps/>
                <w:spacing w:val="14"/>
              </w:rPr>
              <w:t>17 </w:t>
            </w:r>
            <w:r>
              <w:rPr>
                <w:rFonts w:ascii="Liberation Sans" w:hAnsi="Liberation Sans"/>
                <w:color w:val="FFFFFF"/>
                <w:sz w:val="20"/>
              </w:rPr>
              <w:t>Publishing Strategy</w:t>
            </w:r>
          </w:p>
          <w:p>
            <w:pPr>
              <w:spacing w:before="0" w:after="130"/>
            </w:pPr>
            <w:r>
              <w:rPr>
                <w:rFonts w:ascii="Bitstream Charter" w:hAnsi="Bitstream Charter"/>
                <w:b/>
                <w:color w:val="B08625"/>
                <w:sz w:val="20"/>
                <w:caps/>
                <w:spacing w:val="14"/>
              </w:rPr>
              <w:t>18 </w:t>
            </w:r>
            <w:r>
              <w:rPr>
                <w:rFonts w:ascii="Liberation Sans" w:hAnsi="Liberation Sans"/>
                <w:color w:val="FFFFFF"/>
                <w:sz w:val="20"/>
              </w:rPr>
              <w:t>Global Partnerships Strategy</w:t>
            </w:r>
          </w:p>
          <w:p>
            <w:pPr>
              <w:spacing w:before="0" w:after="130"/>
            </w:pPr>
            <w:r>
              <w:rPr>
                <w:rFonts w:ascii="Bitstream Charter" w:hAnsi="Bitstream Charter"/>
                <w:b/>
                <w:color w:val="B08625"/>
                <w:sz w:val="20"/>
                <w:caps/>
                <w:spacing w:val="14"/>
              </w:rPr>
              <w:t>19 </w:t>
            </w:r>
            <w:r>
              <w:rPr>
                <w:rFonts w:ascii="Liberation Sans" w:hAnsi="Liberation Sans"/>
                <w:color w:val="FFFFFF"/>
                <w:sz w:val="20"/>
              </w:rPr>
              <w:t>Accreditation Roadmap</w:t>
            </w:r>
          </w:p>
          <w:p>
            <w:pPr>
              <w:spacing w:before="0" w:after="130"/>
            </w:pPr>
            <w:r>
              <w:rPr>
                <w:rFonts w:ascii="Bitstream Charter" w:hAnsi="Bitstream Charter"/>
                <w:b/>
                <w:color w:val="B08625"/>
                <w:sz w:val="20"/>
                <w:caps/>
                <w:spacing w:val="14"/>
              </w:rPr>
              <w:t>20 </w:t>
            </w:r>
            <w:r>
              <w:rPr>
                <w:rFonts w:ascii="Liberation Sans" w:hAnsi="Liberation Sans"/>
                <w:color w:val="FFFFFF"/>
                <w:sz w:val="20"/>
              </w:rPr>
              <w:t>ISO 21001 Roadmap</w:t>
            </w:r>
          </w:p>
        </w:tc>
      </w:tr>
    </w:tbl>
    <w:p>
      <w:r>
        <w:br w:type="page"/>
      </w:r>
    </w:p>
    <w:p>
      <w:pPr>
        <w:pStyle w:val="SectionKicker"/>
      </w:pPr>
      <w:r>
        <w:t xml:space="preserve">PART IV · SECTION 16</w:t>
      </w:r>
    </w:p>
    <w:bookmarkEnd w:id="70"/>
    <w:bookmarkStart w:id="71" w:name="section-16-research-strategy"/>
    <w:p>
      <w:pPr>
        <w:pStyle w:val="Heading2"/>
      </w:pPr>
      <w:r>
        <w:t xml:space="preserve">Section 16: Research Strategy</w:t>
      </w:r>
    </w:p>
    <w:p>
      <w:pPr>
        <w:pStyle w:val="FirstParagraph"/>
      </w:pPr>
      <w:r>
        <w:rPr>
          <w:bCs/>
          <w:b/>
          <w:color w:val="B08625"/>
          <w:sz w:val="20"/>
          <w:caps/>
          <w:spacing w:val="14"/>
        </w:rPr>
        <w:t xml:space="preserve">Rationale</w:t>
      </w:r>
    </w:p>
    <w:p>
      <w:pPr>
        <w:pStyle w:val="BodyText"/>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pPr>
      <w:r>
        <w:rPr>
          <w:bCs/>
          <w:b/>
          <w:color w:val="B08625"/>
          <w:sz w:val="20"/>
          <w:caps/>
          <w:spacing w:val="14"/>
        </w:rPr>
        <w:t xml:space="preserve">Global Best Practices</w:t>
      </w:r>
    </w:p>
    <w:p>
      <w:pPr>
        <w:numPr>
          <w:ilvl w:val="0"/>
          <w:numId w:val="1010"/>
        </w:numPr>
        <w:pStyle w:val="Compact"/>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pPr>
      <w:r>
        <w:t xml:space="preserve">Digital-first, low-marginal-cost repositories (arXiv/SSRN-style preprint logic) let a small institution produce credible output without labs or print runs.</w:t>
      </w:r>
    </w:p>
    <w:p>
      <w:pPr>
        <w:numPr>
          <w:ilvl w:val="0"/>
          <w:numId w:val="1010"/>
        </w:numPr>
        <w:pStyle w:val="Compact"/>
      </w:pPr>
      <w:r>
        <w:t xml:space="preserve">Peer faith-based universities (e.g., international Islamic university networks) scale research administratively before scaling it financially — governance and ethics infrastructure precede budget.</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pPr>
      <w:r>
        <w:rPr>
          <w:bCs/>
          <w:b/>
          <w:color w:val="B08625"/>
          <w:sz w:val="20"/>
          <w:caps/>
          <w:spacing w:val="14"/>
        </w:rPr>
        <w:t xml:space="preserve">Staffing Requirements</w:t>
      </w:r>
    </w:p>
    <w:p>
      <w:pPr>
        <w:pStyle w:val="BodyText"/>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pPr>
      <w:r>
        <w:rPr>
          <w:bCs/>
          <w:b/>
          <w:color w:val="B08625"/>
          <w:sz w:val="20"/>
          <w:caps/>
          <w:spacing w:val="14"/>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pPr>
      <w:r>
        <w:rPr>
          <w:bCs/>
          <w:b/>
          <w:color w:val="B08625"/>
          <w:sz w:val="20"/>
          <w:caps/>
          <w:spacing w:val="14"/>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pPr>
      <w:r>
        <w:rPr>
          <w:bCs/>
          <w:b/>
          <w:color w:val="B08625"/>
          <w:sz w:val="20"/>
          <w:caps/>
          <w:spacing w:val="14"/>
        </w:rPr>
        <w:t xml:space="preserve">Timeline</w:t>
      </w:r>
      <w:r>
        <w:t xml:space="preserve">: Yr1–2 committee/protocol → Yr3 Ph.D. mentorship begins → Yr6 Post-Doc mentorship begins → Yr10 repository maturity → Yr11+ secular-schools extension review.</w:t>
      </w:r>
    </w:p>
    <w:p>
      <w:pPr>
        <w:pStyle w:val="BodyText"/>
      </w:pPr>
      <w:r>
        <w:rPr>
          <w:bCs/>
          <w:b/>
          <w:color w:val="B08625"/>
          <w:sz w:val="20"/>
          <w:caps/>
          <w:spacing w:val="14"/>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pPr>
      <w:r>
        <w:rPr>
          <w:bCs/>
          <w:b/>
          <w:color w:val="B08625"/>
          <w:sz w:val="20"/>
          <w:caps/>
          <w:spacing w:val="14"/>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1"/>
    <w:bookmarkStart w:id="72" w:name="section-17-publishing-strategy"/>
    <w:p>
      <w:pPr>
        <w:pStyle w:val="Heading2"/>
      </w:pPr>
      <w:r>
        <w:t xml:space="preserve">Section 17: Publishing Strategy</w:t>
      </w:r>
    </w:p>
    <w:p>
      <w:pPr>
        <w:pStyle w:val="FirstParagraph"/>
      </w:pPr>
      <w:r>
        <w:rPr>
          <w:bCs/>
          <w:b/>
          <w:color w:val="B08625"/>
          <w:sz w:val="20"/>
          <w:caps/>
          <w:spacing w:val="14"/>
        </w:rPr>
        <w:t xml:space="preserve">Rationale</w:t>
      </w:r>
    </w:p>
    <w:p>
      <w:pPr>
        <w:pStyle w:val="BodyText"/>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pPr>
      <w:r>
        <w:rPr>
          <w:bCs/>
          <w:b/>
          <w:color w:val="B08625"/>
          <w:sz w:val="20"/>
          <w:caps/>
          <w:spacing w:val="14"/>
        </w:rPr>
        <w:t xml:space="preserve">Global Best Practices</w:t>
      </w:r>
    </w:p>
    <w:p>
      <w:pPr>
        <w:numPr>
          <w:ilvl w:val="0"/>
          <w:numId w:val="1011"/>
        </w:numPr>
        <w:pStyle w:val="Compact"/>
      </w:pPr>
      <w:r>
        <w:t xml:space="preserve">Open Journal Systems (OJS)-class free software lets small institutions run peer-reviewed e-journals at effectively $0 licensing cost.</w:t>
      </w:r>
    </w:p>
    <w:p>
      <w:pPr>
        <w:numPr>
          <w:ilvl w:val="0"/>
          <w:numId w:val="1011"/>
        </w:numPr>
        <w:pStyle w:val="Compact"/>
      </w:pPr>
      <w:r>
        <w:t xml:space="preserve">DOAJ (Directory of Open Access Journals) listing is the recognized low-cost credibility marker for young open-access journals.</w:t>
      </w:r>
    </w:p>
    <w:p>
      <w:pPr>
        <w:numPr>
          <w:ilvl w:val="0"/>
          <w:numId w:val="1011"/>
        </w:numPr>
        <w:pStyle w:val="Compact"/>
      </w:pPr>
      <w:r>
        <w:t xml:space="preserve">Classical isnād verification is the direct Islamic analogue of modern peer review — AMIU formalizes both together rather than treating them as separate systems.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pPr>
      <w:r>
        <w:rPr>
          <w:bCs/>
          <w:b/>
          <w:color w:val="B08625"/>
          <w:sz w:val="20"/>
          <w:caps/>
          <w:spacing w:val="14"/>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pPr>
      <w:r>
        <w:rPr>
          <w:bCs/>
          <w:b/>
          <w:color w:val="B08625"/>
          <w:sz w:val="20"/>
          <w:caps/>
          <w:spacing w:val="14"/>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pPr>
      <w:r>
        <w:rPr>
          <w:bCs/>
          <w:b/>
          <w:color w:val="B08625"/>
          <w:sz w:val="20"/>
          <w:caps/>
          <w:spacing w:val="14"/>
        </w:rPr>
        <w:t xml:space="preserve">Timeline</w:t>
      </w:r>
      <w:r>
        <w:t xml:space="preserve">: Yr1–2 policy → Yr3 first journal → Yr5 all three clusters live → Yr6–10 Post-Doc integration and DOAJ push → Yr11+ secular expansion.</w:t>
      </w:r>
    </w:p>
    <w:p>
      <w:pPr>
        <w:pStyle w:val="BodyText"/>
      </w:pPr>
      <w:r>
        <w:rPr>
          <w:bCs/>
          <w:b/>
          <w:color w:val="B08625"/>
          <w:sz w:val="20"/>
          <w:caps/>
          <w:spacing w:val="14"/>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pPr>
      <w:r>
        <w:rPr>
          <w:bCs/>
          <w:b/>
          <w:color w:val="B08625"/>
          <w:sz w:val="20"/>
          <w:caps/>
          <w:spacing w:val="14"/>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2"/>
    <w:bookmarkStart w:id="73" w:name="section-18-global-partnerships-strategy"/>
    <w:p>
      <w:pPr>
        <w:pStyle w:val="Heading2"/>
      </w:pPr>
      <w:r>
        <w:t xml:space="preserve">Section 18: Global Partnerships Strategy</w:t>
      </w:r>
    </w:p>
    <w:p>
      <w:pPr>
        <w:pStyle w:val="FirstParagraph"/>
      </w:pPr>
      <w:r>
        <w:rPr>
          <w:bCs/>
          <w:b/>
          <w:color w:val="B08625"/>
          <w:sz w:val="20"/>
          <w:caps/>
          <w:spacing w:val="14"/>
        </w:rPr>
        <w:t xml:space="preserve">Rationale</w:t>
      </w:r>
    </w:p>
    <w:p>
      <w:pPr>
        <w:pStyle w:val="BodyText"/>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pPr>
      <w:r>
        <w:rPr>
          <w:bCs/>
          <w:b/>
          <w:color w:val="B08625"/>
          <w:sz w:val="20"/>
          <w:caps/>
          <w:spacing w:val="14"/>
        </w:rPr>
        <w:t xml:space="preserve">Global Best Practices</w:t>
      </w:r>
    </w:p>
    <w:p>
      <w:pPr>
        <w:numPr>
          <w:ilvl w:val="0"/>
          <w:numId w:val="1012"/>
        </w:numPr>
        <w:pStyle w:val="Compact"/>
      </w:pPr>
      <w:r>
        <w:t xml:space="preserve">Faith-based university networks build feeder relationships with mosques/schools years before formal accreditation, converting community trust into enrollment pipelines.</w:t>
      </w:r>
    </w:p>
    <w:p>
      <w:pPr>
        <w:numPr>
          <w:ilvl w:val="0"/>
          <w:numId w:val="1012"/>
        </w:numPr>
        <w:pStyle w:val="Compact"/>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pPr>
      <w:r>
        <w:t xml:space="preserve">Articulation agreements are typically signed only after a partner institution’s first graduating cohort demonstrates credential integrity — AMIU should not pre-commit before Ph.D. output exists.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pPr>
      <w:r>
        <w:rPr>
          <w:bCs/>
          <w:b/>
          <w:color w:val="B08625"/>
          <w:sz w:val="20"/>
          <w:caps/>
          <w:spacing w:val="14"/>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pPr>
      <w:r>
        <w:rPr>
          <w:bCs/>
          <w:b/>
          <w:color w:val="B08625"/>
          <w:sz w:val="20"/>
          <w:caps/>
          <w:spacing w:val="14"/>
        </w:rPr>
        <w:t xml:space="preserve">KPIs</w:t>
      </w:r>
      <w:r>
        <w:t xml:space="preserve">: active MOU count; scholarship nominations sourced via partner pipeline; articulation agreements signed; diaspora donor retention rate; Sadaqah Jāriyah channel growth.</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pPr>
      <w:r>
        <w:rPr>
          <w:bCs/>
          <w:b/>
          <w:color w:val="B08625"/>
          <w:sz w:val="20"/>
          <w:caps/>
          <w:spacing w:val="14"/>
        </w:rPr>
        <w:t xml:space="preserve">Timeline</w:t>
      </w:r>
      <w:r>
        <w:t xml:space="preserve">: Yr1–2 local MOUs → Yr2–4 Gambia network → Yr5–9 academic peer agreements → Yr10 Nigeria engagement intensifies → Yr13 Gulf recognition target.</w:t>
      </w:r>
    </w:p>
    <w:p>
      <w:pPr>
        <w:pStyle w:val="BodyText"/>
      </w:pPr>
      <w:r>
        <w:rPr>
          <w:bCs/>
          <w:b/>
          <w:color w:val="B08625"/>
          <w:sz w:val="20"/>
          <w:caps/>
          <w:spacing w:val="14"/>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pPr>
      <w:r>
        <w:rPr>
          <w:bCs/>
          <w:b/>
          <w:color w:val="B08625"/>
          <w:sz w:val="20"/>
          <w:caps/>
          <w:spacing w:val="14"/>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3"/>
    <w:bookmarkStart w:id="77" w:name="section-19-accreditation-roadmap"/>
    <w:p>
      <w:pPr>
        <w:pStyle w:val="Heading2"/>
      </w:pPr>
      <w:r>
        <w:t xml:space="preserve">Section 19: Accreditation Roadmap</w:t>
      </w:r>
    </w:p>
    <w:p>
      <w:pPr>
        <w:pStyle w:val="CaptionedFigure"/>
      </w:pPr>
      <w:r>
        <w:drawing>
          <wp:inline>
            <wp:extent cx="5292852" cy="2437053"/>
            <wp:effectExtent b="0" l="0" r="0" t="0"/>
            <wp:docPr descr="Figure 6. Accreditation &amp; International Expansion Roadmap, 2028–2047" title="" id="75" name="Picture"/>
            <a:graphic>
              <a:graphicData uri="http://schemas.openxmlformats.org/drawingml/2006/picture">
                <pic:pic>
                  <pic:nvPicPr>
                    <pic:cNvPr descr="assets/figures/fig10_accreditation_roadmap.png" id="76" name="Picture"/>
                    <pic:cNvPicPr>
                      <a:picLocks noChangeArrowheads="1" noChangeAspect="1"/>
                    </pic:cNvPicPr>
                  </pic:nvPicPr>
                  <pic:blipFill>
                    <a:blip r:embed="rId74"/>
                    <a:stretch>
                      <a:fillRect/>
                    </a:stretch>
                  </pic:blipFill>
                  <pic:spPr bwMode="auto">
                    <a:xfrm>
                      <a:off x="0" y="0"/>
                      <a:ext cx="5292852" cy="2437053"/>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pPr>
      <w:r>
        <w:rPr>
          <w:iCs/>
          <w:i/>
        </w:rPr>
        <w:t xml:space="preserve">Milestone dates are targets adopted in AMIU-MP-001 and Sections 19/30/32 of this Blueprint.</w:t>
      </w:r>
    </w:p>
    <w:p>
      <w:pPr>
        <w:pStyle w:val="BodyText"/>
      </w:pPr>
      <w:r>
        <w:rPr>
          <w:bCs/>
          <w:b/>
          <w:color w:val="B08625"/>
          <w:sz w:val="20"/>
          <w:caps/>
          <w:spacing w:val="14"/>
        </w:rPr>
        <w:t xml:space="preserve">Rationale</w:t>
      </w:r>
    </w:p>
    <w:p>
      <w:pPr>
        <w:pStyle w:val="BodyText"/>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pPr>
      <w:r>
        <w:rPr>
          <w:bCs/>
          <w:b/>
          <w:color w:val="B08625"/>
          <w:sz w:val="20"/>
          <w:caps/>
          <w:spacing w:val="14"/>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pPr>
      <w:r>
        <w:rPr>
          <w:bCs/>
          <w:b/>
          <w:color w:val="B08625"/>
          <w:sz w:val="20"/>
          <w:caps/>
          <w:spacing w:val="14"/>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pPr>
      <w:r>
        <w:rPr>
          <w:bCs/>
          <w:b/>
          <w:color w:val="B08625"/>
          <w:sz w:val="20"/>
          <w:caps/>
          <w:spacing w:val="14"/>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pPr>
      <w:r>
        <w:rPr>
          <w:bCs/>
          <w:b/>
          <w:color w:val="B08625"/>
          <w:sz w:val="20"/>
          <w:caps/>
          <w:spacing w:val="14"/>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pPr>
      <w:r>
        <w:rPr>
          <w:bCs/>
          <w:b/>
          <w:color w:val="B08625"/>
          <w:sz w:val="20"/>
          <w:caps/>
          <w:spacing w:val="14"/>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pPr>
      <w:r>
        <w:rPr>
          <w:bCs/>
          <w:b/>
          <w:color w:val="B08625"/>
          <w:sz w:val="20"/>
          <w:caps/>
          <w:spacing w:val="14"/>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pPr>
      <w:r>
        <w:rPr>
          <w:bCs/>
          <w:b/>
          <w:color w:val="B08625"/>
          <w:sz w:val="20"/>
          <w:caps/>
          <w:spacing w:val="14"/>
        </w:rPr>
        <w:t xml:space="preserve">Timeline (condensed)</w:t>
      </w:r>
      <w:r>
        <w:t xml:space="preserve">: 2029 CPD → 2029–31 Gambia NAQAA → 2030 ISO 21001 → 2037 Nigeria NUC filing → 2038–39 US secular accreditation begins → 2040 Gulf recognition target.</w:t>
      </w:r>
    </w:p>
    <w:p>
      <w:pPr>
        <w:pStyle w:val="BodyText"/>
      </w:pPr>
      <w:r>
        <w:rPr>
          <w:bCs/>
          <w:b/>
          <w:color w:val="B08625"/>
          <w:sz w:val="20"/>
          <w:caps/>
          <w:spacing w:val="14"/>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pPr>
      <w:r>
        <w:rPr>
          <w:bCs/>
          <w:b/>
          <w:color w:val="B08625"/>
          <w:sz w:val="20"/>
          <w:caps/>
          <w:spacing w:val="14"/>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7"/>
    <w:bookmarkStart w:id="78" w:name="section-20-iso-21001-roadmap"/>
    <w:p>
      <w:pPr>
        <w:pStyle w:val="Heading2"/>
      </w:pPr>
      <w:r>
        <w:t xml:space="preserve">Section 20: ISO 21001 Roadmap</w:t>
      </w:r>
    </w:p>
    <w:p>
      <w:pPr>
        <w:pStyle w:val="FirstParagraph"/>
      </w:pPr>
      <w:r>
        <w:rPr>
          <w:bCs/>
          <w:b/>
          <w:color w:val="B08625"/>
          <w:sz w:val="20"/>
          <w:caps/>
          <w:spacing w:val="14"/>
        </w:rPr>
        <w:t xml:space="preserve">Rationale</w:t>
      </w:r>
    </w:p>
    <w:p>
      <w:pPr>
        <w:pStyle w:val="BodyText"/>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pPr>
      <w:r>
        <w:rPr>
          <w:bCs/>
          <w:b/>
          <w:color w:val="B08625"/>
          <w:sz w:val="20"/>
          <w:caps/>
          <w:spacing w:val="14"/>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pPr>
      <w:r>
        <w:rPr>
          <w:bCs/>
          <w:b/>
          <w:color w:val="B08625"/>
          <w:sz w:val="20"/>
          <w:caps/>
          <w:spacing w:val="14"/>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pPr>
      <w:r>
        <w:rPr>
          <w:bCs/>
          <w:b/>
          <w:color w:val="B08625"/>
          <w:sz w:val="20"/>
          <w:caps/>
          <w:spacing w:val="14"/>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pPr>
      <w:r>
        <w:rPr>
          <w:bCs/>
          <w:b/>
          <w:color w:val="B08625"/>
          <w:sz w:val="20"/>
          <w:caps/>
          <w:spacing w:val="14"/>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pPr>
      <w:r>
        <w:rPr>
          <w:bCs/>
          <w:b/>
          <w:color w:val="B08625"/>
          <w:sz w:val="20"/>
          <w:caps/>
          <w:spacing w:val="14"/>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pPr>
      <w:r>
        <w:rPr>
          <w:bCs/>
          <w:b/>
          <w:color w:val="B08625"/>
          <w:sz w:val="20"/>
          <w:caps/>
          <w:spacing w:val="14"/>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r>
        <w:pict>
          <v:rect style="width:0;height:1.5pt" o:hralign="center" o:hrstd="t" o:hr="t"/>
        </w:pict>
      </w:r>
    </w:p>
    <w:p>
      <w:r>
        <w:br w:type="page"/>
      </w:r>
    </w:p>
    <w:p>
      <w:pPr>
        <w:spacing w:before="3800" w:after="0"/>
        <w:pBdr>
          <w:top w:val="single" w:sz="6" w:space="24" w:color="B08625"/>
        </w:pBdr>
      </w:pPr>
    </w:p>
    <w:p>
      <w:pPr>
        <w:jc w:val="center"/>
        <w:spacing w:before="0" w:after="360"/>
        <w:ind w:left="1000" w:right="1000"/>
      </w:pPr>
      <w:r>
        <w:rPr>
          <w:rFonts w:ascii="Liberation Serif" w:hAnsi="Liberation Serif"/>
          <w:i/>
          <w:color w:val="122A4E"/>
          <w:sz w:val="30"/>
        </w:rPr>
        <w:t>A plan for the Tuesday after the promise is made.</w:t>
      </w:r>
    </w:p>
    <w:p>
      <w:pPr>
        <w:jc w:val="center"/>
        <w:spacing w:before="0" w:after="0"/>
      </w:pPr>
      <w:r>
        <w:rPr>
          <w:rFonts w:ascii="Liberation Sans" w:hAnsi="Liberation Sans"/>
          <w:b/>
          <w:sz w:val="20"/>
          <w:color w:val="B08625"/>
          <w:spacing w:val="14"/>
          <w:caps/>
        </w:rPr>
        <w:t>THE SUPREME STRATEGIC PLANNING COUNCIL · FOREWORD</w:t>
      </w:r>
    </w:p>
    <w:p>
      <w:pPr>
        <w:spacing w:before="360" w:after="0"/>
        <w:pBdr>
          <w:bottom w:val="single" w:sz="6" w:space="24" w:color="B08625"/>
        </w:pBdr>
      </w:pP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Bitstream Charter" w:hAnsi="Bitstream Charter"/>
                <w:color w:val="B08625"/>
                <w:b/>
                <w:sz w:val="108"/>
              </w:rPr>
              <w:t>V</w:t>
            </w:r>
          </w:p>
          <w:p>
            <w:pPr>
              <w:spacing w:before="120" w:after="80"/>
            </w:pPr>
            <w:r>
              <w:rPr>
                <w:rFonts w:ascii="Bitstream Charter" w:hAnsi="Bitstream Charter"/>
                <w:b/>
                <w:color w:val="B08625"/>
                <w:sz w:val="20"/>
                <w:caps/>
                <w:spacing w:val="14"/>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Liberation Serif" w:hAnsi="Liberation Serif"/>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21 </w:t>
            </w:r>
            <w:r>
              <w:rPr>
                <w:rFonts w:ascii="Liberation Sans" w:hAnsi="Liberation Sans"/>
                <w:color w:val="FFFFFF"/>
                <w:sz w:val="20"/>
              </w:rPr>
              <w:t>LMS Ecosystem</w:t>
            </w:r>
          </w:p>
          <w:p>
            <w:pPr>
              <w:spacing w:before="0" w:after="130"/>
            </w:pPr>
            <w:r>
              <w:rPr>
                <w:rFonts w:ascii="Bitstream Charter" w:hAnsi="Bitstream Charter"/>
                <w:b/>
                <w:color w:val="B08625"/>
                <w:sz w:val="20"/>
                <w:caps/>
                <w:spacing w:val="14"/>
              </w:rPr>
              <w:t>22 </w:t>
            </w:r>
            <w:r>
              <w:rPr>
                <w:rFonts w:ascii="Liberation Sans" w:hAnsi="Liberation Sans"/>
                <w:color w:val="FFFFFF"/>
                <w:sz w:val="20"/>
              </w:rPr>
              <w:t>AI Strategy</w:t>
            </w:r>
          </w:p>
          <w:p>
            <w:pPr>
              <w:spacing w:before="0" w:after="130"/>
            </w:pPr>
            <w:r>
              <w:rPr>
                <w:rFonts w:ascii="Bitstream Charter" w:hAnsi="Bitstream Charter"/>
                <w:b/>
                <w:color w:val="B08625"/>
                <w:sz w:val="20"/>
                <w:caps/>
                <w:spacing w:val="14"/>
              </w:rPr>
              <w:t>23 </w:t>
            </w:r>
            <w:r>
              <w:rPr>
                <w:rFonts w:ascii="Liberation Sans" w:hAnsi="Liberation Sans"/>
                <w:color w:val="FFFFFF"/>
                <w:sz w:val="20"/>
              </w:rPr>
              <w:t>Digital Transformation Strategy</w:t>
            </w:r>
          </w:p>
          <w:p>
            <w:pPr>
              <w:spacing w:before="0" w:after="130"/>
            </w:pPr>
            <w:r>
              <w:rPr>
                <w:rFonts w:ascii="Bitstream Charter" w:hAnsi="Bitstream Charter"/>
                <w:b/>
                <w:color w:val="B08625"/>
                <w:sz w:val="20"/>
                <w:caps/>
                <w:spacing w:val="14"/>
              </w:rPr>
              <w:t>24 </w:t>
            </w:r>
            <w:r>
              <w:rPr>
                <w:rFonts w:ascii="Liberation Sans" w:hAnsi="Liberation Sans"/>
                <w:color w:val="FFFFFF"/>
                <w:sz w:val="20"/>
              </w:rPr>
              <w:t>Library Strategy</w:t>
            </w:r>
          </w:p>
          <w:p>
            <w:pPr>
              <w:spacing w:before="0" w:after="130"/>
            </w:pPr>
            <w:r>
              <w:rPr>
                <w:rFonts w:ascii="Bitstream Charter" w:hAnsi="Bitstream Charter"/>
                <w:b/>
                <w:color w:val="B08625"/>
                <w:sz w:val="20"/>
                <w:caps/>
                <w:spacing w:val="14"/>
              </w:rPr>
              <w:t>25 </w:t>
            </w:r>
            <w:r>
              <w:rPr>
                <w:rFonts w:ascii="Liberation Sans" w:hAnsi="Liberation Sans"/>
                <w:color w:val="FFFFFF"/>
                <w:sz w:val="20"/>
              </w:rPr>
              <w:t>Waqf Development Strategy</w:t>
            </w:r>
          </w:p>
        </w:tc>
      </w:tr>
    </w:tbl>
    <w:p>
      <w:r>
        <w:br w:type="page"/>
      </w:r>
    </w:p>
    <w:p>
      <w:pPr>
        <w:pStyle w:val="SectionKicker"/>
      </w:pPr>
      <w:r>
        <w:t xml:space="preserve">PART V · SECTION 21</w:t>
      </w:r>
    </w:p>
    <w:bookmarkEnd w:id="78"/>
    <w:bookmarkStart w:id="79" w:name="section-21-lms-ecosystem"/>
    <w:p>
      <w:pPr>
        <w:pStyle w:val="Heading2"/>
      </w:pPr>
      <w:r>
        <w:t xml:space="preserve">Section 21: LMS Ecosystem</w:t>
      </w:r>
    </w:p>
    <w:p>
      <w:pPr>
        <w:pStyle w:val="FirstParagraph"/>
      </w:pPr>
      <w:r>
        <w:rPr>
          <w:bCs/>
          <w:b/>
          <w:color w:val="B08625"/>
          <w:sz w:val="20"/>
          <w:caps/>
          <w:spacing w:val="14"/>
        </w:rPr>
        <w:t xml:space="preserve">Rationale</w:t>
      </w:r>
    </w:p>
    <w:p>
      <w:pPr>
        <w:pStyle w:val="BodyText"/>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pPr>
      <w:r>
        <w:rPr>
          <w:bCs/>
          <w:b/>
          <w:color w:val="B08625"/>
          <w:sz w:val="20"/>
          <w:caps/>
          <w:spacing w:val="14"/>
        </w:rPr>
        <w:t xml:space="preserve">Global Best Practices</w:t>
      </w:r>
    </w:p>
    <w:p>
      <w:pPr>
        <w:pStyle w:val="BodyText"/>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pPr>
      <w:r>
        <w:rPr>
          <w:bCs/>
          <w:b/>
          <w:color w:val="B08625"/>
          <w:sz w:val="20"/>
          <w:caps/>
          <w:spacing w:val="14"/>
        </w:rPr>
        <w:t xml:space="preserve">Staffing Requirements</w:t>
      </w:r>
    </w:p>
    <w:p>
      <w:pPr>
        <w:numPr>
          <w:ilvl w:val="0"/>
          <w:numId w:val="1013"/>
        </w:numPr>
        <w:pStyle w:val="Compact"/>
      </w:pPr>
      <w:r>
        <w:t xml:space="preserve">Year 1: part-time/contract LMS Administrator (Payroll line, ~0.5 FTE)</w:t>
      </w:r>
    </w:p>
    <w:p>
      <w:pPr>
        <w:numPr>
          <w:ilvl w:val="0"/>
          <w:numId w:val="1013"/>
        </w:numPr>
        <w:pStyle w:val="Compact"/>
      </w:pPr>
      <w:r>
        <w:t xml:space="preserve">Year 3–5: full-time LMS Manager</w:t>
      </w:r>
    </w:p>
    <w:p>
      <w:pPr>
        <w:numPr>
          <w:ilvl w:val="0"/>
          <w:numId w:val="1013"/>
        </w:numPr>
        <w:pStyle w:val="Compact"/>
      </w:pPr>
      <w:r>
        <w:t xml:space="preserve">Year 6–10: LMS Manager + 1–2 junior support technicians + content-conversion coordinator (all Payroll-funded; tooling/hosting on LMS&amp;Tech line)</w:t>
      </w:r>
    </w:p>
    <w:p>
      <w:pPr>
        <w:numPr>
          <w:ilvl w:val="0"/>
          <w:numId w:val="1013"/>
        </w:numPr>
        <w:pStyle w:val="Compact"/>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pPr>
      <w:r>
        <w:rPr>
          <w:bCs/>
          <w:b/>
          <w:color w:val="B08625"/>
          <w:sz w:val="20"/>
          <w:caps/>
          <w:spacing w:val="14"/>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pPr>
      <w:r>
        <w:t xml:space="preserve">Staffing above is drawn from the separate 20% Payroll line, not from LMS &amp; Tech, to keep the technology budget dedicated to platform/infrastructure per Master Plan intent.</w:t>
      </w:r>
    </w:p>
    <w:p>
      <w:pPr>
        <w:pStyle w:val="BodyText"/>
      </w:pPr>
      <w:r>
        <w:rPr>
          <w:bCs/>
          <w:b/>
          <w:color w:val="B08625"/>
          <w:sz w:val="20"/>
          <w:caps/>
          <w:spacing w:val="14"/>
        </w:rPr>
        <w:t xml:space="preserve">KPIs</w:t>
      </w:r>
    </w:p>
    <w:p>
      <w:pPr>
        <w:pStyle w:val="BodyText"/>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pPr>
      <w:r>
        <w:rPr>
          <w:bCs/>
          <w:b/>
          <w:color w:val="B08625"/>
          <w:sz w:val="20"/>
          <w:caps/>
          <w:spacing w:val="14"/>
        </w:rPr>
        <w:t xml:space="preserve">Risks &amp; Mitigation</w:t>
      </w:r>
    </w:p>
    <w:p>
      <w:pPr>
        <w:pStyle w:val="BodyText"/>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pPr>
      <w:r>
        <w:rPr>
          <w:bCs/>
          <w:b/>
          <w:color w:val="B08625"/>
          <w:sz w:val="20"/>
          <w:caps/>
          <w:spacing w:val="14"/>
        </w:rPr>
        <w:t xml:space="preserve">Timeline</w:t>
      </w:r>
    </w:p>
    <w:p>
      <w:pPr>
        <w:pStyle w:val="BodyText"/>
      </w:pPr>
      <w:r>
        <w:t xml:space="preserve">2028: core platform live. 2030: mobile-first release. 2033: full catalog + SIS bridge. 2037: platform proven at 11,021-student scale. 2038+: multi-tenant readiness for Nigeria and secular-expansion programs.</w:t>
      </w:r>
    </w:p>
    <w:p>
      <w:pPr>
        <w:pStyle w:val="BodyText"/>
      </w:pPr>
      <w:r>
        <w:rPr>
          <w:bCs/>
          <w:b/>
          <w:color w:val="B08625"/>
          <w:sz w:val="20"/>
          <w:caps/>
          <w:spacing w:val="14"/>
        </w:rPr>
        <w:t xml:space="preserve">Governance Responsibilities</w:t>
      </w:r>
    </w:p>
    <w:p>
      <w:pPr>
        <w:pStyle w:val="BodyText"/>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pPr>
      <w:r>
        <w:rPr>
          <w:bCs/>
          <w:b/>
          <w:color w:val="B08625"/>
          <w:sz w:val="20"/>
          <w:caps/>
          <w:spacing w:val="14"/>
        </w:rPr>
        <w:t xml:space="preserve">Measurable Success Indicators</w:t>
      </w:r>
    </w:p>
    <w:p>
      <w:pPr>
        <w:pStyle w:val="BodyText"/>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79"/>
    <w:bookmarkStart w:id="80" w:name="section-22-ai-strategy"/>
    <w:p>
      <w:pPr>
        <w:pStyle w:val="Heading2"/>
      </w:pPr>
      <w:r>
        <w:t xml:space="preserve">Section 22: AI Strategy</w:t>
      </w:r>
    </w:p>
    <w:p>
      <w:pPr>
        <w:pStyle w:val="FirstParagraph"/>
      </w:pPr>
      <w:r>
        <w:rPr>
          <w:bCs/>
          <w:b/>
          <w:color w:val="B08625"/>
          <w:sz w:val="20"/>
          <w:caps/>
          <w:spacing w:val="14"/>
        </w:rPr>
        <w:t xml:space="preserve">Rationale</w:t>
      </w:r>
    </w:p>
    <w:p>
      <w:pPr>
        <w:pStyle w:val="BodyText"/>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pPr>
      <w:r>
        <w:rPr>
          <w:bCs/>
          <w:b/>
          <w:color w:val="B08625"/>
          <w:sz w:val="20"/>
          <w:caps/>
          <w:spacing w:val="14"/>
        </w:rPr>
        <w:t xml:space="preserve">Global Best Practices</w:t>
      </w:r>
    </w:p>
    <w:p>
      <w:pPr>
        <w:pStyle w:val="BodyText"/>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pPr>
      <w:r>
        <w:rPr>
          <w:bCs/>
          <w:b/>
          <w:color w:val="B08625"/>
          <w:sz w:val="20"/>
          <w:caps/>
          <w:spacing w:val="14"/>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pPr>
      <w:r>
        <w:rPr>
          <w:bCs/>
          <w:b/>
          <w:color w:val="B08625"/>
          <w:sz w:val="20"/>
          <w:caps/>
          <w:spacing w:val="14"/>
        </w:rPr>
        <w:t xml:space="preserve">Implementation Phases</w:t>
      </w:r>
    </w:p>
    <w:p>
      <w:pPr>
        <w:numPr>
          <w:ilvl w:val="0"/>
          <w:numId w:val="1014"/>
        </w:numPr>
        <w:pStyle w:val="Compact"/>
      </w:pPr>
      <w:r>
        <w:rPr>
          <w:bCs/>
          <w:b/>
          <w:color w:val="B08625"/>
          <w:sz w:val="20"/>
          <w:caps/>
          <w:spacing w:val="14"/>
        </w:rPr>
        <w:t xml:space="preserve">Y1–2 (2028–29):</w:t>
      </w:r>
      <w:r>
        <w:t xml:space="preserve"> </w:t>
      </w:r>
      <w:r>
        <w:t xml:space="preserve">pilot FAQ chatbot only (administrative scope, no religious content), free/low-cost tier.</w:t>
      </w:r>
    </w:p>
    <w:p>
      <w:pPr>
        <w:numPr>
          <w:ilvl w:val="0"/>
          <w:numId w:val="1014"/>
        </w:numPr>
        <w:pStyle w:val="Compact"/>
      </w:pPr>
      <w:r>
        <w:rPr>
          <w:bCs/>
          <w:b/>
          <w:color w:val="B08625"/>
          <w:sz w:val="20"/>
          <w:caps/>
          <w:spacing w:val="14"/>
        </w:rPr>
        <w:t xml:space="preserve">Y3–5 (2030–32):</w:t>
      </w:r>
      <w:r>
        <w:t xml:space="preserve"> </w:t>
      </w:r>
      <w:r>
        <w:t xml:space="preserve">licensed Tajweed-feedback tool integration; admissions OCR pilot.</w:t>
      </w:r>
    </w:p>
    <w:p>
      <w:pPr>
        <w:numPr>
          <w:ilvl w:val="0"/>
          <w:numId w:val="1014"/>
        </w:numPr>
        <w:pStyle w:val="Compact"/>
      </w:pPr>
      <w:r>
        <w:rPr>
          <w:bCs/>
          <w:b/>
          <w:color w:val="B08625"/>
          <w:sz w:val="20"/>
          <w:caps/>
          <w:spacing w:val="14"/>
        </w:rPr>
        <w:t xml:space="preserve">Y6–10 (2033–37):</w:t>
      </w:r>
      <w:r>
        <w:t xml:space="preserve"> </w:t>
      </w:r>
      <w:r>
        <w:t xml:space="preserve">curated Qur’ānic-tutoring RAG assistant (post Sharī’ah certification); chatbot scaled institution-wide.</w:t>
      </w:r>
    </w:p>
    <w:p>
      <w:pPr>
        <w:numPr>
          <w:ilvl w:val="0"/>
          <w:numId w:val="1014"/>
        </w:numPr>
        <w:pStyle w:val="Compact"/>
      </w:pPr>
      <w:r>
        <w:rPr>
          <w:bCs/>
          <w:b/>
          <w:color w:val="B08625"/>
          <w:sz w:val="20"/>
          <w:caps/>
          <w:spacing w:val="14"/>
        </w:rPr>
        <w:t xml:space="preserve">Y11+ (2038+):</w:t>
      </w:r>
      <w:r>
        <w:t xml:space="preserve"> </w:t>
      </w:r>
      <w:r>
        <w:t xml:space="preserve">secular-expansion phase may justify a dedicated Digital Learning &amp; AI Coordinator as revenue scales toward $8.36M–$93.9M.</w:t>
      </w:r>
    </w:p>
    <w:p>
      <w:pPr>
        <w:pStyle w:val="FirstParagraph"/>
      </w:pPr>
      <w:r>
        <w:rPr>
          <w:bCs/>
          <w:b/>
          <w:color w:val="B08625"/>
          <w:sz w:val="20"/>
          <w:caps/>
          <w:spacing w:val="14"/>
        </w:rPr>
        <w:t xml:space="preserve">Staffing Requirements</w:t>
      </w:r>
    </w:p>
    <w:p>
      <w:pPr>
        <w:pStyle w:val="BodyText"/>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pPr>
      <w:r>
        <w:rPr>
          <w:bCs/>
          <w:b/>
          <w:color w:val="B08625"/>
          <w:sz w:val="20"/>
          <w:caps/>
          <w:spacing w:val="14"/>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pPr>
      <w:r>
        <w:rPr>
          <w:bCs/>
          <w:b/>
          <w:color w:val="B08625"/>
          <w:sz w:val="20"/>
          <w:caps/>
          <w:spacing w:val="14"/>
        </w:rPr>
        <w:t xml:space="preserve">KPIs</w:t>
      </w:r>
    </w:p>
    <w:p>
      <w:pPr>
        <w:pStyle w:val="BodyText"/>
      </w:pPr>
      <w:r>
        <w:t xml:space="preserve">Chatbot query-resolution rate; Tajweed-tool adoption % among enrolled reciters; admissions processing-time reduction; faculty hours saved on content drafting; zero confirmed Sharī’ah-compliance violations.</w:t>
      </w:r>
    </w:p>
    <w:p>
      <w:pPr>
        <w:pStyle w:val="BodyText"/>
      </w:pPr>
      <w:r>
        <w:rPr>
          <w:bCs/>
          <w:b/>
          <w:color w:val="B08625"/>
          <w:sz w:val="20"/>
          <w:caps/>
          <w:spacing w:val="14"/>
        </w:rPr>
        <w:t xml:space="preserve">Risks &amp; Mitigation</w:t>
      </w:r>
    </w:p>
    <w:p>
      <w:pPr>
        <w:pStyle w:val="BodyText"/>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pPr>
      <w:r>
        <w:rPr>
          <w:bCs/>
          <w:b/>
          <w:color w:val="B08625"/>
          <w:sz w:val="20"/>
          <w:caps/>
          <w:spacing w:val="14"/>
        </w:rPr>
        <w:t xml:space="preserve">Timeline</w:t>
      </w:r>
    </w:p>
    <w:p>
      <w:pPr>
        <w:pStyle w:val="BodyText"/>
      </w:pPr>
      <w:r>
        <w:t xml:space="preserve">2028: chatbot pilot. 2031: Tajweed tool live. 2034: RAG tutoring assistant certified and launched. 2037: AI use cases fully integrated across all seven tiers. 2038+: coordinator role formalized as revenue scales.</w:t>
      </w:r>
    </w:p>
    <w:p>
      <w:pPr>
        <w:pStyle w:val="BodyText"/>
      </w:pPr>
      <w:r>
        <w:rPr>
          <w:bCs/>
          <w:b/>
          <w:color w:val="B08625"/>
          <w:sz w:val="20"/>
          <w:caps/>
          <w:spacing w:val="14"/>
        </w:rPr>
        <w:t xml:space="preserve">Measurable Success Indicators</w:t>
      </w:r>
    </w:p>
    <w:p>
      <w:pPr>
        <w:pStyle w:val="BodyText"/>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0"/>
    <w:bookmarkStart w:id="81" w:name="Xf675fcb79f16e04f81c21d8bd6336305f8330d6"/>
    <w:p>
      <w:pPr>
        <w:pStyle w:val="Heading2"/>
      </w:pPr>
      <w:r>
        <w:t xml:space="preserve">Section 23: Digital Transformation Strategy</w:t>
      </w:r>
    </w:p>
    <w:p>
      <w:pPr>
        <w:pStyle w:val="FirstParagraph"/>
      </w:pPr>
      <w:r>
        <w:rPr>
          <w:bCs/>
          <w:b/>
          <w:color w:val="B08625"/>
          <w:sz w:val="20"/>
          <w:caps/>
          <w:spacing w:val="14"/>
        </w:rPr>
        <w:t xml:space="preserve">Rationale</w:t>
      </w:r>
    </w:p>
    <w:p>
      <w:pPr>
        <w:pStyle w:val="BodyText"/>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pPr>
      <w:r>
        <w:rPr>
          <w:bCs/>
          <w:b/>
          <w:color w:val="B08625"/>
          <w:sz w:val="20"/>
          <w:caps/>
          <w:spacing w:val="14"/>
        </w:rPr>
        <w:t xml:space="preserve">Global Best Practices</w:t>
      </w:r>
    </w:p>
    <w:p>
      <w:pPr>
        <w:pStyle w:val="BodyText"/>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pPr>
      <w:r>
        <w:rPr>
          <w:bCs/>
          <w:b/>
          <w:color w:val="B08625"/>
          <w:sz w:val="20"/>
          <w:caps/>
          <w:spacing w:val="14"/>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pPr>
      <w:r>
        <w:rPr>
          <w:bCs/>
          <w:b/>
          <w:color w:val="B08625"/>
          <w:sz w:val="20"/>
          <w:caps/>
          <w:spacing w:val="14"/>
        </w:rPr>
        <w:t xml:space="preserve">Staffing Requirements</w:t>
      </w:r>
    </w:p>
    <w:p>
      <w:pPr>
        <w:pStyle w:val="BodyText"/>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pPr>
      <w:r>
        <w:rPr>
          <w:bCs/>
          <w:b/>
          <w:color w:val="B08625"/>
          <w:sz w:val="20"/>
          <w:caps/>
          <w:spacing w:val="14"/>
        </w:rPr>
        <w:t xml:space="preserve">Annual Budget</w:t>
      </w:r>
    </w:p>
    <w:p>
      <w:pPr>
        <w:pStyle w:val="BodyText"/>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pPr>
      <w:r>
        <w:rPr>
          <w:bCs/>
          <w:b/>
          <w:color w:val="B08625"/>
          <w:sz w:val="20"/>
          <w:caps/>
          <w:spacing w:val="14"/>
        </w:rPr>
        <w:t xml:space="preserve">KPIs</w:t>
      </w:r>
    </w:p>
    <w:p>
      <w:pPr>
        <w:pStyle w:val="BodyText"/>
      </w:pPr>
      <w:r>
        <w:t xml:space="preserve">System uptime; zero confirmed data-breach incidents; payment success rate; SIS-LMS data-integrity accuracy; average admissions processing time; annual security-audit pass rate (from Year 6 onward).</w:t>
      </w:r>
    </w:p>
    <w:p>
      <w:pPr>
        <w:pStyle w:val="BodyText"/>
      </w:pPr>
      <w:r>
        <w:rPr>
          <w:bCs/>
          <w:b/>
          <w:color w:val="B08625"/>
          <w:sz w:val="20"/>
          <w:caps/>
          <w:spacing w:val="14"/>
        </w:rPr>
        <w:t xml:space="preserve">Risks &amp; Mitigation</w:t>
      </w:r>
    </w:p>
    <w:p>
      <w:pPr>
        <w:pStyle w:val="BodyText"/>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pPr>
      <w:r>
        <w:rPr>
          <w:bCs/>
          <w:b/>
          <w:color w:val="B08625"/>
          <w:sz w:val="20"/>
          <w:caps/>
          <w:spacing w:val="14"/>
        </w:rPr>
        <w:t xml:space="preserve">Timeline</w:t>
      </w:r>
    </w:p>
    <w:p>
      <w:pPr>
        <w:pStyle w:val="BodyText"/>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pPr>
      <w:r>
        <w:rPr>
          <w:bCs/>
          <w:b/>
          <w:color w:val="B08625"/>
          <w:sz w:val="20"/>
          <w:caps/>
          <w:spacing w:val="14"/>
        </w:rPr>
        <w:t xml:space="preserve">Measurable Success Indicators</w:t>
      </w:r>
    </w:p>
    <w:p>
      <w:pPr>
        <w:pStyle w:val="BodyText"/>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1"/>
    <w:bookmarkStart w:id="82" w:name="section-24-library-strategy"/>
    <w:p>
      <w:pPr>
        <w:pStyle w:val="Heading2"/>
      </w:pPr>
      <w:r>
        <w:t xml:space="preserve">Section 24: Library Strategy</w:t>
      </w:r>
    </w:p>
    <w:p>
      <w:pPr>
        <w:pStyle w:val="FirstParagraph"/>
      </w:pPr>
      <w:r>
        <w:rPr>
          <w:bCs/>
          <w:b/>
          <w:color w:val="B08625"/>
          <w:sz w:val="20"/>
          <w:caps/>
          <w:spacing w:val="14"/>
        </w:rPr>
        <w:t xml:space="preserve">Rationale</w:t>
      </w:r>
    </w:p>
    <w:p>
      <w:pPr>
        <w:pStyle w:val="BodyText"/>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pPr>
      <w:r>
        <w:rPr>
          <w:bCs/>
          <w:b/>
          <w:color w:val="B08625"/>
          <w:sz w:val="20"/>
          <w:caps/>
          <w:spacing w:val="14"/>
        </w:rPr>
        <w:t xml:space="preserve">Global Best Practices</w:t>
      </w:r>
    </w:p>
    <w:p>
      <w:pPr>
        <w:pStyle w:val="BodyText"/>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pPr>
      <w:r>
        <w:rPr>
          <w:bCs/>
          <w:b/>
          <w:color w:val="B08625"/>
          <w:sz w:val="20"/>
          <w:caps/>
          <w:spacing w:val="14"/>
        </w:rPr>
        <w:t xml:space="preserve">Staffing Requirements</w:t>
      </w:r>
    </w:p>
    <w:p>
      <w:pPr>
        <w:pStyle w:val="BodyText"/>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pPr>
      <w:r>
        <w:rPr>
          <w:bCs/>
          <w:b/>
          <w:color w:val="B08625"/>
          <w:sz w:val="20"/>
          <w:caps/>
          <w:spacing w:val="14"/>
        </w:rPr>
        <w:t xml:space="preserve">Annual Budget</w:t>
      </w:r>
    </w:p>
    <w:p>
      <w:pPr>
        <w:pStyle w:val="BodyText"/>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pPr>
      <w:r>
        <w:rPr>
          <w:bCs/>
          <w:b/>
          <w:color w:val="B08625"/>
          <w:sz w:val="20"/>
          <w:caps/>
          <w:spacing w:val="14"/>
        </w:rPr>
        <w:t xml:space="preserve">KPIs</w:t>
      </w:r>
    </w:p>
    <w:p>
      <w:pPr>
        <w:pStyle w:val="BodyText"/>
      </w:pPr>
      <w:r>
        <w:t xml:space="preserve">Digital catalog size (titles/volumes); monthly active library usage per student; subscription cost-per-active-user; faculty repository submission count; student research-skills assessment scores.</w:t>
      </w:r>
    </w:p>
    <w:p>
      <w:pPr>
        <w:pStyle w:val="BodyText"/>
      </w:pPr>
      <w:r>
        <w:rPr>
          <w:bCs/>
          <w:b/>
          <w:color w:val="B08625"/>
          <w:sz w:val="20"/>
          <w:caps/>
          <w:spacing w:val="14"/>
        </w:rPr>
        <w:t xml:space="preserve">Risks &amp; Mitigation</w:t>
      </w:r>
    </w:p>
    <w:p>
      <w:pPr>
        <w:pStyle w:val="BodyText"/>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pPr>
      <w:r>
        <w:rPr>
          <w:bCs/>
          <w:b/>
          <w:color w:val="B08625"/>
          <w:sz w:val="20"/>
          <w:caps/>
          <w:spacing w:val="14"/>
        </w:rPr>
        <w:t xml:space="preserve">Timeline</w:t>
      </w:r>
    </w:p>
    <w:p>
      <w:pPr>
        <w:pStyle w:val="BodyText"/>
      </w:pPr>
      <w:r>
        <w:t xml:space="preserve">2028: open-access core collection live. 2030: first licensed subscriptions. 2033: institutional repository launched. 2037: Nigeria central-library planning begins (charter-contingent).</w:t>
      </w:r>
    </w:p>
    <w:p>
      <w:pPr>
        <w:pStyle w:val="BodyText"/>
      </w:pPr>
      <w:r>
        <w:rPr>
          <w:bCs/>
          <w:b/>
          <w:color w:val="B08625"/>
          <w:sz w:val="20"/>
          <w:caps/>
          <w:spacing w:val="14"/>
        </w:rPr>
        <w:t xml:space="preserve">Governance Responsibilities</w:t>
      </w:r>
    </w:p>
    <w:p>
      <w:pPr>
        <w:pStyle w:val="BodyText"/>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pPr>
      <w:r>
        <w:rPr>
          <w:bCs/>
          <w:b/>
          <w:color w:val="B08625"/>
          <w:sz w:val="20"/>
          <w:caps/>
          <w:spacing w:val="14"/>
        </w:rPr>
        <w:t xml:space="preserve">Measurable Success Indicators</w:t>
      </w:r>
    </w:p>
    <w:p>
      <w:pPr>
        <w:pStyle w:val="BodyText"/>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2"/>
    <w:bookmarkStart w:id="86" w:name="section-25-waqf-development-strategy"/>
    <w:p>
      <w:pPr>
        <w:pStyle w:val="Heading2"/>
      </w:pPr>
      <w:r>
        <w:t xml:space="preserve">Section 25: Waqf Development Strategy</w:t>
      </w:r>
    </w:p>
    <w:p>
      <w:pPr>
        <w:pStyle w:val="CaptionedFigure"/>
      </w:pPr>
      <w:r>
        <w:drawing>
          <wp:inline>
            <wp:extent cx="5292852" cy="3170658"/>
            <wp:effectExtent b="0" l="0" r="0" t="0"/>
            <wp:docPr descr="Figure 7. Waqf &amp; Stakeholder Reserve: Distributed-Fund Allocation" title="" id="84" name="Picture"/>
            <a:graphic>
              <a:graphicData uri="http://schemas.openxmlformats.org/drawingml/2006/picture">
                <pic:pic>
                  <pic:nvPicPr>
                    <pic:cNvPr descr="assets/figures/fig05_waqf_distribution.png" id="85" name="Picture"/>
                    <pic:cNvPicPr>
                      <a:picLocks noChangeArrowheads="1" noChangeAspect="1"/>
                    </pic:cNvPicPr>
                  </pic:nvPicPr>
                  <pic:blipFill>
                    <a:blip r:embed="rId83"/>
                    <a:stretch>
                      <a:fillRect/>
                    </a:stretch>
                  </pic:blipFill>
                  <pic:spPr bwMode="auto">
                    <a:xfrm>
                      <a:off x="0" y="0"/>
                      <a:ext cx="5292852" cy="3170658"/>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pPr>
      <w:r>
        <w:rPr>
          <w:iCs/>
          <w:i/>
        </w:rPr>
        <w:t xml:space="preserve">Fixed sub-split of the 50% distributed half of the 20%-of-Gross-Revenue Waqf &amp; Stakeholder Reserve.</w:t>
      </w:r>
    </w:p>
    <w:p>
      <w:pPr>
        <w:pStyle w:val="BodyText"/>
      </w:pPr>
      <w:r>
        <w:rPr>
          <w:bCs/>
          <w:b/>
          <w:color w:val="B08625"/>
          <w:sz w:val="20"/>
          <w:caps/>
          <w:spacing w:val="14"/>
        </w:rPr>
        <w:t xml:space="preserve">Rationale</w:t>
      </w:r>
    </w:p>
    <w:p>
      <w:pPr>
        <w:pStyle w:val="BodyText"/>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pPr>
      <w:r>
        <w:rPr>
          <w:bCs/>
          <w:b/>
          <w:color w:val="B08625"/>
          <w:sz w:val="20"/>
          <w:caps/>
          <w:spacing w:val="14"/>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pPr>
      <w:r>
        <w:rPr>
          <w:bCs/>
          <w:b/>
          <w:color w:val="B08625"/>
          <w:sz w:val="20"/>
          <w:caps/>
          <w:spacing w:val="14"/>
        </w:rPr>
        <w:t xml:space="preserve">Global Best Practices</w:t>
      </w:r>
    </w:p>
    <w:p>
      <w:pPr>
        <w:pStyle w:val="BodyText"/>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pPr>
      <w:r>
        <w:rPr>
          <w:bCs/>
          <w:b/>
          <w:color w:val="B08625"/>
          <w:sz w:val="20"/>
          <w:caps/>
          <w:spacing w:val="14"/>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pPr>
      <w:r>
        <w:rPr>
          <w:bCs/>
          <w:b/>
          <w:color w:val="B08625"/>
          <w:sz w:val="20"/>
          <w:caps/>
          <w:spacing w:val="14"/>
        </w:rPr>
        <w:t xml:space="preserve">Staffing Requirements</w:t>
      </w:r>
    </w:p>
    <w:p>
      <w:pPr>
        <w:pStyle w:val="BodyText"/>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pPr>
      <w:r>
        <w:rPr>
          <w:bCs/>
          <w:b/>
          <w:color w:val="B08625"/>
          <w:sz w:val="20"/>
          <w:caps/>
          <w:spacing w:val="14"/>
        </w:rPr>
        <w:t xml:space="preserve">Annual Budget</w:t>
      </w:r>
    </w:p>
    <w:p>
      <w:pPr>
        <w:pStyle w:val="BodyText"/>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pPr>
      <w:r>
        <w:rPr>
          <w:bCs/>
          <w:b/>
          <w:color w:val="B08625"/>
          <w:sz w:val="20"/>
          <w:caps/>
          <w:spacing w:val="14"/>
        </w:rPr>
        <w:t xml:space="preserve">KPIs</w:t>
      </w:r>
    </w:p>
    <w:p>
      <w:pPr>
        <w:pStyle w:val="BodyText"/>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pPr>
      <w:r>
        <w:rPr>
          <w:bCs/>
          <w:b/>
          <w:color w:val="B08625"/>
          <w:sz w:val="20"/>
          <w:caps/>
          <w:spacing w:val="14"/>
        </w:rPr>
        <w:t xml:space="preserve">Risks &amp; Mitigation</w:t>
      </w:r>
    </w:p>
    <w:p>
      <w:pPr>
        <w:pStyle w:val="BodyText"/>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pPr>
      <w:r>
        <w:rPr>
          <w:bCs/>
          <w:b/>
          <w:color w:val="B08625"/>
          <w:sz w:val="20"/>
          <w:caps/>
          <w:spacing w:val="14"/>
        </w:rPr>
        <w:t xml:space="preserve">Timeline</w:t>
      </w:r>
    </w:p>
    <w:p>
      <w:pPr>
        <w:pStyle w:val="BodyText"/>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pPr>
      <w:r>
        <w:rPr>
          <w:bCs/>
          <w:b/>
          <w:color w:val="B08625"/>
          <w:sz w:val="20"/>
          <w:caps/>
          <w:spacing w:val="14"/>
        </w:rPr>
        <w:t xml:space="preserve">Measurable Success Indicators</w:t>
      </w:r>
    </w:p>
    <w:p>
      <w:pPr>
        <w:pStyle w:val="BodyText"/>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Bitstream Charter" w:hAnsi="Bitstream Charter"/>
                <w:b/>
                <w:color w:val="B08625"/>
                <w:sz w:val="20"/>
                <w:caps/>
                <w:spacing w:val="14"/>
              </w:rPr>
              <w:t>VI</w:t>
            </w:r>
          </w:p>
          <w:p>
            <w:pPr>
              <w:spacing w:before="120" w:after="80"/>
            </w:pPr>
            <w:r>
              <w:rPr>
                <w:rFonts w:ascii="Bitstream Charter" w:hAnsi="Bitstream Charter"/>
                <w:b/>
                <w:color w:val="B08625"/>
                <w:sz w:val="20"/>
                <w:caps/>
                <w:spacing w:val="14"/>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Liberation Serif" w:hAnsi="Liberation Serif"/>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26 </w:t>
            </w:r>
            <w:r>
              <w:rPr>
                <w:rFonts w:ascii="Liberation Sans" w:hAnsi="Liberation Sans"/>
                <w:color w:val="FFFFFF"/>
                <w:sz w:val="20"/>
              </w:rPr>
              <w:t>Scholarship Strategy</w:t>
            </w:r>
          </w:p>
          <w:p>
            <w:pPr>
              <w:spacing w:before="0" w:after="130"/>
            </w:pPr>
            <w:r>
              <w:rPr>
                <w:rFonts w:ascii="Bitstream Charter" w:hAnsi="Bitstream Charter"/>
                <w:b/>
                <w:color w:val="B08625"/>
                <w:sz w:val="20"/>
                <w:caps/>
                <w:spacing w:val="14"/>
              </w:rPr>
              <w:t>27 </w:t>
            </w:r>
            <w:r>
              <w:rPr>
                <w:rFonts w:ascii="Liberation Sans" w:hAnsi="Liberation Sans"/>
                <w:color w:val="FFFFFF"/>
                <w:sz w:val="20"/>
              </w:rPr>
              <w:t>Revenue Diversification Strategy</w:t>
            </w:r>
          </w:p>
          <w:p>
            <w:pPr>
              <w:spacing w:before="0" w:after="130"/>
            </w:pPr>
            <w:r>
              <w:rPr>
                <w:rFonts w:ascii="Bitstream Charter" w:hAnsi="Bitstream Charter"/>
                <w:b/>
                <w:color w:val="B08625"/>
                <w:sz w:val="20"/>
                <w:caps/>
                <w:spacing w:val="14"/>
              </w:rPr>
              <w:t>28 </w:t>
            </w:r>
            <w:r>
              <w:rPr>
                <w:rFonts w:ascii="Liberation Sans" w:hAnsi="Liberation Sans"/>
                <w:color w:val="FFFFFF"/>
                <w:sz w:val="20"/>
              </w:rPr>
              <w:t>Marketing Strategy</w:t>
            </w:r>
          </w:p>
          <w:p>
            <w:pPr>
              <w:spacing w:before="0" w:after="130"/>
            </w:pPr>
            <w:r>
              <w:rPr>
                <w:rFonts w:ascii="Bitstream Charter" w:hAnsi="Bitstream Charter"/>
                <w:b/>
                <w:color w:val="B08625"/>
                <w:sz w:val="20"/>
                <w:caps/>
                <w:spacing w:val="14"/>
              </w:rPr>
              <w:t>29 </w:t>
            </w:r>
            <w:r>
              <w:rPr>
                <w:rFonts w:ascii="Liberation Sans" w:hAnsi="Liberation Sans"/>
                <w:color w:val="FFFFFF"/>
                <w:sz w:val="20"/>
              </w:rPr>
              <w:t>Branding Strategy</w:t>
            </w:r>
          </w:p>
          <w:p>
            <w:pPr>
              <w:spacing w:before="0" w:after="130"/>
            </w:pPr>
            <w:r>
              <w:rPr>
                <w:rFonts w:ascii="Bitstream Charter" w:hAnsi="Bitstream Charter"/>
                <w:b/>
                <w:color w:val="B08625"/>
                <w:sz w:val="20"/>
                <w:caps/>
                <w:spacing w:val="14"/>
              </w:rPr>
              <w:t>30 </w:t>
            </w:r>
            <w:r>
              <w:rPr>
                <w:rFonts w:ascii="Liberation Sans" w:hAnsi="Liberation Sans"/>
                <w:color w:val="FFFFFF"/>
                <w:sz w:val="20"/>
              </w:rPr>
              <w:t>International Expansion Strategy</w:t>
            </w:r>
          </w:p>
        </w:tc>
      </w:tr>
    </w:tbl>
    <w:p>
      <w:r>
        <w:br w:type="page"/>
      </w:r>
    </w:p>
    <w:p>
      <w:pPr>
        <w:pStyle w:val="SectionKicker"/>
      </w:pPr>
      <w:r>
        <w:t xml:space="preserve">PART VI · SECTION 26</w:t>
      </w:r>
    </w:p>
    <w:bookmarkEnd w:id="86"/>
    <w:bookmarkStart w:id="87" w:name="section-26-scholarship-strategy"/>
    <w:p>
      <w:pPr>
        <w:pStyle w:val="Heading2"/>
      </w:pPr>
      <w:r>
        <w:t xml:space="preserve">Section 26: Scholarship Strategy</w:t>
      </w:r>
    </w:p>
    <w:p>
      <w:pPr>
        <w:pStyle w:val="FirstParagraph"/>
      </w:pPr>
      <w:r>
        <w:rPr>
          <w:bCs/>
          <w:b/>
          <w:color w:val="B08625"/>
          <w:sz w:val="20"/>
          <w:caps/>
          <w:spacing w:val="14"/>
        </w:rPr>
        <w:t xml:space="preserve">Rationale</w:t>
      </w:r>
    </w:p>
    <w:p>
      <w:pPr>
        <w:pStyle w:val="BodyText"/>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pPr>
      <w:r>
        <w:rPr>
          <w:bCs/>
          <w:b/>
          <w:color w:val="B08625"/>
          <w:sz w:val="20"/>
          <w:caps/>
          <w:spacing w:val="14"/>
        </w:rPr>
        <w:t xml:space="preserve">Global Best Practices</w:t>
      </w:r>
    </w:p>
    <w:p>
      <w:pPr>
        <w:pStyle w:val="BodyText"/>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pPr>
      <w:r>
        <w:rPr>
          <w:bCs/>
          <w:b/>
          <w:color w:val="B08625"/>
          <w:sz w:val="20"/>
          <w:caps/>
          <w:spacing w:val="14"/>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pPr>
      <w:r>
        <w:rPr>
          <w:bCs/>
          <w:b/>
          <w:color w:val="B08625"/>
          <w:sz w:val="20"/>
          <w:caps/>
          <w:spacing w:val="14"/>
        </w:rPr>
        <w:t xml:space="preserve">Implementation Phases</w:t>
      </w:r>
    </w:p>
    <w:p>
      <w:pPr>
        <w:numPr>
          <w:ilvl w:val="0"/>
          <w:numId w:val="1015"/>
        </w:numPr>
        <w:pStyle w:val="Compact"/>
      </w:pPr>
      <w:r>
        <w:rPr>
          <w:bCs/>
          <w:b/>
          <w:color w:val="B08625"/>
          <w:sz w:val="20"/>
          <w:caps/>
          <w:spacing w:val="14"/>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pPr>
      <w:r>
        <w:rPr>
          <w:bCs/>
          <w:b/>
          <w:color w:val="B08625"/>
          <w:sz w:val="20"/>
          <w:caps/>
          <w:spacing w:val="14"/>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pPr>
      <w:r>
        <w:rPr>
          <w:bCs/>
          <w:b/>
          <w:color w:val="B08625"/>
          <w:sz w:val="20"/>
          <w:caps/>
          <w:spacing w:val="14"/>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pPr>
      <w:r>
        <w:rPr>
          <w:bCs/>
          <w:b/>
          <w:color w:val="B08625"/>
          <w:sz w:val="20"/>
          <w:caps/>
          <w:spacing w:val="14"/>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pPr>
      <w:r>
        <w:rPr>
          <w:bCs/>
          <w:b/>
        </w:rPr>
        <w:t xml:space="preserve">Annual Budget (illustrative Waqf &amp; Stakeholder Reserve pool, 20% of gross revenue)</w:t>
      </w:r>
    </w:p>
    <w:p>
      <w:pPr>
        <w:pStyle w:val="BodyText"/>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pPr>
      <w:r>
        <w:rPr>
          <w:bCs/>
          <w:b/>
          <w:color w:val="B08625"/>
          <w:sz w:val="20"/>
          <w:caps/>
          <w:spacing w:val="14"/>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pPr>
      <w:r>
        <w:rPr>
          <w:bCs/>
          <w:b/>
          <w:color w:val="B08625"/>
          <w:sz w:val="20"/>
          <w:caps/>
          <w:spacing w:val="14"/>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pPr>
      <w:r>
        <w:rPr>
          <w:bCs/>
          <w:b/>
          <w:color w:val="B08625"/>
          <w:sz w:val="20"/>
          <w:caps/>
          <w:spacing w:val="14"/>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pPr>
      <w:r>
        <w:rPr>
          <w:bCs/>
          <w:b/>
          <w:color w:val="B08625"/>
          <w:sz w:val="20"/>
          <w:caps/>
          <w:spacing w:val="14"/>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pPr>
      <w:r>
        <w:rPr>
          <w:bCs/>
          <w:b/>
          <w:color w:val="B08625"/>
          <w:sz w:val="20"/>
          <w:caps/>
          <w:spacing w:val="14"/>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7"/>
    <w:bookmarkStart w:id="88" w:name="Xc358c59d7c43ef7226959388f99f4c9db570d9e"/>
    <w:p>
      <w:pPr>
        <w:pStyle w:val="Heading2"/>
      </w:pPr>
      <w:r>
        <w:t xml:space="preserve">Section 27: Revenue Diversification Strategy</w:t>
      </w:r>
    </w:p>
    <w:p>
      <w:pPr>
        <w:pStyle w:val="FirstParagraph"/>
      </w:pPr>
      <w:r>
        <w:rPr>
          <w:bCs/>
          <w:b/>
          <w:color w:val="B08625"/>
          <w:sz w:val="20"/>
          <w:caps/>
          <w:spacing w:val="14"/>
        </w:rPr>
        <w:t xml:space="preserve">Rationale</w:t>
      </w:r>
    </w:p>
    <w:p>
      <w:pPr>
        <w:pStyle w:val="BodyText"/>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pPr>
      <w:r>
        <w:rPr>
          <w:bCs/>
          <w:b/>
          <w:color w:val="B08625"/>
          <w:sz w:val="20"/>
          <w:caps/>
          <w:spacing w:val="14"/>
        </w:rPr>
        <w:t xml:space="preserve">Explicitly Out of Scope</w:t>
      </w:r>
    </w:p>
    <w:p>
      <w:pPr>
        <w:pStyle w:val="BodyText"/>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pPr>
      <w:r>
        <w:rPr>
          <w:bCs/>
          <w:b/>
          <w:color w:val="B08625"/>
          <w:sz w:val="20"/>
          <w:caps/>
          <w:spacing w:val="14"/>
        </w:rPr>
        <w:t xml:space="preserve">Global Best Practices</w:t>
      </w:r>
    </w:p>
    <w:p>
      <w:pPr>
        <w:pStyle w:val="BodyText"/>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pPr>
      <w:r>
        <w:rPr>
          <w:bCs/>
          <w:b/>
          <w:color w:val="B08625"/>
          <w:sz w:val="20"/>
          <w:caps/>
          <w:spacing w:val="14"/>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pPr>
      <w:r>
        <w:rPr>
          <w:bCs/>
          <w:b/>
          <w:color w:val="B08625"/>
          <w:sz w:val="20"/>
          <w:caps/>
          <w:spacing w:val="14"/>
        </w:rPr>
        <w:t xml:space="preserve">Implementation Phases</w:t>
      </w:r>
    </w:p>
    <w:p>
      <w:pPr>
        <w:numPr>
          <w:ilvl w:val="0"/>
          <w:numId w:val="1016"/>
        </w:numPr>
        <w:pStyle w:val="Compact"/>
      </w:pPr>
      <w:r>
        <w:rPr>
          <w:bCs/>
          <w:b/>
          <w:color w:val="B08625"/>
          <w:sz w:val="20"/>
          <w:caps/>
          <w:spacing w:val="14"/>
        </w:rPr>
        <w:t xml:space="preserve">Phase 1 (2028–2029):</w:t>
      </w:r>
      <w:r>
        <w:t xml:space="preserve"> </w:t>
      </w:r>
      <w:r>
        <w:t xml:space="preserve">Tuition-volume growth is the sole active lever; informal small-dollar Sadaqah appeals begin.</w:t>
      </w:r>
    </w:p>
    <w:p>
      <w:pPr>
        <w:numPr>
          <w:ilvl w:val="0"/>
          <w:numId w:val="1016"/>
        </w:numPr>
        <w:pStyle w:val="Compact"/>
      </w:pPr>
      <w:r>
        <w:rPr>
          <w:bCs/>
          <w:b/>
          <w:color w:val="B08625"/>
          <w:sz w:val="20"/>
          <w:caps/>
          <w:spacing w:val="14"/>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pPr>
      <w:r>
        <w:rPr>
          <w:bCs/>
          <w:b/>
          <w:color w:val="B08625"/>
          <w:sz w:val="20"/>
          <w:caps/>
          <w:spacing w:val="14"/>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pPr>
      <w:r>
        <w:rPr>
          <w:bCs/>
          <w:b/>
          <w:color w:val="B08625"/>
          <w:sz w:val="20"/>
          <w:caps/>
          <w:spacing w:val="14"/>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pPr>
      <w:r>
        <w:rPr>
          <w:bCs/>
          <w:b/>
          <w:color w:val="B08625"/>
          <w:sz w:val="20"/>
          <w:caps/>
          <w:spacing w:val="14"/>
        </w:rPr>
        <w:t xml:space="preserve">Staffing</w:t>
      </w:r>
    </w:p>
    <w:p>
      <w:pPr>
        <w:pStyle w:val="BodyText"/>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pPr>
      <w:r>
        <w:rPr>
          <w:bCs/>
          <w:b/>
          <w:color w:val="B08625"/>
          <w:sz w:val="20"/>
          <w:caps/>
          <w:spacing w:val="14"/>
        </w:rPr>
        <w:t xml:space="preserve">Annual Budget</w:t>
      </w:r>
    </w:p>
    <w:p>
      <w:pPr>
        <w:pStyle w:val="BodyText"/>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pPr>
      <w:r>
        <w:rPr>
          <w:bCs/>
          <w:b/>
          <w:color w:val="B08625"/>
          <w:sz w:val="20"/>
          <w:caps/>
          <w:spacing w:val="14"/>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pPr>
      <w:r>
        <w:rPr>
          <w:bCs/>
          <w:b/>
          <w:color w:val="B08625"/>
          <w:sz w:val="20"/>
          <w:caps/>
          <w:spacing w:val="14"/>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pPr>
      <w:r>
        <w:rPr>
          <w:bCs/>
          <w:b/>
          <w:color w:val="B08625"/>
          <w:sz w:val="20"/>
          <w:caps/>
          <w:spacing w:val="14"/>
        </w:rPr>
        <w:t xml:space="preserve">Timeline:</w:t>
      </w:r>
      <w:r>
        <w:t xml:space="preserve"> </w:t>
      </w:r>
      <w:r>
        <w:t xml:space="preserve">2028 tuition-only → 2030 CPD pilot + first Sadaqah campaign → 2033 CPD scaling → 2038+ diversification mature but proportionally minor.</w:t>
      </w:r>
    </w:p>
    <w:p>
      <w:pPr>
        <w:pStyle w:val="BodyText"/>
      </w:pPr>
      <w:r>
        <w:rPr>
          <w:bCs/>
          <w:b/>
          <w:color w:val="B08625"/>
          <w:sz w:val="20"/>
          <w:caps/>
          <w:spacing w:val="14"/>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pPr>
      <w:r>
        <w:rPr>
          <w:bCs/>
          <w:b/>
          <w:color w:val="B08625"/>
          <w:sz w:val="20"/>
          <w:caps/>
          <w:spacing w:val="14"/>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8"/>
    <w:bookmarkStart w:id="89" w:name="section-28-marketing-strategy"/>
    <w:p>
      <w:pPr>
        <w:pStyle w:val="Heading2"/>
      </w:pPr>
      <w:r>
        <w:t xml:space="preserve">Section 28: Marketing Strategy</w:t>
      </w:r>
    </w:p>
    <w:p>
      <w:pPr>
        <w:pStyle w:val="FirstParagraph"/>
      </w:pPr>
      <w:r>
        <w:rPr>
          <w:bCs/>
          <w:b/>
          <w:color w:val="B08625"/>
          <w:sz w:val="20"/>
          <w:caps/>
          <w:spacing w:val="14"/>
        </w:rPr>
        <w:t xml:space="preserve">Rationale</w:t>
      </w:r>
    </w:p>
    <w:p>
      <w:pPr>
        <w:pStyle w:val="BodyText"/>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pPr>
      <w:r>
        <w:rPr>
          <w:bCs/>
          <w:b/>
          <w:color w:val="B08625"/>
          <w:sz w:val="20"/>
          <w:caps/>
          <w:spacing w:val="14"/>
        </w:rPr>
        <w:t xml:space="preserve">Global Best Practices</w:t>
      </w:r>
    </w:p>
    <w:p>
      <w:pPr>
        <w:pStyle w:val="BodyText"/>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pPr>
      <w:r>
        <w:rPr>
          <w:bCs/>
          <w:b/>
          <w:color w:val="B08625"/>
          <w:sz w:val="20"/>
          <w:caps/>
          <w:spacing w:val="14"/>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pPr>
      <w:r>
        <w:rPr>
          <w:bCs/>
          <w:b/>
          <w:color w:val="B08625"/>
          <w:sz w:val="20"/>
          <w:caps/>
          <w:spacing w:val="14"/>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pPr>
      <w:r>
        <w:rPr>
          <w:bCs/>
          <w:b/>
          <w:color w:val="B08625"/>
          <w:sz w:val="20"/>
          <w:caps/>
          <w:spacing w:val="14"/>
        </w:rPr>
        <w:t xml:space="preserve">Implementation Phases</w:t>
      </w:r>
    </w:p>
    <w:p>
      <w:pPr>
        <w:numPr>
          <w:ilvl w:val="0"/>
          <w:numId w:val="1017"/>
        </w:numPr>
        <w:pStyle w:val="Compact"/>
      </w:pPr>
      <w:r>
        <w:rPr>
          <w:bCs/>
          <w:b/>
          <w:color w:val="B08625"/>
          <w:sz w:val="20"/>
          <w:caps/>
          <w:spacing w:val="14"/>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pPr>
      <w:r>
        <w:rPr>
          <w:bCs/>
          <w:b/>
          <w:color w:val="B08625"/>
          <w:sz w:val="20"/>
          <w:caps/>
          <w:spacing w:val="14"/>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pPr>
      <w:r>
        <w:rPr>
          <w:bCs/>
          <w:b/>
          <w:color w:val="B08625"/>
          <w:sz w:val="20"/>
          <w:caps/>
          <w:spacing w:val="14"/>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pPr>
      <w:r>
        <w:rPr>
          <w:bCs/>
          <w:b/>
          <w:color w:val="B08625"/>
          <w:sz w:val="20"/>
          <w:caps/>
          <w:spacing w:val="14"/>
        </w:rPr>
        <w:t xml:space="preserve">Phase 4 (2038+):</w:t>
      </w:r>
      <w:r>
        <w:t xml:space="preserve"> </w:t>
      </w:r>
      <w:r>
        <w:t xml:space="preserve">Marketing scales with the 20-year revenue trajectory but stays fixed at 10% of a much larger base.</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pPr>
      <w:r>
        <w:t xml:space="preserve">Coordinator/liaison salaries are deliberately funded from Payroll (Core Admin, 18%), not the Marketing line, so the Marketing budget itself is preserved for stipends, tools, and content.</w:t>
      </w:r>
    </w:p>
    <w:p>
      <w:pPr>
        <w:pStyle w:val="BodyText"/>
      </w:pPr>
      <w:r>
        <w:rPr>
          <w:bCs/>
          <w:b/>
          <w:color w:val="B08625"/>
          <w:sz w:val="20"/>
          <w:caps/>
          <w:spacing w:val="14"/>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pPr>
      <w:r>
        <w:rPr>
          <w:bCs/>
          <w:b/>
          <w:color w:val="B08625"/>
          <w:sz w:val="20"/>
          <w:caps/>
          <w:spacing w:val="14"/>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pPr>
      <w:r>
        <w:rPr>
          <w:bCs/>
          <w:b/>
          <w:color w:val="B08625"/>
          <w:sz w:val="20"/>
          <w:caps/>
          <w:spacing w:val="14"/>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pPr>
      <w:r>
        <w:rPr>
          <w:bCs/>
          <w:b/>
          <w:color w:val="B08625"/>
          <w:sz w:val="20"/>
          <w:caps/>
          <w:spacing w:val="14"/>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pPr>
      <w:r>
        <w:rPr>
          <w:bCs/>
          <w:b/>
          <w:color w:val="B08625"/>
          <w:sz w:val="20"/>
          <w:caps/>
          <w:spacing w:val="14"/>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pPr>
      <w:r>
        <w:rPr>
          <w:bCs/>
          <w:b/>
          <w:color w:val="B08625"/>
          <w:sz w:val="20"/>
          <w:caps/>
          <w:spacing w:val="14"/>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89"/>
    <w:bookmarkStart w:id="90" w:name="section-29-branding-strategy"/>
    <w:p>
      <w:pPr>
        <w:pStyle w:val="Heading2"/>
      </w:pPr>
      <w:r>
        <w:t xml:space="preserve">Section 29: Branding Strategy</w:t>
      </w:r>
    </w:p>
    <w:p>
      <w:pPr>
        <w:pStyle w:val="FirstParagraph"/>
      </w:pPr>
      <w:r>
        <w:rPr>
          <w:bCs/>
          <w:b/>
          <w:color w:val="B08625"/>
          <w:sz w:val="20"/>
          <w:caps/>
          <w:spacing w:val="14"/>
        </w:rPr>
        <w:t xml:space="preserve">Rationale</w:t>
      </w:r>
    </w:p>
    <w:p>
      <w:pPr>
        <w:pStyle w:val="BodyText"/>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pPr>
      <w:r>
        <w:rPr>
          <w:bCs/>
          <w:b/>
          <w:color w:val="B08625"/>
          <w:sz w:val="20"/>
          <w:caps/>
          <w:spacing w:val="14"/>
        </w:rPr>
        <w:t xml:space="preserve">Global Best Practices</w:t>
      </w:r>
    </w:p>
    <w:p>
      <w:pPr>
        <w:pStyle w:val="BodyText"/>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pPr>
      <w:r>
        <w:rPr>
          <w:bCs/>
          <w:b/>
          <w:color w:val="B08625"/>
          <w:sz w:val="20"/>
          <w:caps/>
          <w:spacing w:val="14"/>
        </w:rPr>
        <w:t xml:space="preserve">Visual Identity Guidelines</w:t>
      </w:r>
    </w:p>
    <w:p>
      <w:pPr>
        <w:numPr>
          <w:ilvl w:val="0"/>
          <w:numId w:val="1018"/>
        </w:numPr>
        <w:pStyle w:val="Compact"/>
      </w:pPr>
      <w:r>
        <w:rPr>
          <w:bCs/>
          <w:b/>
          <w:color w:val="B08625"/>
          <w:sz w:val="20"/>
          <w:caps/>
          <w:spacing w:val="14"/>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pPr>
      <w:r>
        <w:rPr>
          <w:bCs/>
          <w:b/>
          <w:color w:val="B08625"/>
          <w:sz w:val="20"/>
          <w:caps/>
          <w:spacing w:val="14"/>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pPr>
      <w:r>
        <w:rPr>
          <w:bCs/>
          <w:b/>
          <w:color w:val="B08625"/>
          <w:sz w:val="20"/>
          <w:caps/>
          <w:spacing w:val="14"/>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pPr>
      <w:r>
        <w:rPr>
          <w:bCs/>
          <w:b/>
        </w:rPr>
        <w:t xml:space="preserve">Tier Differentiation Without Appearing to Price-Discriminate</w:t>
      </w:r>
    </w:p>
    <w:p>
      <w:pPr>
        <w:pStyle w:val="BodyText"/>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pPr>
      <w:r>
        <w:rPr>
          <w:bCs/>
          <w:b/>
          <w:color w:val="B08625"/>
          <w:sz w:val="20"/>
          <w:caps/>
          <w:spacing w:val="14"/>
        </w:rPr>
        <w:t xml:space="preserve">Implementation Phases</w:t>
      </w:r>
    </w:p>
    <w:p>
      <w:pPr>
        <w:numPr>
          <w:ilvl w:val="0"/>
          <w:numId w:val="1019"/>
        </w:numPr>
        <w:pStyle w:val="Compact"/>
      </w:pPr>
      <w:r>
        <w:rPr>
          <w:bCs/>
          <w:b/>
          <w:color w:val="B08625"/>
          <w:sz w:val="20"/>
          <w:caps/>
          <w:spacing w:val="14"/>
        </w:rPr>
        <w:t xml:space="preserve">Phase 1 (2028):</w:t>
      </w:r>
      <w:r>
        <w:t xml:space="preserve"> </w:t>
      </w:r>
      <w:r>
        <w:t xml:space="preserve">Formalize Brand Style Guide v1 and an ambassador/marketing toolkit building on already-adopted core assets.</w:t>
      </w:r>
    </w:p>
    <w:p>
      <w:pPr>
        <w:numPr>
          <w:ilvl w:val="0"/>
          <w:numId w:val="1019"/>
        </w:numPr>
        <w:pStyle w:val="Compact"/>
      </w:pPr>
      <w:r>
        <w:rPr>
          <w:bCs/>
          <w:b/>
          <w:color w:val="B08625"/>
          <w:sz w:val="20"/>
          <w:caps/>
          <w:spacing w:val="14"/>
        </w:rPr>
        <w:t xml:space="preserve">Phase 2 (2029–2032):</w:t>
      </w:r>
      <w:r>
        <w:t xml:space="preserve"> </w:t>
      </w:r>
      <w:r>
        <w:t xml:space="preserve">Develop the Gambia Branch Campus sub-brand lockup.</w:t>
      </w:r>
    </w:p>
    <w:p>
      <w:pPr>
        <w:numPr>
          <w:ilvl w:val="0"/>
          <w:numId w:val="1019"/>
        </w:numPr>
        <w:pStyle w:val="Compact"/>
      </w:pPr>
      <w:r>
        <w:rPr>
          <w:bCs/>
          <w:b/>
          <w:color w:val="B08625"/>
          <w:sz w:val="20"/>
          <w:caps/>
          <w:spacing w:val="14"/>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pPr>
      <w:r>
        <w:rPr>
          <w:bCs/>
          <w:b/>
          <w:color w:val="B08625"/>
          <w:sz w:val="20"/>
          <w:caps/>
          <w:spacing w:val="14"/>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pPr>
      <w:r>
        <w:rPr>
          <w:bCs/>
          <w:b/>
          <w:color w:val="B08625"/>
          <w:sz w:val="20"/>
          <w:caps/>
          <w:spacing w:val="14"/>
        </w:rPr>
        <w:t xml:space="preserve">Annual Budget</w:t>
      </w:r>
    </w:p>
    <w:p>
      <w:pPr>
        <w:pStyle w:val="BodyText"/>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pPr>
      <w:r>
        <w:rPr>
          <w:bCs/>
          <w:b/>
          <w:color w:val="B08625"/>
          <w:sz w:val="20"/>
          <w:caps/>
          <w:spacing w:val="14"/>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pPr>
      <w:r>
        <w:rPr>
          <w:bCs/>
          <w:b/>
          <w:color w:val="B08625"/>
          <w:sz w:val="20"/>
          <w:caps/>
          <w:spacing w:val="14"/>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pPr>
      <w:r>
        <w:rPr>
          <w:bCs/>
          <w:b/>
          <w:color w:val="B08625"/>
          <w:sz w:val="20"/>
          <w:caps/>
          <w:spacing w:val="14"/>
        </w:rPr>
        <w:t xml:space="preserve">Timeline:</w:t>
      </w:r>
      <w:r>
        <w:t xml:space="preserve"> </w:t>
      </w:r>
      <w:r>
        <w:t xml:space="preserve">2028 style guide v1 → 2030 Gambia sub-brand → 2037 Nigeria sub-brand → 2040 Gulf-facing identity → 2038–41 secular-school brand decision point.</w:t>
      </w:r>
    </w:p>
    <w:p>
      <w:pPr>
        <w:pStyle w:val="BodyText"/>
      </w:pPr>
      <w:r>
        <w:rPr>
          <w:bCs/>
          <w:b/>
          <w:color w:val="B08625"/>
          <w:sz w:val="20"/>
          <w:caps/>
          <w:spacing w:val="14"/>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pPr>
      <w:r>
        <w:rPr>
          <w:bCs/>
          <w:b/>
          <w:color w:val="B08625"/>
          <w:sz w:val="20"/>
          <w:caps/>
          <w:spacing w:val="14"/>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0"/>
    <w:bookmarkStart w:id="91" w:name="Xc71a5d8b17f477b0394a8d7d7a1ca970b989841"/>
    <w:p>
      <w:pPr>
        <w:pStyle w:val="Heading2"/>
      </w:pPr>
      <w:r>
        <w:t xml:space="preserve">Section 30: International Expansion Strategy</w:t>
      </w:r>
    </w:p>
    <w:p>
      <w:pPr>
        <w:pStyle w:val="FirstParagraph"/>
      </w:pPr>
      <w:r>
        <w:rPr>
          <w:bCs/>
          <w:b/>
          <w:color w:val="B08625"/>
          <w:sz w:val="20"/>
          <w:caps/>
          <w:spacing w:val="14"/>
        </w:rPr>
        <w:t xml:space="preserve">Rationale</w:t>
      </w:r>
    </w:p>
    <w:p>
      <w:pPr>
        <w:pStyle w:val="BodyText"/>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pPr>
      <w:r>
        <w:rPr>
          <w:bCs/>
          <w:b/>
          <w:color w:val="B08625"/>
          <w:sz w:val="20"/>
          <w:caps/>
          <w:spacing w:val="14"/>
        </w:rPr>
        <w:t xml:space="preserve">Global Best Practices</w:t>
      </w:r>
    </w:p>
    <w:p>
      <w:pPr>
        <w:pStyle w:val="BodyText"/>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pPr>
      <w:r>
        <w:rPr>
          <w:bCs/>
          <w:b/>
          <w:color w:val="B08625"/>
          <w:sz w:val="20"/>
          <w:caps/>
          <w:spacing w:val="14"/>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pPr>
      <w:r>
        <w:rPr>
          <w:bCs/>
          <w:b/>
          <w:color w:val="B08625"/>
          <w:sz w:val="20"/>
          <w:caps/>
          <w:spacing w:val="14"/>
        </w:rPr>
        <w:t xml:space="preserve">Implementation Phases</w:t>
      </w:r>
    </w:p>
    <w:p>
      <w:pPr>
        <w:numPr>
          <w:ilvl w:val="0"/>
          <w:numId w:val="1020"/>
        </w:numPr>
        <w:pStyle w:val="Compact"/>
      </w:pPr>
      <w:r>
        <w:rPr>
          <w:bCs/>
          <w:b/>
          <w:color w:val="B08625"/>
          <w:sz w:val="20"/>
          <w:caps/>
          <w:spacing w:val="14"/>
        </w:rPr>
        <w:t xml:space="preserve">Phase 1 (2028–2029):</w:t>
      </w:r>
      <w:r>
        <w:t xml:space="preserve"> </w:t>
      </w:r>
      <w:r>
        <w:t xml:space="preserve">Digital global reach established across all four tiers; Gambia site planning begins.</w:t>
      </w:r>
    </w:p>
    <w:p>
      <w:pPr>
        <w:numPr>
          <w:ilvl w:val="0"/>
          <w:numId w:val="1020"/>
        </w:numPr>
        <w:pStyle w:val="Compact"/>
      </w:pPr>
      <w:r>
        <w:rPr>
          <w:bCs/>
          <w:b/>
          <w:color w:val="B08625"/>
          <w:sz w:val="20"/>
          <w:caps/>
          <w:spacing w:val="14"/>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pPr>
      <w:r>
        <w:rPr>
          <w:bCs/>
          <w:b/>
          <w:color w:val="B08625"/>
          <w:sz w:val="20"/>
          <w:caps/>
          <w:spacing w:val="14"/>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pPr>
      <w:r>
        <w:rPr>
          <w:bCs/>
          <w:b/>
          <w:color w:val="B08625"/>
          <w:sz w:val="20"/>
          <w:caps/>
          <w:spacing w:val="14"/>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pPr>
      <w:r>
        <w:rPr>
          <w:bCs/>
          <w:b/>
          <w:color w:val="B08625"/>
          <w:sz w:val="20"/>
          <w:caps/>
          <w:spacing w:val="14"/>
        </w:rPr>
        <w:t xml:space="preserve">Annual Budget</w:t>
      </w:r>
    </w:p>
    <w:p>
      <w:pPr>
        <w:pStyle w:val="BodyText"/>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pPr>
      <w:r>
        <w:rPr>
          <w:bCs/>
          <w:b/>
          <w:color w:val="B08625"/>
          <w:sz w:val="20"/>
          <w:caps/>
          <w:spacing w:val="14"/>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pPr>
      <w:r>
        <w:rPr>
          <w:bCs/>
          <w:b/>
          <w:color w:val="B08625"/>
          <w:sz w:val="20"/>
          <w:caps/>
          <w:spacing w:val="14"/>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pPr>
      <w:r>
        <w:rPr>
          <w:bCs/>
          <w:b/>
          <w:color w:val="B08625"/>
          <w:sz w:val="20"/>
          <w:caps/>
          <w:spacing w:val="14"/>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pPr>
      <w:r>
        <w:rPr>
          <w:bCs/>
          <w:b/>
          <w:color w:val="B08625"/>
          <w:sz w:val="20"/>
          <w:caps/>
          <w:spacing w:val="14"/>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pPr>
      <w:r>
        <w:rPr>
          <w:bCs/>
          <w:b/>
          <w:color w:val="B08625"/>
          <w:sz w:val="20"/>
          <w:caps/>
          <w:spacing w:val="14"/>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Bitstream Charter" w:hAnsi="Bitstream Charter"/>
                <w:b/>
                <w:color w:val="B08625"/>
                <w:sz w:val="20"/>
                <w:caps/>
                <w:spacing w:val="14"/>
              </w:rPr>
              <w:t>VII</w:t>
            </w:r>
          </w:p>
          <w:p>
            <w:pPr>
              <w:spacing w:before="120" w:after="80"/>
            </w:pPr>
            <w:r>
              <w:rPr>
                <w:rFonts w:ascii="Bitstream Charter" w:hAnsi="Bitstream Charter"/>
                <w:b/>
                <w:color w:val="B08625"/>
                <w:sz w:val="20"/>
                <w:caps/>
                <w:spacing w:val="14"/>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Liberation Serif" w:hAnsi="Liberation Serif"/>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31 </w:t>
            </w:r>
            <w:r>
              <w:rPr>
                <w:rFonts w:ascii="Liberation Sans" w:hAnsi="Liberation Sans"/>
                <w:color w:val="FFFFFF"/>
                <w:sz w:val="20"/>
              </w:rPr>
              <w:t>Nigeria Campus Strategy</w:t>
            </w:r>
          </w:p>
          <w:p>
            <w:pPr>
              <w:spacing w:before="0" w:after="130"/>
            </w:pPr>
            <w:r>
              <w:rPr>
                <w:rFonts w:ascii="Bitstream Charter" w:hAnsi="Bitstream Charter"/>
                <w:b/>
                <w:color w:val="B08625"/>
                <w:sz w:val="20"/>
                <w:caps/>
                <w:spacing w:val="14"/>
              </w:rPr>
              <w:t>32 </w:t>
            </w:r>
            <w:r>
              <w:rPr>
                <w:rFonts w:ascii="Liberation Sans" w:hAnsi="Liberation Sans"/>
                <w:color w:val="FFFFFF"/>
                <w:sz w:val="20"/>
              </w:rPr>
              <w:t>Gulf Cooperation Strategy</w:t>
            </w:r>
          </w:p>
          <w:p>
            <w:pPr>
              <w:spacing w:before="0" w:after="130"/>
            </w:pPr>
            <w:r>
              <w:rPr>
                <w:rFonts w:ascii="Bitstream Charter" w:hAnsi="Bitstream Charter"/>
                <w:b/>
                <w:color w:val="B08625"/>
                <w:sz w:val="20"/>
                <w:caps/>
                <w:spacing w:val="14"/>
              </w:rPr>
              <w:t>33 </w:t>
            </w:r>
            <w:r>
              <w:rPr>
                <w:rFonts w:ascii="Liberation Sans" w:hAnsi="Liberation Sans"/>
                <w:color w:val="FFFFFF"/>
                <w:sz w:val="20"/>
              </w:rPr>
              <w:t>Student Support Framework</w:t>
            </w:r>
          </w:p>
          <w:p>
            <w:pPr>
              <w:spacing w:before="0" w:after="130"/>
            </w:pPr>
            <w:r>
              <w:rPr>
                <w:rFonts w:ascii="Bitstream Charter" w:hAnsi="Bitstream Charter"/>
                <w:b/>
                <w:color w:val="B08625"/>
                <w:sz w:val="20"/>
                <w:caps/>
                <w:spacing w:val="14"/>
              </w:rPr>
              <w:t>34 </w:t>
            </w:r>
            <w:r>
              <w:rPr>
                <w:rFonts w:ascii="Liberation Sans" w:hAnsi="Liberation Sans"/>
                <w:color w:val="FFFFFF"/>
                <w:sz w:val="20"/>
              </w:rPr>
              <w:t>Alumni Framework</w:t>
            </w:r>
          </w:p>
          <w:p>
            <w:pPr>
              <w:spacing w:before="0" w:after="130"/>
            </w:pPr>
            <w:r>
              <w:rPr>
                <w:rFonts w:ascii="Bitstream Charter" w:hAnsi="Bitstream Charter"/>
                <w:b/>
                <w:color w:val="B08625"/>
                <w:sz w:val="20"/>
                <w:caps/>
                <w:spacing w:val="14"/>
              </w:rPr>
              <w:t>35 </w:t>
            </w:r>
            <w:r>
              <w:rPr>
                <w:rFonts w:ascii="Liberation Sans" w:hAnsi="Liberation Sans"/>
                <w:color w:val="FFFFFF"/>
                <w:sz w:val="20"/>
              </w:rPr>
              <w:t>Career Development Framework</w:t>
            </w:r>
          </w:p>
        </w:tc>
      </w:tr>
    </w:tbl>
    <w:p>
      <w:r>
        <w:br w:type="page"/>
      </w:r>
    </w:p>
    <w:p>
      <w:pPr>
        <w:pStyle w:val="SectionKicker"/>
      </w:pPr>
      <w:r>
        <w:t xml:space="preserve">PART VII · SECTION 31</w:t>
      </w:r>
    </w:p>
    <w:bookmarkEnd w:id="91"/>
    <w:bookmarkStart w:id="92" w:name="section-31-nigeria-campus-strategy"/>
    <w:p>
      <w:pPr>
        <w:pStyle w:val="Heading2"/>
      </w:pPr>
      <w:r>
        <w:t xml:space="preserve">Section 31: Nigeria Campus Strategy</w:t>
      </w:r>
    </w:p>
    <w:p>
      <w:pPr>
        <w:pStyle w:val="FirstParagraph"/>
      </w:pPr>
      <w:r>
        <w:rPr>
          <w:bCs/>
          <w:b/>
          <w:color w:val="B08625"/>
          <w:sz w:val="20"/>
          <w:caps/>
          <w:spacing w:val="14"/>
        </w:rPr>
        <w:t xml:space="preserve">Rationale</w:t>
      </w:r>
    </w:p>
    <w:p>
      <w:pPr>
        <w:pStyle w:val="BodyText"/>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pPr>
      <w:r>
        <w:rPr>
          <w:bCs/>
          <w:b/>
          <w:color w:val="B08625"/>
          <w:sz w:val="20"/>
          <w:caps/>
          <w:spacing w:val="14"/>
        </w:rPr>
        <w:t xml:space="preserve">Global Best Practices</w:t>
      </w:r>
    </w:p>
    <w:p>
      <w:pPr>
        <w:pStyle w:val="BodyText"/>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0"/>
                <w:caps/>
                <w:spacing w:val="14"/>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pPr>
      <w:r>
        <w:rPr>
          <w:bCs/>
          <w:b/>
          <w:color w:val="B08625"/>
          <w:sz w:val="20"/>
          <w:caps/>
          <w:spacing w:val="14"/>
        </w:rPr>
        <w:t xml:space="preserve">Staffing Requirements</w:t>
      </w:r>
    </w:p>
    <w:p>
      <w:pPr>
        <w:pStyle w:val="BodyText"/>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pPr>
      <w:r>
        <w:rPr>
          <w:bCs/>
          <w:b/>
          <w:color w:val="B08625"/>
          <w:sz w:val="20"/>
          <w:caps/>
          <w:spacing w:val="14"/>
        </w:rPr>
        <w:t xml:space="preserve">Annual Budget</w:t>
      </w:r>
    </w:p>
    <w:p>
      <w:pPr>
        <w:pStyle w:val="BodyText"/>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pPr>
      <w:r>
        <w:rPr>
          <w:bCs/>
          <w:b/>
          <w:color w:val="B08625"/>
          <w:sz w:val="20"/>
          <w:caps/>
          <w:spacing w:val="14"/>
        </w:rPr>
        <w:t xml:space="preserve">KPIs</w:t>
      </w:r>
    </w:p>
    <w:p>
      <w:pPr>
        <w:pStyle w:val="BodyText"/>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pPr>
      <w:r>
        <w:rPr>
          <w:bCs/>
          <w:b/>
          <w:color w:val="B08625"/>
          <w:sz w:val="20"/>
          <w:caps/>
          <w:spacing w:val="14"/>
        </w:rPr>
        <w:t xml:space="preserve">Risks &amp; Mitigation</w:t>
      </w:r>
    </w:p>
    <w:p>
      <w:pPr>
        <w:pStyle w:val="BodyText"/>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pPr>
      <w:r>
        <w:rPr>
          <w:bCs/>
          <w:b/>
          <w:color w:val="B08625"/>
          <w:sz w:val="20"/>
          <w:caps/>
          <w:spacing w:val="14"/>
        </w:rPr>
        <w:t xml:space="preserve">Timeline</w:t>
      </w:r>
    </w:p>
    <w:p>
      <w:pPr>
        <w:pStyle w:val="BodyText"/>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pPr>
      <w:r>
        <w:rPr>
          <w:bCs/>
          <w:b/>
          <w:color w:val="B08625"/>
          <w:sz w:val="20"/>
          <w:caps/>
          <w:spacing w:val="14"/>
        </w:rPr>
        <w:t xml:space="preserve">Governance Responsibilities</w:t>
      </w:r>
    </w:p>
    <w:p>
      <w:pPr>
        <w:numPr>
          <w:ilvl w:val="0"/>
          <w:numId w:val="1021"/>
        </w:numPr>
        <w:pStyle w:val="Compact"/>
      </w:pPr>
      <w:r>
        <w:rPr>
          <w:bCs/>
          <w:b/>
          <w:color w:val="B08625"/>
          <w:sz w:val="20"/>
          <w:caps/>
          <w:spacing w:val="14"/>
        </w:rPr>
        <w:t xml:space="preserve">Board of Trustees</w:t>
      </w:r>
      <w:r>
        <w:t xml:space="preserve">: strategic ownership, approves all Reserve draws and any future capital-commitment decision post-charter.</w:t>
      </w:r>
    </w:p>
    <w:p>
      <w:pPr>
        <w:numPr>
          <w:ilvl w:val="0"/>
          <w:numId w:val="1021"/>
        </w:numPr>
        <w:pStyle w:val="Compact"/>
      </w:pPr>
      <w:r>
        <w:rPr>
          <w:bCs/>
          <w:b/>
          <w:color w:val="B08625"/>
          <w:sz w:val="20"/>
          <w:caps/>
          <w:spacing w:val="14"/>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pPr>
      <w:r>
        <w:rPr>
          <w:bCs/>
          <w:b/>
          <w:color w:val="B08625"/>
          <w:sz w:val="20"/>
          <w:caps/>
          <w:spacing w:val="14"/>
        </w:rPr>
        <w:t xml:space="preserve">University Senate</w:t>
      </w:r>
      <w:r>
        <w:t xml:space="preserve">: academic authority over curriculum mirroring for the six Nigerian faculties, exercised only if/when charter is granted.</w:t>
      </w:r>
    </w:p>
    <w:p>
      <w:pPr>
        <w:pStyle w:val="FirstParagraph"/>
      </w:pPr>
      <w:r>
        <w:rPr>
          <w:bCs/>
          <w:b/>
          <w:color w:val="B08625"/>
          <w:sz w:val="20"/>
          <w:caps/>
          <w:spacing w:val="14"/>
        </w:rPr>
        <w:t xml:space="preserve">Measurable Success Indicators</w:t>
      </w:r>
    </w:p>
    <w:p>
      <w:pPr>
        <w:pStyle w:val="BodyText"/>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2"/>
    <w:bookmarkStart w:id="93" w:name="section-32-gulf-cooperation-strategy"/>
    <w:p>
      <w:pPr>
        <w:pStyle w:val="Heading2"/>
      </w:pPr>
      <w:r>
        <w:t xml:space="preserve">Section 32: Gulf Cooperation Strategy</w:t>
      </w:r>
    </w:p>
    <w:p>
      <w:pPr>
        <w:pStyle w:val="FirstParagraph"/>
      </w:pPr>
      <w:r>
        <w:rPr>
          <w:bCs/>
          <w:b/>
          <w:color w:val="B08625"/>
          <w:sz w:val="20"/>
          <w:caps/>
          <w:spacing w:val="14"/>
        </w:rPr>
        <w:t xml:space="preserve">Rationale</w:t>
      </w:r>
    </w:p>
    <w:p>
      <w:pPr>
        <w:pStyle w:val="BodyText"/>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pPr>
      <w:r>
        <w:rPr>
          <w:bCs/>
          <w:b/>
          <w:color w:val="B08625"/>
          <w:sz w:val="20"/>
          <w:caps/>
          <w:spacing w:val="14"/>
        </w:rPr>
        <w:t xml:space="preserve">Global Best Practices</w:t>
      </w:r>
    </w:p>
    <w:p>
      <w:pPr>
        <w:pStyle w:val="BodyText"/>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0"/>
                <w:caps/>
                <w:spacing w:val="14"/>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pPr>
      <w:r>
        <w:rPr>
          <w:bCs/>
          <w:b/>
          <w:color w:val="B08625"/>
          <w:sz w:val="20"/>
          <w:caps/>
          <w:spacing w:val="14"/>
        </w:rPr>
        <w:t xml:space="preserve">Staffing Requirements</w:t>
      </w:r>
    </w:p>
    <w:p>
      <w:pPr>
        <w:pStyle w:val="BodyText"/>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pPr>
      <w:r>
        <w:rPr>
          <w:bCs/>
          <w:b/>
          <w:color w:val="B08625"/>
          <w:sz w:val="20"/>
          <w:caps/>
          <w:spacing w:val="14"/>
        </w:rPr>
        <w:t xml:space="preserve">Annual Budget</w:t>
      </w:r>
    </w:p>
    <w:p>
      <w:pPr>
        <w:pStyle w:val="BodyText"/>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pPr>
      <w:r>
        <w:rPr>
          <w:bCs/>
          <w:b/>
          <w:color w:val="B08625"/>
          <w:sz w:val="20"/>
          <w:caps/>
          <w:spacing w:val="14"/>
        </w:rPr>
        <w:t xml:space="preserve">KPIs</w:t>
      </w:r>
    </w:p>
    <w:p>
      <w:pPr>
        <w:pStyle w:val="BodyText"/>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pPr>
      <w:r>
        <w:rPr>
          <w:bCs/>
          <w:b/>
          <w:color w:val="B08625"/>
          <w:sz w:val="20"/>
          <w:caps/>
          <w:spacing w:val="14"/>
        </w:rPr>
        <w:t xml:space="preserve">Risks &amp; Mitigation</w:t>
      </w:r>
    </w:p>
    <w:p>
      <w:pPr>
        <w:pStyle w:val="BodyText"/>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pPr>
      <w:r>
        <w:rPr>
          <w:bCs/>
          <w:b/>
          <w:color w:val="B08625"/>
          <w:sz w:val="20"/>
          <w:caps/>
          <w:spacing w:val="14"/>
        </w:rPr>
        <w:t xml:space="preserve">Timeline</w:t>
      </w:r>
    </w:p>
    <w:p>
      <w:pPr>
        <w:pStyle w:val="BodyText"/>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pPr>
      <w:r>
        <w:rPr>
          <w:bCs/>
          <w:b/>
          <w:color w:val="B08625"/>
          <w:sz w:val="20"/>
          <w:caps/>
          <w:spacing w:val="14"/>
        </w:rPr>
        <w:t xml:space="preserve">Governance Responsibilities</w:t>
      </w:r>
    </w:p>
    <w:p>
      <w:pPr>
        <w:numPr>
          <w:ilvl w:val="0"/>
          <w:numId w:val="1022"/>
        </w:numPr>
        <w:pStyle w:val="Compact"/>
      </w:pPr>
      <w:r>
        <w:rPr>
          <w:bCs/>
          <w:b/>
          <w:color w:val="B08625"/>
          <w:sz w:val="20"/>
          <w:caps/>
          <w:spacing w:val="14"/>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2"/>
        </w:numPr>
        <w:pStyle w:val="Compact"/>
      </w:pPr>
      <w:r>
        <w:rPr>
          <w:bCs/>
          <w:b/>
          <w:color w:val="B08625"/>
          <w:sz w:val="20"/>
          <w:caps/>
          <w:spacing w:val="14"/>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pPr>
      <w:r>
        <w:rPr>
          <w:bCs/>
          <w:b/>
          <w:color w:val="B08625"/>
          <w:sz w:val="20"/>
          <w:caps/>
          <w:spacing w:val="14"/>
        </w:rPr>
        <w:t xml:space="preserve">University Senate</w:t>
      </w:r>
      <w:r>
        <w:t xml:space="preserve">: reviews academic-partnership implications of any Gulf ministry recognition agreement before adoption.</w:t>
      </w:r>
    </w:p>
    <w:p>
      <w:pPr>
        <w:pStyle w:val="FirstParagraph"/>
      </w:pPr>
      <w:r>
        <w:rPr>
          <w:bCs/>
          <w:b/>
          <w:color w:val="B08625"/>
          <w:sz w:val="20"/>
          <w:caps/>
          <w:spacing w:val="14"/>
        </w:rPr>
        <w:t xml:space="preserve">Measurable Success Indicators</w:t>
      </w:r>
    </w:p>
    <w:p>
      <w:pPr>
        <w:pStyle w:val="BodyText"/>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3"/>
    <w:bookmarkStart w:id="94" w:name="section-33-student-support-framework"/>
    <w:p>
      <w:pPr>
        <w:pStyle w:val="Heading2"/>
      </w:pPr>
      <w:r>
        <w:t xml:space="preserve">Section 33: Student Support Framework</w:t>
      </w:r>
    </w:p>
    <w:p>
      <w:pPr>
        <w:pStyle w:val="FirstParagraph"/>
      </w:pPr>
      <w:r>
        <w:rPr>
          <w:bCs/>
          <w:b/>
          <w:color w:val="B08625"/>
          <w:sz w:val="20"/>
          <w:caps/>
          <w:spacing w:val="14"/>
        </w:rPr>
        <w:t xml:space="preserve">Rationale</w:t>
      </w:r>
    </w:p>
    <w:p>
      <w:pPr>
        <w:pStyle w:val="BodyText"/>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pPr>
      <w:r>
        <w:rPr>
          <w:bCs/>
          <w:b/>
          <w:color w:val="B08625"/>
          <w:sz w:val="20"/>
          <w:caps/>
          <w:spacing w:val="14"/>
        </w:rPr>
        <w:t xml:space="preserve">Global Best Practices</w:t>
      </w:r>
    </w:p>
    <w:p>
      <w:pPr>
        <w:pStyle w:val="BodyText"/>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pPr>
      <w:r>
        <w:rPr>
          <w:bCs/>
          <w:b/>
          <w:color w:val="B08625"/>
          <w:sz w:val="20"/>
          <w:caps/>
          <w:spacing w:val="14"/>
        </w:rPr>
        <w:t xml:space="preserve">Staffing Requirements</w:t>
      </w:r>
    </w:p>
    <w:p>
      <w:pPr>
        <w:pStyle w:val="BodyText"/>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pPr>
      <w:r>
        <w:rPr>
          <w:bCs/>
          <w:b/>
          <w:color w:val="B08625"/>
          <w:sz w:val="20"/>
          <w:caps/>
          <w:spacing w:val="14"/>
        </w:rPr>
        <w:t xml:space="preserve">Annual Budget</w:t>
      </w:r>
    </w:p>
    <w:p>
      <w:pPr>
        <w:pStyle w:val="BodyText"/>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pPr>
      <w:r>
        <w:rPr>
          <w:bCs/>
          <w:b/>
          <w:color w:val="B08625"/>
          <w:sz w:val="20"/>
          <w:caps/>
          <w:spacing w:val="14"/>
        </w:rPr>
        <w:t xml:space="preserve">KPIs</w:t>
      </w:r>
    </w:p>
    <w:p>
      <w:pPr>
        <w:pStyle w:val="BodyText"/>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pPr>
      <w:r>
        <w:rPr>
          <w:bCs/>
          <w:b/>
          <w:color w:val="B08625"/>
          <w:sz w:val="20"/>
          <w:caps/>
          <w:spacing w:val="14"/>
        </w:rPr>
        <w:t xml:space="preserve">Risks &amp; Mitigation</w:t>
      </w:r>
    </w:p>
    <w:p>
      <w:pPr>
        <w:pStyle w:val="BodyText"/>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pPr>
      <w:r>
        <w:rPr>
          <w:bCs/>
          <w:b/>
          <w:color w:val="B08625"/>
          <w:sz w:val="20"/>
          <w:caps/>
          <w:spacing w:val="14"/>
        </w:rPr>
        <w:t xml:space="preserve">Timeline</w:t>
      </w:r>
    </w:p>
    <w:p>
      <w:pPr>
        <w:pStyle w:val="BodyText"/>
      </w:pPr>
      <w:r>
        <w:t xml:space="preserve">2028–2030 digital foundation → 2031–2033 peer support → 2034–2037 formalized escalation → 2038+ dedicated function (Board-contingent).</w:t>
      </w:r>
    </w:p>
    <w:p>
      <w:pPr>
        <w:pStyle w:val="BodyText"/>
      </w:pPr>
      <w:r>
        <w:rPr>
          <w:bCs/>
          <w:b/>
          <w:color w:val="B08625"/>
          <w:sz w:val="20"/>
          <w:caps/>
          <w:spacing w:val="14"/>
        </w:rPr>
        <w:t xml:space="preserve">Governance Responsibilities</w:t>
      </w:r>
    </w:p>
    <w:p>
      <w:pPr>
        <w:numPr>
          <w:ilvl w:val="0"/>
          <w:numId w:val="1023"/>
        </w:numPr>
        <w:pStyle w:val="Compact"/>
      </w:pPr>
      <w:r>
        <w:rPr>
          <w:bCs/>
          <w:b/>
          <w:color w:val="B08625"/>
          <w:sz w:val="20"/>
          <w:caps/>
          <w:spacing w:val="14"/>
        </w:rPr>
        <w:t xml:space="preserve">University Senate</w:t>
      </w:r>
      <w:r>
        <w:t xml:space="preserve">: owns academic advising policy and accommodation academic standards.</w:t>
      </w:r>
    </w:p>
    <w:p>
      <w:pPr>
        <w:numPr>
          <w:ilvl w:val="0"/>
          <w:numId w:val="1023"/>
        </w:numPr>
        <w:pStyle w:val="Compact"/>
      </w:pPr>
      <w:r>
        <w:rPr>
          <w:bCs/>
          <w:b/>
          <w:color w:val="B08625"/>
          <w:sz w:val="20"/>
          <w:caps/>
          <w:spacing w:val="14"/>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pPr>
      <w:r>
        <w:rPr>
          <w:bCs/>
          <w:b/>
          <w:color w:val="B08625"/>
          <w:sz w:val="20"/>
          <w:caps/>
          <w:spacing w:val="14"/>
        </w:rPr>
        <w:t xml:space="preserve">Board of Trustees</w:t>
      </w:r>
      <w:r>
        <w:t xml:space="preserve">: approves any staffing/budget expansion beyond the fixed Admin sub-line.</w:t>
      </w:r>
    </w:p>
    <w:p>
      <w:pPr>
        <w:pStyle w:val="FirstParagraph"/>
      </w:pPr>
      <w:r>
        <w:rPr>
          <w:bCs/>
          <w:b/>
          <w:color w:val="B08625"/>
          <w:sz w:val="20"/>
          <w:caps/>
          <w:spacing w:val="14"/>
        </w:rPr>
        <w:t xml:space="preserve">Measurable Success Indicators</w:t>
      </w:r>
    </w:p>
    <w:p>
      <w:pPr>
        <w:pStyle w:val="BodyText"/>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4"/>
    <w:bookmarkStart w:id="95" w:name="section-34-alumni-framework"/>
    <w:p>
      <w:pPr>
        <w:pStyle w:val="Heading2"/>
      </w:pPr>
      <w:r>
        <w:t xml:space="preserve">Section 34: Alumni Framework</w:t>
      </w:r>
    </w:p>
    <w:p>
      <w:pPr>
        <w:pStyle w:val="FirstParagraph"/>
      </w:pPr>
      <w:r>
        <w:rPr>
          <w:bCs/>
          <w:b/>
          <w:color w:val="B08625"/>
          <w:sz w:val="20"/>
          <w:caps/>
          <w:spacing w:val="14"/>
        </w:rPr>
        <w:t xml:space="preserve">Rationale</w:t>
      </w:r>
    </w:p>
    <w:p>
      <w:pPr>
        <w:pStyle w:val="BodyText"/>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pPr>
      <w:r>
        <w:rPr>
          <w:bCs/>
          <w:b/>
          <w:color w:val="B08625"/>
          <w:sz w:val="20"/>
          <w:caps/>
          <w:spacing w:val="14"/>
        </w:rPr>
        <w:t xml:space="preserve">Global Best Practices</w:t>
      </w:r>
    </w:p>
    <w:p>
      <w:pPr>
        <w:pStyle w:val="BodyText"/>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pPr>
      <w:r>
        <w:rPr>
          <w:bCs/>
          <w:b/>
          <w:color w:val="B08625"/>
          <w:sz w:val="20"/>
          <w:caps/>
          <w:spacing w:val="14"/>
        </w:rPr>
        <w:t xml:space="preserve">Staffing Requirements</w:t>
      </w:r>
    </w:p>
    <w:p>
      <w:pPr>
        <w:pStyle w:val="BodyText"/>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pPr>
      <w:r>
        <w:rPr>
          <w:bCs/>
          <w:b/>
          <w:color w:val="B08625"/>
          <w:sz w:val="20"/>
          <w:caps/>
          <w:spacing w:val="14"/>
        </w:rPr>
        <w:t xml:space="preserve">Annual Budget</w:t>
      </w:r>
    </w:p>
    <w:p>
      <w:pPr>
        <w:pStyle w:val="BodyText"/>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pPr>
      <w:r>
        <w:rPr>
          <w:bCs/>
          <w:b/>
          <w:color w:val="B08625"/>
          <w:sz w:val="20"/>
          <w:caps/>
          <w:spacing w:val="14"/>
        </w:rPr>
        <w:t xml:space="preserve">KPIs</w:t>
      </w:r>
    </w:p>
    <w:p>
      <w:pPr>
        <w:pStyle w:val="BodyText"/>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pPr>
      <w:r>
        <w:rPr>
          <w:bCs/>
          <w:b/>
          <w:color w:val="B08625"/>
          <w:sz w:val="20"/>
          <w:caps/>
          <w:spacing w:val="14"/>
        </w:rPr>
        <w:t xml:space="preserve">Risks &amp; Mitigation</w:t>
      </w:r>
    </w:p>
    <w:p>
      <w:pPr>
        <w:pStyle w:val="BodyText"/>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pPr>
      <w:r>
        <w:rPr>
          <w:bCs/>
          <w:b/>
          <w:color w:val="B08625"/>
          <w:sz w:val="20"/>
          <w:caps/>
          <w:spacing w:val="14"/>
        </w:rPr>
        <w:t xml:space="preserve">Timeline</w:t>
      </w:r>
    </w:p>
    <w:p>
      <w:pPr>
        <w:pStyle w:val="BodyText"/>
      </w:pPr>
      <w:r>
        <w:t xml:space="preserve">2028–2029 identity formation → 2030–2032 ambassador network → 2033–2036 structured engagement → 2037–2040 first paid role → 2041+ dedicated function.</w:t>
      </w:r>
    </w:p>
    <w:p>
      <w:pPr>
        <w:pStyle w:val="BodyText"/>
      </w:pPr>
      <w:r>
        <w:rPr>
          <w:bCs/>
          <w:b/>
          <w:color w:val="B08625"/>
          <w:sz w:val="20"/>
          <w:caps/>
          <w:spacing w:val="14"/>
        </w:rPr>
        <w:t xml:space="preserve">Governance Responsibilities</w:t>
      </w:r>
    </w:p>
    <w:p>
      <w:pPr>
        <w:numPr>
          <w:ilvl w:val="0"/>
          <w:numId w:val="1024"/>
        </w:numPr>
        <w:pStyle w:val="Compact"/>
      </w:pPr>
      <w:r>
        <w:rPr>
          <w:bCs/>
          <w:b/>
          <w:color w:val="B08625"/>
          <w:sz w:val="20"/>
          <w:caps/>
          <w:spacing w:val="14"/>
        </w:rPr>
        <w:t xml:space="preserve">Board of Trustees</w:t>
      </w:r>
      <w:r>
        <w:t xml:space="preserve">: oversees Marketing/Commercial Engine budget funding referral incentives and any future Alumni Relations staffing.</w:t>
      </w:r>
    </w:p>
    <w:p>
      <w:pPr>
        <w:numPr>
          <w:ilvl w:val="0"/>
          <w:numId w:val="1024"/>
        </w:numPr>
        <w:pStyle w:val="Compact"/>
      </w:pPr>
      <w:r>
        <w:rPr>
          <w:bCs/>
          <w:b/>
          <w:color w:val="B08625"/>
          <w:sz w:val="20"/>
          <w:caps/>
          <w:spacing w:val="14"/>
        </w:rPr>
        <w:t xml:space="preserve">Waqf &amp; Endowment Board</w:t>
      </w:r>
      <w:r>
        <w:t xml:space="preserve">: fiduciary oversight of the Sadaqah Jāriyah alumni-giving channel.</w:t>
      </w:r>
    </w:p>
    <w:p>
      <w:pPr>
        <w:numPr>
          <w:ilvl w:val="0"/>
          <w:numId w:val="1024"/>
        </w:numPr>
        <w:pStyle w:val="Compact"/>
      </w:pPr>
      <w:r>
        <w:rPr>
          <w:bCs/>
          <w:b/>
          <w:color w:val="B08625"/>
          <w:sz w:val="20"/>
          <w:caps/>
          <w:spacing w:val="14"/>
        </w:rPr>
        <w:t xml:space="preserve">University Senate</w:t>
      </w:r>
      <w:r>
        <w:t xml:space="preserve">: no direct authority but consulted on academic-credibility signaling of alumni outcomes.</w:t>
      </w:r>
    </w:p>
    <w:p>
      <w:pPr>
        <w:pStyle w:val="FirstParagraph"/>
      </w:pPr>
      <w:r>
        <w:rPr>
          <w:bCs/>
          <w:b/>
          <w:color w:val="B08625"/>
          <w:sz w:val="20"/>
          <w:caps/>
          <w:spacing w:val="14"/>
        </w:rPr>
        <w:t xml:space="preserve">Measurable Success Indicators</w:t>
      </w:r>
    </w:p>
    <w:p>
      <w:pPr>
        <w:pStyle w:val="BodyText"/>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5"/>
    <w:bookmarkStart w:id="96" w:name="section-35-career-development-framework"/>
    <w:p>
      <w:pPr>
        <w:pStyle w:val="Heading2"/>
      </w:pPr>
      <w:r>
        <w:t xml:space="preserve">Section 35: Career Development Framework</w:t>
      </w:r>
    </w:p>
    <w:p>
      <w:pPr>
        <w:pStyle w:val="FirstParagraph"/>
      </w:pPr>
      <w:r>
        <w:rPr>
          <w:bCs/>
          <w:b/>
          <w:color w:val="B08625"/>
          <w:sz w:val="20"/>
          <w:caps/>
          <w:spacing w:val="14"/>
        </w:rPr>
        <w:t xml:space="preserve">Rationale</w:t>
      </w:r>
    </w:p>
    <w:p>
      <w:pPr>
        <w:pStyle w:val="BodyText"/>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pPr>
      <w:r>
        <w:rPr>
          <w:bCs/>
          <w:b/>
          <w:color w:val="B08625"/>
          <w:sz w:val="20"/>
          <w:caps/>
          <w:spacing w:val="14"/>
        </w:rPr>
        <w:t xml:space="preserve">Global Best Practices</w:t>
      </w:r>
    </w:p>
    <w:p>
      <w:pPr>
        <w:pStyle w:val="BodyText"/>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pPr>
      <w:r>
        <w:rPr>
          <w:bCs/>
          <w:b/>
          <w:color w:val="B08625"/>
          <w:sz w:val="20"/>
          <w:caps/>
          <w:spacing w:val="14"/>
        </w:rPr>
        <w:t xml:space="preserve">Staffing Requirements</w:t>
      </w:r>
    </w:p>
    <w:p>
      <w:pPr>
        <w:pStyle w:val="BodyText"/>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pPr>
      <w:r>
        <w:rPr>
          <w:bCs/>
          <w:b/>
          <w:color w:val="B08625"/>
          <w:sz w:val="20"/>
          <w:caps/>
          <w:spacing w:val="14"/>
        </w:rPr>
        <w:t xml:space="preserve">Annual Budget</w:t>
      </w:r>
    </w:p>
    <w:p>
      <w:pPr>
        <w:pStyle w:val="BodyText"/>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pPr>
      <w:r>
        <w:rPr>
          <w:bCs/>
          <w:b/>
          <w:color w:val="B08625"/>
          <w:sz w:val="20"/>
          <w:caps/>
          <w:spacing w:val="14"/>
        </w:rPr>
        <w:t xml:space="preserve">KPIs</w:t>
      </w:r>
    </w:p>
    <w:p>
      <w:pPr>
        <w:pStyle w:val="BodyText"/>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pPr>
      <w:r>
        <w:rPr>
          <w:bCs/>
          <w:b/>
          <w:color w:val="B08625"/>
          <w:sz w:val="20"/>
          <w:caps/>
          <w:spacing w:val="14"/>
        </w:rPr>
        <w:t xml:space="preserve">Risks &amp; Mitigation</w:t>
      </w:r>
    </w:p>
    <w:p>
      <w:pPr>
        <w:pStyle w:val="BodyText"/>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pPr>
      <w:r>
        <w:rPr>
          <w:bCs/>
          <w:b/>
          <w:color w:val="B08625"/>
          <w:sz w:val="20"/>
          <w:caps/>
          <w:spacing w:val="14"/>
        </w:rPr>
        <w:t xml:space="preserve">Timeline</w:t>
      </w:r>
    </w:p>
    <w:p>
      <w:pPr>
        <w:pStyle w:val="BodyText"/>
      </w:pPr>
      <w:r>
        <w:t xml:space="preserve">2028–2030 embedded/informal → 2031–2033 partnership formalization → 2034–2037 fractional liaison → 2038–2040 dual-track expansion → 2041+ dedicated dual office.</w:t>
      </w:r>
    </w:p>
    <w:p>
      <w:pPr>
        <w:pStyle w:val="BodyText"/>
      </w:pPr>
      <w:r>
        <w:rPr>
          <w:bCs/>
          <w:b/>
          <w:color w:val="B08625"/>
          <w:sz w:val="20"/>
          <w:caps/>
          <w:spacing w:val="14"/>
        </w:rPr>
        <w:t xml:space="preserve">Governance Responsibilities</w:t>
      </w:r>
    </w:p>
    <w:p>
      <w:pPr>
        <w:numPr>
          <w:ilvl w:val="0"/>
          <w:numId w:val="1025"/>
        </w:numPr>
        <w:pStyle w:val="Compact"/>
      </w:pPr>
      <w:r>
        <w:rPr>
          <w:bCs/>
          <w:b/>
          <w:color w:val="B08625"/>
          <w:sz w:val="20"/>
          <w:caps/>
          <w:spacing w:val="14"/>
        </w:rPr>
        <w:t xml:space="preserve">University Senate</w:t>
      </w:r>
      <w:r>
        <w:t xml:space="preserve">: curriculum integration of career-readiness content and further-study advising standards.</w:t>
      </w:r>
    </w:p>
    <w:p>
      <w:pPr>
        <w:numPr>
          <w:ilvl w:val="0"/>
          <w:numId w:val="1025"/>
        </w:numPr>
        <w:pStyle w:val="Compact"/>
      </w:pPr>
      <w:r>
        <w:rPr>
          <w:bCs/>
          <w:b/>
          <w:color w:val="B08625"/>
          <w:sz w:val="20"/>
          <w:caps/>
          <w:spacing w:val="14"/>
        </w:rPr>
        <w:t xml:space="preserve">Board of Trustees</w:t>
      </w:r>
      <w:r>
        <w:t xml:space="preserve">: approves any secular-phase career-office budget/staffing expansion (Year 11+ decision).</w:t>
      </w:r>
    </w:p>
    <w:p>
      <w:pPr>
        <w:numPr>
          <w:ilvl w:val="0"/>
          <w:numId w:val="1025"/>
        </w:numPr>
        <w:pStyle w:val="Compact"/>
      </w:pPr>
      <w:r>
        <w:rPr>
          <w:bCs/>
          <w:b/>
          <w:color w:val="B08625"/>
          <w:sz w:val="20"/>
          <w:caps/>
          <w:spacing w:val="14"/>
        </w:rPr>
        <w:t xml:space="preserve">Waqf &amp; Endowment Board</w:t>
      </w:r>
      <w:r>
        <w:t xml:space="preserve">: relevant only where scholarship-linked placement support intersects Tier 4/Waqf-sponsored graduates.</w:t>
      </w:r>
    </w:p>
    <w:p>
      <w:pPr>
        <w:pStyle w:val="FirstParagraph"/>
      </w:pPr>
      <w:r>
        <w:rPr>
          <w:bCs/>
          <w:b/>
          <w:color w:val="B08625"/>
          <w:sz w:val="20"/>
          <w:caps/>
          <w:spacing w:val="14"/>
        </w:rPr>
        <w:t xml:space="preserve">Measurable Success Indicators</w:t>
      </w:r>
    </w:p>
    <w:p>
      <w:pPr>
        <w:pStyle w:val="BodyText"/>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Bitstream Charter" w:hAnsi="Bitstream Charter"/>
                <w:b/>
                <w:color w:val="B08625"/>
                <w:sz w:val="20"/>
                <w:caps/>
                <w:spacing w:val="14"/>
              </w:rPr>
              <w:t>VIII</w:t>
            </w:r>
          </w:p>
          <w:p>
            <w:pPr>
              <w:spacing w:before="120" w:after="80"/>
            </w:pPr>
            <w:r>
              <w:rPr>
                <w:rFonts w:ascii="Bitstream Charter" w:hAnsi="Bitstream Charter"/>
                <w:b/>
                <w:color w:val="B08625"/>
                <w:sz w:val="20"/>
                <w:caps/>
                <w:spacing w:val="14"/>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36–40</w:t>
            </w:r>
          </w:p>
          <w:p>
            <w:pPr>
              <w:spacing w:before="0" w:after="360"/>
              <w:ind w:right="700"/>
            </w:pPr>
            <w:r>
              <w:rPr>
                <w:rFonts w:ascii="Liberation Serif" w:hAnsi="Liberation Serif"/>
                <w:i/>
                <w:color w:val="DCE3F0"/>
                <w:sz w:val="25"/>
              </w:rPr>
              <w:t>“The fourteen-risk register, the full compliance calendar, the zero-deficit sustainability doctrine, and the single consolidated milestone table that ties 2028 to 2050.”</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36 </w:t>
            </w:r>
            <w:r>
              <w:rPr>
                <w:rFonts w:ascii="Liberation Sans" w:hAnsi="Liberation Sans"/>
                <w:color w:val="FFFFFF"/>
                <w:sz w:val="20"/>
              </w:rPr>
              <w:t>Risk Management Framework</w:t>
            </w:r>
          </w:p>
          <w:p>
            <w:pPr>
              <w:spacing w:before="0" w:after="130"/>
            </w:pPr>
            <w:r>
              <w:rPr>
                <w:rFonts w:ascii="Bitstream Charter" w:hAnsi="Bitstream Charter"/>
                <w:b/>
                <w:color w:val="B08625"/>
                <w:sz w:val="20"/>
                <w:caps/>
                <w:spacing w:val="14"/>
              </w:rPr>
              <w:t>37 </w:t>
            </w:r>
            <w:r>
              <w:rPr>
                <w:rFonts w:ascii="Liberation Sans" w:hAnsi="Liberation Sans"/>
                <w:color w:val="FFFFFF"/>
                <w:sz w:val="20"/>
              </w:rPr>
              <w:t>Compliance Framework</w:t>
            </w:r>
          </w:p>
          <w:p>
            <w:pPr>
              <w:spacing w:before="0" w:after="130"/>
            </w:pPr>
            <w:r>
              <w:rPr>
                <w:rFonts w:ascii="Bitstream Charter" w:hAnsi="Bitstream Charter"/>
                <w:b/>
                <w:color w:val="B08625"/>
                <w:sz w:val="20"/>
                <w:caps/>
                <w:spacing w:val="14"/>
              </w:rPr>
              <w:t>38 </w:t>
            </w:r>
            <w:r>
              <w:rPr>
                <w:rFonts w:ascii="Liberation Sans" w:hAnsi="Liberation Sans"/>
                <w:color w:val="FFFFFF"/>
                <w:sz w:val="20"/>
              </w:rPr>
              <w:t>Financial Sustainability Framework</w:t>
            </w:r>
          </w:p>
          <w:p>
            <w:pPr>
              <w:spacing w:before="0" w:after="130"/>
            </w:pPr>
            <w:r>
              <w:rPr>
                <w:rFonts w:ascii="Bitstream Charter" w:hAnsi="Bitstream Charter"/>
                <w:b/>
                <w:color w:val="B08625"/>
                <w:sz w:val="20"/>
                <w:caps/>
                <w:spacing w:val="14"/>
              </w:rPr>
              <w:t>39 </w:t>
            </w:r>
            <w:r>
              <w:rPr>
                <w:rFonts w:ascii="Liberation Sans" w:hAnsi="Liberation Sans"/>
                <w:color w:val="FFFFFF"/>
                <w:sz w:val="20"/>
              </w:rPr>
              <w:t>Capital Development Framework</w:t>
            </w:r>
          </w:p>
          <w:p>
            <w:pPr>
              <w:spacing w:before="0" w:after="130"/>
            </w:pPr>
            <w:r>
              <w:rPr>
                <w:rFonts w:ascii="Bitstream Charter" w:hAnsi="Bitstream Charter"/>
                <w:b/>
                <w:color w:val="B08625"/>
                <w:sz w:val="20"/>
                <w:caps/>
                <w:spacing w:val="14"/>
              </w:rPr>
              <w:t>40 </w:t>
            </w:r>
            <w:r>
              <w:rPr>
                <w:rFonts w:ascii="Liberation Sans" w:hAnsi="Liberation Sans"/>
                <w:color w:val="FFFFFF"/>
                <w:sz w:val="20"/>
              </w:rPr>
              <w:t>Twenty-Year Strategic Roadmap</w:t>
            </w:r>
          </w:p>
        </w:tc>
      </w:tr>
    </w:tbl>
    <w:p>
      <w:r>
        <w:br w:type="page"/>
      </w:r>
    </w:p>
    <w:p>
      <w:pPr>
        <w:pStyle w:val="SectionKicker"/>
      </w:pPr>
      <w:r>
        <w:t xml:space="preserve">PART VIII · SECTION 36</w:t>
      </w:r>
    </w:p>
    <w:bookmarkEnd w:id="96"/>
    <w:bookmarkStart w:id="97" w:name="section-36-risk-management-framework"/>
    <w:p>
      <w:pPr>
        <w:pStyle w:val="Heading2"/>
      </w:pPr>
      <w:r>
        <w:t xml:space="preserve">Section 36: Risk Management Framework</w:t>
      </w:r>
    </w:p>
    <w:p>
      <w:pPr>
        <w:pStyle w:val="FirstParagraph"/>
      </w:pPr>
      <w:r>
        <w:rPr>
          <w:bCs/>
          <w:b/>
          <w:color w:val="B08625"/>
          <w:sz w:val="20"/>
          <w:caps/>
          <w:spacing w:val="14"/>
        </w:rPr>
        <w:t xml:space="preserve">Rationale</w:t>
      </w:r>
    </w:p>
    <w:p>
      <w:pPr>
        <w:pStyle w:val="BodyText"/>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pPr>
      <w:r>
        <w:rPr>
          <w:bCs/>
          <w:b/>
          <w:color w:val="B08625"/>
          <w:sz w:val="20"/>
          <w:caps/>
          <w:spacing w:val="14"/>
        </w:rPr>
        <w:t xml:space="preserve">Global Best Practices</w:t>
      </w:r>
    </w:p>
    <w:p>
      <w:pPr>
        <w:numPr>
          <w:ilvl w:val="0"/>
          <w:numId w:val="1026"/>
        </w:numPr>
        <w:pStyle w:val="Compact"/>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pPr>
      <w:r>
        <w:rPr>
          <w:bCs/>
          <w:b/>
          <w:color w:val="B08625"/>
          <w:sz w:val="20"/>
          <w:caps/>
          <w:spacing w:val="14"/>
        </w:rPr>
        <w:t xml:space="preserve">Staffing Requirements</w:t>
      </w:r>
    </w:p>
    <w:p>
      <w:pPr>
        <w:pStyle w:val="BodyText"/>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pPr>
      <w:r>
        <w:rPr>
          <w:bCs/>
          <w:b/>
          <w:color w:val="B08625"/>
          <w:sz w:val="20"/>
          <w:caps/>
          <w:spacing w:val="14"/>
        </w:rPr>
        <w:t xml:space="preserve">Annual Budget</w:t>
      </w:r>
    </w:p>
    <w:p>
      <w:pPr>
        <w:pStyle w:val="BodyText"/>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pPr>
      <w:r>
        <w:rPr>
          <w:bCs/>
          <w:b/>
          <w:color w:val="B08625"/>
          <w:sz w:val="20"/>
          <w:caps/>
          <w:spacing w:val="14"/>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pPr>
      <w:r>
        <w:rPr>
          <w:bCs/>
          <w:b/>
          <w:color w:val="B08625"/>
          <w:sz w:val="20"/>
          <w:caps/>
          <w:spacing w:val="14"/>
        </w:rPr>
        <w:t xml:space="preserve">Register Evolution &amp; New Risk Categories (Year 11+)</w:t>
      </w:r>
    </w:p>
    <w:p>
      <w:pPr>
        <w:pStyle w:val="BodyText"/>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pPr>
      <w:r>
        <w:rPr>
          <w:bCs/>
          <w:b/>
          <w:color w:val="B08625"/>
          <w:sz w:val="20"/>
          <w:caps/>
          <w:spacing w:val="14"/>
        </w:rPr>
        <w:t xml:space="preserve">KPIs</w:t>
      </w:r>
    </w:p>
    <w:p>
      <w:pPr>
        <w:numPr>
          <w:ilvl w:val="0"/>
          <w:numId w:val="1027"/>
        </w:numPr>
        <w:pStyle w:val="Compact"/>
      </w:pPr>
      <w:r>
        <w:t xml:space="preserve">100% of the 14 (growing to 17+) risks reviewed at least quarterly by the Audit &amp; Risk Committee.</w:t>
      </w:r>
    </w:p>
    <w:p>
      <w:pPr>
        <w:numPr>
          <w:ilvl w:val="0"/>
          <w:numId w:val="1027"/>
        </w:numPr>
        <w:pStyle w:val="Compact"/>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pPr>
      <w:r>
        <w:t xml:space="preserve">Annual external audit completed with no material findings.</w:t>
      </w:r>
    </w:p>
    <w:p>
      <w:pPr>
        <w:numPr>
          <w:ilvl w:val="0"/>
          <w:numId w:val="1027"/>
        </w:numPr>
        <w:pStyle w:val="Compact"/>
      </w:pPr>
      <w:r>
        <w:t xml:space="preserve">Founder/Senate compensation disclosure published annually, on schedule, every year.</w:t>
      </w:r>
    </w:p>
    <w:p>
      <w:pPr>
        <w:pStyle w:val="FirstParagraph"/>
      </w:pPr>
      <w:r>
        <w:rPr>
          <w:bCs/>
          <w:b/>
          <w:color w:val="B08625"/>
          <w:sz w:val="20"/>
          <w:caps/>
          <w:spacing w:val="14"/>
        </w:rPr>
        <w:t xml:space="preserve">Risks &amp; Mitigation</w:t>
      </w:r>
    </w:p>
    <w:p>
      <w:pPr>
        <w:pStyle w:val="BodyText"/>
      </w:pPr>
      <w:r>
        <w:t xml:space="preserve">Covered exhaustively in the table above; the meta-risk is register atrophy (the register itself going stale as the institution scales) — mitigated by mandatory quarterly refresh and a standing Board agenda item.</w:t>
      </w:r>
    </w:p>
    <w:p>
      <w:pPr>
        <w:pStyle w:val="BodyText"/>
      </w:pPr>
      <w:r>
        <w:rPr>
          <w:bCs/>
          <w:b/>
          <w:color w:val="B08625"/>
          <w:sz w:val="20"/>
          <w:caps/>
          <w:spacing w:val="14"/>
        </w:rPr>
        <w:t xml:space="preserve">Timeline</w:t>
      </w:r>
    </w:p>
    <w:p>
      <w:pPr>
        <w:pStyle w:val="BodyText"/>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pPr>
      <w:r>
        <w:rPr>
          <w:bCs/>
          <w:b/>
          <w:color w:val="B08625"/>
          <w:sz w:val="20"/>
          <w:caps/>
          <w:spacing w:val="14"/>
        </w:rPr>
        <w:t xml:space="preserve">Measurable Success Indicators</w:t>
      </w:r>
    </w:p>
    <w:p>
      <w:pPr>
        <w:pStyle w:val="BodyText"/>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7"/>
    <w:bookmarkStart w:id="98" w:name="section-37-compliance-framework"/>
    <w:p>
      <w:pPr>
        <w:pStyle w:val="Heading2"/>
      </w:pPr>
      <w:r>
        <w:t xml:space="preserve">Section 37: Compliance Framework</w:t>
      </w:r>
    </w:p>
    <w:p>
      <w:pPr>
        <w:pStyle w:val="FirstParagraph"/>
      </w:pPr>
      <w:r>
        <w:rPr>
          <w:bCs/>
          <w:b/>
          <w:color w:val="B08625"/>
          <w:sz w:val="20"/>
          <w:caps/>
          <w:spacing w:val="14"/>
        </w:rPr>
        <w:t xml:space="preserve">Rationale</w:t>
      </w:r>
    </w:p>
    <w:p>
      <w:pPr>
        <w:pStyle w:val="BodyText"/>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pPr>
      <w:r>
        <w:rPr>
          <w:bCs/>
          <w:b/>
          <w:color w:val="B08625"/>
          <w:sz w:val="20"/>
          <w:caps/>
          <w:spacing w:val="14"/>
        </w:rPr>
        <w:t xml:space="preserve">Global Best Practices</w:t>
      </w:r>
    </w:p>
    <w:p>
      <w:pPr>
        <w:numPr>
          <w:ilvl w:val="0"/>
          <w:numId w:val="1028"/>
        </w:numPr>
        <w:pStyle w:val="Compact"/>
      </w:pPr>
      <w:r>
        <w:t xml:space="preserve">Single compliance calendar maintained centrally (not per-department), reviewed by the Board Audit &amp; Risk Committee — standard nonprofit governance practice.</w:t>
      </w:r>
    </w:p>
    <w:p>
      <w:pPr>
        <w:numPr>
          <w:ilvl w:val="0"/>
          <w:numId w:val="1028"/>
        </w:numPr>
        <w:pStyle w:val="Compact"/>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pPr>
      <w:r>
        <w:t xml:space="preserve">Firewall-adjacent compliance (IRS commingling scrutiny) benefits from an annual independent legal-counsel letter, a light-touch practice common among nonprofit/for-profit sibling structures.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pPr>
      <w:r>
        <w:rPr>
          <w:bCs/>
          <w:b/>
          <w:color w:val="B08625"/>
          <w:sz w:val="20"/>
          <w:caps/>
          <w:spacing w:val="14"/>
        </w:rPr>
        <w:t xml:space="preserve">Staffing Requirements</w:t>
      </w:r>
    </w:p>
    <w:p>
      <w:pPr>
        <w:pStyle w:val="BodyText"/>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pPr>
      <w:r>
        <w:rPr>
          <w:bCs/>
          <w:b/>
          <w:color w:val="B08625"/>
          <w:sz w:val="20"/>
          <w:caps/>
          <w:spacing w:val="14"/>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pPr>
      <w:r>
        <w:rPr>
          <w:bCs/>
          <w:b/>
          <w:color w:val="B08625"/>
          <w:sz w:val="20"/>
          <w:caps/>
          <w:spacing w:val="14"/>
        </w:rPr>
        <w:t xml:space="preserve">KPIs</w:t>
      </w:r>
    </w:p>
    <w:p>
      <w:pPr>
        <w:pStyle w:val="BodyText"/>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pPr>
      <w:r>
        <w:rPr>
          <w:bCs/>
          <w:b/>
          <w:color w:val="B08625"/>
          <w:sz w:val="20"/>
          <w:caps/>
          <w:spacing w:val="14"/>
        </w:rPr>
        <w:t xml:space="preserve">Risks &amp; Mitigation</w:t>
      </w:r>
    </w:p>
    <w:p>
      <w:pPr>
        <w:pStyle w:val="BodyText"/>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pPr>
      <w:r>
        <w:rPr>
          <w:bCs/>
          <w:b/>
          <w:color w:val="B08625"/>
          <w:sz w:val="20"/>
          <w:caps/>
          <w:spacing w:val="14"/>
        </w:rPr>
        <w:t xml:space="preserve">Timeline</w:t>
      </w:r>
    </w:p>
    <w:p>
      <w:pPr>
        <w:pStyle w:val="BodyText"/>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pPr>
      <w:r>
        <w:rPr>
          <w:bCs/>
          <w:b/>
          <w:color w:val="B08625"/>
          <w:sz w:val="20"/>
          <w:caps/>
          <w:spacing w:val="14"/>
        </w:rPr>
        <w:t xml:space="preserve">Measurable Success Indicators</w:t>
      </w:r>
    </w:p>
    <w:p>
      <w:pPr>
        <w:pStyle w:val="BodyText"/>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8"/>
    <w:bookmarkStart w:id="102" w:name="Xf79d756fd0b3e4e3e63a4bac5c102915244732a"/>
    <w:p>
      <w:pPr>
        <w:pStyle w:val="Heading2"/>
      </w:pPr>
      <w:r>
        <w:t xml:space="preserve">Section 38: Financial Sustainability Framework</w:t>
      </w:r>
    </w:p>
    <w:p>
      <w:pPr>
        <w:pStyle w:val="CaptionedFigure"/>
      </w:pPr>
      <w:r>
        <w:drawing>
          <wp:inline>
            <wp:extent cx="5292852" cy="3759432"/>
            <wp:effectExtent b="0" l="0" r="0" t="0"/>
            <wp:docPr descr="Figure 8. Revenue Allocation Framework — Fixed Annual Percentage of Gross Revenue" title="" id="100" name="Picture"/>
            <a:graphic>
              <a:graphicData uri="http://schemas.openxmlformats.org/drawingml/2006/picture">
                <pic:pic>
                  <pic:nvPicPr>
                    <pic:cNvPr descr="assets/figures/fig01_revenue_allocation.png" id="101" name="Picture"/>
                    <pic:cNvPicPr>
                      <a:picLocks noChangeArrowheads="1" noChangeAspect="1"/>
                    </pic:cNvPicPr>
                  </pic:nvPicPr>
                  <pic:blipFill>
                    <a:blip r:embed="rId99"/>
                    <a:stretch>
                      <a:fillRect/>
                    </a:stretch>
                  </pic:blipFill>
                  <pic:spPr bwMode="auto">
                    <a:xfrm>
                      <a:off x="0" y="0"/>
                      <a:ext cx="5292852" cy="3759432"/>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pPr>
      <w:r>
        <w:rPr>
          <w:iCs/>
          <w:i/>
        </w:rPr>
        <w:t xml:space="preserve">The seven-category fixed allocation adopted in AMIU-MP-001 §5.4; zero unallocated residual in any year.</w:t>
      </w:r>
    </w:p>
    <w:p>
      <w:pPr>
        <w:pStyle w:val="BodyText"/>
      </w:pPr>
      <w:r>
        <w:rPr>
          <w:bCs/>
          <w:b/>
          <w:color w:val="B08625"/>
          <w:sz w:val="20"/>
          <w:caps/>
          <w:spacing w:val="14"/>
        </w:rPr>
        <w:t xml:space="preserve">Rationale</w:t>
      </w:r>
    </w:p>
    <w:p>
      <w:pPr>
        <w:pStyle w:val="BodyText"/>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pPr>
      <w:r>
        <w:rPr>
          <w:bCs/>
          <w:b/>
          <w:color w:val="B08625"/>
          <w:sz w:val="20"/>
          <w:caps/>
          <w:spacing w:val="14"/>
        </w:rPr>
        <w:t xml:space="preserve">Global Best Practices</w:t>
      </w:r>
    </w:p>
    <w:p>
      <w:pPr>
        <w:numPr>
          <w:ilvl w:val="0"/>
          <w:numId w:val="1029"/>
        </w:numPr>
        <w:pStyle w:val="Compact"/>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pPr>
      <w:r>
        <w:t xml:space="preserve">Scenario planning (conservative/expected/growth bands around one structural model, not three different budgets) is standard in nonprofit financial resilience planning.</w:t>
      </w:r>
    </w:p>
    <w:p>
      <w:pPr>
        <w:numPr>
          <w:ilvl w:val="0"/>
          <w:numId w:val="1029"/>
        </w:numPr>
        <w:pStyle w:val="Compact"/>
      </w:pPr>
      <w:r>
        <w:t xml:space="preserve">Automatic-stabilizer compensation design (Faculty Honoraria scaling with revenue, no ceiling but also no fixed floor) is a recognized technique for aligning payroll cost with actual capacity to pay.</w:t>
      </w:r>
    </w:p>
    <w:p>
      <w:pPr>
        <w:pStyle w:val="FirstParagraph"/>
      </w:pPr>
      <w:r>
        <w:rPr>
          <w:bCs/>
          <w:b/>
          <w:color w:val="B08625"/>
          <w:sz w:val="20"/>
          <w:caps/>
          <w:spacing w:val="14"/>
        </w:rPr>
        <w:t xml:space="preserve">The Doctrine, Stated Plainly</w:t>
      </w:r>
    </w:p>
    <w:p>
      <w:pPr>
        <w:pStyle w:val="BodyText"/>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pPr>
      <w:r>
        <w:rPr>
          <w:bCs/>
          <w:b/>
          <w:color w:val="B08625"/>
          <w:sz w:val="20"/>
          <w:caps/>
          <w:spacing w:val="14"/>
        </w:rPr>
        <w:t xml:space="preserve">The Two-Reserve Architecture</w:t>
      </w:r>
    </w:p>
    <w:p>
      <w:pPr>
        <w:numPr>
          <w:ilvl w:val="0"/>
          <w:numId w:val="1030"/>
        </w:numPr>
        <w:pStyle w:val="Compact"/>
      </w:pPr>
      <w:r>
        <w:rPr>
          <w:bCs/>
          <w:b/>
          <w:color w:val="B08625"/>
          <w:sz w:val="20"/>
          <w:caps/>
          <w:spacing w:val="14"/>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pPr>
      <w:r>
        <w:rPr>
          <w:bCs/>
          <w:b/>
          <w:color w:val="B08625"/>
          <w:sz w:val="20"/>
          <w:caps/>
          <w:spacing w:val="14"/>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pPr>
      <w:r>
        <w:rPr>
          <w:bCs/>
          <w:b/>
          <w:color w:val="B08625"/>
          <w:sz w:val="20"/>
          <w:caps/>
          <w:spacing w:val="14"/>
        </w:rPr>
        <w:t xml:space="preserve">Staffing Requirements</w:t>
      </w:r>
    </w:p>
    <w:p>
      <w:pPr>
        <w:pStyle w:val="BodyText"/>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pPr>
      <w:r>
        <w:rPr>
          <w:bCs/>
          <w:b/>
          <w:color w:val="B08625"/>
          <w:sz w:val="20"/>
          <w:caps/>
          <w:spacing w:val="14"/>
        </w:rPr>
        <w:t xml:space="preserve">Annual Budget</w:t>
      </w:r>
    </w:p>
    <w:p>
      <w:pPr>
        <w:pStyle w:val="BodyText"/>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pPr>
      <w:r>
        <w:rPr>
          <w:bCs/>
          <w:b/>
          <w:color w:val="B08625"/>
          <w:sz w:val="20"/>
          <w:caps/>
          <w:spacing w:val="14"/>
        </w:rPr>
        <w:t xml:space="preserve">KPIs</w:t>
      </w:r>
    </w:p>
    <w:p>
      <w:pPr>
        <w:numPr>
          <w:ilvl w:val="0"/>
          <w:numId w:val="1031"/>
        </w:numPr>
        <w:pStyle w:val="Compact"/>
      </w:pPr>
      <w:r>
        <w:t xml:space="preserve">Actual annual revenue vs. the Conservative/Expected/Growth trendlines (tracked quarterly).</w:t>
      </w:r>
    </w:p>
    <w:p>
      <w:pPr>
        <w:numPr>
          <w:ilvl w:val="0"/>
          <w:numId w:val="1031"/>
        </w:numPr>
        <w:pStyle w:val="Compact"/>
      </w:pPr>
      <w:r>
        <w:t xml:space="preserve">Reserve balances vs. modeled targets ($4,341,842 Liquidity / $1,240,527 Strategic Business Reserve at Yr 10).</w:t>
      </w:r>
    </w:p>
    <w:p>
      <w:pPr>
        <w:numPr>
          <w:ilvl w:val="0"/>
          <w:numId w:val="1031"/>
        </w:numPr>
        <w:pStyle w:val="Compact"/>
      </w:pPr>
      <w:r>
        <w:t xml:space="preserve">Allocation-reconciliation audit: 100% of revenue accounted for to the dollar, every year, in every scenario.</w:t>
      </w:r>
    </w:p>
    <w:p>
      <w:pPr>
        <w:numPr>
          <w:ilvl w:val="0"/>
          <w:numId w:val="1031"/>
        </w:numPr>
        <w:pStyle w:val="Compact"/>
      </w:pPr>
      <w:r>
        <w:t xml:space="preserve">Zero deficit years, cumulative, 2028–2037 and beyond.</w:t>
      </w:r>
    </w:p>
    <w:p>
      <w:pPr>
        <w:pStyle w:val="FirstParagraph"/>
      </w:pPr>
      <w:r>
        <w:rPr>
          <w:bCs/>
          <w:b/>
          <w:color w:val="B08625"/>
          <w:sz w:val="20"/>
          <w:caps/>
          <w:spacing w:val="14"/>
        </w:rPr>
        <w:t xml:space="preserve">Sensitivity Analysis Logic</w:t>
      </w:r>
    </w:p>
    <w:p>
      <w:pPr>
        <w:pStyle w:val="BodyText"/>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pPr>
      <w:r>
        <w:rPr>
          <w:bCs/>
          <w:b/>
          <w:color w:val="B08625"/>
          <w:sz w:val="20"/>
          <w:caps/>
          <w:spacing w:val="14"/>
        </w:rPr>
        <w:t xml:space="preserve">Downside Shock Response</w:t>
      </w:r>
    </w:p>
    <w:p>
      <w:pPr>
        <w:pStyle w:val="BodyText"/>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pPr>
      <w:r>
        <w:rPr>
          <w:bCs/>
          <w:b/>
          <w:color w:val="B08625"/>
          <w:sz w:val="20"/>
          <w:caps/>
          <w:spacing w:val="14"/>
        </w:rPr>
        <w:t xml:space="preserve">Risks &amp; Mitigation</w:t>
      </w:r>
    </w:p>
    <w:p>
      <w:pPr>
        <w:pStyle w:val="BodyText"/>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pPr>
      <w:r>
        <w:rPr>
          <w:bCs/>
          <w:b/>
          <w:color w:val="B08625"/>
          <w:sz w:val="20"/>
          <w:caps/>
          <w:spacing w:val="14"/>
        </w:rPr>
        <w:t xml:space="preserve">Timeline</w:t>
      </w:r>
    </w:p>
    <w:p>
      <w:pPr>
        <w:pStyle w:val="BodyText"/>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pPr>
      <w:r>
        <w:rPr>
          <w:bCs/>
          <w:b/>
          <w:color w:val="B08625"/>
          <w:sz w:val="20"/>
          <w:caps/>
          <w:spacing w:val="14"/>
        </w:rPr>
        <w:t xml:space="preserve">Measurable Success Indicators</w:t>
      </w:r>
    </w:p>
    <w:p>
      <w:pPr>
        <w:pStyle w:val="BodyText"/>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2"/>
    <w:bookmarkStart w:id="106" w:name="section-39-capital-development-framework"/>
    <w:p>
      <w:pPr>
        <w:pStyle w:val="Heading2"/>
      </w:pPr>
      <w:r>
        <w:t xml:space="preserve">Section 39: Capital Development Framework</w:t>
      </w:r>
    </w:p>
    <w:p>
      <w:pPr>
        <w:pStyle w:val="CaptionedFigure"/>
      </w:pPr>
      <w:r>
        <w:drawing>
          <wp:inline>
            <wp:extent cx="5292852" cy="3543677"/>
            <wp:effectExtent b="0" l="0" r="0" t="0"/>
            <wp:docPr descr="Figure 9. Capital Architecture: The Tuition Firewall" title="" id="104" name="Picture"/>
            <a:graphic>
              <a:graphicData uri="http://schemas.openxmlformats.org/drawingml/2006/picture">
                <pic:pic>
                  <pic:nvPicPr>
                    <pic:cNvPr descr="assets/figures/fig08_capital_firewall.png" id="105" name="Picture"/>
                    <pic:cNvPicPr>
                      <a:picLocks noChangeArrowheads="1" noChangeAspect="1"/>
                    </pic:cNvPicPr>
                  </pic:nvPicPr>
                  <pic:blipFill>
                    <a:blip r:embed="rId103"/>
                    <a:stretch>
                      <a:fillRect/>
                    </a:stretch>
                  </pic:blipFill>
                  <pic:spPr bwMode="auto">
                    <a:xfrm>
                      <a:off x="0" y="0"/>
                      <a:ext cx="5292852" cy="3543677"/>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pPr>
      <w:r>
        <w:rPr>
          <w:iCs/>
          <w:i/>
        </w:rPr>
        <w:t xml:space="preserve">Permanent structural separation between academic revenue and commercial capital (AMIU-MP-001 §7).</w:t>
      </w:r>
    </w:p>
    <w:p>
      <w:pPr>
        <w:pStyle w:val="BodyText"/>
      </w:pPr>
      <w:r>
        <w:rPr>
          <w:bCs/>
          <w:b/>
          <w:color w:val="B08625"/>
          <w:sz w:val="20"/>
          <w:caps/>
          <w:spacing w:val="14"/>
        </w:rPr>
        <w:t xml:space="preserve">Rationale</w:t>
      </w:r>
    </w:p>
    <w:p>
      <w:pPr>
        <w:pStyle w:val="BodyText"/>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pPr>
      <w:r>
        <w:rPr>
          <w:bCs/>
          <w:b/>
          <w:color w:val="B08625"/>
          <w:sz w:val="20"/>
          <w:caps/>
          <w:spacing w:val="14"/>
        </w:rPr>
        <w:t xml:space="preserve">Global Best Practices</w:t>
      </w:r>
    </w:p>
    <w:p>
      <w:pPr>
        <w:numPr>
          <w:ilvl w:val="0"/>
          <w:numId w:val="1032"/>
        </w:numPr>
        <w:pStyle w:val="Compact"/>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pPr>
      <w:r>
        <w:t xml:space="preserve">Phased capital ceilings (a board-approved not-to-exceed figure before groundbreaking) rather than open-ended construction budgets — exactly the Gambia $50,000 model.</w:t>
      </w:r>
    </w:p>
    <w:p>
      <w:pPr>
        <w:numPr>
          <w:ilvl w:val="0"/>
          <w:numId w:val="1032"/>
        </w:numPr>
        <w:pStyle w:val="Compact"/>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pPr>
      <w:r>
        <w:t xml:space="preserve">Arm’s-length shared-services pricing for any facility that might serve both University and Commercial Engine functions, fair-market-value documented, to preserve firewall integrity (Risk 8 mitigation).</w:t>
      </w:r>
    </w:p>
    <w:p>
      <w:pPr>
        <w:pStyle w:val="FirstParagraph"/>
      </w:pPr>
      <w:r>
        <w:rPr>
          <w:bCs/>
          <w:b/>
          <w:color w:val="B08625"/>
          <w:sz w:val="20"/>
          <w:caps/>
          <w:spacing w:val="14"/>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pPr>
      <w:r>
        <w:rPr>
          <w:bCs/>
          <w:b/>
          <w:color w:val="B08625"/>
          <w:sz w:val="20"/>
          <w:caps/>
          <w:spacing w:val="14"/>
        </w:rPr>
        <w:t xml:space="preserve">The Firewall, Restated for Capital</w:t>
      </w:r>
    </w:p>
    <w:p>
      <w:pPr>
        <w:pStyle w:val="BodyText"/>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pPr>
      <w:r>
        <w:rPr>
          <w:bCs/>
          <w:b/>
          <w:color w:val="B08625"/>
          <w:sz w:val="20"/>
          <w:caps/>
          <w:spacing w:val="14"/>
        </w:rPr>
        <w:t xml:space="preserve">Staffing Requirements</w:t>
      </w:r>
    </w:p>
    <w:p>
      <w:pPr>
        <w:pStyle w:val="BodyText"/>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pPr>
      <w:r>
        <w:rPr>
          <w:bCs/>
          <w:b/>
          <w:color w:val="B08625"/>
          <w:sz w:val="20"/>
          <w:caps/>
          <w:spacing w:val="14"/>
        </w:rPr>
        <w:t xml:space="preserve">Annual Budget</w:t>
      </w:r>
    </w:p>
    <w:p>
      <w:pPr>
        <w:pStyle w:val="BodyText"/>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pPr>
      <w:r>
        <w:rPr>
          <w:bCs/>
          <w:b/>
          <w:color w:val="B08625"/>
          <w:sz w:val="20"/>
          <w:caps/>
          <w:spacing w:val="14"/>
        </w:rPr>
        <w:t xml:space="preserve">KPIs</w:t>
      </w:r>
    </w:p>
    <w:p>
      <w:pPr>
        <w:pStyle w:val="BodyText"/>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pPr>
      <w:r>
        <w:rPr>
          <w:bCs/>
          <w:b/>
          <w:color w:val="B08625"/>
          <w:sz w:val="20"/>
          <w:caps/>
          <w:spacing w:val="14"/>
        </w:rPr>
        <w:t xml:space="preserve">Risks &amp; Mitigation</w:t>
      </w:r>
    </w:p>
    <w:p>
      <w:pPr>
        <w:pStyle w:val="BodyText"/>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pPr>
      <w:r>
        <w:rPr>
          <w:bCs/>
          <w:b/>
          <w:color w:val="B08625"/>
          <w:sz w:val="20"/>
          <w:caps/>
          <w:spacing w:val="14"/>
        </w:rPr>
        <w:t xml:space="preserve">Timeline</w:t>
      </w:r>
    </w:p>
    <w:p>
      <w:pPr>
        <w:pStyle w:val="BodyText"/>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pPr>
      <w:r>
        <w:rPr>
          <w:bCs/>
          <w:b/>
          <w:color w:val="B08625"/>
          <w:sz w:val="20"/>
          <w:caps/>
          <w:spacing w:val="14"/>
        </w:rPr>
        <w:t xml:space="preserve">Measurable Success Indicators</w:t>
      </w:r>
    </w:p>
    <w:p>
      <w:pPr>
        <w:pStyle w:val="BodyText"/>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6"/>
    <w:bookmarkStart w:id="110" w:name="section-40-twenty-year-strategic-roadmap"/>
    <w:p>
      <w:pPr>
        <w:pStyle w:val="Heading2"/>
      </w:pPr>
      <w:r>
        <w:t xml:space="preserve">Section 40: Twenty-Year Strategic Roadmap</w:t>
      </w:r>
    </w:p>
    <w:p>
      <w:pPr>
        <w:pStyle w:val="CaptionedFigure"/>
      </w:pPr>
      <w:r>
        <w:drawing>
          <wp:inline>
            <wp:extent cx="5292852" cy="3144268"/>
            <wp:effectExtent b="0" l="0" r="0" t="0"/>
            <wp:docPr descr="Figure 10. Twenty-Year Illustrative Revenue Trajectory, 2028–2047" title="" id="108" name="Picture"/>
            <a:graphic>
              <a:graphicData uri="http://schemas.openxmlformats.org/drawingml/2006/picture">
                <pic:pic>
                  <pic:nvPicPr>
                    <pic:cNvPr descr="assets/figures/fig04_twenty_year_trajectory.png" id="109" name="Picture"/>
                    <pic:cNvPicPr>
                      <a:picLocks noChangeArrowheads="1" noChangeAspect="1"/>
                    </pic:cNvPicPr>
                  </pic:nvPicPr>
                  <pic:blipFill>
                    <a:blip r:embed="rId107"/>
                    <a:stretch>
                      <a:fillRect/>
                    </a:stretch>
                  </pic:blipFill>
                  <pic:spPr bwMode="auto">
                    <a:xfrm>
                      <a:off x="0" y="0"/>
                      <a:ext cx="5292852" cy="3144268"/>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pPr>
      <w:r>
        <w:rPr>
          <w:iCs/>
          <w:i/>
        </w:rPr>
        <w:t xml:space="preserve">Years 11–20 are directional planning estimates, contingent on the adopted accreditation sequencing.</w:t>
      </w:r>
    </w:p>
    <w:p>
      <w:pPr>
        <w:pStyle w:val="BodyText"/>
      </w:pPr>
      <w:r>
        <w:rPr>
          <w:bCs/>
          <w:b/>
          <w:color w:val="B08625"/>
          <w:sz w:val="20"/>
          <w:caps/>
          <w:spacing w:val="14"/>
        </w:rPr>
        <w:t xml:space="preserve">Rationale</w:t>
      </w:r>
    </w:p>
    <w:p>
      <w:pPr>
        <w:pStyle w:val="BodyText"/>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pPr>
      <w:r>
        <w:rPr>
          <w:bCs/>
          <w:b/>
          <w:color w:val="B08625"/>
          <w:sz w:val="20"/>
          <w:caps/>
          <w:spacing w:val="14"/>
        </w:rPr>
        <w:t xml:space="preserve">Global Best Practices</w:t>
      </w:r>
    </w:p>
    <w:p>
      <w:pPr>
        <w:pStyle w:val="BodyText"/>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pPr>
      <w:r>
        <w:rPr>
          <w:bCs/>
          <w:b/>
          <w:color w:val="B08625"/>
          <w:sz w:val="20"/>
          <w:caps/>
          <w:spacing w:val="14"/>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pPr>
      <w:r>
        <w:rPr>
          <w:bCs/>
          <w:b/>
          <w:color w:val="B08625"/>
          <w:sz w:val="20"/>
          <w:caps/>
          <w:spacing w:val="14"/>
        </w:rPr>
        <w:t xml:space="preserve">Implementation Phases</w:t>
      </w:r>
    </w:p>
    <w:p>
      <w:pPr>
        <w:pStyle w:val="BodyText"/>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pPr>
      <w:r>
        <w:rPr>
          <w:bCs/>
          <w:b/>
          <w:color w:val="B08625"/>
          <w:sz w:val="20"/>
          <w:caps/>
          <w:spacing w:val="14"/>
        </w:rPr>
        <w:t xml:space="preserve">Staffing Requirements</w:t>
      </w:r>
    </w:p>
    <w:p>
      <w:pPr>
        <w:pStyle w:val="BodyText"/>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pPr>
      <w:r>
        <w:rPr>
          <w:bCs/>
          <w:b/>
          <w:color w:val="B08625"/>
          <w:sz w:val="20"/>
          <w:caps/>
          <w:spacing w:val="14"/>
        </w:rPr>
        <w:t xml:space="preserve">Annual Budget</w:t>
      </w:r>
    </w:p>
    <w:p>
      <w:pPr>
        <w:pStyle w:val="BodyText"/>
      </w:pPr>
      <w:r>
        <w:t xml:space="preserve">No new budget figures are introduced in this section; it is a chronological index over the allocation framework, Liquidity Reserve, and Strategic Business Reserve figures established in Sections 38–39 and AMIU-MP-001.</w:t>
      </w:r>
    </w:p>
    <w:p>
      <w:pPr>
        <w:pStyle w:val="BodyText"/>
      </w:pPr>
      <w:r>
        <w:rPr>
          <w:bCs/>
          <w:b/>
          <w:color w:val="B08625"/>
          <w:sz w:val="20"/>
          <w:caps/>
          <w:spacing w:val="14"/>
        </w:rPr>
        <w:t xml:space="preserve">KPIs</w:t>
      </w:r>
    </w:p>
    <w:p>
      <w:pPr>
        <w:pStyle w:val="BodyText"/>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pPr>
      <w:r>
        <w:rPr>
          <w:bCs/>
          <w:b/>
          <w:color w:val="B08625"/>
          <w:sz w:val="20"/>
          <w:caps/>
          <w:spacing w:val="14"/>
        </w:rPr>
        <w:t xml:space="preserve">Risks &amp; Mitigation</w:t>
      </w:r>
    </w:p>
    <w:p>
      <w:pPr>
        <w:pStyle w:val="BodyText"/>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pPr>
      <w:r>
        <w:rPr>
          <w:bCs/>
          <w:b/>
          <w:color w:val="B08625"/>
          <w:sz w:val="20"/>
          <w:caps/>
          <w:spacing w:val="14"/>
        </w:rPr>
        <w:t xml:space="preserve">Timeline</w:t>
      </w:r>
    </w:p>
    <w:p>
      <w:pPr>
        <w:pStyle w:val="BodyText"/>
      </w:pPr>
      <w:r>
        <w:t xml:space="preserve">As tabulated above — the single consolidated table is this section’s timeline.</w:t>
      </w:r>
    </w:p>
    <w:p>
      <w:pPr>
        <w:pStyle w:val="BodyText"/>
      </w:pPr>
      <w:r>
        <w:rPr>
          <w:bCs/>
          <w:b/>
          <w:color w:val="B08625"/>
          <w:sz w:val="20"/>
          <w:caps/>
          <w:spacing w:val="14"/>
        </w:rPr>
        <w:t xml:space="preserve">Governance Responsibilities</w:t>
      </w:r>
    </w:p>
    <w:p>
      <w:pPr>
        <w:pStyle w:val="BodyText"/>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pPr>
      <w:r>
        <w:rPr>
          <w:bCs/>
          <w:b/>
          <w:color w:val="B08625"/>
          <w:sz w:val="20"/>
          <w:caps/>
          <w:spacing w:val="14"/>
        </w:rPr>
        <w:t xml:space="preserve">Measurable Success Indicators</w:t>
      </w:r>
    </w:p>
    <w:p>
      <w:pPr>
        <w:pStyle w:val="BodyText"/>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Bitstream Charter" w:hAnsi="Bitstream Charter"/>
                <w:color w:val="B08625"/>
                <w:sz w:val="64"/>
              </w:rPr>
              <w:t>“</w:t>
            </w:r>
          </w:p>
          <w:p>
            <w:pPr>
              <w:jc w:val="center"/>
              <w:spacing w:before="0" w:after="320"/>
            </w:pPr>
            <w:r>
              <w:rPr>
                <w:rFonts w:ascii="Liberation Serif" w:hAnsi="Liberation Serif"/>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0"/>
                <w:color w:val="B08625"/>
                <w:spacing w:val="14"/>
                <w:caps/>
              </w:rPr>
              <w:t>FOREWORD · THE SUPREME STRATEGIC PLANNING COUNCIL</w:t>
            </w:r>
          </w:p>
        </w:tc>
      </w:tr>
    </w:tbl>
    <w:p>
      <w:r>
        <w:br w:type="page"/>
      </w:r>
    </w:p>
    <w:bookmarkEnd w:id="110"/>
    <w:bookmarkEnd w:id="111"/>
    <w:bookmarkStart w:id="116" w:name="appendices"/>
    <w:p>
      <w:pPr>
        <w:pStyle w:val="Heading1"/>
      </w:pPr>
      <w:r>
        <w:t xml:space="preserve">Appendices</w:t>
      </w:r>
    </w:p>
    <w:bookmarkStart w:id="112" w:name="Xcc6a4e6a798d0801eefb1a2c9f1a0cc841d8045"/>
    <w:p>
      <w:pPr>
        <w:pStyle w:val="Heading2"/>
      </w:pPr>
      <w:r>
        <w:t xml:space="preserve">Appendix A — Cross-Reference to the Ten-Year Master Plan (AMIU-MP-001)</w:t>
      </w:r>
    </w:p>
    <w:p>
      <w:pPr>
        <w:pStyle w:val="FirstParagrap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0"/>
                <w:caps/>
                <w:spacing w:val="14"/>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0"/>
                <w:caps/>
                <w:spacing w:val="14"/>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0"/>
                <w:caps/>
                <w:spacing w:val="14"/>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0"/>
                <w:caps/>
                <w:spacing w:val="14"/>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0"/>
                <w:caps/>
                <w:spacing w:val="14"/>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0"/>
                <w:caps/>
                <w:spacing w:val="14"/>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0"/>
                <w:caps/>
                <w:spacing w:val="14"/>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color w:val="B08625"/>
                <w:sz w:val="20"/>
                <w:caps/>
                <w:spacing w:val="14"/>
              </w:rPr>
              <w:t xml:space="preserve">Part VIII</w:t>
            </w:r>
            <w:r>
              <w:t xml:space="preserve"> </w:t>
            </w:r>
            <w:r>
              <w:t xml:space="preserve">(Risk, Compliance, Sustainability &amp; the 20-Year Roadmap)</w:t>
            </w:r>
          </w:p>
        </w:tc>
        <w:tc>
          <w:tcPr/>
          <w:p>
            <w:pPr>
              <w:pStyle w:val="Compact"/>
              <w:jc w:val="left"/>
            </w:pPr>
            <w:r>
              <w:t xml:space="preserve">§14 (Risk Register), §5 (Financial Audit), §16 (Twenty-Year Horizon)</w:t>
            </w:r>
          </w:p>
        </w:tc>
        <w:tc>
          <w:tcPr/>
          <w:p>
            <w:pPr>
              <w:pStyle w:val="Compact"/>
              <w:jc w:val="left"/>
            </w:pPr>
            <w:r>
              <w:t xml:space="preserve">Extends the 14-risk register and financial model into a full risk/compliance operating system and 2050 roadmap</w:t>
            </w:r>
          </w:p>
        </w:tc>
      </w:tr>
    </w:tbl>
    <w:bookmarkEnd w:id="112"/>
    <w:bookmarkStart w:id="113" w:name="X813fab9930c613e0f060a2240fac221b0eb2572"/>
    <w:p>
      <w:pPr>
        <w:pStyle w:val="Heading2"/>
      </w:pPr>
      <w:r>
        <w:t xml:space="preserve">Appendix B — Master Plan Exhibit Checklist (AMIU-MP-001 §17)</w:t>
      </w:r>
    </w:p>
    <w:p>
      <w:pPr>
        <w:pStyle w:val="FirstParagrap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3"/>
    <w:bookmarkStart w:id="114"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color w:val="B08625"/>
                <w:sz w:val="20"/>
                <w:caps/>
                <w:spacing w:val="14"/>
              </w:rPr>
              <w:t xml:space="preserve">Total</w:t>
            </w:r>
          </w:p>
        </w:tc>
        <w:tc>
          <w:tcPr/>
          <w:p>
            <w:pPr>
              <w:pStyle w:val="Compact"/>
              <w:jc w:val="left"/>
            </w:pPr>
            <w:r>
              <w:rPr>
                <w:bCs/>
                <w:b/>
                <w:color w:val="B08625"/>
                <w:sz w:val="20"/>
                <w:caps/>
                <w:spacing w:val="14"/>
              </w:rPr>
              <w:t xml:space="preserve">100%, zero unallocated residual</w:t>
            </w:r>
          </w:p>
        </w:tc>
        <w:tc>
          <w:tcPr/>
          <w:p>
            <w:pPr>
              <w:pStyle w:val="Compact"/>
              <w:jc w:val="left"/>
            </w:pPr>
            <w:r>
              <w:t xml:space="preserve">—</w:t>
            </w:r>
          </w:p>
        </w:tc>
      </w:tr>
    </w:tbl>
    <w:bookmarkEnd w:id="114"/>
    <w:bookmarkStart w:id="115" w:name="appendix-d-programme-catalog-reference"/>
    <w:p>
      <w:pPr>
        <w:pStyle w:val="Heading2"/>
      </w:pPr>
      <w:r>
        <w:t xml:space="preserve">Appendix D — Programme Catalog Reference</w:t>
      </w:r>
    </w:p>
    <w:p>
      <w:pPr>
        <w:pStyle w:val="FirstParagrap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p>
      <w:r>
        <w:pict>
          <v:rect style="width:0;height:1.5pt" o:hralign="center" o:hrstd="t" o:hr="t"/>
        </w:pict>
      </w:r>
    </w:p>
    <w:p>
      <w:r>
        <w:br w:type="page"/>
      </w:r>
    </w:p>
    <w:bookmarkEnd w:id="115"/>
    <w:bookmarkEnd w:id="116"/>
    <w:bookmarkStart w:id="117" w:name="references"/>
    <w:p>
      <w:pPr>
        <w:pStyle w:val="Heading1"/>
      </w:pPr>
      <w:r>
        <w:t xml:space="preserve">References</w:t>
      </w:r>
    </w:p>
    <w:p>
      <w:pPr>
        <w:pStyle w:val="FirstParagrap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3"/>
        </w:numPr>
        <w:pStyle w:val="Compact"/>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r>
        <w:pict>
          <v:rect style="width:0;height:1.5pt" o:hralign="center" o:hrstd="t" o:hr="t"/>
        </w:pict>
      </w:r>
    </w:p>
    <w:p>
      <w:r>
        <w:br w:type="page"/>
      </w:r>
    </w:p>
    <w:bookmarkEnd w:id="117"/>
    <w:bookmarkStart w:id="118" w:name="index"/>
    <w:p>
      <w:pPr>
        <w:pStyle w:val="Heading1"/>
      </w:pPr>
      <w:r>
        <w:t xml:space="preserve">Index</w:t>
      </w:r>
    </w:p>
    <w:p>
      <w:pPr>
        <w:pStyle w:val="FirstParagraph"/>
      </w:pPr>
      <w:r>
        <w:rPr>
          <w:iCs/>
          <w:i/>
        </w:rPr>
        <w:t xml:space="preserve">This index references Sections (1–40) and front-matter pages, not final print page numbers, consistent with this Blueprint’s status as a living planning document subject to re-pagination on revision.</w:t>
      </w:r>
    </w:p>
    <w:p>
      <w:pPr>
        <w:pStyle w:val="BodyText"/>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pPr>
      <w:r>
        <w:rPr>
          <w:bCs/>
          <w:b/>
        </w:rPr>
        <w:t xml:space="preserve">B</w:t>
      </w:r>
      <w:r>
        <w:t xml:space="preserve"> </w:t>
      </w:r>
      <w:r>
        <w:t xml:space="preserve">Board of Trustees, Sections 3, 5 · Board composition &amp; term limits, Section 5 · Branding Strategy, Section 29</w:t>
      </w:r>
    </w:p>
    <w:p>
      <w:pPr>
        <w:pStyle w:val="BodyText"/>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pPr>
      <w:r>
        <w:rPr>
          <w:bCs/>
          <w:b/>
        </w:rPr>
        <w:t xml:space="preserve">E</w:t>
      </w:r>
      <w:r>
        <w:t xml:space="preserve"> </w:t>
      </w:r>
      <w:r>
        <w:t xml:space="preserve">Endowment (see Waqf &amp; Stakeholder Reserve) · English-Medium Instruction, Sections 12, 14 · Executive Summary</w:t>
      </w:r>
    </w:p>
    <w:p>
      <w:pPr>
        <w:pStyle w:val="BodyText"/>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w:t>
      </w:r>
    </w:p>
    <w:p>
      <w:pPr>
        <w:pStyle w:val="BodyText"/>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pPr>
      <w:r>
        <w:rPr>
          <w:bCs/>
          <w:b/>
        </w:rPr>
        <w:t xml:space="preserve">H</w:t>
      </w:r>
      <w:r>
        <w:t xml:space="preserve"> </w:t>
      </w:r>
      <w:r>
        <w:t xml:space="preserve">Head of Department (HoD) structure, Section 10 · Honoraria (Faculty), Sections 9, 15</w:t>
      </w:r>
    </w:p>
    <w:p>
      <w:pPr>
        <w:pStyle w:val="BodyText"/>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pPr>
      <w:r>
        <w:rPr>
          <w:bCs/>
          <w:b/>
        </w:rPr>
        <w:t xml:space="preserve">K</w:t>
      </w:r>
      <w:r>
        <w:t xml:space="preserve"> </w:t>
      </w:r>
      <w:r>
        <w:t xml:space="preserve">KPIs (see individual section headers — every section, Sections 1–40)</w:t>
      </w:r>
    </w:p>
    <w:p>
      <w:pPr>
        <w:pStyle w:val="BodyText"/>
      </w:pPr>
      <w:r>
        <w:rPr>
          <w:bCs/>
          <w:b/>
        </w:rPr>
        <w:t xml:space="preserve">L</w:t>
      </w:r>
      <w:r>
        <w:t xml:space="preserve"> </w:t>
      </w:r>
      <w:r>
        <w:t xml:space="preserve">Library Strategy, Section 24 · Liquidity Reserve, Sections 5, 30, 38–39 · LMS Ecosystem, Section 21</w:t>
      </w:r>
    </w:p>
    <w:p>
      <w:pPr>
        <w:pStyle w:val="BodyText"/>
      </w:pPr>
      <w:r>
        <w:rPr>
          <w:bCs/>
          <w:b/>
        </w:rPr>
        <w:t xml:space="preserve">M</w:t>
      </w:r>
      <w:r>
        <w:t xml:space="preserve"> </w:t>
      </w:r>
      <w:r>
        <w:t xml:space="preserve">Marketing Strategy, Section 28 · Master Plan cross-reference, Appendix A · Mission, Values, and Identity, Section 2</w:t>
      </w:r>
    </w:p>
    <w:p>
      <w:pPr>
        <w:pStyle w:val="BodyText"/>
      </w:pPr>
      <w:r>
        <w:rPr>
          <w:bCs/>
          <w:b/>
        </w:rPr>
        <w:t xml:space="preserve">N</w:t>
      </w:r>
      <w:r>
        <w:t xml:space="preserve"> </w:t>
      </w:r>
      <w:r>
        <w:t xml:space="preserve">Nigeria Mega-University Initiative, Sections 18–19, 25, 31, 39 · Nigeria NUC charter, Sections 19, 31</w:t>
      </w:r>
    </w:p>
    <w:p>
      <w:pPr>
        <w:pStyle w:val="BodyText"/>
      </w:pPr>
      <w:r>
        <w:rPr>
          <w:bCs/>
          <w:b/>
        </w:rPr>
        <w:t xml:space="preserve">O</w:t>
      </w:r>
      <w:r>
        <w:t xml:space="preserve"> </w:t>
      </w:r>
      <w:r>
        <w:t xml:space="preserve">Organizational Chart, Section 6</w:t>
      </w:r>
    </w:p>
    <w:p>
      <w:pPr>
        <w:pStyle w:val="BodyText"/>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w:t>
      </w:r>
    </w:p>
    <w:p>
      <w:pPr>
        <w:pStyle w:val="BodyText"/>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pPr>
      <w:r>
        <w:rPr>
          <w:bCs/>
          <w:b/>
        </w:rPr>
        <w:t xml:space="preserve">T</w:t>
      </w:r>
      <w:r>
        <w:t xml:space="preserve"> </w:t>
      </w:r>
      <w:r>
        <w:t xml:space="preserve">Tables, List of · Tier system (tuition), Sections 14, 28; Glossary · Twenty-Year Strategic Roadmap, Section 40; Figure 10</w:t>
      </w:r>
    </w:p>
    <w:p>
      <w:pPr>
        <w:pStyle w:val="BodyText"/>
      </w:pPr>
      <w:r>
        <w:rPr>
          <w:bCs/>
          <w:b/>
        </w:rPr>
        <w:t xml:space="preserve">W</w:t>
      </w:r>
      <w:r>
        <w:t xml:space="preserve"> </w:t>
      </w:r>
      <w:r>
        <w:t xml:space="preserve">Waqf &amp; Stakeholder Reserve, Sections 2, 25–26, 31, 38–39; Figure 7 · Waqf Development Strategy, Section 25 · Waqf Scholarship Block, Sections 25–26</w:t>
      </w:r>
    </w:p>
    <w:p>
      <w:r>
        <w:pict>
          <v:rect style="width:0;height:1.5pt" o:hralign="center" o:hrstd="t" o:hr="t"/>
        </w:pict>
      </w:r>
    </w:p>
    <w:p>
      <w:r>
        <w:br w:type="page"/>
      </w:r>
    </w:p>
    <w:bookmarkEnd w:id="118"/>
    <w:bookmarkStart w:id="119" w:name="closing-statement"/>
    <w:p>
      <w:pPr>
        <w:pStyle w:val="Heading1"/>
      </w:pPr>
      <w:r>
        <w:t xml:space="preserve">Closing Statement</w:t>
      </w:r>
    </w:p>
    <w:p>
      <w:pPr>
        <w:pStyle w:val="FirstParagraph"/>
      </w:pPr>
      <w:r>
        <w:t xml:space="preserve">This Blueprint (AMIU-SB-002) does not supersede the Ten-Year Master Plan &amp; Strategic Charter (AMIU-MP-001); it operationalizes it. Every dollar figure, program count, governance seat, and accreditation date cited across its forty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pPr>
      <w:r>
        <w:t xml:space="preserve">Presented for review by the Board of Trustees, the University Senate, and the Supreme Strategic Planning Council in accordance with the constitutional provisions of the AMIU Constitution.</w:t>
      </w:r>
    </w:p>
    <w:p>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Bitstream Charter" w:hAnsi="Bitstream Charter"/>
                <w:b/>
                <w:color w:val="B08625"/>
                <w:sz w:val="20"/>
                <w:caps/>
                <w:spacing w:val="14"/>
              </w:rPr>
              <w:t>AL-MULK INTERNATIONAL UNIVERSITY</w:t>
            </w:r>
          </w:p>
          <w:p>
            <w:pPr>
              <w:jc w:val="center"/>
              <w:spacing w:before="0" w:after="500"/>
            </w:pPr>
            <w:r>
              <w:rPr>
                <w:rFonts w:ascii="Liberation Serif" w:hAnsi="Liberation Serif"/>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19"/>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
      <w:rPr>
        <w:rFonts w:ascii="Liberation Sans" w:hAnsi="Liberation Sans"/>
        <w:color w:val="5B6372"/>
        <w:sz w:val="16"/>
      </w:rPr>
      <w:t xml:space="preserve">AMIU-SB-002  ·  </w:t>
    </w:r>
    <w:r>
      <w:rPr>
        <w:rFonts w:ascii="Liberation Sans" w:hAnsi="Liberation Sans"/>
        <w:b/>
        <w:color w:val="122A4E"/>
        <w:sz w:val="17"/>
      </w:rPr>
      <w:fldChar w:fldCharType="begin"/>
      <w:instrText xml:space="preserve">PAGE</w:instrText>
      <w:fldChar w:fldCharType="end"/>
    </w:r>
    <w:r>
      <w:rPr>
        <w:rFonts w:ascii="Liberation Sans" w:hAnsi="Liberation Sans"/>
        <w:color w:val="5B6372"/>
        <w:sz w:val="16"/>
      </w:rPr>
      <w:t xml:space="preserve">  of  </w:t>
    </w:r>
    <w:r>
      <w:rPr>
        <w:rFonts w:ascii="Liberation Sans" w:hAnsi="Liberation Sans"/>
        <w:b/>
        <w:color w:val="122A4E"/>
        <w:sz w:val="17"/>
      </w:rPr>
      <w:fldChar w:fldCharType="begin"/>
      <w:instrText xml:space="preserve">NUMPAGES</w:instrText>
      <w:fldChar w:fldCharType="end"/>
    </w:r>
    <w:r>
      <w:rPr>
        <w:rFonts w:ascii="Liberation Sans" w:hAnsi="Liberation Sans"/>
        <w:color w:val="5B6372"/>
        <w:sz w:val="16"/>
      </w:rPr>
      <w:t xml:space="preserve">  ·  Confidential — Institutional Planning Document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6" w:space="4" w:color="B08625"/>
      </w:pBdr>
    </w:pPr>
    <w:r/>
    <w:r>
      <w:rPr>
        <w:rFonts w:ascii="Liberation Sans" w:hAnsi="Liberation Sans"/>
        <w:b/>
        <w:caps/>
        <w:color w:val="122A4E"/>
        <w:sz w:val="16"/>
      </w:rPr>
      <w:t>AL-MULK INTERNATIONAL UNIVERSITY</w:t>
    </w:r>
    <w:r>
      <w:tab/>
    </w:r>
    <w:r>
      <w:rPr>
        <w:rFonts w:ascii="Liberation Sans" w:hAnsi="Liberation Sans"/>
        <w:i/>
        <w:color w:val="5B6372"/>
        <w:sz w:val="16"/>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160" w:before="0" w:line="283" w:lineRule="auto"/>
    </w:pPr>
    <w:rPr>
      <w:rFonts w:ascii="Liberation Sans" w:cs="Liberation Sans" w:eastAsia="Liberation Sans" w:hAnsi="Liberation Sans"/>
      <w:b w:val="0"/>
      <w:i w:val="0"/>
      <w:caps w:val="0"/>
      <w:color w:val="1A1F2B"/>
      <w:sz w:val="21"/>
    </w:rPr>
  </w:style>
  <w:style w:styleId="BodyText" w:type="paragraph">
    <w:name w:val="Body Text"/>
    <w:basedOn w:val="Normal"/>
    <w:link w:val="BodyTextChar"/>
    <w:pPr>
      <w:keepNext w:val="0"/>
      <w:spacing w:after="120" w:before="0" w:line="283" w:lineRule="auto"/>
    </w:pPr>
    <w:qFormat/>
    <w:rPr>
      <w:rFonts w:ascii="Liberation Sans" w:cs="Liberation Sans" w:eastAsia="Liberation Sans" w:hAnsi="Liberation Sans"/>
      <w:b w:val="0"/>
      <w:i w:val="0"/>
      <w:caps w:val="0"/>
      <w:color w:val="1A1F2B"/>
      <w:sz w:val="21"/>
    </w:rPr>
  </w:style>
  <w:style w:customStyle="1" w:styleId="FirstParagraph" w:type="paragraph">
    <w:name w:val="First Paragraph"/>
    <w:basedOn w:val="BodyText"/>
    <w:next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customStyle="1" w:styleId="Compact" w:type="paragraph">
    <w:name w:val="Compact"/>
    <w:basedOn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styleId="Title" w:type="paragraph">
    <w:name w:val="Title"/>
    <w:basedOn w:val="Normal"/>
    <w:next w:val="BodyText"/>
    <w:qFormat/>
    <w:pPr>
      <w:keepNext w:val="0"/>
      <w:keepLines/>
      <w:spacing w:after="120" w:before="0" w:line="252" w:lineRule="auto"/>
      <w:jc w:val="left"/>
    </w:pPr>
    <w:rPr>
      <w:rFonts w:ascii="Bitstream Charter" w:asciiTheme="majorHAnsi" w:cs="Bitstream Charter" w:cstheme="majorBidi" w:eastAsia="Bitstream Charter" w:eastAsiaTheme="majorEastAsia" w:hAnsi="Bitstream Charter" w:hAnsiTheme="majorHAnsi"/>
      <w:b/>
      <w:bCs/>
      <w:i w:val="0"/>
      <w:caps w:val="0"/>
      <w:color w:val="122A4E"/>
      <w:sz w:val="60"/>
      <w:szCs w:val="36"/>
    </w:rPr>
  </w:style>
  <w:style w:styleId="Subtitle" w:type="paragraph">
    <w:name w:val="Subtitle"/>
    <w:basedOn w:val="Title"/>
    <w:next w:val="BodyText"/>
    <w:qFormat/>
    <w:pPr>
      <w:keepNext w:val="0"/>
      <w:keepLines/>
      <w:spacing w:after="400" w:before="0" w:line="276" w:lineRule="auto"/>
      <w:jc w:val="center"/>
    </w:pPr>
    <w:rPr>
      <w:rFonts w:ascii="Liberation Sans" w:cs="Liberation Sans" w:eastAsia="Liberation Sans" w:hAnsi="Liberation Sans"/>
      <w:b w:val="0"/>
      <w:i/>
      <w:caps w:val="0"/>
      <w:color w:val="B08625"/>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pBdr>
        <w:bottom w:color="B08625" w:space="4" w:sz="18" w:val="single"/>
      </w:pBdr>
    </w:pPr>
    <w:rPr>
      <w:rFonts w:ascii="Bitstream Charter" w:asciiTheme="majorHAnsi" w:cs="Bitstream Charter" w:cstheme="majorBidi" w:eastAsia="Bitstream Charter" w:eastAsiaTheme="majorEastAsia" w:hAnsi="Bitstream Charter" w:hAnsiTheme="majorHAnsi"/>
      <w:b/>
      <w:bCs/>
      <w:i w:val="0"/>
      <w:caps w:val="0"/>
      <w:color w:val="122A4E"/>
      <w:sz w:val="54"/>
      <w:szCs w:val="32"/>
    </w:rPr>
  </w:style>
  <w:style w:styleId="Heading2" w:type="paragraph">
    <w:name w:val="Heading 2"/>
    <w:basedOn w:val="Normal"/>
    <w:next w:val="BodyText"/>
    <w:uiPriority w:val="9"/>
    <w:unhideWhenUsed/>
    <w:qFormat/>
    <w:pPr>
      <w:keepNext/>
      <w:keepLines/>
      <w:spacing w:after="160" w:before="40" w:line="259" w:lineRule="auto"/>
      <w:outlineLvl w:val="1"/>
      <w:pBdr>
        <w:bottom w:color="D8DCE5" w:space="4" w:sz="6" w:val="single"/>
      </w:pBdr>
    </w:pPr>
    <w:rPr>
      <w:rFonts w:ascii="Bitstream Charter" w:asciiTheme="majorHAnsi" w:cs="Bitstream Charter" w:cstheme="majorBidi" w:eastAsia="Bitstream Charter" w:eastAsiaTheme="majorEastAsia" w:hAnsi="Bitstream Charter" w:hAnsiTheme="majorHAnsi"/>
      <w:b/>
      <w:bCs/>
      <w:i w:val="0"/>
      <w:caps w:val="0"/>
      <w:color w:val="122A4E"/>
      <w:sz w:val="31"/>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Liberation Sans" w:asciiTheme="majorHAnsi" w:cs="Liberation Sans" w:cstheme="majorBidi" w:eastAsia="Liberation Sans" w:eastAsiaTheme="majorEastAsia" w:hAnsi="Liberation Sans" w:hAnsiTheme="majorHAnsi"/>
      <w:b/>
      <w:bCs/>
      <w:i w:val="0"/>
      <w:caps w:val="0"/>
      <w:color w:val="B08625"/>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Liberation Sans" w:asciiTheme="majorHAnsi" w:cs="Liberation Sans" w:cstheme="majorBidi" w:eastAsia="Liberation Sans" w:eastAsiaTheme="majorEastAsia" w:hAnsi="Liberation Sans" w:hAnsiTheme="majorHAnsi"/>
      <w:i/>
      <w:b/>
      <w:bCs/>
      <w:caps w:val="0"/>
      <w:color w:val="122A4E"/>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Liberation Serif" w:cs="Liberation Serif" w:eastAsia="Liberation Serif" w:hAnsi="Liberation Serif"/>
      <w:b w:val="0"/>
      <w:i/>
      <w:caps w:val="0"/>
      <w:color w:val="122A4E"/>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B08625"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pPr>
    <w:rPr>
      <w:rFonts w:ascii="Liberation Sans" w:cs="Liberation Sans" w:eastAsia="Liberation Sans" w:hAnsi="Liberation Sans"/>
      <w:b/>
      <w:i w:val="0"/>
      <w:caps w:val="0"/>
      <w:color w:val="B08625"/>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pPr>
    <w:rPr>
      <w:rFonts w:ascii="Bitstream Charter" w:asciiTheme="majorHAnsi" w:cs="Bitstream Charter" w:cstheme="majorBidi" w:eastAsia="Bitstream Charter" w:eastAsiaTheme="majorEastAsia" w:hAnsi="Bitstream Charter" w:hAnsiTheme="majorHAnsi"/>
      <w:b/>
      <w:bCs w:val="0"/>
      <w:i w:val="0"/>
      <w:caps w:val="0"/>
      <w:color w:val="122A4E"/>
      <w:sz w:val="44"/>
    </w:rPr>
  </w:style>
  <w:style w:customStyle="1" w:styleId="SectionKicker" w:type="paragraph">
    <w:name w:val="SectionKicker"/>
    <w:basedOn w:val="Normal"/>
    <w:pPr>
      <w:keepNext/>
      <w:spacing w:after="40" w:before="440" w:line="264" w:lineRule="auto"/>
    </w:pPr>
    <w:rPr>
      <w:rFonts w:ascii="Liberation Sans" w:cs="Liberation Sans" w:eastAsia="Liberation Sans" w:hAnsi="Liberation Sans"/>
      <w:b/>
      <w:i w:val="0"/>
      <w:caps/>
      <w:color w:val="B08625"/>
      <w:sz w:val="19"/>
      <w:spacing w:val="22"/>
    </w:rPr>
  </w:style>
  <w:style w:customStyle="1" w:styleId="PartKicker" w:type="paragraph">
    <w:name w:val="PartKicker"/>
    <w:basedOn w:val="Normal"/>
    <w:pPr>
      <w:keepNext w:val="0"/>
      <w:spacing w:after="40" w:before="0" w:line="264" w:lineRule="auto"/>
    </w:pPr>
    <w:rPr>
      <w:rFonts w:ascii="Liberation Sans" w:cs="Liberation Sans" w:eastAsia="Liberation Sans" w:hAnsi="Liberation Sans"/>
      <w:b/>
      <w:i w:val="0"/>
      <w:caps/>
      <w:color w:val="B08625"/>
      <w:sz w:val="22"/>
      <w:spacing w:val="30"/>
    </w:rPr>
  </w:style>
  <w:style w:customStyle="1" w:styleId="PartThesis" w:type="paragraph">
    <w:name w:val="PartThesis"/>
    <w:basedOn w:val="Normal"/>
    <w:pPr>
      <w:keepNext w:val="0"/>
      <w:spacing w:after="360" w:before="80" w:line="324" w:lineRule="auto"/>
    </w:pPr>
    <w:rPr>
      <w:rFonts w:ascii="Liberation Serif" w:cs="Liberation Serif" w:eastAsia="Liberation Serif" w:hAnsi="Liberation Serif"/>
      <w:b w:val="0"/>
      <w:i/>
      <w:caps w:val="0"/>
      <w:color w:val="122A4E"/>
      <w:sz w:val="2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99" Type="http://schemas.openxmlformats.org/officeDocument/2006/relationships/image" Target="media/rId99.png"/><Relationship Id="rId41" Type="http://schemas.openxmlformats.org/officeDocument/2006/relationships/image" Target="media/rId41.png"/><Relationship Id="rId44" Type="http://schemas.openxmlformats.org/officeDocument/2006/relationships/image" Target="media/rId44.png"/><Relationship Id="rId107" Type="http://schemas.openxmlformats.org/officeDocument/2006/relationships/image" Target="media/rId107.png"/><Relationship Id="rId83" Type="http://schemas.openxmlformats.org/officeDocument/2006/relationships/image" Target="media/rId83.png"/><Relationship Id="rId52" Type="http://schemas.openxmlformats.org/officeDocument/2006/relationships/image" Target="media/rId52.png"/><Relationship Id="rId56" Type="http://schemas.openxmlformats.org/officeDocument/2006/relationships/image" Target="media/rId56.png"/><Relationship Id="rId103" Type="http://schemas.openxmlformats.org/officeDocument/2006/relationships/image" Target="media/rId103.png"/><Relationship Id="rId65" Type="http://schemas.openxmlformats.org/officeDocument/2006/relationships/image" Target="media/rId65.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2026-07-25T06:43:27Z</dcterms:created>
  <dcterms:modified xsi:type="dcterms:W3CDTF">2026-07-25T06:43:27Z</dcterms:modified>
</cp:coreProperties>
</file>

<file path=docProps/custom.xml><?xml version="1.0" encoding="utf-8"?>
<Properties xmlns="http://schemas.openxmlformats.org/officeDocument/2006/custom-properties" xmlns:vt="http://schemas.openxmlformats.org/officeDocument/2006/docPropsVTypes"/>
</file>