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47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67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88</w:t>
            </w:r>
          </w:p>
        </w:tc>
      </w:tr>
    </w:tbl>
    <w:p>
      <w:pPr>
        <w:jc w:val="both"/>
      </w:pPr>
      <w:r>
        <w:br w:type="page"/>
      </w:r>
    </w:p>
    <w:bookmarkEnd w:id="35"/>
    <w:bookmarkStart w:id="12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w:t>
            </w:r>
          </w:p>
        </w:tc>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w:t>
            </w:r>
          </w:p>
        </w:tc>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5.1–5.5</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E9EDF6"/>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6"/>
    <w:bookmarkStart w:id="57"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7"/>
    <w:bookmarkStart w:id="58"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08"/>
        </w:numPr>
        <w:pStyle w:val="Compact"/>
        <w:jc w:val="both"/>
      </w:pPr>
      <w:r>
        <w:t xml:space="preserve">Finance and investment;</w:t>
      </w:r>
    </w:p>
    <w:p>
      <w:pPr>
        <w:numPr>
          <w:ilvl w:val="0"/>
          <w:numId w:val="1008"/>
        </w:numPr>
        <w:pStyle w:val="Compact"/>
        <w:jc w:val="both"/>
      </w:pPr>
      <w:r>
        <w:t xml:space="preserve">Law and legal compliance;</w:t>
      </w:r>
    </w:p>
    <w:p>
      <w:pPr>
        <w:numPr>
          <w:ilvl w:val="0"/>
          <w:numId w:val="1008"/>
        </w:numPr>
        <w:pStyle w:val="Compact"/>
        <w:jc w:val="both"/>
      </w:pPr>
      <w:r>
        <w:t xml:space="preserve">Higher education administration;</w:t>
      </w:r>
    </w:p>
    <w:p>
      <w:pPr>
        <w:numPr>
          <w:ilvl w:val="0"/>
          <w:numId w:val="1008"/>
        </w:numPr>
        <w:pStyle w:val="Compact"/>
        <w:jc w:val="both"/>
      </w:pPr>
      <w:r>
        <w:t xml:space="preserve">Business and management;</w:t>
      </w:r>
    </w:p>
    <w:p>
      <w:pPr>
        <w:numPr>
          <w:ilvl w:val="0"/>
          <w:numId w:val="1008"/>
        </w:numPr>
        <w:pStyle w:val="Compact"/>
        <w:jc w:val="both"/>
      </w:pPr>
      <w:r>
        <w:t xml:space="preserve">Nonprofit governance;</w:t>
      </w:r>
    </w:p>
    <w:p>
      <w:pPr>
        <w:numPr>
          <w:ilvl w:val="0"/>
          <w:numId w:val="1008"/>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58"/>
    <w:bookmarkStart w:id="63" w:name="trustee-qualifications-and-appointment"/>
    <w:p>
      <w:pPr>
        <w:pStyle w:val="Heading2"/>
      </w:pPr>
      <w:r>
        <w:t xml:space="preserve">6.3 Trustee Qualifications and Appointment</w:t>
      </w:r>
    </w:p>
    <w:bookmarkStart w:id="59"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09"/>
        </w:numPr>
        <w:pStyle w:val="Compact"/>
        <w:jc w:val="both"/>
      </w:pPr>
      <w:r>
        <w:t xml:space="preserve">Finance, investment, and financial management;</w:t>
      </w:r>
    </w:p>
    <w:p>
      <w:pPr>
        <w:numPr>
          <w:ilvl w:val="0"/>
          <w:numId w:val="1009"/>
        </w:numPr>
        <w:pStyle w:val="Compact"/>
        <w:jc w:val="both"/>
      </w:pPr>
      <w:r>
        <w:t xml:space="preserve">Law, legal compliance, and regulatory affairs;</w:t>
      </w:r>
    </w:p>
    <w:p>
      <w:pPr>
        <w:numPr>
          <w:ilvl w:val="0"/>
          <w:numId w:val="1009"/>
        </w:numPr>
        <w:pStyle w:val="Compact"/>
        <w:jc w:val="both"/>
      </w:pPr>
      <w:r>
        <w:t xml:space="preserve">Higher education administration and academic governance;</w:t>
      </w:r>
    </w:p>
    <w:p>
      <w:pPr>
        <w:numPr>
          <w:ilvl w:val="0"/>
          <w:numId w:val="1009"/>
        </w:numPr>
        <w:pStyle w:val="Compact"/>
        <w:jc w:val="both"/>
      </w:pPr>
      <w:r>
        <w:t xml:space="preserve">Business management and organizational leadership;</w:t>
      </w:r>
    </w:p>
    <w:p>
      <w:pPr>
        <w:numPr>
          <w:ilvl w:val="0"/>
          <w:numId w:val="1009"/>
        </w:numPr>
        <w:pStyle w:val="Compact"/>
        <w:jc w:val="both"/>
      </w:pPr>
      <w:r>
        <w:t xml:space="preserve">Nonprofit governance and board administration;</w:t>
      </w:r>
    </w:p>
    <w:p>
      <w:pPr>
        <w:numPr>
          <w:ilvl w:val="0"/>
          <w:numId w:val="1009"/>
        </w:numPr>
        <w:pStyle w:val="Compact"/>
        <w:jc w:val="both"/>
      </w:pPr>
      <w:r>
        <w:t xml:space="preserve">Community leadership and Islamic affairs;</w:t>
      </w:r>
    </w:p>
    <w:p>
      <w:pPr>
        <w:numPr>
          <w:ilvl w:val="0"/>
          <w:numId w:val="1009"/>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59"/>
    <w:bookmarkStart w:id="60"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0"/>
        </w:numPr>
        <w:pStyle w:val="Compact"/>
        <w:jc w:val="both"/>
      </w:pPr>
      <w:r>
        <w:t xml:space="preserve">Identify potential candidates with appropriate qualifications;</w:t>
      </w:r>
    </w:p>
    <w:p>
      <w:pPr>
        <w:numPr>
          <w:ilvl w:val="0"/>
          <w:numId w:val="1010"/>
        </w:numPr>
        <w:pStyle w:val="Compact"/>
        <w:jc w:val="both"/>
      </w:pPr>
      <w:r>
        <w:t xml:space="preserve">Conduct background checks and due diligence;</w:t>
      </w:r>
    </w:p>
    <w:p>
      <w:pPr>
        <w:numPr>
          <w:ilvl w:val="0"/>
          <w:numId w:val="1010"/>
        </w:numPr>
        <w:pStyle w:val="Compact"/>
        <w:jc w:val="both"/>
      </w:pPr>
      <w:r>
        <w:t xml:space="preserve">Verify qualifications and adherence to the University’s Islamic mission;</w:t>
      </w:r>
    </w:p>
    <w:p>
      <w:pPr>
        <w:numPr>
          <w:ilvl w:val="0"/>
          <w:numId w:val="1010"/>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0"/>
    <w:bookmarkStart w:id="61"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1"/>
    <w:bookmarkStart w:id="62"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1"/>
        </w:numPr>
        <w:pStyle w:val="Compact"/>
        <w:jc w:val="both"/>
      </w:pPr>
      <w:r>
        <w:t xml:space="preserve">Conviction of a felony;</w:t>
      </w:r>
    </w:p>
    <w:p>
      <w:pPr>
        <w:numPr>
          <w:ilvl w:val="0"/>
          <w:numId w:val="1011"/>
        </w:numPr>
        <w:pStyle w:val="Compact"/>
        <w:jc w:val="both"/>
      </w:pPr>
      <w:r>
        <w:t xml:space="preserve">Bankruptcy, insolvency, or fraud;</w:t>
      </w:r>
    </w:p>
    <w:p>
      <w:pPr>
        <w:numPr>
          <w:ilvl w:val="0"/>
          <w:numId w:val="1011"/>
        </w:numPr>
        <w:pStyle w:val="Compact"/>
        <w:jc w:val="both"/>
      </w:pPr>
      <w:r>
        <w:t xml:space="preserve">Being found mentally incompetent by a court of competent jurisdiction;</w:t>
      </w:r>
    </w:p>
    <w:p>
      <w:pPr>
        <w:numPr>
          <w:ilvl w:val="0"/>
          <w:numId w:val="1011"/>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2"/>
        </w:numPr>
        <w:pStyle w:val="Compact"/>
        <w:jc w:val="both"/>
      </w:pPr>
      <w:r>
        <w:t xml:space="preserve">Conflict of interest as defined in this Constitution;</w:t>
      </w:r>
    </w:p>
    <w:p>
      <w:pPr>
        <w:numPr>
          <w:ilvl w:val="0"/>
          <w:numId w:val="1012"/>
        </w:numPr>
        <w:pStyle w:val="Compact"/>
        <w:jc w:val="both"/>
      </w:pPr>
      <w:r>
        <w:t xml:space="preserve">Breach of fiduciary duty;</w:t>
      </w:r>
    </w:p>
    <w:p>
      <w:pPr>
        <w:numPr>
          <w:ilvl w:val="0"/>
          <w:numId w:val="1012"/>
        </w:numPr>
        <w:pStyle w:val="Compact"/>
        <w:jc w:val="both"/>
      </w:pPr>
      <w:r>
        <w:t xml:space="preserve">Misconduct or moral turpitude;</w:t>
      </w:r>
    </w:p>
    <w:p>
      <w:pPr>
        <w:numPr>
          <w:ilvl w:val="0"/>
          <w:numId w:val="1012"/>
        </w:numPr>
        <w:pStyle w:val="Compact"/>
        <w:jc w:val="both"/>
      </w:pPr>
      <w:r>
        <w:t xml:space="preserve">Failure to adhere to the University’s Islamic mission and values.</w:t>
      </w:r>
    </w:p>
    <w:p>
      <w:pPr>
        <w:pStyle w:val="SectionKicker"/>
      </w:pPr>
      <w:r>
        <w:t xml:space="preserve">Article VI · Section 6.4</w:t>
      </w:r>
    </w:p>
    <w:bookmarkEnd w:id="62"/>
    <w:bookmarkEnd w:id="63"/>
    <w:bookmarkStart w:id="64"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3"/>
        </w:numPr>
        <w:pStyle w:val="Compact"/>
        <w:jc w:val="both"/>
      </w:pPr>
      <w:r>
        <w:t xml:space="preserve">Breach of fiduciary duty;</w:t>
      </w:r>
    </w:p>
    <w:p>
      <w:pPr>
        <w:numPr>
          <w:ilvl w:val="0"/>
          <w:numId w:val="1013"/>
        </w:numPr>
        <w:pStyle w:val="Compact"/>
        <w:jc w:val="both"/>
      </w:pPr>
      <w:r>
        <w:t xml:space="preserve">Conflict of interest;</w:t>
      </w:r>
    </w:p>
    <w:p>
      <w:pPr>
        <w:numPr>
          <w:ilvl w:val="0"/>
          <w:numId w:val="1013"/>
        </w:numPr>
        <w:pStyle w:val="Compact"/>
        <w:jc w:val="both"/>
      </w:pPr>
      <w:r>
        <w:t xml:space="preserve">Misconduct;</w:t>
      </w:r>
    </w:p>
    <w:p>
      <w:pPr>
        <w:numPr>
          <w:ilvl w:val="0"/>
          <w:numId w:val="1013"/>
        </w:numPr>
        <w:pStyle w:val="Compact"/>
        <w:jc w:val="both"/>
      </w:pPr>
      <w:r>
        <w:t xml:space="preserve">Failure to attend meetings;</w:t>
      </w:r>
    </w:p>
    <w:p>
      <w:pPr>
        <w:numPr>
          <w:ilvl w:val="0"/>
          <w:numId w:val="1013"/>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4"/>
        </w:numPr>
        <w:pStyle w:val="Compact"/>
        <w:jc w:val="both"/>
      </w:pPr>
      <w:r>
        <w:t xml:space="preserve">Written notice of the charges at least fourteen days before the meeting;</w:t>
      </w:r>
    </w:p>
    <w:p>
      <w:pPr>
        <w:numPr>
          <w:ilvl w:val="0"/>
          <w:numId w:val="1014"/>
        </w:numPr>
        <w:pStyle w:val="Compact"/>
        <w:jc w:val="both"/>
      </w:pPr>
      <w:r>
        <w:t xml:space="preserve">An opportunity to present a defense;</w:t>
      </w:r>
    </w:p>
    <w:p>
      <w:pPr>
        <w:numPr>
          <w:ilvl w:val="0"/>
          <w:numId w:val="1014"/>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4"/>
    <w:bookmarkStart w:id="65"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5"/>
        </w:numPr>
        <w:pStyle w:val="Compact"/>
        <w:jc w:val="both"/>
      </w:pPr>
      <w:r>
        <w:t xml:space="preserve">Preside over all Board meetings;</w:t>
      </w:r>
    </w:p>
    <w:p>
      <w:pPr>
        <w:numPr>
          <w:ilvl w:val="0"/>
          <w:numId w:val="1015"/>
        </w:numPr>
        <w:pStyle w:val="Compact"/>
        <w:jc w:val="both"/>
      </w:pPr>
      <w:r>
        <w:t xml:space="preserve">Set the Board agenda in consultation with the President;</w:t>
      </w:r>
    </w:p>
    <w:p>
      <w:pPr>
        <w:numPr>
          <w:ilvl w:val="0"/>
          <w:numId w:val="1015"/>
        </w:numPr>
        <w:pStyle w:val="Compact"/>
        <w:jc w:val="both"/>
      </w:pPr>
      <w:r>
        <w:t xml:space="preserve">Represent the Board externally as required;</w:t>
      </w:r>
    </w:p>
    <w:p>
      <w:pPr>
        <w:numPr>
          <w:ilvl w:val="0"/>
          <w:numId w:val="1015"/>
        </w:numPr>
        <w:pStyle w:val="Compact"/>
        <w:jc w:val="both"/>
      </w:pPr>
      <w:r>
        <w:t xml:space="preserve">Ensure Board effectiveness and efficiency;</w:t>
      </w:r>
    </w:p>
    <w:p>
      <w:pPr>
        <w:numPr>
          <w:ilvl w:val="0"/>
          <w:numId w:val="1015"/>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5"/>
    <w:bookmarkStart w:id="66"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6"/>
    <w:bookmarkStart w:id="67"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6"/>
        </w:numPr>
        <w:pStyle w:val="Compact"/>
        <w:jc w:val="both"/>
      </w:pPr>
      <w:r>
        <w:t xml:space="preserve">Appoint and evaluate the President &amp; Vice-Chancellor annually;</w:t>
      </w:r>
    </w:p>
    <w:p>
      <w:pPr>
        <w:numPr>
          <w:ilvl w:val="0"/>
          <w:numId w:val="1016"/>
        </w:numPr>
        <w:pStyle w:val="Compact"/>
        <w:jc w:val="both"/>
      </w:pPr>
      <w:r>
        <w:t xml:space="preserve">Approve the annual budget and monitor financial performance;</w:t>
      </w:r>
    </w:p>
    <w:p>
      <w:pPr>
        <w:numPr>
          <w:ilvl w:val="0"/>
          <w:numId w:val="1016"/>
        </w:numPr>
        <w:pStyle w:val="Compact"/>
        <w:jc w:val="both"/>
      </w:pPr>
      <w:r>
        <w:t xml:space="preserve">Set institutional strategy and long-term vision;</w:t>
      </w:r>
    </w:p>
    <w:p>
      <w:pPr>
        <w:numPr>
          <w:ilvl w:val="0"/>
          <w:numId w:val="1016"/>
        </w:numPr>
        <w:pStyle w:val="Compact"/>
        <w:jc w:val="both"/>
      </w:pPr>
      <w:r>
        <w:t xml:space="preserve">Ensure financial sustainability and legal compliance;</w:t>
      </w:r>
    </w:p>
    <w:p>
      <w:pPr>
        <w:numPr>
          <w:ilvl w:val="0"/>
          <w:numId w:val="1016"/>
        </w:numPr>
        <w:pStyle w:val="Compact"/>
        <w:jc w:val="both"/>
      </w:pPr>
      <w:r>
        <w:t xml:space="preserve">Approve major policies and governance documents;</w:t>
      </w:r>
    </w:p>
    <w:p>
      <w:pPr>
        <w:numPr>
          <w:ilvl w:val="0"/>
          <w:numId w:val="1016"/>
        </w:numPr>
        <w:pStyle w:val="Compact"/>
        <w:jc w:val="both"/>
      </w:pPr>
      <w:r>
        <w:t xml:space="preserve">Oversee the University Senate through the President;</w:t>
      </w:r>
    </w:p>
    <w:p>
      <w:pPr>
        <w:numPr>
          <w:ilvl w:val="0"/>
          <w:numId w:val="1016"/>
        </w:numPr>
        <w:pStyle w:val="Compact"/>
        <w:jc w:val="both"/>
      </w:pPr>
      <w:r>
        <w:t xml:space="preserve">Appoint the external auditor and oversee the audit process;</w:t>
      </w:r>
    </w:p>
    <w:p>
      <w:pPr>
        <w:numPr>
          <w:ilvl w:val="0"/>
          <w:numId w:val="1016"/>
        </w:numPr>
        <w:pStyle w:val="Compact"/>
        <w:jc w:val="both"/>
      </w:pPr>
      <w:r>
        <w:t xml:space="preserve">Approve amendments to the Constitution and Bylaws;</w:t>
      </w:r>
    </w:p>
    <w:p>
      <w:pPr>
        <w:numPr>
          <w:ilvl w:val="0"/>
          <w:numId w:val="1016"/>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7"/>
    <w:bookmarkStart w:id="68"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68"/>
    <w:bookmarkStart w:id="69"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69"/>
    <w:bookmarkStart w:id="70"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0"/>
    <w:bookmarkStart w:id="71"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1"/>
    <w:bookmarkStart w:id="72"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2"/>
    <w:bookmarkStart w:id="73"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17"/>
        </w:numPr>
        <w:pStyle w:val="Compact"/>
        <w:jc w:val="both"/>
      </w:pPr>
      <w:r>
        <w:t xml:space="preserve">Implement Board decisions and policies;</w:t>
      </w:r>
    </w:p>
    <w:p>
      <w:pPr>
        <w:numPr>
          <w:ilvl w:val="0"/>
          <w:numId w:val="1017"/>
        </w:numPr>
        <w:pStyle w:val="Compact"/>
        <w:jc w:val="both"/>
      </w:pPr>
      <w:r>
        <w:t xml:space="preserve">Lead the University’s administration;</w:t>
      </w:r>
    </w:p>
    <w:p>
      <w:pPr>
        <w:numPr>
          <w:ilvl w:val="0"/>
          <w:numId w:val="1017"/>
        </w:numPr>
        <w:pStyle w:val="Compact"/>
        <w:jc w:val="both"/>
      </w:pPr>
      <w:r>
        <w:t xml:space="preserve">Chair the University Senate;</w:t>
      </w:r>
    </w:p>
    <w:p>
      <w:pPr>
        <w:numPr>
          <w:ilvl w:val="0"/>
          <w:numId w:val="1017"/>
        </w:numPr>
        <w:pStyle w:val="Compact"/>
        <w:jc w:val="both"/>
      </w:pPr>
      <w:r>
        <w:t xml:space="preserve">Represent the University externally;</w:t>
      </w:r>
    </w:p>
    <w:p>
      <w:pPr>
        <w:numPr>
          <w:ilvl w:val="0"/>
          <w:numId w:val="1017"/>
        </w:numPr>
        <w:pStyle w:val="Compact"/>
        <w:jc w:val="both"/>
      </w:pPr>
      <w:r>
        <w:t xml:space="preserve">Ensure institutional effectiveness and efficiency;</w:t>
      </w:r>
    </w:p>
    <w:p>
      <w:pPr>
        <w:numPr>
          <w:ilvl w:val="0"/>
          <w:numId w:val="1017"/>
        </w:numPr>
        <w:pStyle w:val="Compact"/>
        <w:jc w:val="both"/>
      </w:pPr>
      <w:r>
        <w:t xml:space="preserve">Appoint senior administrators;</w:t>
      </w:r>
    </w:p>
    <w:p>
      <w:pPr>
        <w:numPr>
          <w:ilvl w:val="0"/>
          <w:numId w:val="1017"/>
        </w:numPr>
        <w:pStyle w:val="Compact"/>
        <w:jc w:val="both"/>
      </w:pPr>
      <w:r>
        <w:t xml:space="preserve">Prepare the annual budget for Board approval;</w:t>
      </w:r>
    </w:p>
    <w:p>
      <w:pPr>
        <w:numPr>
          <w:ilvl w:val="0"/>
          <w:numId w:val="1017"/>
        </w:numPr>
        <w:pStyle w:val="Compact"/>
        <w:jc w:val="both"/>
      </w:pPr>
      <w:r>
        <w:t xml:space="preserve">Report regularly to the Board.</w:t>
      </w:r>
    </w:p>
    <w:p>
      <w:pPr>
        <w:pStyle w:val="SectionKicker"/>
      </w:pPr>
      <w:r>
        <w:t xml:space="preserve">Article VII · Section 7.5</w:t>
      </w:r>
    </w:p>
    <w:bookmarkEnd w:id="73"/>
    <w:bookmarkStart w:id="74"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18"/>
        </w:numPr>
        <w:pStyle w:val="Compact"/>
        <w:jc w:val="both"/>
      </w:pPr>
      <w:r>
        <w:t xml:space="preserve">Feedback from the Senate;</w:t>
      </w:r>
    </w:p>
    <w:p>
      <w:pPr>
        <w:numPr>
          <w:ilvl w:val="0"/>
          <w:numId w:val="1018"/>
        </w:numPr>
        <w:pStyle w:val="Compact"/>
        <w:jc w:val="both"/>
      </w:pPr>
      <w:r>
        <w:t xml:space="preserve">Feedback from faculty and staff;</w:t>
      </w:r>
    </w:p>
    <w:p>
      <w:pPr>
        <w:numPr>
          <w:ilvl w:val="0"/>
          <w:numId w:val="1018"/>
        </w:numPr>
        <w:pStyle w:val="Compact"/>
        <w:jc w:val="both"/>
      </w:pPr>
      <w:r>
        <w:t xml:space="preserve">Review of strategic objectives achieved;</w:t>
      </w:r>
    </w:p>
    <w:p>
      <w:pPr>
        <w:numPr>
          <w:ilvl w:val="0"/>
          <w:numId w:val="1018"/>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4"/>
    <w:bookmarkStart w:id="75"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19"/>
        </w:numPr>
        <w:pStyle w:val="Compact"/>
        <w:jc w:val="both"/>
      </w:pPr>
      <w:r>
        <w:t xml:space="preserve">Breach of fiduciary duty;</w:t>
      </w:r>
    </w:p>
    <w:p>
      <w:pPr>
        <w:numPr>
          <w:ilvl w:val="0"/>
          <w:numId w:val="1019"/>
        </w:numPr>
        <w:pStyle w:val="Compact"/>
        <w:jc w:val="both"/>
      </w:pPr>
      <w:r>
        <w:t xml:space="preserve">Misconduct;</w:t>
      </w:r>
    </w:p>
    <w:p>
      <w:pPr>
        <w:numPr>
          <w:ilvl w:val="0"/>
          <w:numId w:val="1019"/>
        </w:numPr>
        <w:pStyle w:val="Compact"/>
        <w:jc w:val="both"/>
      </w:pPr>
      <w:r>
        <w:t xml:space="preserve">Failure to perform duties;</w:t>
      </w:r>
    </w:p>
    <w:p>
      <w:pPr>
        <w:numPr>
          <w:ilvl w:val="0"/>
          <w:numId w:val="1019"/>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5"/>
    <w:bookmarkStart w:id="76"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6"/>
    <w:bookmarkStart w:id="77"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7"/>
    <w:bookmarkStart w:id="78"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0"/>
        </w:numPr>
        <w:pStyle w:val="Compact"/>
        <w:jc w:val="both"/>
      </w:pPr>
      <w:r>
        <w:t xml:space="preserve">Undergraduate Student Representative;</w:t>
      </w:r>
    </w:p>
    <w:p>
      <w:pPr>
        <w:numPr>
          <w:ilvl w:val="0"/>
          <w:numId w:val="1020"/>
        </w:numPr>
        <w:pStyle w:val="Compact"/>
        <w:jc w:val="both"/>
      </w:pPr>
      <w:r>
        <w:t xml:space="preserve">Postgraduate Student Representative;</w:t>
      </w:r>
    </w:p>
    <w:p>
      <w:pPr>
        <w:numPr>
          <w:ilvl w:val="0"/>
          <w:numId w:val="1020"/>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78"/>
    <w:bookmarkStart w:id="79"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79"/>
    <w:bookmarkStart w:id="80"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0"/>
    <w:bookmarkStart w:id="81"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1"/>
        </w:numPr>
        <w:pStyle w:val="Compact"/>
        <w:jc w:val="both"/>
      </w:pPr>
      <w:r>
        <w:t xml:space="preserve">Voice vote;</w:t>
      </w:r>
    </w:p>
    <w:p>
      <w:pPr>
        <w:numPr>
          <w:ilvl w:val="0"/>
          <w:numId w:val="1021"/>
        </w:numPr>
        <w:pStyle w:val="Compact"/>
        <w:jc w:val="both"/>
      </w:pPr>
      <w:r>
        <w:t xml:space="preserve">Show of hands;</w:t>
      </w:r>
    </w:p>
    <w:p>
      <w:pPr>
        <w:numPr>
          <w:ilvl w:val="0"/>
          <w:numId w:val="1021"/>
        </w:numPr>
        <w:pStyle w:val="Compact"/>
        <w:jc w:val="both"/>
      </w:pPr>
      <w:r>
        <w:t xml:space="preserve">Roll call vote;</w:t>
      </w:r>
    </w:p>
    <w:p>
      <w:pPr>
        <w:numPr>
          <w:ilvl w:val="0"/>
          <w:numId w:val="1021"/>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1"/>
    <w:bookmarkStart w:id="82"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2"/>
        </w:numPr>
        <w:pStyle w:val="Compact"/>
        <w:jc w:val="both"/>
      </w:pPr>
      <w:r>
        <w:t xml:space="preserve">Approve all academic programs and courses;</w:t>
      </w:r>
    </w:p>
    <w:p>
      <w:pPr>
        <w:numPr>
          <w:ilvl w:val="0"/>
          <w:numId w:val="1022"/>
        </w:numPr>
        <w:pStyle w:val="Compact"/>
        <w:jc w:val="both"/>
      </w:pPr>
      <w:r>
        <w:t xml:space="preserve">Set academic standards and policies;</w:t>
      </w:r>
    </w:p>
    <w:p>
      <w:pPr>
        <w:numPr>
          <w:ilvl w:val="0"/>
          <w:numId w:val="1022"/>
        </w:numPr>
        <w:pStyle w:val="Compact"/>
        <w:jc w:val="both"/>
      </w:pPr>
      <w:r>
        <w:t xml:space="preserve">Ratify all degrees and certificates;</w:t>
      </w:r>
    </w:p>
    <w:p>
      <w:pPr>
        <w:numPr>
          <w:ilvl w:val="0"/>
          <w:numId w:val="1022"/>
        </w:numPr>
        <w:pStyle w:val="Compact"/>
        <w:jc w:val="both"/>
      </w:pPr>
      <w:r>
        <w:t xml:space="preserve">Oversee faculty quality and development;</w:t>
      </w:r>
    </w:p>
    <w:p>
      <w:pPr>
        <w:numPr>
          <w:ilvl w:val="0"/>
          <w:numId w:val="1022"/>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2"/>
    <w:bookmarkStart w:id="83"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3"/>
    <w:bookmarkStart w:id="84"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4"/>
    <w:bookmarkStart w:id="85"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3"/>
        </w:numPr>
        <w:pStyle w:val="Compact"/>
        <w:jc w:val="both"/>
      </w:pPr>
      <w:r>
        <w:t xml:space="preserve">Deputy Vice-Chancellor, Academic Affairs;</w:t>
      </w:r>
    </w:p>
    <w:p>
      <w:pPr>
        <w:numPr>
          <w:ilvl w:val="0"/>
          <w:numId w:val="1023"/>
        </w:numPr>
        <w:pStyle w:val="Compact"/>
        <w:jc w:val="both"/>
      </w:pPr>
      <w:r>
        <w:t xml:space="preserve">Deputy Vice-Chancellor, Admin &amp; Finance;</w:t>
      </w:r>
    </w:p>
    <w:p>
      <w:pPr>
        <w:numPr>
          <w:ilvl w:val="0"/>
          <w:numId w:val="1023"/>
        </w:numPr>
        <w:pStyle w:val="Compact"/>
        <w:jc w:val="both"/>
      </w:pPr>
      <w:r>
        <w:t xml:space="preserve">College Deans;</w:t>
      </w:r>
    </w:p>
    <w:p>
      <w:pPr>
        <w:numPr>
          <w:ilvl w:val="0"/>
          <w:numId w:val="1023"/>
        </w:numPr>
        <w:pStyle w:val="Compact"/>
        <w:jc w:val="both"/>
      </w:pPr>
      <w:r>
        <w:t xml:space="preserve">University Registrar;</w:t>
      </w:r>
    </w:p>
    <w:p>
      <w:pPr>
        <w:numPr>
          <w:ilvl w:val="0"/>
          <w:numId w:val="1023"/>
        </w:numPr>
        <w:pStyle w:val="Compact"/>
        <w:jc w:val="both"/>
      </w:pPr>
      <w:r>
        <w:t xml:space="preserve">Dean of Students;</w:t>
      </w:r>
    </w:p>
    <w:p>
      <w:pPr>
        <w:numPr>
          <w:ilvl w:val="0"/>
          <w:numId w:val="1023"/>
        </w:numPr>
        <w:pStyle w:val="Compact"/>
        <w:jc w:val="both"/>
      </w:pPr>
      <w:r>
        <w:t xml:space="preserve">Directors of functional areas.</w:t>
      </w:r>
    </w:p>
    <w:p>
      <w:pPr>
        <w:pStyle w:val="SectionKicker"/>
      </w:pPr>
      <w:r>
        <w:t xml:space="preserve">Article IX · Section 9.3</w:t>
      </w:r>
    </w:p>
    <w:bookmarkEnd w:id="85"/>
    <w:bookmarkStart w:id="86"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6"/>
    <w:bookmarkStart w:id="87"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4"/>
        </w:numPr>
        <w:pStyle w:val="Compact"/>
        <w:jc w:val="both"/>
      </w:pPr>
      <w:r>
        <w:t xml:space="preserve">Implement Board decisions and policies;</w:t>
      </w:r>
    </w:p>
    <w:p>
      <w:pPr>
        <w:numPr>
          <w:ilvl w:val="0"/>
          <w:numId w:val="1024"/>
        </w:numPr>
        <w:pStyle w:val="Compact"/>
        <w:jc w:val="both"/>
      </w:pPr>
      <w:r>
        <w:t xml:space="preserve">Manage daily operations;</w:t>
      </w:r>
    </w:p>
    <w:p>
      <w:pPr>
        <w:numPr>
          <w:ilvl w:val="0"/>
          <w:numId w:val="1024"/>
        </w:numPr>
        <w:pStyle w:val="Compact"/>
        <w:jc w:val="both"/>
      </w:pPr>
      <w:r>
        <w:t xml:space="preserve">Execute the Senate’s academic vision;</w:t>
      </w:r>
    </w:p>
    <w:p>
      <w:pPr>
        <w:numPr>
          <w:ilvl w:val="0"/>
          <w:numId w:val="1024"/>
        </w:numPr>
        <w:pStyle w:val="Compact"/>
        <w:jc w:val="both"/>
      </w:pPr>
      <w:r>
        <w:t xml:space="preserve">Ensure institutional effectiveness and efficiency;</w:t>
      </w:r>
    </w:p>
    <w:p>
      <w:pPr>
        <w:numPr>
          <w:ilvl w:val="0"/>
          <w:numId w:val="1024"/>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7"/>
    <w:bookmarkStart w:id="88"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w:t>
            </w:r>
          </w:p>
        </w:tc>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88"/>
    <w:bookmarkStart w:id="89"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5"/>
        </w:numPr>
        <w:pStyle w:val="Compact"/>
        <w:jc w:val="both"/>
      </w:pPr>
      <w:r>
        <w:t xml:space="preserve">College of Qur’anic &amp; Hadith Sciences;</w:t>
      </w:r>
    </w:p>
    <w:p>
      <w:pPr>
        <w:numPr>
          <w:ilvl w:val="0"/>
          <w:numId w:val="1025"/>
        </w:numPr>
        <w:pStyle w:val="Compact"/>
        <w:jc w:val="both"/>
      </w:pPr>
      <w:r>
        <w:t xml:space="preserve">College of Shari’ah &amp; Islamic Law;</w:t>
      </w:r>
    </w:p>
    <w:p>
      <w:pPr>
        <w:numPr>
          <w:ilvl w:val="0"/>
          <w:numId w:val="1025"/>
        </w:numPr>
        <w:pStyle w:val="Compact"/>
        <w:jc w:val="both"/>
      </w:pPr>
      <w:r>
        <w:t xml:space="preserve">College of Islamic Theology &amp; Philosophy;</w:t>
      </w:r>
    </w:p>
    <w:p>
      <w:pPr>
        <w:numPr>
          <w:ilvl w:val="0"/>
          <w:numId w:val="1025"/>
        </w:numPr>
        <w:pStyle w:val="Compact"/>
        <w:jc w:val="both"/>
      </w:pPr>
      <w:r>
        <w:t xml:space="preserve">College of Arabic Language &amp; Linguistics;</w:t>
      </w:r>
    </w:p>
    <w:p>
      <w:pPr>
        <w:numPr>
          <w:ilvl w:val="0"/>
          <w:numId w:val="1025"/>
        </w:numPr>
        <w:pStyle w:val="Compact"/>
        <w:jc w:val="both"/>
      </w:pPr>
      <w:r>
        <w:t xml:space="preserve">College of Da’wah, Islamic Communication &amp; Chaplaincy;</w:t>
      </w:r>
    </w:p>
    <w:p>
      <w:pPr>
        <w:numPr>
          <w:ilvl w:val="0"/>
          <w:numId w:val="1025"/>
        </w:numPr>
        <w:pStyle w:val="Compact"/>
        <w:jc w:val="both"/>
      </w:pPr>
      <w:r>
        <w:t xml:space="preserve">College of Islamic Finance, Economics &amp; Waqf Administration.</w:t>
      </w:r>
    </w:p>
    <w:p>
      <w:pPr>
        <w:pStyle w:val="SectionKicker"/>
      </w:pPr>
      <w:r>
        <w:t xml:space="preserve">Article X · Section 10.3</w:t>
      </w:r>
    </w:p>
    <w:bookmarkEnd w:id="89"/>
    <w:bookmarkStart w:id="90"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0"/>
    <w:bookmarkStart w:id="91"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1"/>
    <w:bookmarkStart w:id="92"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6"/>
        </w:numPr>
        <w:pStyle w:val="Compact"/>
        <w:jc w:val="both"/>
      </w:pPr>
      <w:r>
        <w:t xml:space="preserve">Scholarships;</w:t>
      </w:r>
    </w:p>
    <w:p>
      <w:pPr>
        <w:numPr>
          <w:ilvl w:val="0"/>
          <w:numId w:val="1026"/>
        </w:numPr>
        <w:pStyle w:val="Compact"/>
        <w:jc w:val="both"/>
      </w:pPr>
      <w:r>
        <w:t xml:space="preserve">Support for schools and mosques;</w:t>
      </w:r>
    </w:p>
    <w:p>
      <w:pPr>
        <w:numPr>
          <w:ilvl w:val="0"/>
          <w:numId w:val="1026"/>
        </w:numPr>
        <w:pStyle w:val="Compact"/>
        <w:jc w:val="both"/>
      </w:pPr>
      <w:r>
        <w:t xml:space="preserve">Support for widows and orphans;</w:t>
      </w:r>
    </w:p>
    <w:p>
      <w:pPr>
        <w:numPr>
          <w:ilvl w:val="0"/>
          <w:numId w:val="1026"/>
        </w:numPr>
        <w:pStyle w:val="Compact"/>
        <w:jc w:val="both"/>
      </w:pPr>
      <w:r>
        <w:t xml:space="preserve">Nigeria Mega-University Initiative;</w:t>
      </w:r>
    </w:p>
    <w:p>
      <w:pPr>
        <w:numPr>
          <w:ilvl w:val="0"/>
          <w:numId w:val="1026"/>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2"/>
    <w:bookmarkStart w:id="93"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3"/>
    <w:bookmarkStart w:id="94"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27"/>
        </w:numPr>
        <w:pStyle w:val="Compact"/>
        <w:jc w:val="both"/>
      </w:pPr>
      <w:r>
        <w:t xml:space="preserve">Receive quality education;</w:t>
      </w:r>
    </w:p>
    <w:p>
      <w:pPr>
        <w:numPr>
          <w:ilvl w:val="0"/>
          <w:numId w:val="1027"/>
        </w:numPr>
        <w:pStyle w:val="Compact"/>
        <w:jc w:val="both"/>
      </w:pPr>
      <w:r>
        <w:t xml:space="preserve">Be treated with dignity and respect;</w:t>
      </w:r>
    </w:p>
    <w:p>
      <w:pPr>
        <w:numPr>
          <w:ilvl w:val="0"/>
          <w:numId w:val="1027"/>
        </w:numPr>
        <w:pStyle w:val="Compact"/>
        <w:jc w:val="both"/>
      </w:pPr>
      <w:r>
        <w:t xml:space="preserve">Access University facilities and resources;</w:t>
      </w:r>
    </w:p>
    <w:p>
      <w:pPr>
        <w:numPr>
          <w:ilvl w:val="0"/>
          <w:numId w:val="1027"/>
        </w:numPr>
        <w:pStyle w:val="Compact"/>
        <w:jc w:val="both"/>
      </w:pPr>
      <w:r>
        <w:t xml:space="preserve">Participate in student governance;</w:t>
      </w:r>
    </w:p>
    <w:p>
      <w:pPr>
        <w:numPr>
          <w:ilvl w:val="0"/>
          <w:numId w:val="1027"/>
        </w:numPr>
        <w:pStyle w:val="Compact"/>
        <w:jc w:val="both"/>
      </w:pPr>
      <w:r>
        <w:t xml:space="preserve">Appeal academic decisions;</w:t>
      </w:r>
    </w:p>
    <w:p>
      <w:pPr>
        <w:numPr>
          <w:ilvl w:val="0"/>
          <w:numId w:val="1027"/>
        </w:numPr>
        <w:pStyle w:val="Compact"/>
        <w:jc w:val="both"/>
      </w:pPr>
      <w:r>
        <w:t xml:space="preserve">Express their views, subject to Islamic values.</w:t>
      </w:r>
    </w:p>
    <w:p>
      <w:pPr>
        <w:pStyle w:val="SectionKicker"/>
      </w:pPr>
      <w:r>
        <w:t xml:space="preserve">Article XII · Section 12.3</w:t>
      </w:r>
    </w:p>
    <w:bookmarkEnd w:id="94"/>
    <w:bookmarkStart w:id="95"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28"/>
        </w:numPr>
        <w:pStyle w:val="Compact"/>
        <w:jc w:val="both"/>
      </w:pPr>
      <w:r>
        <w:t xml:space="preserve">Upholding the University’s values;</w:t>
      </w:r>
    </w:p>
    <w:p>
      <w:pPr>
        <w:numPr>
          <w:ilvl w:val="0"/>
          <w:numId w:val="1028"/>
        </w:numPr>
        <w:pStyle w:val="Compact"/>
        <w:jc w:val="both"/>
      </w:pPr>
      <w:r>
        <w:t xml:space="preserve">Maintaining academic integrity;</w:t>
      </w:r>
    </w:p>
    <w:p>
      <w:pPr>
        <w:numPr>
          <w:ilvl w:val="0"/>
          <w:numId w:val="1028"/>
        </w:numPr>
        <w:pStyle w:val="Compact"/>
        <w:jc w:val="both"/>
      </w:pPr>
      <w:r>
        <w:t xml:space="preserve">Respecting fellow students and faculty;</w:t>
      </w:r>
    </w:p>
    <w:p>
      <w:pPr>
        <w:numPr>
          <w:ilvl w:val="0"/>
          <w:numId w:val="1028"/>
        </w:numPr>
        <w:pStyle w:val="Compact"/>
        <w:jc w:val="both"/>
      </w:pPr>
      <w:r>
        <w:t xml:space="preserve">Complying with University policies;</w:t>
      </w:r>
    </w:p>
    <w:p>
      <w:pPr>
        <w:numPr>
          <w:ilvl w:val="0"/>
          <w:numId w:val="1028"/>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5"/>
    <w:bookmarkStart w:id="96"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6"/>
    <w:bookmarkStart w:id="97"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29"/>
        </w:numPr>
        <w:pStyle w:val="Compact"/>
        <w:jc w:val="both"/>
      </w:pPr>
      <w:r>
        <w:t xml:space="preserve">Upholding academic standards;</w:t>
      </w:r>
    </w:p>
    <w:p>
      <w:pPr>
        <w:numPr>
          <w:ilvl w:val="0"/>
          <w:numId w:val="1029"/>
        </w:numPr>
        <w:pStyle w:val="Compact"/>
        <w:jc w:val="both"/>
      </w:pPr>
      <w:r>
        <w:t xml:space="preserve">Providing quality instruction;</w:t>
      </w:r>
    </w:p>
    <w:p>
      <w:pPr>
        <w:numPr>
          <w:ilvl w:val="0"/>
          <w:numId w:val="1029"/>
        </w:numPr>
        <w:pStyle w:val="Compact"/>
        <w:jc w:val="both"/>
      </w:pPr>
      <w:r>
        <w:t xml:space="preserve">Advising students;</w:t>
      </w:r>
    </w:p>
    <w:p>
      <w:pPr>
        <w:numPr>
          <w:ilvl w:val="0"/>
          <w:numId w:val="1029"/>
        </w:numPr>
        <w:pStyle w:val="Compact"/>
        <w:jc w:val="both"/>
      </w:pPr>
      <w:r>
        <w:t xml:space="preserve">Engaging in research and scholarship;</w:t>
      </w:r>
    </w:p>
    <w:p>
      <w:pPr>
        <w:numPr>
          <w:ilvl w:val="0"/>
          <w:numId w:val="1029"/>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7"/>
    <w:bookmarkStart w:id="98"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98"/>
    <w:bookmarkStart w:id="99"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99"/>
    <w:bookmarkStart w:id="100"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0"/>
    <w:bookmarkStart w:id="101"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0"/>
        </w:numPr>
        <w:pStyle w:val="Compact"/>
        <w:jc w:val="both"/>
      </w:pPr>
      <w:r>
        <w:t xml:space="preserve">Financial statements;</w:t>
      </w:r>
    </w:p>
    <w:p>
      <w:pPr>
        <w:numPr>
          <w:ilvl w:val="0"/>
          <w:numId w:val="1030"/>
        </w:numPr>
        <w:pStyle w:val="Compact"/>
        <w:jc w:val="both"/>
      </w:pPr>
      <w:r>
        <w:t xml:space="preserve">Enrollment data;</w:t>
      </w:r>
    </w:p>
    <w:p>
      <w:pPr>
        <w:numPr>
          <w:ilvl w:val="0"/>
          <w:numId w:val="1030"/>
        </w:numPr>
        <w:pStyle w:val="Compact"/>
        <w:jc w:val="both"/>
      </w:pPr>
      <w:r>
        <w:t xml:space="preserve">Program highlights;</w:t>
      </w:r>
    </w:p>
    <w:p>
      <w:pPr>
        <w:numPr>
          <w:ilvl w:val="0"/>
          <w:numId w:val="1030"/>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1"/>
    <w:bookmarkStart w:id="102"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2"/>
    <w:bookmarkStart w:id="103"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3"/>
    <w:bookmarkStart w:id="104"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4"/>
    <w:bookmarkStart w:id="105"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5"/>
    <w:bookmarkStart w:id="106"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6"/>
    <w:bookmarkStart w:id="107"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7"/>
    <w:bookmarkStart w:id="108"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08"/>
    <w:bookmarkStart w:id="109"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09"/>
    <w:bookmarkStart w:id="110"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0"/>
    <w:bookmarkStart w:id="111"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1"/>
    <w:bookmarkStart w:id="112"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2"/>
    <w:bookmarkStart w:id="113"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3"/>
    <w:bookmarkStart w:id="114"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4"/>
    <w:bookmarkStart w:id="115"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5"/>
    <w:bookmarkStart w:id="116"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6"/>
    <w:bookmarkStart w:id="117"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7"/>
    <w:bookmarkStart w:id="118"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18"/>
    <w:bookmarkStart w:id="119"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19"/>
    <w:bookmarkStart w:id="120"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20"/>
    <w:bookmarkStart w:id="121" w:name="publication-certification-statement"/>
    <w:p>
      <w:pPr>
        <w:pStyle w:val="Heading2"/>
      </w:pPr>
      <w:r>
        <w:t xml:space="preserve">Publication Certification Statement</w:t>
      </w:r>
    </w:p>
    <w:p>
      <w:pPr>
        <w:pStyle w:val="FirstParagraph"/>
        <w:jc w:val="both"/>
      </w:pPr>
      <w:r>
        <w:t xml:space="preserve">Before typesetting, this Constitution underwent a structured editorial review by the AMIU Office of Institutional Planning, examining every Article for numbering consistency, duplicated provisions, missing or inconsistent cross-references, table formatting, and governance ambiguity — the same standard of scrutiny applied to the University’s Strategic Implementation Blueprint (AMIU-SB-002).</w:t>
      </w:r>
    </w:p>
    <w:p>
      <w:pPr>
        <w:pStyle w:val="BodyText"/>
        <w:jc w:val="both"/>
      </w:pPr>
      <w:r>
        <w:rPr>
          <w:bCs/>
          <w:b/>
        </w:rPr>
        <w:t xml:space="preserve">Issues found and corrected:</w:t>
      </w:r>
    </w:p>
    <w:p>
      <w:pPr>
        <w:numPr>
          <w:ilvl w:val="0"/>
          <w:numId w:val="1031"/>
        </w:numPr>
        <w:pStyle w:val="Compact"/>
        <w:jc w:val="both"/>
      </w:pPr>
      <w:r>
        <w:rPr>
          <w:bCs/>
          <w:b/>
        </w:rPr>
        <w:t xml:space="preserve">Cross-document terminology.</w:t>
      </w:r>
      <w:r>
        <w:t xml:space="preserve"> </w:t>
      </w:r>
      <w:r>
        <w:t xml:space="preserve">“</w:t>
      </w:r>
      <w:r>
        <w:t xml:space="preserve">DVC Administration &amp; Finance</w:t>
      </w:r>
      <w:r>
        <w:t xml:space="preserve">”</w:t>
      </w:r>
      <w:r>
        <w:t xml:space="preserve"> </w:t>
      </w:r>
      <w:r>
        <w:t xml:space="preserve">was standardized to</w:t>
      </w:r>
      <w:r>
        <w:t xml:space="preserve"> </w:t>
      </w:r>
      <w:r>
        <w:t xml:space="preserve">“</w:t>
      </w:r>
      <w:r>
        <w:t xml:space="preserve">DVC Admin &amp; Finance</w:t>
      </w:r>
      <w:r>
        <w:t xml:space="preserve">”</w:t>
      </w:r>
      <w:r>
        <w:t xml:space="preserve"> </w:t>
      </w:r>
      <w:r>
        <w:t xml:space="preserve">throughout, matching the term already adopted in the Blueprint — the one genuine inconsistency found between the University’s two flagship publications.</w:t>
      </w:r>
    </w:p>
    <w:p>
      <w:pPr>
        <w:numPr>
          <w:ilvl w:val="0"/>
          <w:numId w:val="1031"/>
        </w:numPr>
        <w:pStyle w:val="Compact"/>
        <w:jc w:val="both"/>
      </w:pPr>
      <w:r>
        <w:rPr>
          <w:bCs/>
          <w:b/>
        </w:rPr>
        <w:t xml:space="preserve">Citation style.</w:t>
      </w:r>
      <w:r>
        <w:t xml:space="preserve"> </w:t>
      </w:r>
      <w:r>
        <w:t xml:space="preserve">Section 6.3.1.3 cited</w:t>
      </w:r>
      <w:r>
        <w:t xml:space="preserve"> </w:t>
      </w:r>
      <w:r>
        <w:t xml:space="preserve">“</w:t>
      </w:r>
      <w:r>
        <w:t xml:space="preserve">Article 3, Section 3.3,</w:t>
      </w:r>
      <w:r>
        <w:t xml:space="preserve">”</w:t>
      </w:r>
      <w:r>
        <w:t xml:space="preserve"> </w:t>
      </w:r>
      <w:r>
        <w:t xml:space="preserve">the only provision in the document using that verbose form; normalized to</w:t>
      </w:r>
      <w:r>
        <w:t xml:space="preserve"> </w:t>
      </w:r>
      <w:r>
        <w:t xml:space="preserve">“</w:t>
      </w:r>
      <w:r>
        <w:t xml:space="preserve">Section 3.3</w:t>
      </w:r>
      <w:r>
        <w:t xml:space="preserve">”</w:t>
      </w:r>
      <w:r>
        <w:t xml:space="preserve"> </w:t>
      </w:r>
      <w:r>
        <w:t xml:space="preserve">to match the citation convention used everywhere else.</w:t>
      </w:r>
    </w:p>
    <w:p>
      <w:pPr>
        <w:numPr>
          <w:ilvl w:val="0"/>
          <w:numId w:val="1031"/>
        </w:numPr>
        <w:pStyle w:val="Compact"/>
        <w:jc w:val="both"/>
      </w:pPr>
      <w:r>
        <w:rPr>
          <w:bCs/>
          <w:b/>
        </w:rPr>
        <w:t xml:space="preserve">A genuine due-process gap.</w:t>
      </w:r>
      <w:r>
        <w:t xml:space="preserve"> </w:t>
      </w:r>
      <w:r>
        <w:t xml:space="preserve">Section 6.3.4.2 permitted the Board to</w:t>
      </w:r>
      <w:r>
        <w:t xml:space="preserve"> </w:t>
      </w:r>
      <w:r>
        <w:t xml:space="preserve">“</w:t>
      </w:r>
      <w:r>
        <w:t xml:space="preserve">disqualify</w:t>
      </w:r>
      <w:r>
        <w:t xml:space="preserve">”</w:t>
      </w:r>
      <w:r>
        <w:t xml:space="preserve"> </w:t>
      </w:r>
      <w:r>
        <w:t xml:space="preserve">a Trustee for cause (breach of fiduciary duty, misconduct, and similar grounds) with no defined procedure, while Section 6.4 required a two-thirds vote and a formal notice-and-hearing process for</w:t>
      </w:r>
      <w:r>
        <w:t xml:space="preserve"> </w:t>
      </w:r>
      <w:r>
        <w:t xml:space="preserve">“</w:t>
      </w:r>
      <w:r>
        <w:t xml:space="preserve">removal</w:t>
      </w:r>
      <w:r>
        <w:t xml:space="preserve">”</w:t>
      </w:r>
      <w:r>
        <w:t xml:space="preserve"> </w:t>
      </w:r>
      <w:r>
        <w:t xml:space="preserve">on the</w:t>
      </w:r>
      <w:r>
        <w:t xml:space="preserve"> </w:t>
      </w:r>
      <w:r>
        <w:rPr>
          <w:iCs/>
          <w:i/>
        </w:rPr>
        <w:t xml:space="preserve">same</w:t>
      </w:r>
      <w:r>
        <w:t xml:space="preserve"> </w:t>
      </w:r>
      <w:r>
        <w:t xml:space="preserve">grounds. As originally drafted, a Board could have bypassed the hearing protection simply by labeling the action</w:t>
      </w:r>
      <w:r>
        <w:t xml:space="preserve"> </w:t>
      </w:r>
      <w:r>
        <w:t xml:space="preserve">“</w:t>
      </w:r>
      <w:r>
        <w:t xml:space="preserve">disqualification</w:t>
      </w:r>
      <w:r>
        <w:t xml:space="preserve">”</w:t>
      </w:r>
      <w:r>
        <w:t xml:space="preserve"> </w:t>
      </w:r>
      <w:r>
        <w:t xml:space="preserve">rather than</w:t>
      </w:r>
      <w:r>
        <w:t xml:space="preserve"> </w:t>
      </w:r>
      <w:r>
        <w:t xml:space="preserve">“</w:t>
      </w:r>
      <w:r>
        <w:t xml:space="preserve">removal.</w:t>
      </w:r>
      <w:r>
        <w:t xml:space="preserve">”</w:t>
      </w:r>
      <w:r>
        <w:t xml:space="preserve"> </w:t>
      </w:r>
      <w:r>
        <w:t xml:space="preserve">Section 6.3.4.2 now expressly cross-references the Section 6.4 process, so the due-process protection actually governs.</w:t>
      </w:r>
    </w:p>
    <w:p>
      <w:pPr>
        <w:numPr>
          <w:ilvl w:val="0"/>
          <w:numId w:val="1031"/>
        </w:numPr>
        <w:pStyle w:val="Compact"/>
        <w:jc w:val="both"/>
      </w:pPr>
      <w:r>
        <w:rPr>
          <w:bCs/>
          <w:b/>
        </w:rPr>
        <w:t xml:space="preserve">Presentation order.</w:t>
      </w:r>
      <w:r>
        <w:t xml:space="preserve"> </w:t>
      </w:r>
      <w:r>
        <w:t xml:space="preserve">The Academic Ladder table (Section 10.1.1) was reordered from highest-credential-first to ascending, foundation-to-summit order, consistent with its own</w:t>
      </w:r>
      <w:r>
        <w:t xml:space="preserve"> </w:t>
      </w:r>
      <w:r>
        <w:t xml:space="preserve">“</w:t>
      </w:r>
      <w:r>
        <w:t xml:space="preserve">stackable ladder</w:t>
      </w:r>
      <w:r>
        <w:t xml:space="preserve">”</w:t>
      </w:r>
      <w:r>
        <w:t xml:space="preserve"> </w:t>
      </w:r>
      <w:r>
        <w:t xml:space="preserve">language (Sections 10.1.2–10.1.3) and with the matching figure in the Blueprint.</w:t>
      </w:r>
    </w:p>
    <w:p>
      <w:pPr>
        <w:pStyle w:val="FirstParagraph"/>
        <w:jc w:val="both"/>
      </w:pPr>
      <w:r>
        <w:rPr>
          <w:bCs/>
          <w:b/>
        </w:rPr>
        <w:t xml:space="preserve">Reviewed and deliberately left unchanged</w:t>
      </w:r>
      <w:r>
        <w:t xml:space="preserve">, because they are not errors: the repeated Section 501(c)(3)/170(c)(2) boilerplate across Sections 2.2, 20.1, and 21.3, which is standard, IRS-expected redundancy in real nonprofit governing documents, not accidental duplication; and Section 5.1’s numbered governance table, which could read as placing the Senate beneath the President in a strict chain of command until Section 8.1.3 is reached, which expressly reconciles it as a reporting line rather than an authority ranking. The Governance Architecture figure (Figure C1) was designed to present the Board and Senate as co-equal chambers for exactly this reason, rather than as a top-down hierarchy.</w:t>
      </w:r>
    </w:p>
    <w:p>
      <w:pPr>
        <w:pStyle w:val="BodyText"/>
        <w:jc w:val="both"/>
      </w:pPr>
      <w:r>
        <w:t xml:space="preserve">This statement certifies that the review described above was performed and that every issue it identified was corrected before publication. It does not certify — and no review of a legal document this dense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1"/>
    <w:bookmarkEnd w:id="122"/>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Constitution · Flagship Governance Edition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2026-07-26T14:58:38Z</dcterms:created>
  <dcterms:modified xsi:type="dcterms:W3CDTF">2026-07-26T14:58:38Z</dcterms:modified>
</cp:coreProperties>
</file>

<file path=docProps/custom.xml><?xml version="1.0" encoding="utf-8"?>
<Properties xmlns="http://schemas.openxmlformats.org/officeDocument/2006/custom-properties" xmlns:vt="http://schemas.openxmlformats.org/officeDocument/2006/docPropsVTypes"/>
</file>