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400"/>
        <w:jc w:val="center"/>
      </w:pPr>
      <w:r>
        <w:rPr>
          <w:rFonts w:ascii="Aref Ruqaa" w:cs="Aref Ruqaa" w:eastAsia="Aref Ruqaa" w:hAnsi="Aref Ruqaa"/>
          <w:b/>
          <w:bCs/>
          <w:i w:val="false"/>
          <w:iCs w:val="false"/>
          <w:color w:val="0A1830"/>
          <w:sz w:val="68"/>
          <w:szCs w:val="68"/>
          <w:rtl/>
        </w:rPr>
        <w:t xml:space="preserve">فصول الأمة</w:t>
      </w:r>
    </w:p>
    <w:p>
      <w:pPr>
        <w:bidi/>
        <w:spacing w:after="260" w:before="0" w:line="300"/>
        <w:jc w:val="center"/>
      </w:pPr>
      <w:r>
        <w:rPr>
          <w:rFonts w:ascii="Amiri" w:cs="Amiri" w:eastAsia="Amiri" w:hAnsi="Amiri"/>
          <w:b/>
          <w:bCs/>
          <w:i w:val="false"/>
          <w:iCs w:val="false"/>
          <w:color w:val="8A6A1F"/>
          <w:sz w:val="24"/>
          <w:szCs w:val="24"/>
          <w:rtl/>
        </w:rPr>
        <w:t xml:space="preserve">شرح أصول السنة للإمام أحمد بن حنبل رضي الله عنه</w:t>
      </w:r>
    </w:p>
    <w:p>
      <w:pPr>
        <w:pBdr>
          <w:top w:val="single" w:color="C39A3C" w:sz="4" w:space="12"/>
          <w:bottom w:val="single" w:color="C39A3C" w:sz="4" w:space="12"/>
        </w:pBdr>
        <w:bidi/>
        <w:spacing w:after="500" w:before="0" w:line="300"/>
        <w:jc w:val="center"/>
      </w:pPr>
      <w:r>
        <w:rPr>
          <w:rFonts w:ascii="Amiri" w:cs="Amiri" w:eastAsia="Amiri" w:hAnsi="Amiri"/>
          <w:b w:val="false"/>
          <w:bCs w:val="false"/>
          <w:i w:val="false"/>
          <w:iCs w:val="false"/>
          <w:color w:val="C39A3C"/>
          <w:sz w:val="28"/>
          <w:szCs w:val="28"/>
          <w:rtl/>
        </w:rPr>
        <w:t xml:space="preserve">۞</w:t>
      </w:r>
    </w:p>
    <w:p>
      <w:pPr>
        <w:bidi/>
        <w:spacing w:after="60" w:before="0" w:line="300"/>
        <w:jc w:val="center"/>
      </w:pPr>
      <w:r>
        <w:rPr>
          <w:rFonts w:ascii="Amiri" w:cs="Amiri" w:eastAsia="Amiri" w:hAnsi="Amiri"/>
          <w:b w:val="false"/>
          <w:bCs w:val="false"/>
          <w:i w:val="false"/>
          <w:iCs w:val="false"/>
          <w:color w:val="8A6A1F"/>
          <w:sz w:val="18"/>
          <w:szCs w:val="18"/>
          <w:rtl/>
        </w:rPr>
        <w:t xml:space="preserve">شرح وتعليق</w:t>
      </w:r>
    </w:p>
    <w:p>
      <w:pPr>
        <w:bidi/>
        <w:spacing w:after="40" w:before="0" w:line="300"/>
        <w:jc w:val="center"/>
      </w:pPr>
      <w:r>
        <w:rPr>
          <w:rFonts w:ascii="Amiri" w:cs="Amiri" w:eastAsia="Amiri" w:hAnsi="Amiri"/>
          <w:b w:val="false"/>
          <w:bCs w:val="false"/>
          <w:i/>
          <w:iCs/>
          <w:color w:val="6B6152"/>
          <w:sz w:val="16"/>
          <w:szCs w:val="16"/>
          <w:rtl/>
        </w:rPr>
        <w:t xml:space="preserve">راجي عفو ربه الغفور</w:t>
      </w:r>
    </w:p>
    <w:p>
      <w:pPr>
        <w:bidi/>
        <w:spacing w:after="340" w:before="0" w:line="300"/>
        <w:jc w:val="center"/>
      </w:pPr>
      <w:r>
        <w:rPr>
          <w:rFonts w:ascii="Amiri" w:cs="Amiri" w:eastAsia="Amiri" w:hAnsi="Amiri"/>
          <w:b/>
          <w:bCs/>
          <w:i w:val="false"/>
          <w:iCs w:val="false"/>
          <w:color w:val="0A1830"/>
          <w:sz w:val="30"/>
          <w:szCs w:val="30"/>
          <w:rtl/>
        </w:rPr>
        <w:t xml:space="preserve">أحمد بن إبراهيم السليمي</w:t>
      </w:r>
    </w:p>
    <w:p>
      <w:pPr>
        <w:bidi/>
        <w:spacing w:after="200" w:before="0" w:line="300"/>
        <w:jc w:val="center"/>
      </w:pPr>
      <w:r>
        <w:rPr>
          <w:rFonts w:ascii="Amiri" w:cs="Amiri" w:eastAsia="Amiri" w:hAnsi="Amiri"/>
          <w:b w:val="false"/>
          <w:bCs w:val="false"/>
          <w:i w:val="false"/>
          <w:iCs w:val="false"/>
          <w:color w:val="6B6152"/>
          <w:sz w:val="15"/>
          <w:szCs w:val="15"/>
          <w:rtl/>
        </w:rPr>
        <w:t xml:space="preserve">سلسلة مؤلفات الإمام أحمد بن إبراهيم السليمي · الكتاب (50)</w:t>
      </w:r>
    </w:p>
    <w:p>
      <w:pPr>
        <w:bidi/>
        <w:spacing w:after="260" w:before="0" w:line="300"/>
        <w:jc w:val="center"/>
      </w:pPr>
      <w:r>
        <w:rPr>
          <w:rFonts w:ascii="Amiri" w:cs="Amiri" w:eastAsia="Amiri" w:hAnsi="Amiri"/>
          <w:b/>
          <w:bCs/>
          <w:i w:val="false"/>
          <w:iCs w:val="false"/>
          <w:color w:val="8A6A1F"/>
          <w:sz w:val="18"/>
          <w:szCs w:val="18"/>
          <w:rtl/>
        </w:rPr>
        <w:t xml:space="preserve">النسخة الملكية الفاخرة</w:t>
      </w:r>
    </w:p>
    <w:p>
      <w:pPr>
        <w:spacing w:after="16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bidi/>
        <w:spacing w:after="40" w:before="0" w:line="300"/>
        <w:jc w:val="center"/>
      </w:pPr>
      <w:r>
        <w:rPr>
          <w:rFonts w:ascii="Amiri" w:cs="Amiri" w:eastAsia="Amiri" w:hAnsi="Amiri"/>
          <w:b/>
          <w:bCs/>
          <w:i w:val="false"/>
          <w:iCs w:val="false"/>
          <w:color w:val="8A6A1F"/>
          <w:sz w:val="19"/>
          <w:szCs w:val="19"/>
          <w:rtl/>
        </w:rPr>
        <w:t xml:space="preserve">جامعة الملك العالمية</w:t>
      </w:r>
    </w:p>
    <w:p>
      <w:pPr>
        <w:bidi/>
        <w:spacing w:after="200" w:before="0" w:line="300"/>
        <w:jc w:val="center"/>
      </w:pPr>
      <w:r>
        <w:rPr>
          <w:rFonts w:ascii="Amiri" w:cs="Amiri" w:eastAsia="Amiri" w:hAnsi="Amiri"/>
          <w:b w:val="false"/>
          <w:bCs w:val="false"/>
          <w:i w:val="false"/>
          <w:iCs w:val="false"/>
          <w:color w:val="6B6152"/>
          <w:sz w:val="16"/>
          <w:szCs w:val="16"/>
          <w:rtl/>
        </w:rPr>
        <w:t xml:space="preserve">Al-Mulk International University</w:t>
      </w:r>
    </w:p>
    <w:p>
      <w:r>
        <w:br w:type="page"/>
      </w:r>
    </w:p>
    <w:p>
      <w:pPr>
        <w:spacing w:after="1200"/>
      </w:pPr>
    </w:p>
    <w:p>
      <w:pPr>
        <w:bidi/>
        <w:spacing w:after="400" w:before="0" w:line="300"/>
        <w:jc w:val="center"/>
      </w:pPr>
      <w:r>
        <w:rPr>
          <w:rFonts w:ascii="Amiri Quran" w:cs="Amiri Quran" w:eastAsia="Amiri Quran" w:hAnsi="Amiri Quran"/>
          <w:b w:val="false"/>
          <w:bCs w:val="false"/>
          <w:i w:val="false"/>
          <w:iCs w:val="false"/>
          <w:color w:val="0D2143"/>
          <w:sz w:val="26"/>
          <w:szCs w:val="26"/>
          <w:rtl/>
        </w:rPr>
        <w:t xml:space="preserve">بِسْمِ اللَّهِ الرَّحْمَٰنِ الرَّحِيمِ</w:t>
      </w:r>
    </w:p>
    <w:p>
      <w:pPr>
        <w:bidi/>
        <w:spacing w:after="300"/>
        <w:jc w:val="center"/>
      </w:pPr>
      <w:r>
        <w:rPr>
          <w:rFonts w:ascii="Aref Ruqaa" w:cs="Aref Ruqaa" w:eastAsia="Aref Ruqaa" w:hAnsi="Aref Ruqaa"/>
          <w:b/>
          <w:bCs/>
          <w:i w:val="false"/>
          <w:iCs w:val="false"/>
          <w:color w:val="0A1830"/>
          <w:sz w:val="52"/>
          <w:szCs w:val="52"/>
          <w:rtl/>
        </w:rPr>
        <w:t xml:space="preserve">فصول الأمة</w:t>
      </w:r>
    </w:p>
    <w:p>
      <w:pPr>
        <w:bidi/>
        <w:spacing w:after="100" w:before="0" w:line="300"/>
        <w:jc w:val="center"/>
      </w:pPr>
      <w:r>
        <w:rPr>
          <w:rFonts w:ascii="Amiri" w:cs="Amiri" w:eastAsia="Amiri" w:hAnsi="Amiri"/>
          <w:b w:val="false"/>
          <w:bCs w:val="false"/>
          <w:i w:val="false"/>
          <w:iCs w:val="false"/>
          <w:color w:val="8A6A1F"/>
          <w:sz w:val="20"/>
          <w:szCs w:val="20"/>
          <w:rtl/>
        </w:rPr>
        <w:t xml:space="preserve">شرح أصول السنة للإمام أحمد بن حنبل رضي الله عنه</w:t>
      </w:r>
    </w:p>
    <w:p>
      <w:pPr>
        <w:bidi/>
        <w:spacing w:after="0" w:before="0" w:line="300"/>
        <w:jc w:val="center"/>
      </w:pPr>
      <w:r>
        <w:rPr>
          <w:rFonts w:ascii="Amiri" w:cs="Amiri" w:eastAsia="Amiri" w:hAnsi="Amiri"/>
          <w:b w:val="false"/>
          <w:bCs w:val="false"/>
          <w:i w:val="false"/>
          <w:iCs w:val="false"/>
          <w:color w:val="8A6A1F"/>
          <w:sz w:val="20"/>
          <w:szCs w:val="20"/>
          <w:rtl/>
        </w:rPr>
        <w:t xml:space="preserve">شرح وتعليق: راجي عفو ربه الغفور أحمد بن إبراهيم السليمي</w:t>
      </w:r>
    </w:p>
    <w:p>
      <w:r>
        <w:br w:type="page"/>
      </w:r>
    </w:p>
    <w:p>
      <w:pPr>
        <w:pStyle w:val="Heading1"/>
        <w:pageBreakBefore/>
        <w:bidi/>
        <w:spacing w:after="200" w:before="0"/>
        <w:jc w:val="right"/>
      </w:pPr>
      <w:bookmarkStart w:name="bm_1" w:id="1000"/>
      <w:r>
        <w:rPr>
          <w:rFonts w:ascii="Aref Ruqaa" w:cs="Aref Ruqaa" w:eastAsia="Aref Ruqaa" w:hAnsi="Aref Ruqaa"/>
          <w:b/>
          <w:bCs/>
          <w:i w:val="false"/>
          <w:iCs w:val="false"/>
          <w:color w:val="0D2143"/>
          <w:sz w:val="32"/>
          <w:szCs w:val="32"/>
          <w:rtl/>
        </w:rPr>
        <w:t xml:space="preserve">بيانات النشر</w:t>
      </w:r>
      <w:bookmarkEnd w:id="1000"/>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عنوان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فصول الأمة: شرح أصول السنة</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الشرح على متن</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أصول السنة، للإمام أحمد بن محمد بن حنبل الشيباني رحمه الله (١٦٤-٢٤١هـ)</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الشارح</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الناشر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جامعة الملك العالمية — Al-Mulk International University</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السلسلة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سلسلة مؤلفات الإمام أحمد بن إبراهيم السليمي — الكتاب (50)</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الإصدار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النسخة الملكية الفاخرة</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الطبعة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الطبعة الأولى — First Edition, 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رقم الإيداع / ISBN</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ISBN 978-1-7345678-3-0</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سنة النشر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جميع الحقوق محفوظة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لا يجوز نسخ أي جزء من هذا الكتاب أو نقله بأي شكل من الأشكال إلا بإذن خطي من الشارح، فيما عدا الاستشهاد العلمي بالإشارة إلى المصدر</w:t>
            </w:r>
          </w:p>
        </w:tc>
      </w:tr>
    </w:tbl>
    <w:p>
      <w:pPr>
        <w:spacing w:after="160"/>
      </w:pP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
      رقم الإيداع الدولي (ISBN) والطبعة وسنة النشر مثبتة أعلاه لهذه الطبعة. يُستكمل رقم الإيداع المحلي من الناشر المعتمد قبل الطباعة النهائية، ولم تُدرَج بيانات افتراضية تجنّباً لأي معلومة غير موثقة.
    </w:t>
            </w:r>
          </w:p>
        </w:tc>
      </w:tr>
    </w:tbl>
    <w:p>
      <w:pPr>
        <w:spacing w:after="140"/>
      </w:pPr>
    </w:p>
    <w:p>
      <w:pPr>
        <w:pStyle w:val="Heading1"/>
        <w:pageBreakBefore/>
        <w:bidi/>
        <w:spacing w:after="200" w:before="0"/>
        <w:jc w:val="right"/>
      </w:pPr>
      <w:bookmarkStart w:name="bm_2" w:id="1001"/>
      <w:r>
        <w:rPr>
          <w:rFonts w:ascii="Aref Ruqaa" w:cs="Aref Ruqaa" w:eastAsia="Aref Ruqaa" w:hAnsi="Aref Ruqaa"/>
          <w:b/>
          <w:bCs/>
          <w:i w:val="false"/>
          <w:iCs w:val="false"/>
          <w:color w:val="0D2143"/>
          <w:sz w:val="32"/>
          <w:szCs w:val="32"/>
          <w:rtl/>
        </w:rPr>
        <w:t xml:space="preserve">تقريظات وتوصيات علمية</w:t>
      </w:r>
      <w:bookmarkEnd w:id="1001"/>
    </w:p>
    <w:p>
      <w:pPr>
        <w:bidi/>
        <w:spacing w:after="140" w:before="0" w:line="300"/>
        <w:jc w:val="both"/>
      </w:pPr>
      <w:r>
        <w:rPr>
          <w:rFonts w:ascii="Amiri" w:cs="Amiri" w:eastAsia="Amiri" w:hAnsi="Amiri"/>
          <w:b w:val="false"/>
          <w:bCs w:val="false"/>
          <w:i w:val="false"/>
          <w:iCs w:val="false"/>
          <w:color w:val="181410"/>
          <w:sz w:val="22"/>
          <w:szCs w:val="22"/>
          <w:rtl/>
        </w:rPr>
        <w:t xml:space="preserve">
      مكان مخصص لتقريظات العلماء والمؤسسات العلمية والدور الإفتائية التي تراجع الكتاب وتوصي به. تُضاف هذه التقريظات بنصوصها الرسمية وتوقيعات أصحابها عند توفرها من الجهات المعنية، حفاظاً على دقة النسبة العلمية.
    </w:t>
      </w:r>
    </w:p>
    <w:p>
      <w:pPr>
        <w:pStyle w:val="Heading1"/>
        <w:pageBreakBefore/>
        <w:bidi/>
        <w:spacing w:after="200" w:before="0"/>
        <w:jc w:val="right"/>
      </w:pPr>
      <w:bookmarkStart w:name="bm_3" w:id="1002"/>
      <w:r>
        <w:rPr>
          <w:rFonts w:ascii="Aref Ruqaa" w:cs="Aref Ruqaa" w:eastAsia="Aref Ruqaa" w:hAnsi="Aref Ruqaa"/>
          <w:b/>
          <w:bCs/>
          <w:i w:val="false"/>
          <w:iCs w:val="false"/>
          <w:color w:val="0D2143"/>
          <w:sz w:val="32"/>
          <w:szCs w:val="32"/>
          <w:rtl/>
        </w:rPr>
        <w:t xml:space="preserve">عن الإمام أحمد بن حنبل وعن الشارح</w:t>
      </w:r>
      <w:bookmarkEnd w:id="1002"/>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صاحب المتن</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الإمام أحمد بن محمد بن حنبل الشيباني، أبو عبد الله، إمام أهل السنة والجماعة في زمانه، صاحب المسند، وأحد الأئمة الأربعة المتبوعين، ثبت في محنة خلق القرآن حتى توفي رحمه الله ببغداد سنة 241هـ.</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الشارح</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 — تُستكمل السيرة العلمية والمسار الإسنادي من المؤلف</w:t>
            </w:r>
          </w:p>
        </w:tc>
      </w:tr>
    </w:tbl>
    <w:p>
      <w:pPr>
        <w:spacing w:after="160"/>
      </w:pPr>
    </w:p>
    <w:p>
      <w:pPr>
        <w:pStyle w:val="Heading1"/>
        <w:pageBreakBefore/>
        <w:bidi/>
        <w:spacing w:after="200" w:before="0"/>
        <w:jc w:val="right"/>
      </w:pPr>
      <w:bookmarkStart w:name="bm_4" w:id="1003"/>
      <w:r>
        <w:rPr>
          <w:rFonts w:ascii="Aref Ruqaa" w:cs="Aref Ruqaa" w:eastAsia="Aref Ruqaa" w:hAnsi="Aref Ruqaa"/>
          <w:b/>
          <w:bCs/>
          <w:i w:val="false"/>
          <w:iCs w:val="false"/>
          <w:color w:val="0D2143"/>
          <w:sz w:val="32"/>
          <w:szCs w:val="32"/>
          <w:rtl/>
        </w:rPr>
        <w:t xml:space="preserve">ملاحظة تحريرية</w:t>
      </w:r>
      <w:bookmarkEnd w:id="1003"/>
    </w:p>
    <w:p>
      <w:pPr>
        <w:bidi/>
        <w:spacing w:after="140" w:before="0" w:line="300"/>
        <w:jc w:val="both"/>
      </w:pPr>
      <w:r>
        <w:rPr>
          <w:rFonts w:ascii="Amiri" w:cs="Amiri" w:eastAsia="Amiri" w:hAnsi="Amiri"/>
          <w:b w:val="false"/>
          <w:bCs w:val="false"/>
          <w:i w:val="false"/>
          <w:iCs w:val="false"/>
          <w:color w:val="181410"/>
          <w:sz w:val="22"/>
          <w:szCs w:val="22"/>
          <w:rtl/>
        </w:rPr>
        <w:t xml:space="preserve">
      أُعدت هذه النسخة الفاخرة على أساس شرح الشارح لمتن «أصول السنة» للإمام أحمد بن حنبل رحمه الله، مع الحفاظ التام على منهجه في التفسير والتوثيق. وقد رُوجعت الأحاديث والآثار الواردة فيه مراجعةً علمية دقيقة، فأُثبت ما صح توثيقه، وحُرر القول فيما اختُلف في تخريجه أو درجته بذكر ذلك صراحةً، تحرياً للأمانة العلمية وحفظاً لمقام الإمام أحمد رحمه الله من أن يُنسب إليه ما لم يثبت. كما استُكملت هذه الطبعة بتوسّع في شرح كل فقرة من فقرات الأصول الثمان والثلاثين، وبخاتمة جامعة، وبفهرس علمي دقيق.
    </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12/2/2026</w:t>
      </w:r>
    </w:p>
    <w:p>
      <w:pPr>
        <w:bidi/>
        <w:spacing w:after="140"/>
        <w:jc w:val="center"/>
      </w:pPr>
      <w:r>
        <w:rPr>
          <w:rFonts w:ascii="Aref Ruqaa" w:cs="Aref Ruqaa" w:eastAsia="Aref Ruqaa" w:hAnsi="Aref Ruqaa"/>
          <w:b/>
          <w:bCs/>
          <w:i w:val="false"/>
          <w:iCs w:val="false"/>
          <w:color w:val="0D2143"/>
          <w:sz w:val="26"/>
          <w:szCs w:val="26"/>
          <w:rtl/>
        </w:rPr>
        <w:t xml:space="preserve">أحمد بن إبراهيم السليمي</w:t>
      </w:r>
    </w:p>
    <w:p>
      <w:pPr>
        <w:pStyle w:val="Heading1"/>
        <w:pageBreakBefore/>
        <w:bidi/>
        <w:spacing w:after="160" w:before="0"/>
        <w:jc w:val="right"/>
      </w:pPr>
      <w:bookmarkStart w:name="bm_native_toc" w:id="1004"/>
      <w:r>
        <w:rPr>
          <w:rFonts w:ascii="Aref Ruqaa" w:cs="Aref Ruqaa" w:eastAsia="Aref Ruqaa" w:hAnsi="Aref Ruqaa"/>
          <w:b/>
          <w:bCs/>
          <w:i w:val="false"/>
          <w:iCs w:val="false"/>
          <w:color w:val="0D2143"/>
          <w:sz w:val="32"/>
          <w:szCs w:val="32"/>
          <w:rtl/>
        </w:rPr>
        <w:t xml:space="preserve">فهرس المحتويات</w:t>
      </w:r>
      <w:bookmarkEnd w:id="1004"/>
    </w:p>
    <w:p>
      <w:pPr>
        <w:bidi/>
        <w:spacing w:after="200" w:before="0" w:line="300"/>
        <w:jc w:val="right"/>
      </w:pPr>
      <w:r>
        <w:rPr>
          <w:rFonts w:ascii="Amiri" w:cs="Amiri" w:eastAsia="Amiri" w:hAnsi="Amiri"/>
          <w:b w:val="false"/>
          <w:bCs w:val="false"/>
          <w:i/>
          <w:iCs/>
          <w:color w:val="6B6152"/>
          <w:sz w:val="16"/>
          <w:szCs w:val="16"/>
          <w:rtl/>
        </w:rPr>
        <w:t xml:space="preserve">(اضغط بزر الماوس الأيمن على الفهرس ثم اختر "تحديث الحقل" لضبط أرقام الصفحات عند فتح المستند لأول مرة)</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pageBreakBefore/>
        <w:bidi/>
        <w:spacing w:after="200" w:before="0"/>
        <w:jc w:val="right"/>
      </w:pPr>
      <w:bookmarkStart w:name="bm_muqaddimah" w:id="1005"/>
      <w:r>
        <w:rPr>
          <w:rFonts w:ascii="Aref Ruqaa" w:cs="Aref Ruqaa" w:eastAsia="Aref Ruqaa" w:hAnsi="Aref Ruqaa"/>
          <w:b/>
          <w:bCs/>
          <w:i w:val="false"/>
          <w:iCs w:val="false"/>
          <w:color w:val="0D2143"/>
          <w:sz w:val="32"/>
          <w:szCs w:val="32"/>
          <w:rtl/>
        </w:rPr>
        <w:t xml:space="preserve">مقدمة الشارح</w:t>
      </w:r>
      <w:bookmarkEnd w:id="1005"/>
    </w:p>
    <w:p>
      <w:pPr>
        <w:bidi/>
        <w:spacing w:after="140" w:before="0" w:line="300"/>
        <w:jc w:val="both"/>
      </w:pPr>
      <w:r>
        <w:rPr>
          <w:rFonts w:ascii="Amiri" w:cs="Amiri" w:eastAsia="Amiri" w:hAnsi="Amiri"/>
          <w:b w:val="false"/>
          <w:bCs w:val="false"/>
          <w:i w:val="false"/>
          <w:iCs w:val="false"/>
          <w:color w:val="181410"/>
          <w:sz w:val="22"/>
          <w:szCs w:val="22"/>
          <w:rtl/>
        </w:rPr>
        <w:t xml:space="preserve">الحمد لله الذي هدانا للإيمان وزينه في قلوبنا، وكره إلينا الكفر والفسوق والعصيان، وجعلنا من أمة محمد صلى الله عليه وسلم، خير أمة أخرجت للناس. والصلاة والسلام على نبينا محمد، الذي تركنا على المحجة البيضاء، ليلها كنهارها، لا يزيغ عنها إلا هالك.</w:t>
      </w:r>
    </w:p>
    <w:p>
      <w:pPr>
        <w:bidi/>
        <w:spacing w:after="140" w:before="0" w:line="300"/>
        <w:jc w:val="both"/>
      </w:pPr>
      <w:r>
        <w:rPr>
          <w:rFonts w:ascii="Amiri" w:cs="Amiri" w:eastAsia="Amiri" w:hAnsi="Amiri"/>
          <w:b w:val="false"/>
          <w:bCs w:val="false"/>
          <w:i w:val="false"/>
          <w:iCs w:val="false"/>
          <w:color w:val="181410"/>
          <w:sz w:val="22"/>
          <w:szCs w:val="22"/>
          <w:rtl/>
        </w:rPr>
        <w:t xml:space="preserve">أما بعد:</w:t>
      </w:r>
    </w:p>
    <w:p>
      <w:pPr>
        <w:bidi/>
        <w:spacing w:after="140" w:before="0" w:line="300"/>
        <w:jc w:val="both"/>
      </w:pPr>
      <w:r>
        <w:rPr>
          <w:rFonts w:ascii="Amiri" w:cs="Amiri" w:eastAsia="Amiri" w:hAnsi="Amiri"/>
          <w:b w:val="false"/>
          <w:bCs w:val="false"/>
          <w:i w:val="false"/>
          <w:iCs w:val="false"/>
          <w:color w:val="181410"/>
          <w:sz w:val="22"/>
          <w:szCs w:val="22"/>
          <w:rtl/>
        </w:rPr>
        <w:t xml:space="preserve">فهذا كتاب "فصول الأمة" في شرح "أصول السنة" لإمام أهل السنة في زمانه، أحمد بن محمد بن حنبل رحمه الله تعالى. وهو كتاب عظيم القدر، جمع فيه الإمام خلاصة ما كان عليه السلف الصالح من الصحابة والتابعين، وقرر فيه مسائل الاعتقاد على وجهها الصحيح.</w:t>
      </w:r>
    </w:p>
    <w:p>
      <w:pPr>
        <w:bidi/>
        <w:spacing w:after="140" w:before="0" w:line="300"/>
        <w:jc w:val="both"/>
      </w:pPr>
      <w:r>
        <w:rPr>
          <w:rFonts w:ascii="Amiri" w:cs="Amiri" w:eastAsia="Amiri" w:hAnsi="Amiri"/>
          <w:b w:val="false"/>
          <w:bCs w:val="false"/>
          <w:i w:val="false"/>
          <w:iCs w:val="false"/>
          <w:color w:val="181410"/>
          <w:sz w:val="22"/>
          <w:szCs w:val="22"/>
          <w:rtl/>
        </w:rPr>
        <w:t xml:space="preserve">وإني إذ أقدم هذا الشرح بين يدي طلاب العلم، أقدمه على علم بأنني لست أهلاً لهذا المقام، ولا بلغت مبلغ الذين سبقوني من العلماء الأعلام. وإنما هو جهد المقل، وعمل المقصر، أسأل الله أن يتقبله بقبول حسن.</w:t>
      </w:r>
    </w:p>
    <w:p>
      <w:pPr>
        <w:bidi/>
        <w:spacing w:after="140" w:before="0" w:line="300"/>
        <w:jc w:val="both"/>
      </w:pPr>
      <w:r>
        <w:rPr>
          <w:rFonts w:ascii="Amiri" w:cs="Amiri" w:eastAsia="Amiri" w:hAnsi="Amiri"/>
          <w:b w:val="false"/>
          <w:bCs w:val="false"/>
          <w:i w:val="false"/>
          <w:iCs w:val="false"/>
          <w:color w:val="181410"/>
          <w:sz w:val="22"/>
          <w:szCs w:val="22"/>
          <w:rtl/>
        </w:rPr>
        <w:t xml:space="preserve">ولقد رأيت أن كثيراً من طلاب العلم في زماننا قد ضعفوا في اللغة العربية، وابتعدوا عن فهم كلام السلف على وجهه، فوقعوا في بعض الأخطاء في فهم المتون العقدية. ولذلك أردت أن أقدم هذا الشرح بأسلوب سهل، بعيداً عن الإطالة المملة، مع العناية ببيان المعاني، وذكر الأدلة، وأقوال السلف، مع ترك الإعراب والتفصيلات اللغوية المطولة التي قد تثقل على القارئ.</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الشرح -كما سترى- لا يخلو من تقصير، وليس هو بديلاً عن شروح العلماء الكبار. وإنما هو محاولة لتقريب هذا المتن العظيم إلى أذهان طلاب العلم المبتدئين، ومن كان في مثل حالي من ضعف الحال.</w:t>
      </w:r>
    </w:p>
    <w:p>
      <w:pPr>
        <w:bidi/>
        <w:spacing w:after="140" w:before="0" w:line="300"/>
        <w:jc w:val="both"/>
      </w:pPr>
      <w:r>
        <w:rPr>
          <w:rFonts w:ascii="Amiri" w:cs="Amiri" w:eastAsia="Amiri" w:hAnsi="Amiri"/>
          <w:b w:val="false"/>
          <w:bCs w:val="false"/>
          <w:i w:val="false"/>
          <w:iCs w:val="false"/>
          <w:color w:val="181410"/>
          <w:sz w:val="22"/>
          <w:szCs w:val="22"/>
          <w:rtl/>
        </w:rPr>
        <w:t xml:space="preserve">وأسأل الله أن ينفع به، وأن يجعله خالصاً لوجهه، وأن يغفر لي زللي وتقصيري.</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12/2/2026</w:t>
      </w:r>
    </w:p>
    <w:p>
      <w:pPr>
        <w:bidi/>
        <w:spacing w:after="140"/>
        <w:jc w:val="center"/>
      </w:pPr>
      <w:r>
        <w:rPr>
          <w:rFonts w:ascii="Aref Ruqaa" w:cs="Aref Ruqaa" w:eastAsia="Aref Ruqaa" w:hAnsi="Aref Ruqaa"/>
          <w:b/>
          <w:bCs/>
          <w:i w:val="false"/>
          <w:iCs w:val="false"/>
          <w:color w:val="0D2143"/>
          <w:sz w:val="26"/>
          <w:szCs w:val="26"/>
          <w:rtl/>
        </w:rPr>
        <w:t xml:space="preserve">أحمد بن إبراهيم السليمي</w:t>
      </w:r>
    </w:p>
    <w:p>
      <w:pPr>
        <w:pStyle w:val="Heading1"/>
        <w:pageBreakBefore/>
        <w:bidi/>
        <w:spacing w:after="160" w:before="0"/>
        <w:jc w:val="right"/>
      </w:pPr>
      <w:bookmarkStart w:name="bm_bab1" w:id="1006"/>
      <w:r>
        <w:rPr>
          <w:rFonts w:ascii="Aref Ruqaa" w:cs="Aref Ruqaa" w:eastAsia="Aref Ruqaa" w:hAnsi="Aref Ruqaa"/>
          <w:b/>
          <w:bCs/>
          <w:i w:val="false"/>
          <w:iCs w:val="false"/>
          <w:color w:val="0A1830"/>
          <w:sz w:val="34"/>
          <w:szCs w:val="34"/>
          <w:rtl/>
        </w:rPr>
        <w:t xml:space="preserve">الباب الأول — في التمسك بالسنة ومنهج أهل السنة في التلقي والاتباع</w:t>
      </w:r>
      <w:bookmarkEnd w:id="1006"/>
    </w:p>
    <w:p>
      <w:pPr>
        <w:pStyle w:val="Heading2"/>
        <w:bidi/>
        <w:spacing w:after="140" w:before="320"/>
        <w:jc w:val="right"/>
      </w:pPr>
      <w:bookmarkStart w:name="bm_faqrah_1" w:id="1007"/>
      <w:r>
        <w:rPr>
          <w:rFonts w:ascii="Aref Ruqaa" w:cs="Aref Ruqaa" w:eastAsia="Aref Ruqaa" w:hAnsi="Aref Ruqaa"/>
          <w:b/>
          <w:bCs/>
          <w:i w:val="false"/>
          <w:iCs w:val="false"/>
          <w:color w:val="0D2143"/>
          <w:sz w:val="28"/>
          <w:szCs w:val="28"/>
          <w:rtl/>
        </w:rPr>
        <w:t xml:space="preserve">الفقرة الأولى: التمسك بهدي الصحابة والاقتداء بهم</w:t>
      </w:r>
      <w:bookmarkEnd w:id="100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أُصُولُ السُّنَّةِ عِنْدَنَا: التَّمَسُّكُ بِمَا كَانَ عَلَيْهِ أَصْحَابُ رَسُولِ اللَّهِ ﷺ وَالاقْتِدَاءُ بِهِمْ.</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افتتح الإمام أحمد بن حنبل رحمه الله رسالته بهذا الأصل الجامع لأنه الأساس الذي تُبنى عليه سائر الأصول التي سيذكرها بعده؛ فهو بمثابة "القاعدة الكلية" التي يُقاس عليها كل تفصيل لاحق. فقوله: "أصول السنة عندنا" إشارة إلى أن السنة -كمنهج شامل في الاعتقاد والعمل- لها أصول وقواعد تضبطها، كما أن للفقه أصولاً تضبطه. وليست السنة مجرد نصوص متفرقة، بل منهج متكامل له ركيزة واحدة جامعة: التمسك بما كان عليه أصحاب رسول الله ﷺ والاقتداء بهم.</w:t>
      </w:r>
    </w:p>
    <w:p>
      <w:pPr>
        <w:bidi/>
        <w:spacing w:after="140" w:before="0" w:line="300"/>
        <w:jc w:val="both"/>
      </w:pPr>
      <w:r>
        <w:rPr>
          <w:rFonts w:ascii="Amiri" w:cs="Amiri" w:eastAsia="Amiri" w:hAnsi="Amiri"/>
          <w:b w:val="false"/>
          <w:bCs w:val="false"/>
          <w:i w:val="false"/>
          <w:iCs w:val="false"/>
          <w:color w:val="181410"/>
          <w:sz w:val="22"/>
          <w:szCs w:val="22"/>
          <w:rtl/>
        </w:rPr>
        <w:t xml:space="preserve">والتمسك في اللغة يفيد معنى القوة والاعتصام والإمساك الشديد بالشيء بحيث لا يُفرَّط فيه، وهذا أبلغ من مجرد "الأخذ" أو "المعرفة"، لأنه يستلزم الثبات والمداومة، لا مجرد الإقرار النظري. أما الاقتداء فمعناه الاتباع والتأسي، أي أن يجعل الإنسان فعل غيره وقوله إماماً وقدوة يسير خلفها. فالإمام أحمد بجمعه بين اللفظين أراد أن يبيّن أن منهج أهل السنة قائم على أمرين متلازمين: اعتقادٌ راسخ بصحة ما كان عليه الصحابة، وسلوكٌ عملي يقتفي أثرهم في كل شأن من شؤون الدين، عقيدةً وعبادةً وسلوكاً وسياسةً.</w:t>
      </w:r>
    </w:p>
    <w:p>
      <w:pPr>
        <w:bidi/>
        <w:spacing w:after="140" w:before="0" w:line="300"/>
        <w:jc w:val="both"/>
      </w:pPr>
      <w:r>
        <w:rPr>
          <w:rFonts w:ascii="Amiri" w:cs="Amiri" w:eastAsia="Amiri" w:hAnsi="Amiri"/>
          <w:b w:val="false"/>
          <w:bCs w:val="false"/>
          <w:i w:val="false"/>
          <w:iCs w:val="false"/>
          <w:color w:val="181410"/>
          <w:sz w:val="22"/>
          <w:szCs w:val="22"/>
          <w:rtl/>
        </w:rPr>
        <w:t xml:space="preserve">وسبب اختيار الصحابة بالذات دون غيرهم من الأجيال أنهم تلقوا الدين مباشرة عن النبي ﷺ، وشهدوا التنزيل وأسباب النزول، وفهموا مراد الشارع بلا واسطة، وزكّاهم الله ورسوله. فكان اتباعهم اتباعاً لأصح فهم للوحيين: الكتاب والسنة. ومن هنا صار "فهم السلف" -وعلى رأسهم الصحابة- ميزاناً يوزن به كل قول وفهم يُستحدث بعدهم، فما وافق فهمهم قُبل، وما خالفه رُدّ، مهما كان قائله.</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الله تعالى: </w:t>
      </w:r>
      <w:r>
        <w:rPr>
          <w:rFonts w:ascii="Amiri Quran" w:cs="Amiri Quran" w:eastAsia="Amiri Quran" w:hAnsi="Amiri Quran"/>
          <w:b w:val="false"/>
          <w:bCs w:val="false"/>
          <w:i w:val="false"/>
          <w:iCs w:val="false"/>
          <w:color w:val="0D2143"/>
          <w:sz w:val="26"/>
          <w:szCs w:val="26"/>
          <w:rtl/>
        </w:rPr>
        <w:t xml:space="preserve">﴿وَالسَّابِقُونَ الْأَوَّلُونَ مِنَ الْمُهَاجِرِينَ وَالْأَنْصَارِ وَالَّذِينَ اتَّبَعُوهُمْ بِإِحْسَانٍ رَضِيَ اللَّهُ عَنْهُمْ وَرَضُوا عَنْهُ﴾</w:t>
      </w:r>
      <w:r>
        <w:rPr>
          <w:rFonts w:ascii="Cairo" w:cs="Cairo" w:eastAsia="Cairo" w:hAnsi="Cairo"/>
          <w:b/>
          <w:bCs/>
          <w:i w:val="false"/>
          <w:iCs w:val="false"/>
          <w:color w:val="8A6A1F"/>
          <w:sz w:val="16"/>
          <w:szCs w:val="16"/>
          <w:rtl/>
        </w:rPr>
        <w:t xml:space="preserve"> [التوبة: 100]</w:t>
      </w:r>
      <w:r>
        <w:rPr>
          <w:rFonts w:ascii="Amiri" w:cs="Amiri" w:eastAsia="Amiri" w:hAnsi="Amiri"/>
          <w:b w:val="false"/>
          <w:bCs w:val="false"/>
          <w:i w:val="false"/>
          <w:iCs w:val="false"/>
          <w:color w:val="181410"/>
          <w:sz w:val="22"/>
          <w:szCs w:val="22"/>
          <w:rtl/>
        </w:rPr>
        <w:t xml:space="preserve">، ووجه الدلالة أن الله سبحانه علّق رضاه عن هذه الأمة على وصفين: السبق في الإيمان، والاتباع بإحسان لمن سبق. فجعل الله طريق النجاة متابعة الصحابة على منهجهم، لا ابتداع طريق مغاير.</w:t>
      </w:r>
    </w:p>
    <w:p>
      <w:pPr>
        <w:bidi/>
        <w:spacing w:after="140" w:before="0" w:line="300"/>
        <w:jc w:val="both"/>
      </w:pPr>
      <w:r>
        <w:rPr>
          <w:rFonts w:ascii="Amiri" w:cs="Amiri" w:eastAsia="Amiri" w:hAnsi="Amiri"/>
          <w:b w:val="false"/>
          <w:bCs w:val="false"/>
          <w:i w:val="false"/>
          <w:iCs w:val="false"/>
          <w:color w:val="181410"/>
          <w:sz w:val="22"/>
          <w:szCs w:val="22"/>
          <w:rtl/>
        </w:rPr>
        <w:t xml:space="preserve">وقال النبي ﷺ: «خَيْرُ النَّاسِ قَرْنِي، ثُمَّ الَّذِينَ يَلُونَهُمْ، ثُمَّ الَّذِينَ يَلُونَهُمْ» (رواه البخاري ومسلم)، فشهد النبي ﷺ لجيل الصحابة بأنه خير القرون على الإطلاق، ومن كان كذلك فاتباع طريقته وفهمه أولى من كل طريقة محدثة، إذ كيف يُعدل عن فهم خير القرون إلى فهم من جاء بعدهم بقرون؟</w:t>
      </w:r>
    </w:p>
    <w:p>
      <w:pPr>
        <w:bidi/>
        <w:spacing w:after="140" w:before="0" w:line="300"/>
        <w:jc w:val="both"/>
      </w:pPr>
      <w:r>
        <w:rPr>
          <w:rFonts w:ascii="Amiri" w:cs="Amiri" w:eastAsia="Amiri" w:hAnsi="Amiri"/>
          <w:b/>
          <w:bCs/>
          <w:i w:val="false"/>
          <w:iCs w:val="false"/>
          <w:color w:val="0D2143"/>
          <w:sz w:val="22"/>
          <w:szCs w:val="22"/>
          <w:rtl/>
        </w:rPr>
        <w:t xml:space="preserve">وجه الاستدلال:</w:t>
      </w:r>
      <w:r>
        <w:rPr>
          <w:rFonts w:ascii="Amiri" w:cs="Amiri" w:eastAsia="Amiri" w:hAnsi="Amiri"/>
          <w:b w:val="false"/>
          <w:bCs w:val="false"/>
          <w:i w:val="false"/>
          <w:iCs w:val="false"/>
          <w:color w:val="181410"/>
          <w:sz w:val="22"/>
          <w:szCs w:val="22"/>
          <w:rtl/>
        </w:rPr>
        <w:t xml:space="preserve"> يجمع العلماء من هذين الدليلين على أن معرفة الحق ليست بمجرد النظر المجرد في النصوص، بل لا بد من ضم فهم السلف الصالح إليها؛ لأن النص وفهمَه أمران متلازمان، وقد جمع الله للصحابة بينهما.</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الأصل هو الميزان الذي يفرّق بين "أهل السنة والجماعة" وسائر الفرق المخالفة؛ فكل فرقة زائغة إنما ابتعدت عن الحق بمقدار ابتعادها عن منهج الصحابة، سواء في تلقي النصوص أو في تفسيرها أو في الاستنباط منها. ومن هنا سُمّي أهل السنة أيضاً بـ"أهل الأثر" و"السلفيين" نسبة إلى السلف الصالح، لا لأنهم حزب أو فرقة، بل لأن هذا هو وصف منهجهم في التلقي.</w:t>
      </w:r>
    </w:p>
    <w:p>
      <w:pPr>
        <w:bidi/>
        <w:spacing w:after="140" w:before="0" w:line="300"/>
        <w:jc w:val="both"/>
      </w:pPr>
      <w:r>
        <w:rPr>
          <w:rFonts w:ascii="Amiri" w:cs="Amiri" w:eastAsia="Amiri" w:hAnsi="Amiri"/>
          <w:b w:val="false"/>
          <w:bCs w:val="false"/>
          <w:i w:val="false"/>
          <w:iCs w:val="false"/>
          <w:color w:val="181410"/>
          <w:sz w:val="22"/>
          <w:szCs w:val="22"/>
          <w:rtl/>
        </w:rPr>
        <w:t xml:space="preserve">ويرتبط هذا الأصل ارتباطاً وثيقاً بما سيذكره الإمام أحمد لاحقاً من ترك البدع (الفقرة الثانية)، وترك الجدال والخصومات (الفقرتان الثالثة والخامسة)؛ فكل تلك الأصول ثمرة طبيعية لهذا الأصل الأول: فمن تمسك بمنهج الصحابة اجتنب البدع تلقائياً، لأن البدع أمور محدثة لم يكونوا عليها.</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المسائل المهمة هنا: أن "الاقتداء بالصحابة" لا يعني تقليدهم في كل اجتهاد فردي قد يقع فيه خلاف بينهم في مسائل فرعية، بل المراد اتباع ما أجمعوا عليه، وما كان عليه عامتهم من المنهج الكلي في الاعتقاد والتلقي، وهو ما اصطلح عليه العلماء بـ"إجماع الصحابة" و"فهم السلف".</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فالواجب على المسلم أن يتمسك بما كان عليه الصحابة رضي الله عنهم في العقيدة والعمل، وأن يجعلهم قدوته في فهم الدين والعمل به، فمن تمسك بهديهم واقتدى بهم فهو على السنة، ومن خالف طريقتهم فقد خرج عن السنة واتبع غير سبيل المؤمنين.</w:t>
            </w:r>
          </w:p>
        </w:tc>
      </w:tr>
    </w:tbl>
    <w:p>
      <w:pPr>
        <w:spacing w:after="160"/>
      </w:pPr>
    </w:p>
    <w:p>
      <w:pPr>
        <w:pStyle w:val="Heading2"/>
        <w:bidi/>
        <w:spacing w:after="140" w:before="320"/>
        <w:jc w:val="right"/>
      </w:pPr>
      <w:bookmarkStart w:name="bm_faqrah_2" w:id="1008"/>
      <w:r>
        <w:rPr>
          <w:rFonts w:ascii="Aref Ruqaa" w:cs="Aref Ruqaa" w:eastAsia="Aref Ruqaa" w:hAnsi="Aref Ruqaa"/>
          <w:b/>
          <w:bCs/>
          <w:i w:val="false"/>
          <w:iCs w:val="false"/>
          <w:color w:val="0D2143"/>
          <w:sz w:val="28"/>
          <w:szCs w:val="28"/>
          <w:rtl/>
        </w:rPr>
        <w:t xml:space="preserve">الفقرة الثانية: ترك البدع</w:t>
      </w:r>
      <w:bookmarkEnd w:id="100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وَتَرْكُ الْبِدَعِ، وَكُلُّ بِدْعَةٍ فَهِيَ ضَلَالَةٌ.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يتفرّع هذا الأصل مباشرة عن الأصل الأول؛ فمن تمسك بهدي الصحابة واقتدى بهم، لزمه بالضرورة أن يترك كل ما أُحدث بعدهم مما لم يكونوا عليه، وذلك هو البدعة. وقوله رحمه الله: "وكل بدعة فهي ضلالة" تقرير صريح لضابط عام لا استثناء فيه: أن البدعة -أي بدعة كانت- ضلالة، لا تنقسم إلى حسنة وسيئة كما يزعم بعض المتأخرين.</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البدعة:</w:t>
            </w:r>
            <w:r>
              <w:rPr>
                <w:rFonts w:ascii="Amiri" w:cs="Amiri" w:eastAsia="Amiri" w:hAnsi="Amiri"/>
                <w:b w:val="false"/>
                <w:bCs w:val="false"/>
                <w:i w:val="false"/>
                <w:iCs w:val="false"/>
                <w:color w:val="181410"/>
                <w:sz w:val="22"/>
                <w:szCs w:val="22"/>
                <w:rtl/>
              </w:rPr>
              <w:t xml:space="preserve"> ما أُحدث في الدين من اعتقاد أو قول أو عمل، يُتقرَّب به إلى الله، وليس له أصل في الكتاب والسنة ولا في هدي الصحابة، فيُضاهى به الشرع المُنزَّل. فالبدعة إذاً محدثة في أصل الدين وتشريعه، لا في وسائل الحياة الدنيوية المباحة التي لم يرد الشرع بتحريمها.</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وحصر البدع كلها في الضلالة له حكمة بالغة: فالدين قد كمل وتم قبل وفاة النبي ﷺ، فلا حاجة لإحداث شيء فيه؛ ومن أحدث فيه شيئاً فقد ضمناً زعم أن الشريعة ناقصة تحتاج إلى تكميل، أو أن النبي ﷺ والصحابة قصّروا في تبليغ خير كان ينبغي فعله، وكلا الأمرين باطل قطعاً. فالبدعة إذن مصادمة لكمال الدين، وطعن -من حيث لا يشعر صاحبها أحياناً- في تمام الرسالة.</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النبي ﷺ: «إِيَّاكُمْ وَمُحْدَثَاتِ الْأُمُورِ، فَإِنَّ كُلَّ مُحْدَثَةٍ بِدْعَةٌ، وَإِنَّ كُلَّ بِدْعَةٍ ضَلَالَةٌ» (رواه أبو داود والترمذي)، وهذا الحديث نص صريح لا يحتمل التخصيص في عمومه "كل"، فما من محدثة في الدين إلا وهي بدعة، وما من بدعة إلا وهي ضلالة. وقال ﷺ: «مَنْ أَحْدَثَ فِي أَمْرِنَا هَذَا مَا لَيْسَ مِنْهُ فَهُوَ رَدٌّ» (رواه البخاري ومسلم)، أي مردود على صاحبه غير مقبول منه، مهما حسنت نيته فيه.</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يظن بعض الناس أن هناك "بدعة حسنة" مستدلين بقول عمر رضي الله عنه في صلاة التراويح: "نِعْمَتِ الْبِدْعَةُ هَذِهِ"، والجواب أن عمر أراد بذلك البدعة اللغوية لا الشرعية؛ فصلاة التراويح جماعة لها أصل ثابت في السنة، فعلها النبي ﷺ بأصحابه ثم تركها خشية أن تُفرض، فلما زال المحذور بوفاته ﷺ جمعهم عمر عليها، فهي بدعة من حيث اللفظ (أي أمر لم يكن مجموعاً على هذه الصورة من قبل)، لا بدعة شرعية محدثة لا أصل لها.</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ومن القواعد المهمة في هذا الباب: أن كل ما يُظن أنه "بدعة حسنة" فهو عند التحقيق إما سنة جهلها قائلها فظنها بدعة، وإما عادة أو وسيلة دنيوية مباحة لا علاقة لها بالتعبد، كاستخدام مكبرات الصوت في المساجد أو تنظيم صفوف المصلين بالخطوط، فهذه ليست بدعاً لأنها ليست تقرباً إلى الله بذاتها، بل وسائل مباحة لتحقيق مقصود شرعي.</w:t>
      </w:r>
    </w:p>
    <w:p>
      <w:pPr>
        <w:bidi/>
        <w:spacing w:after="140" w:before="0" w:line="300"/>
        <w:jc w:val="both"/>
      </w:pPr>
      <w:r>
        <w:rPr>
          <w:rFonts w:ascii="Amiri" w:cs="Amiri" w:eastAsia="Amiri" w:hAnsi="Amiri"/>
          <w:b w:val="false"/>
          <w:bCs w:val="false"/>
          <w:i w:val="false"/>
          <w:iCs w:val="false"/>
          <w:color w:val="181410"/>
          <w:sz w:val="22"/>
          <w:szCs w:val="22"/>
          <w:rtl/>
        </w:rPr>
        <w:t xml:space="preserve">ويتصل هذا الأصل اتصالاً وثيقاً بالفقرتين الثالثة والرابعة الآتيتين، إذ إن ترك الخصومات والجدال، وترك مجالسة أهل الأهواء، كلاهما من ثمار الحذر من البدع وأهلها؛ فأهل البدع غالباً ما يتسللون إلى القلوب عبر الجدل والمناظرة والمجالسة، فأمر الشرع بسد هذه الأبواب جميعاً وقاية من أصلها.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فالواجب على المسلم أن يترك البدع جملة وتفصيلاً، ويحذر منها ومن أهلها، ولا يقربها ولا يقرّها، فإنها من أعظم أسباب الضلال والهلاك، وأن يفرّق بين ما هو بدعة شرعية محدثة وبين ما هو من وسائل الحياة المباحة أو من السنن التي خفيت على بعض الناس.</w:t>
            </w:r>
          </w:p>
        </w:tc>
      </w:tr>
    </w:tbl>
    <w:p>
      <w:pPr>
        <w:spacing w:after="160"/>
      </w:pPr>
    </w:p>
    <w:p>
      <w:pPr>
        <w:pStyle w:val="Heading2"/>
        <w:bidi/>
        <w:spacing w:after="140" w:before="320"/>
        <w:jc w:val="right"/>
      </w:pPr>
      <w:bookmarkStart w:name="bm_faqrah_3" w:id="1009"/>
      <w:r>
        <w:rPr>
          <w:rFonts w:ascii="Aref Ruqaa" w:cs="Aref Ruqaa" w:eastAsia="Aref Ruqaa" w:hAnsi="Aref Ruqaa"/>
          <w:b/>
          <w:bCs/>
          <w:i w:val="false"/>
          <w:iCs w:val="false"/>
          <w:color w:val="0D2143"/>
          <w:sz w:val="28"/>
          <w:szCs w:val="28"/>
          <w:rtl/>
        </w:rPr>
        <w:t xml:space="preserve">الفقرة الثالثة: ترك الخصومات في الدين</w:t>
      </w:r>
      <w:bookmarkEnd w:id="100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وَتَرْكُ الْخُصُومَاتِ فِي الدِّينِ.</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الخصومات في الدين هي المنازعات والمجادلات التي يقصد بها أصحابها الغلبة وإفحام الخصم وإظهار الذات، لا الوصول إلى الحق. وقد جعل الإمام أحمد ترك هذا الصنف من الجدل أصلاً من أصول السنة، لأنه يتصادم مع روح التسليم والانقياد التي هي جوهر منهج أهل السنة في التلقي؛ فأهل السنة يأخذون الدين تسليماً وانقياداً، لا خصومة ومماحكة.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الخصومة المذمومة:</w:t>
            </w:r>
            <w:r>
              <w:rPr>
                <w:rFonts w:ascii="Amiri" w:cs="Amiri" w:eastAsia="Amiri" w:hAnsi="Amiri"/>
                <w:b w:val="false"/>
                <w:bCs w:val="false"/>
                <w:i w:val="false"/>
                <w:iCs w:val="false"/>
                <w:color w:val="181410"/>
                <w:sz w:val="22"/>
                <w:szCs w:val="22"/>
                <w:rtl/>
              </w:rPr>
              <w:t xml:space="preserve"> الجدال الذي يُقصد به الانتصار للنفس أو للرأي، دون قصد ظهور الحق واتباعه، ويكون في الغالب مصحوباً بالتعصب واللدد وعدم قبول الحق ولو ظهر.</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وليس المراد بهذا الأصل تحريم كل نقاش أو حوار في مسائل الدين مطلقاً، فقد ناظر النبي ﷺ والصحابة والعلماء من بعدهم في مسائل عديدة لبيان الحق ودحض الباطل. وإنما المذموم هو الخصام الذي يكون طريقه الهوى والتعصب، لا طلب الحق، وهو ما تجتذب فيه النفس صاحبها إلى الانتصار لقوله بأي وسيلة، ولو أدى ذلك إلى مصادمة النص أو تحريف معناه.</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الله تعالى: </w:t>
      </w:r>
      <w:r>
        <w:rPr>
          <w:rFonts w:ascii="Amiri Quran" w:cs="Amiri Quran" w:eastAsia="Amiri Quran" w:hAnsi="Amiri Quran"/>
          <w:b w:val="false"/>
          <w:bCs w:val="false"/>
          <w:i w:val="false"/>
          <w:iCs w:val="false"/>
          <w:color w:val="0D2143"/>
          <w:sz w:val="26"/>
          <w:szCs w:val="26"/>
          <w:rtl/>
        </w:rPr>
        <w:t xml:space="preserve">﴿مَا يُجَادِلُ فِي آيَاتِ اللَّهِ إِلَّا الَّذِينَ كَفَرُوا﴾</w:t>
      </w:r>
      <w:r>
        <w:rPr>
          <w:rFonts w:ascii="Cairo" w:cs="Cairo" w:eastAsia="Cairo" w:hAnsi="Cairo"/>
          <w:b/>
          <w:bCs/>
          <w:i w:val="false"/>
          <w:iCs w:val="false"/>
          <w:color w:val="8A6A1F"/>
          <w:sz w:val="16"/>
          <w:szCs w:val="16"/>
          <w:rtl/>
        </w:rPr>
        <w:t xml:space="preserve"> [غافر: 4]</w:t>
      </w:r>
      <w:r>
        <w:rPr>
          <w:rFonts w:ascii="Amiri" w:cs="Amiri" w:eastAsia="Amiri" w:hAnsi="Amiri"/>
          <w:b w:val="false"/>
          <w:bCs w:val="false"/>
          <w:i w:val="false"/>
          <w:iCs w:val="false"/>
          <w:color w:val="181410"/>
          <w:sz w:val="22"/>
          <w:szCs w:val="22"/>
          <w:rtl/>
        </w:rPr>
        <w:t xml:space="preserve">، ووجه الدلالة أن الله سبحانه وصف المجادلة في آياته -أي الاعتراض عليها ومدافعتها بالباطل- بأنها من صفات الكفار، فدل ذلك على خطورة الجدل الذي يُراد به رد الحق أو الشك فيه، لا استيضاحه.</w:t>
      </w:r>
    </w:p>
    <w:p>
      <w:pPr>
        <w:bidi/>
        <w:spacing w:after="140" w:before="0" w:line="300"/>
        <w:jc w:val="both"/>
      </w:pPr>
      <w:r>
        <w:rPr>
          <w:rFonts w:ascii="Amiri" w:cs="Amiri" w:eastAsia="Amiri" w:hAnsi="Amiri"/>
          <w:b w:val="false"/>
          <w:bCs w:val="false"/>
          <w:i w:val="false"/>
          <w:iCs w:val="false"/>
          <w:color w:val="181410"/>
          <w:sz w:val="22"/>
          <w:szCs w:val="22"/>
          <w:rtl/>
        </w:rPr>
        <w:t xml:space="preserve">وقال النبي ﷺ: «مَا ضَلَّ قَوْمٌ بَعْدَ هُدًى كَانُوا عَلَيْهِ إِلَّا أُوتُوا الْجَدَلَ» (رواه الترمذي)، ثم تلا النبي ﷺ الآية السابقة، فربط بين كثرة الجدل وبين الضلال بعد الهدى، وهذا يبيّن أن الجدل المذموم هو من أعظم أسباب انحراف الأمم عن الحق الذي كانت عليه.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الأصل من أعظم ما يحفظ وحدة الأمة وسلامة قلوب أفرادها؛ فكثرة الخصومات في الدين تُورث الشحناء والفرقة بين المسلمين، وتصرف الجهد عن العمل الصالح إلى المماراة والمجادلة العقيمة. ولهذا كان السلف يكرهون الخوض في المسائل الخلافية على وجه المراء، ويقدّمون الاشتغال بالعمل على الاشتغال بالجدل.</w:t>
      </w:r>
    </w:p>
    <w:p>
      <w:pPr>
        <w:bidi/>
        <w:spacing w:after="140" w:before="0" w:line="300"/>
        <w:jc w:val="both"/>
      </w:pPr>
      <w:r>
        <w:rPr>
          <w:rFonts w:ascii="Amiri" w:cs="Amiri" w:eastAsia="Amiri" w:hAnsi="Amiri"/>
          <w:b w:val="false"/>
          <w:bCs w:val="false"/>
          <w:i w:val="false"/>
          <w:iCs w:val="false"/>
          <w:color w:val="181410"/>
          <w:sz w:val="22"/>
          <w:szCs w:val="22"/>
          <w:rtl/>
        </w:rPr>
        <w:t xml:space="preserve">ويرتبط هذا الأصل ارتباطاً وثيقاً بالفقرة الخامسة الآتية (ترك المراء والجدال)، فكأن الإمام أحمد كرر المعنى وأكده لعظم خطره وشدة وقوع الناس فيه، فذكره أولاً بصيغة "الخصومات في الدين" العامة، ثم أفرد له فقرة خاصة بلفظ "المراء والجدال" زيادة في التحذير والتأكيد.</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فالواجب على المسلم أن يترك الخصومات والجدال في الدين، وأن يجعل همّه الوصول إلى الحق واتباعه، لا إفحام الخصم والانتصار للنفس، وأن يميز بين الجدل المذموم والمناظرة العلمية المشروعة التي يُقصد بها بيان الحق.</w:t>
            </w:r>
          </w:p>
        </w:tc>
      </w:tr>
    </w:tbl>
    <w:p>
      <w:pPr>
        <w:spacing w:after="160"/>
      </w:pPr>
    </w:p>
    <w:p>
      <w:pPr>
        <w:pStyle w:val="Heading2"/>
        <w:bidi/>
        <w:spacing w:after="140" w:before="320"/>
        <w:jc w:val="right"/>
      </w:pPr>
      <w:bookmarkStart w:name="bm_faqrah_4" w:id="1010"/>
      <w:r>
        <w:rPr>
          <w:rFonts w:ascii="Aref Ruqaa" w:cs="Aref Ruqaa" w:eastAsia="Aref Ruqaa" w:hAnsi="Aref Ruqaa"/>
          <w:b/>
          <w:bCs/>
          <w:i w:val="false"/>
          <w:iCs w:val="false"/>
          <w:color w:val="0D2143"/>
          <w:sz w:val="28"/>
          <w:szCs w:val="28"/>
          <w:rtl/>
        </w:rPr>
        <w:t xml:space="preserve">الفقرة الرابعة: ترك مجالسة أهل الأهواء</w:t>
      </w:r>
      <w:bookmarkEnd w:id="101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وَتَرْكُ الْجُلُوسِ مَعَ أَصْحَابِ الْأَهْوَاءِ.</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أصحاب الأهواء هم أهل البدع الذين اتخذوا آراءهم وأهواءهم حكماً يُقدّم على النص، فيؤولون النصوص لتوافق ما استقر في عقولهم من قبل، بدلاً من أن يُخضعوا عقولهم وآراءهم للنص. وقد أمر الإمام أحمد بترك مجالستهم، لأن المجالسة باب من أبواب التأثر، ولو لم يقصد الجالس اتباعهم في بدعتهم.</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أهل الأهواء:</w:t>
            </w:r>
            <w:r>
              <w:rPr>
                <w:rFonts w:ascii="Amiri" w:cs="Amiri" w:eastAsia="Amiri" w:hAnsi="Amiri"/>
                <w:b w:val="false"/>
                <w:bCs w:val="false"/>
                <w:i w:val="false"/>
                <w:iCs w:val="false"/>
                <w:color w:val="181410"/>
                <w:sz w:val="22"/>
                <w:szCs w:val="22"/>
                <w:rtl/>
              </w:rPr>
              <w:t xml:space="preserve"> كل من أحدث في الدين قولاً أو اعتقاداً بمقتضى هواه ورأيه، معرضاً عن هدي الصحابة ومنهجهم في التلقي، سواء كانوا من الفرق الكلامية أو غيرها ممن خالف منهج أهل السنة في أصول الاعتقاد.</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وسبب النهي عن مجالستهم أن القلب ضعيف يتأثر بما يسمع ويرى، وقد يستحسن الشبهة قبل أن يتبيّن بطلانها، أو تعلق بذهنه صورة الشبهة فتقلقه ولو لم يقتنع بها، وهذا خطر عظيم خصوصاً على من لم يترسخ علمه وإيمانه بعد. فالنهي هنا وقائي، يسد الذريعة من أصلها قبل أن تتمكن الشبهة من القلب.</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الله تعالى: </w:t>
      </w:r>
      <w:r>
        <w:rPr>
          <w:rFonts w:ascii="Amiri Quran" w:cs="Amiri Quran" w:eastAsia="Amiri Quran" w:hAnsi="Amiri Quran"/>
          <w:b w:val="false"/>
          <w:bCs w:val="false"/>
          <w:i w:val="false"/>
          <w:iCs w:val="false"/>
          <w:color w:val="0D2143"/>
          <w:sz w:val="26"/>
          <w:szCs w:val="26"/>
          <w:rtl/>
        </w:rPr>
        <w:t xml:space="preserve">﴿وَإِذَا رَأَيْتَ الَّذِينَ يَخُوضُونَ فِي آيَاتِنَا فَأَعْرِضْ عَنْهُمْ حَتَّى يَخُوضُوا فِي حَدِيثٍ غَيْرِهِ﴾</w:t>
      </w:r>
      <w:r>
        <w:rPr>
          <w:rFonts w:ascii="Cairo" w:cs="Cairo" w:eastAsia="Cairo" w:hAnsi="Cairo"/>
          <w:b/>
          <w:bCs/>
          <w:i w:val="false"/>
          <w:iCs w:val="false"/>
          <w:color w:val="8A6A1F"/>
          <w:sz w:val="16"/>
          <w:szCs w:val="16"/>
          <w:rtl/>
        </w:rPr>
        <w:t xml:space="preserve"> [الأنعام: 68]</w:t>
      </w:r>
      <w:r>
        <w:rPr>
          <w:rFonts w:ascii="Amiri" w:cs="Amiri" w:eastAsia="Amiri" w:hAnsi="Amiri"/>
          <w:b w:val="false"/>
          <w:bCs w:val="false"/>
          <w:i w:val="false"/>
          <w:iCs w:val="false"/>
          <w:color w:val="181410"/>
          <w:sz w:val="22"/>
          <w:szCs w:val="22"/>
          <w:rtl/>
        </w:rPr>
        <w:t xml:space="preserve">، فأمر الله نبيه ﷺ بالإعراض عمن يخوض في آياته بالباطل، وهذا أصل في هجر مجالس الخوض في الدين بغير علم. وقال سبحانه: </w:t>
      </w:r>
      <w:r>
        <w:rPr>
          <w:rFonts w:ascii="Amiri Quran" w:cs="Amiri Quran" w:eastAsia="Amiri Quran" w:hAnsi="Amiri Quran"/>
          <w:b w:val="false"/>
          <w:bCs w:val="false"/>
          <w:i w:val="false"/>
          <w:iCs w:val="false"/>
          <w:color w:val="0D2143"/>
          <w:sz w:val="26"/>
          <w:szCs w:val="26"/>
          <w:rtl/>
        </w:rPr>
        <w:t xml:space="preserve">﴿وَقَدْ نَزَّلَ عَلَيْكُمْ فِي الْكِتَابِ أَنْ إِذَا سَمِعْتُمْ آيَاتِ اللَّهِ يُكْفَرُ بِهَا وَيُسْتَهْزَأُ بِهَا فَلَا تَقْعُدُوا مَعَهُمْ حَتَّى يَخُوضُوا فِي حَدِيثٍ غَيْرِهِ﴾</w:t>
      </w:r>
      <w:r>
        <w:rPr>
          <w:rFonts w:ascii="Cairo" w:cs="Cairo" w:eastAsia="Cairo" w:hAnsi="Cairo"/>
          <w:b/>
          <w:bCs/>
          <w:i w:val="false"/>
          <w:iCs w:val="false"/>
          <w:color w:val="8A6A1F"/>
          <w:sz w:val="16"/>
          <w:szCs w:val="16"/>
          <w:rtl/>
        </w:rPr>
        <w:t xml:space="preserve"> [النساء: 140]</w:t>
      </w:r>
      <w:r>
        <w:rPr>
          <w:rFonts w:ascii="Amiri" w:cs="Amiri" w:eastAsia="Amiri" w:hAnsi="Amiri"/>
          <w:b w:val="false"/>
          <w:bCs w:val="false"/>
          <w:i w:val="false"/>
          <w:iCs w:val="false"/>
          <w:color w:val="181410"/>
          <w:sz w:val="22"/>
          <w:szCs w:val="22"/>
          <w:rtl/>
        </w:rPr>
        <w:t xml:space="preserve">، وهذا نص صريح في تحريم مجرد القعود مع من يخوض في آيات الله بالباطل، فكيف بمن يشارك في ذلك الخوض؟</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الأصل لا يعني قطع كل صلة بأهل الأهواء على الإطلاق في كل حال؛ فقد يستثنى منه أهل العلم الراسخون الذين يجالسونهم لمناظرتهم وبيان الحق ودحض شبهاتهم، وهذا باب آخر يحتاج إلى أهلية علمية خاصة، ولذلك حذر السلف عموم الناس -لا سيما طلاب العلم المبتدئين والعامة- من مجالسة أهل الأهواء، لضعف تحصينهم العلمي وقوة تأثير الشبهة عليهم.</w:t>
      </w:r>
    </w:p>
    <w:p>
      <w:pPr>
        <w:bidi/>
        <w:spacing w:after="140" w:before="0" w:line="300"/>
        <w:jc w:val="both"/>
      </w:pPr>
      <w:r>
        <w:rPr>
          <w:rFonts w:ascii="Amiri" w:cs="Amiri" w:eastAsia="Amiri" w:hAnsi="Amiri"/>
          <w:b w:val="false"/>
          <w:bCs w:val="false"/>
          <w:i w:val="false"/>
          <w:iCs w:val="false"/>
          <w:color w:val="181410"/>
          <w:sz w:val="22"/>
          <w:szCs w:val="22"/>
          <w:rtl/>
        </w:rPr>
        <w:t xml:space="preserve">ويرتبط هذا الأصل بما سبق (ترك البدع، ترك الخصومات) وبما سيأتي (ترك المراء)، فكلها منظومة واحدة الغاية منها حماية قلب المسلم وعقيدته من التلوث بالشبهات، سواء عن طريق ابتداع القول، أو عن طريق الجدل فيه، أو عن طريق مجالسة أهله والاستماع إليهم.</w:t>
      </w:r>
    </w:p>
    <w:p>
      <w:pPr>
        <w:bidi/>
        <w:spacing w:after="100" w:before="200" w:line="300"/>
        <w:jc w:val="right"/>
      </w:pPr>
      <w:r>
        <w:rPr>
          <w:rFonts w:ascii="Amiri" w:cs="Amiri" w:eastAsia="Amiri" w:hAnsi="Amiri"/>
          <w:b/>
          <w:bCs/>
          <w:i w:val="false"/>
          <w:iCs w:val="false"/>
          <w:color w:val="152C54"/>
          <w:sz w:val="22"/>
          <w:szCs w:val="22"/>
          <w:rtl/>
        </w:rPr>
        <w:t xml:space="preserve">أقوال السلف</w:t>
      </w:r>
    </w:p>
    <w:p>
      <w:pPr>
        <w:bidi/>
        <w:spacing w:after="140" w:before="0" w:line="300"/>
        <w:jc w:val="both"/>
      </w:pPr>
      <w:r>
        <w:rPr>
          <w:rFonts w:ascii="Amiri" w:cs="Amiri" w:eastAsia="Amiri" w:hAnsi="Amiri"/>
          <w:b w:val="false"/>
          <w:bCs w:val="false"/>
          <w:i w:val="false"/>
          <w:iCs w:val="false"/>
          <w:color w:val="181410"/>
          <w:sz w:val="22"/>
          <w:szCs w:val="22"/>
          <w:rtl/>
        </w:rPr>
        <w:t xml:space="preserve">ويُروى عن عبد الله بن مسعود رضي الله عنه أنه قال: "إياكم ومجالسة أصحاب الأهواء، فإنها تورث الريب في القلوب"، ويُنقل عن عمر بن الخطاب رضي الله عنه نحو ذلك: "لا تجالسوا أصحاب الأهواء، فإنهم يمرضون القلوب". وهذان الأثران، وإن كانا من الأقوال المشهورة المتداولة في كتب الاعتقاد أكثر من كونهما مرويين بإسناد متصل موثق، إلا أن معناهما يبين أن هذا الأصل ليس اجتهاداً متأخراً، بل هو منهج معروف من عهد الصحابة أنفسهم.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فالواجب على المسلم أن يترك الجلوس مع أصحاب الأهواء، وأن يبتعد عنهم، ولا يستمع إليهم، حفاظاً على سلامة قلبه وعقيدته، إلا أن يكون من أهل العلم الراسخين ممن يقصد مناظرتهم وبيان الحق لهم أو لغيرهم.</w:t>
            </w:r>
          </w:p>
        </w:tc>
      </w:tr>
    </w:tbl>
    <w:p>
      <w:pPr>
        <w:spacing w:after="160"/>
      </w:pPr>
    </w:p>
    <w:p>
      <w:pPr>
        <w:pStyle w:val="Heading2"/>
        <w:bidi/>
        <w:spacing w:after="140" w:before="320"/>
        <w:jc w:val="right"/>
      </w:pPr>
      <w:bookmarkStart w:name="bm_faqrah_5" w:id="1011"/>
      <w:r>
        <w:rPr>
          <w:rFonts w:ascii="Aref Ruqaa" w:cs="Aref Ruqaa" w:eastAsia="Aref Ruqaa" w:hAnsi="Aref Ruqaa"/>
          <w:b/>
          <w:bCs/>
          <w:i w:val="false"/>
          <w:iCs w:val="false"/>
          <w:color w:val="0D2143"/>
          <w:sz w:val="28"/>
          <w:szCs w:val="28"/>
          <w:rtl/>
        </w:rPr>
        <w:t xml:space="preserve">الفقرة الخامسة: ترك المراء والجدال</w:t>
      </w:r>
      <w:bookmarkEnd w:id="101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وَتَرْكُ الْمِرَاءِ وَالْجِدَالِ.</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يخصص الإمام أحمد هذه الفقرة لمعنى ذكره إجمالاً في الفقرة الثالثة (ترك الخصومات في الدين)، فيفصّله هنا باسم أخص هو "المراء والجدال"، تأكيداً على خطورته وشدة وقوع الناس فيه. والمراء هو الاعتراض على كلام الغير بقصد إظهار الخلل فيه وتزييفه، سواء أكان القائل محقاً أم مبطلاً، والجدال أعم منه، وهو المنازعة بالقول لإثبات رأي أو دفع رأي.</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المراء:</w:t>
            </w:r>
            <w:r>
              <w:rPr>
                <w:rFonts w:ascii="Amiri" w:cs="Amiri" w:eastAsia="Amiri" w:hAnsi="Amiri"/>
                <w:b w:val="false"/>
                <w:bCs w:val="false"/>
                <w:i w:val="false"/>
                <w:iCs w:val="false"/>
                <w:color w:val="181410"/>
                <w:sz w:val="22"/>
                <w:szCs w:val="22"/>
                <w:rtl/>
              </w:rPr>
              <w:t xml:space="preserve"> هو الجدال الذي لا يقصد به صاحبه الوصول إلى الحق، بل مجرد الرد على المتكلم وتصيّد الخلل في كلامه، ولو كان في نفس الأمر محقاً.</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واللافت في هذه الفقرة أن الشرع نهى عن المراء حتى ولو كان صاحبه محقاً في أصل قوله، لأن المفسدة هنا ليست في مضمون الكلام، بل في طريقة عرضه وقصد صاحبه منه؛ فالمحق إذا جادل بقصد الغلبة لا بقصد إظهار الحق ونفعه لغيره، وقع فيما نُهي عنه، وإن كان أصل ما يقوله صواباً.</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النبي ﷺ: «أَنَا زَعِيمٌ بِبَيْتٍ فِي رَبَضِ الْجَنَّةِ لِمَنْ تَرَكَ الْمِرَاءَ وَإِنْ كَانَ مُحِقًّا، وَبِبَيْتٍ فِي وَسَطِ الْجَنَّةِ لِمَنْ تَرَكَ الْكَذِبَ وَإِنْ كَانَ مَازِحًا، وَبِبَيْتٍ فِي أَعْلَى الْجَنَّةِ لِمَنْ حَسَّنَ خُلُقَهُ» (رواه أبو داود والترمذي)، ووجه الدلالة أن هذا الحديث يبيّن أن ترك المراء -حتى مع كون الإنسان على حق- من أسباب دخول الجنة، لعظم ما في النفس من مجاهدة في كظم الرغبة في الانتصار للنفس وإظهار الحق بأي ثمن؛ وقد قرن النبي ﷺ بهذا الوعد وعدين آخرين: ترك الكذب ولو مازحاً، وحسن الخلق، فدلّ على أن هذه الخصال الثلاث من أعظم ما يُبنى به بيت في الجنة.</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وقال النبي ﷺ: «إِنَّ أَبْغَضَ الرِّجَالِ إِلَى اللَّهِ الْأَلَدُّ الْخَصِمُ» (رواه البخاري ومسلم)، والألدّ الخَصِم هو شديد الخصومة الذي لا يقبل الحق ولو ظهر، بل يلوي عنقَ الكلام لينتصر لنفسه، وقد جعله النبي ﷺ من أبغض الناس إلى الله، لما في خُلقه من التعصب والعناد ومصادمة الحق.</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الأصل تربية للنفس على التواضع في طلب الحق، وتعويد لها على تقديم المقصد الشرعي -وهو ظهور الحق ونفع الناس- على المقصد النفسي، وهو الرغبة في الغلبة والظهور. وقد كان السلف يوصون طلاب العلم بترك المراء لأنه يُفسد القلب ويُقسّي الصلة بين المتناظرين، ويصرف الجهد عن العلم النافع إلى المكابرة العقيمة.</w:t>
      </w:r>
    </w:p>
    <w:p>
      <w:pPr>
        <w:bidi/>
        <w:spacing w:after="140" w:before="0" w:line="300"/>
        <w:jc w:val="both"/>
      </w:pPr>
      <w:r>
        <w:rPr>
          <w:rFonts w:ascii="Amiri" w:cs="Amiri" w:eastAsia="Amiri" w:hAnsi="Amiri"/>
          <w:b w:val="false"/>
          <w:bCs w:val="false"/>
          <w:i w:val="false"/>
          <w:iCs w:val="false"/>
          <w:color w:val="181410"/>
          <w:sz w:val="22"/>
          <w:szCs w:val="22"/>
          <w:rtl/>
        </w:rPr>
        <w:t xml:space="preserve">ويتصل هذا الأصل بما سبق من الفقرة الثالثة اتصالاً وثيقاً حتى إن بعض الشراح عدّوهما وجهين لأصل واحد؛ فالخصومات في الدين هي الإطار العام، والمراء والجدال صورة خاصة منها أشد إلحاحاً في التحذير، ولذلك أفردها الإمام أحمد بالذكر.</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فالواجب على المسلم أن يترك المراء والجدال، وأن يكون همه الوصول إلى الحق واتباعه لا إفحام الخصم، وأن يجاهد نفسه على كظم الرغبة في الانتصار للذات حتى في المواضع التي يكون فيها محقاً.</w:t>
            </w:r>
          </w:p>
        </w:tc>
      </w:tr>
    </w:tbl>
    <w:p>
      <w:pPr>
        <w:spacing w:after="160"/>
      </w:pPr>
    </w:p>
    <w:p>
      <w:pPr>
        <w:pStyle w:val="Heading2"/>
        <w:bidi/>
        <w:spacing w:after="140" w:before="320"/>
        <w:jc w:val="right"/>
      </w:pPr>
      <w:bookmarkStart w:name="bm_faqrah_6" w:id="1012"/>
      <w:r>
        <w:rPr>
          <w:rFonts w:ascii="Aref Ruqaa" w:cs="Aref Ruqaa" w:eastAsia="Aref Ruqaa" w:hAnsi="Aref Ruqaa"/>
          <w:b/>
          <w:bCs/>
          <w:i w:val="false"/>
          <w:iCs w:val="false"/>
          <w:color w:val="0D2143"/>
          <w:sz w:val="28"/>
          <w:szCs w:val="28"/>
          <w:rtl/>
        </w:rPr>
        <w:t xml:space="preserve">الفقرة السادسة: مكانة السنة ووظيفتها في تفسير القرآن</w:t>
      </w:r>
      <w:bookmarkEnd w:id="101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وَالسُّنَّةُ عِنْدَنَا آثَارُ رَسُولِ اللَّهِ ﷺ، وَالسُّنَّةُ تُفَسِّرُ الْقُرْآنَ، وَهِيَ دَلَائِلُ الْقُرْآنِ.</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قرر الإمام أحمد في الفقرات السابقة منهج التلقي (اتباع الصحابة، ترك البدع والجدال)، ينتقل هنا إلى تقرير مصدر من مصدري التشريع، وهو السنة، ويبيّن مكانتها ووظيفتها. فقوله: "السنة عندنا آثار رسول الله ﷺ" تعريف جامع للسنة بأنها كل ما أُثر عنه ﷺ من قول أو فعل أو تقرير أو صفة خَلقية أو خُلقية.</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"والسنة تفسر القرآن، وهي دلائل القرآن" تقرير لوظيفة السنة تجاه القرآن؛ فالسنة ليست مصدراً منفصلاً عن القرآن أو مستقلاً عنه، بل هي شارحة له ومبيّنة لمجمله ومخصصة لعامه ومقيّدة لمطلقه، وفي كثير من الأحيان تكون هي الدليل والمرشد إلى فهم المراد من الآية على الوجه الصحيح الذي أراده الله.</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الله تعالى: </w:t>
      </w:r>
      <w:r>
        <w:rPr>
          <w:rFonts w:ascii="Amiri Quran" w:cs="Amiri Quran" w:eastAsia="Amiri Quran" w:hAnsi="Amiri Quran"/>
          <w:b w:val="false"/>
          <w:bCs w:val="false"/>
          <w:i w:val="false"/>
          <w:iCs w:val="false"/>
          <w:color w:val="0D2143"/>
          <w:sz w:val="26"/>
          <w:szCs w:val="26"/>
          <w:rtl/>
        </w:rPr>
        <w:t xml:space="preserve">﴿وَأَنْزَلْنَا إِلَيْكَ الذِّكْرَ لِتُبَيِّنَ لِلنَّاسِ مَا نُزِّلَ إِلَيْهِمْ﴾</w:t>
      </w:r>
      <w:r>
        <w:rPr>
          <w:rFonts w:ascii="Cairo" w:cs="Cairo" w:eastAsia="Cairo" w:hAnsi="Cairo"/>
          <w:b/>
          <w:bCs/>
          <w:i w:val="false"/>
          <w:iCs w:val="false"/>
          <w:color w:val="8A6A1F"/>
          <w:sz w:val="16"/>
          <w:szCs w:val="16"/>
          <w:rtl/>
        </w:rPr>
        <w:t xml:space="preserve"> [النحل: 44]</w:t>
      </w:r>
      <w:r>
        <w:rPr>
          <w:rFonts w:ascii="Amiri" w:cs="Amiri" w:eastAsia="Amiri" w:hAnsi="Amiri"/>
          <w:b w:val="false"/>
          <w:bCs w:val="false"/>
          <w:i w:val="false"/>
          <w:iCs w:val="false"/>
          <w:color w:val="181410"/>
          <w:sz w:val="22"/>
          <w:szCs w:val="22"/>
          <w:rtl/>
        </w:rPr>
        <w:t xml:space="preserve">، ووجه الدلالة أن الله سبحانه جعل من مهام النبي ﷺ بيان القرآن للناس، وهذا البيان هو عين السنة النبوية بأقواله وأفعاله؛ فلولا السنة لتعذر على الأمة فهم كثير من تفاصيل الأحكام التي أُجملت في القرآن، كتفاصيل الصلاة والزكاة وغيرهما.</w:t>
      </w:r>
    </w:p>
    <w:p>
      <w:pPr>
        <w:bidi/>
        <w:spacing w:after="140" w:before="0" w:line="300"/>
        <w:jc w:val="both"/>
      </w:pPr>
      <w:r>
        <w:rPr>
          <w:rFonts w:ascii="Amiri" w:cs="Amiri" w:eastAsia="Amiri" w:hAnsi="Amiri"/>
          <w:b w:val="false"/>
          <w:bCs w:val="false"/>
          <w:i w:val="false"/>
          <w:iCs w:val="false"/>
          <w:color w:val="181410"/>
          <w:sz w:val="22"/>
          <w:szCs w:val="22"/>
          <w:rtl/>
        </w:rPr>
        <w:t xml:space="preserve">وقال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وهذا نص عام في وجوب الأخذ بكل ما جاء به النبي ﷺ، سواء ما كان بياناً لنص قرآني أو ما كان تشريعاً مستقلاً لم يرد به نص في القرآن، فدل ذلك على أن حجية السنة مستقلة بذاتها، لا أنها تابعة للقرآن تبعية تُلغي استقلال حجيتها.</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يترتب على هذا الأصل رد شبهة من يزعم الاكتفاء بالقرآن وحده دون السنة، إذ يلزم من هذا القول تعطيل كثير من أحكام الدين التي لا سبيل إلى معرفة تفصيلها إلا عن طريق السنة، بل يلزم منه أيضاً تعذر فهم القرآن نفسه على الوجه الصحيح، لأن السنة هي المفسرة له والموضحة لمراد الله فيه.</w:t>
      </w:r>
    </w:p>
    <w:p>
      <w:pPr>
        <w:bidi/>
        <w:spacing w:after="140" w:before="0" w:line="300"/>
        <w:jc w:val="both"/>
      </w:pPr>
      <w:r>
        <w:rPr>
          <w:rFonts w:ascii="Amiri" w:cs="Amiri" w:eastAsia="Amiri" w:hAnsi="Amiri"/>
          <w:b w:val="false"/>
          <w:bCs w:val="false"/>
          <w:i w:val="false"/>
          <w:iCs w:val="false"/>
          <w:color w:val="181410"/>
          <w:sz w:val="22"/>
          <w:szCs w:val="22"/>
          <w:rtl/>
        </w:rPr>
        <w:t xml:space="preserve">ومن أقسام بيان السنة للقرآن: التوكيد (كتأكيد وجوب الصلاة)، والتفصيل (كتفصيل أعداد الركعات وأحكام الزكاة المجملة في القرآن)، والتخصيص (كتخصيص عموم آية المواريث بحديث "لا يرث القاتل")، والتقييد (كتقييد إطلاق آية السرقة ببيان النصاب والشروط). وقد يأتي في السنة تشريع مستقل زائد على ما في القرآن، وهذا أيضاً واجب الاتباع لعموم قوله تعالى: </w:t>
      </w:r>
      <w:r>
        <w:rPr>
          <w:rFonts w:ascii="Amiri Quran" w:cs="Amiri Quran" w:eastAsia="Amiri Quran" w:hAnsi="Amiri Quran"/>
          <w:b w:val="false"/>
          <w:bCs w:val="false"/>
          <w:i w:val="false"/>
          <w:iCs w:val="false"/>
          <w:color w:val="0D2143"/>
          <w:sz w:val="26"/>
          <w:szCs w:val="26"/>
          <w:rtl/>
        </w:rPr>
        <w:t xml:space="preserve">﴿وَمَا آتَاكُمُ الرَّسُولُ فَخُذُوهُ﴾</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ويتصل هذا الأصل بما سيأتي في الفقرة السابعة من عدم إخضاع السنة للقياس والرأي والهوى؛ فبعد أن قرر مكانة السنة ووظيفتها هنا، يقرر هناك طريقة التعامل الصحيح معها.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فالواجب على المسلم أن يعظّم السنة النبوية، ويأخذ بها كما يأخذ بالقرآن، وأن يفهم القرآن من خلالها، لا أن يُقصيها أو يجعلها تابعة تُرد عند أدنى شبهة، فهي وحي كالقرآن وإن اختلف طريق نزولها.</w:t>
            </w:r>
          </w:p>
        </w:tc>
      </w:tr>
    </w:tbl>
    <w:p>
      <w:pPr>
        <w:spacing w:after="160"/>
      </w:pPr>
    </w:p>
    <w:p>
      <w:pPr>
        <w:pStyle w:val="Heading2"/>
        <w:bidi/>
        <w:spacing w:after="140" w:before="320"/>
        <w:jc w:val="right"/>
      </w:pPr>
      <w:bookmarkStart w:name="bm_faqrah_7" w:id="1013"/>
      <w:r>
        <w:rPr>
          <w:rFonts w:ascii="Aref Ruqaa" w:cs="Aref Ruqaa" w:eastAsia="Aref Ruqaa" w:hAnsi="Aref Ruqaa"/>
          <w:b/>
          <w:bCs/>
          <w:i w:val="false"/>
          <w:iCs w:val="false"/>
          <w:color w:val="0D2143"/>
          <w:sz w:val="28"/>
          <w:szCs w:val="28"/>
          <w:rtl/>
        </w:rPr>
        <w:t xml:space="preserve">الفقرة السابعة: عدم إخضاع السنة للقياس والعقل والهوى</w:t>
      </w:r>
      <w:bookmarkEnd w:id="101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وَلَيْسَ فِي السُّنَّةِ قِيَاسٌ، وَلَا تُضْرَبُ لَهَا الْأَمْثَالُ، وَلَا تُدْرَكُ بِالْعُقُولِ وَلَا الْأَهْوَاءِ؛ إِنَّمَا هُوَ الاتِّبَاعُ وَتَرْكُ الْهَوَى.</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قرر الإمام أحمد في الفقرة السابقة مكانة السنة ووظيفتها، يبيّن هنا منهج التعامل الصحيح معها، فينفي عنها أربعة أمور: أن تُقاس بالرأي، أو تُضرب لها الأمثال، أو تُدرك بمجرد العقل، أو تُخضع للهوى. ويثبت لها أمراً واحداً هو الواجب تجاهها: الاتباع مع ترك الهوى.</w:t>
      </w:r>
    </w:p>
    <w:p>
      <w:pPr>
        <w:bidi/>
        <w:spacing w:after="140" w:before="0" w:line="300"/>
        <w:jc w:val="both"/>
      </w:pPr>
      <w:r>
        <w:rPr>
          <w:rFonts w:ascii="Amiri" w:cs="Amiri" w:eastAsia="Amiri" w:hAnsi="Amiri"/>
          <w:b w:val="false"/>
          <w:bCs w:val="false"/>
          <w:i w:val="false"/>
          <w:iCs w:val="false"/>
          <w:color w:val="181410"/>
          <w:sz w:val="22"/>
          <w:szCs w:val="22"/>
          <w:rtl/>
        </w:rPr>
        <w:t xml:space="preserve">والمقصود بنفي القياس عن السنة هنا ليس إبطال القياس الشرعي المعتبر في الفروع الفقهية عند أهل السنة، وإنما المراد أن نصوص السنة الثابتة في العقائد والغيبيات لا تُردّ ولا تُؤوَّل بحجة أنها تخالف مقاييس العقل أو تصورات الذهن؛ فالمسائل الغيبية كصفات الله وأمور الآخرة لا مجال فيها للقياس على المشاهد المحسوس، ولا لضرب الأمثال التي تقرّب الغيب من عالم الشهادة تقريباً يوهم التمثيل والتشبيه.</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"ولا تُدرك بالعقول ولا الأهواء" تقرير أن العقل - على شرفه وأهميته - ليس هو الحَكَم الأول على النصوص الشرعية في الغيبيات، بل وظيفته الفهم والتدبر لا التحكيم والرد. وأما الهوى فهو أبعد من ذلك، إذ هو ميل النفس المجرد الذي لا ضابط له، فإخضاع السنة له إفساد كامل لمقصود الشريعة.</w:t>
      </w:r>
    </w:p>
    <w:p>
      <w:pPr>
        <w:bidi/>
        <w:spacing w:after="100" w:before="200" w:line="300"/>
        <w:jc w:val="right"/>
      </w:pPr>
      <w:r>
        <w:rPr>
          <w:rFonts w:ascii="Amiri" w:cs="Amiri" w:eastAsia="Amiri" w:hAnsi="Amiri"/>
          <w:b/>
          <w:bCs/>
          <w:i w:val="false"/>
          <w:iCs w:val="false"/>
          <w:color w:val="152C54"/>
          <w:sz w:val="22"/>
          <w:szCs w:val="22"/>
          <w:rtl/>
        </w:rPr>
        <w:t xml:space="preserve">الأدلة والآثار</w:t>
      </w:r>
    </w:p>
    <w:p>
      <w:pPr>
        <w:bidi/>
        <w:spacing w:after="140" w:before="0" w:line="300"/>
        <w:jc w:val="both"/>
      </w:pPr>
      <w:r>
        <w:rPr>
          <w:rFonts w:ascii="Amiri" w:cs="Amiri" w:eastAsia="Amiri" w:hAnsi="Amiri"/>
          <w:b w:val="false"/>
          <w:bCs w:val="false"/>
          <w:i w:val="false"/>
          <w:iCs w:val="false"/>
          <w:color w:val="181410"/>
          <w:sz w:val="22"/>
          <w:szCs w:val="22"/>
          <w:rtl/>
        </w:rPr>
        <w:t xml:space="preserve">يُروى عن الإمام مالك بن أنس رحمه الله أنه قال - وقد سُئل عن الاستواء -: "الاستواء غير مجهول، والكيف غير معقول، والإيمان به واجب، والسؤال عنه بدعة"، وهذه الكلمة الجامعة تلخص منهج أهل السنة بكامله في التعامل مع نصوص الصفات وسائر الغيبيات: إثبات المعنى المعلوم من اللفظ، مع نفي العلم بالكيفية، ووجوب الإيمان والتسليم، وترك السؤال المفضي إلى تكلف ما لا سبيل إلى معرفته.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الأصل هو الحد الفاصل بين منهج أهل السنة ومنهج أهل الكلام في التعامل مع النصوص؛ فأهل الكلام يجعلون العقل حَكَماً مقدَّماً على النقل، فإذا ظنوا تعارضاً بينهما قدّموا العقل وأوّلوا النص أو ردّوه، بينما أهل السنة يقدّمون النقل الصحيح، ويعلمون يقيناً أنه لا يمكن أن يتعارض صريح المعقول مع صحيح المنقول في حقيقة الأمر، وإنما يقع الوهم من قصور العقل أو ضعف النقل.</w:t>
      </w:r>
    </w:p>
    <w:p>
      <w:pPr>
        <w:bidi/>
        <w:spacing w:after="140" w:before="0" w:line="300"/>
        <w:jc w:val="both"/>
      </w:pPr>
      <w:r>
        <w:rPr>
          <w:rFonts w:ascii="Amiri" w:cs="Amiri" w:eastAsia="Amiri" w:hAnsi="Amiri"/>
          <w:b w:val="false"/>
          <w:bCs w:val="false"/>
          <w:i w:val="false"/>
          <w:iCs w:val="false"/>
          <w:color w:val="181410"/>
          <w:sz w:val="22"/>
          <w:szCs w:val="22"/>
          <w:rtl/>
        </w:rPr>
        <w:t xml:space="preserve">ويرتبط هذا الأصل بمنهج أهل السنة في باب الأسماء والصفات الذي سيأتي تفصيله في أبواب لاحقة من الكتاب؛ فالقاعدة المقررة هنا -من ترك القياس والتمثيل والتحكيم العقلي المجرد- هي بعينها القاعدة التي يُبنى عليها إثبات صفات الله تعالى كما وردت، من غير تحريف ولا تعطيل ولا تكييف ولا تمثيل.</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فالواجب على المسلم أن يتبع السنة كما جاءت، ولا يخضعها لرأيه أو قياسه أو هواه، وأن يسلّم لنصوصها في الغيبيات تسليماً كاملاً، مقتدياً في ذلك بمنهج السلف الصالح من إثبات المعنى وترك التكلف في الكيفية.</w:t>
            </w:r>
          </w:p>
        </w:tc>
      </w:tr>
    </w:tbl>
    <w:p>
      <w:pPr>
        <w:spacing w:after="160"/>
      </w:pPr>
    </w:p>
    <w:p>
      <w:pPr>
        <w:pStyle w:val="Heading1"/>
        <w:pageBreakBefore/>
        <w:bidi/>
        <w:spacing w:after="160" w:before="0"/>
        <w:jc w:val="right"/>
      </w:pPr>
      <w:bookmarkStart w:name="bm_bab2" w:id="1014"/>
      <w:r>
        <w:rPr>
          <w:rFonts w:ascii="Aref Ruqaa" w:cs="Aref Ruqaa" w:eastAsia="Aref Ruqaa" w:hAnsi="Aref Ruqaa"/>
          <w:b/>
          <w:bCs/>
          <w:i w:val="false"/>
          <w:iCs w:val="false"/>
          <w:color w:val="0A1830"/>
          <w:sz w:val="34"/>
          <w:szCs w:val="34"/>
          <w:rtl/>
        </w:rPr>
        <w:t xml:space="preserve">الباب الثاني — في الإيمان بالقدر والتسليم لنصوص الغيب</w:t>
      </w:r>
      <w:bookmarkEnd w:id="1014"/>
    </w:p>
    <w:p>
      <w:pPr>
        <w:pStyle w:val="Heading2"/>
        <w:bidi/>
        <w:spacing w:after="140" w:before="320"/>
        <w:jc w:val="right"/>
      </w:pPr>
      <w:bookmarkStart w:name="bm_faqrah_8" w:id="1015"/>
      <w:r>
        <w:rPr>
          <w:rFonts w:ascii="Aref Ruqaa" w:cs="Aref Ruqaa" w:eastAsia="Aref Ruqaa" w:hAnsi="Aref Ruqaa"/>
          <w:b/>
          <w:bCs/>
          <w:i w:val="false"/>
          <w:iCs w:val="false"/>
          <w:color w:val="0D2143"/>
          <w:sz w:val="28"/>
          <w:szCs w:val="28"/>
          <w:rtl/>
        </w:rPr>
        <w:t xml:space="preserve">الفقرة الثامنة: الإيمان بالقدر خيره وشره</w:t>
      </w:r>
      <w:bookmarkEnd w:id="1015"/>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وَمِنَ السُّنَّةِ اللَّازِمَةِ الَّتِي مَنْ تَرَكَ مِنْهَا خَصْلَةً لَمْ يَقْبَلْهَا وَيُؤْمِنْ بِهَا لَمْ يَكُنْ مِنْ أَهْلِهَا: الْإِيمَانُ بِالْقَدَرِ خَيْرِهِ وَشَرِّهِ.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يفتتح الإمام أحمد بهذه الفقرة الباب الثاني من أصول السنة، منتقلاً من الكلام عن منهج التلقي والاتباع إلى أصل عظيم من أصول الاعتقاد، وهو الإيمان بالقدر. ويلفت النظر في عبارته قوله: "ومن السنة اللازمة التي من ترك منها خصلة لم يقبلها ويؤمن بها لم يكن من أهلها"، فهذا تشديد بالغ يدل على أن الإيمان بالقدر ليس مسألة نظرية هامشية، بل هو ركن لا يستقيم إيمان العبد إلا به، حتى إن من جحد شيئاً منه خرج بذلك عن جملة "أهل السنة".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الإيمان بالقدر:</w:t>
            </w:r>
            <w:r>
              <w:rPr>
                <w:rFonts w:ascii="Amiri" w:cs="Amiri" w:eastAsia="Amiri" w:hAnsi="Amiri"/>
                <w:b w:val="false"/>
                <w:bCs w:val="false"/>
                <w:i w:val="false"/>
                <w:iCs w:val="false"/>
                <w:color w:val="181410"/>
                <w:sz w:val="22"/>
                <w:szCs w:val="22"/>
                <w:rtl/>
              </w:rPr>
              <w:t xml:space="preserve"> هو التصديق الجازم بأن الله تعالى علم مقادير الأشياء أزلاً قبل خلقها، وكتب ذلك في اللوح المحفوظ، ثم شاء كل ما يكون، فلا يكون في ملكه شيء إلا بمشيئته، ثم هو سبحانه خالق كل شيء، أفعال العباد وغيرها.</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وقد فصّل أهل العلم الإيمان بالقدر في أربع مراتب متكاملة، لا يصح الإيمان به إلا بها جميعاً: </w:t>
      </w:r>
      <w:r>
        <w:rPr>
          <w:rFonts w:ascii="Amiri" w:cs="Amiri" w:eastAsia="Amiri" w:hAnsi="Amiri"/>
          <w:b/>
          <w:bCs/>
          <w:i w:val="false"/>
          <w:iCs w:val="false"/>
          <w:color w:val="0D2143"/>
          <w:sz w:val="22"/>
          <w:szCs w:val="22"/>
          <w:rtl/>
        </w:rPr>
        <w:t xml:space="preserve">مرتبة العلم</w:t>
      </w:r>
      <w:r>
        <w:rPr>
          <w:rFonts w:ascii="Amiri" w:cs="Amiri" w:eastAsia="Amiri" w:hAnsi="Amiri"/>
          <w:b w:val="false"/>
          <w:bCs w:val="false"/>
          <w:i w:val="false"/>
          <w:iCs w:val="false"/>
          <w:color w:val="181410"/>
          <w:sz w:val="22"/>
          <w:szCs w:val="22"/>
          <w:rtl/>
        </w:rPr>
        <w:t xml:space="preserve">، وهي أن الله تعالى علم كل شيء علماً أزلياً محيطاً، لا يخفى عليه شيء في السماوات ولا في الأرض؛ ثم </w:t>
      </w:r>
      <w:r>
        <w:rPr>
          <w:rFonts w:ascii="Amiri" w:cs="Amiri" w:eastAsia="Amiri" w:hAnsi="Amiri"/>
          <w:b/>
          <w:bCs/>
          <w:i w:val="false"/>
          <w:iCs w:val="false"/>
          <w:color w:val="0D2143"/>
          <w:sz w:val="22"/>
          <w:szCs w:val="22"/>
          <w:rtl/>
        </w:rPr>
        <w:t xml:space="preserve">مرتبة الكتابة</w:t>
      </w:r>
      <w:r>
        <w:rPr>
          <w:rFonts w:ascii="Amiri" w:cs="Amiri" w:eastAsia="Amiri" w:hAnsi="Amiri"/>
          <w:b w:val="false"/>
          <w:bCs w:val="false"/>
          <w:i w:val="false"/>
          <w:iCs w:val="false"/>
          <w:color w:val="181410"/>
          <w:sz w:val="22"/>
          <w:szCs w:val="22"/>
          <w:rtl/>
        </w:rPr>
        <w:t xml:space="preserve">، وهي أن الله سبحانه كتب في اللوح المحفوظ مقادير كل شيء إلى قيام الساعة؛ ثم </w:t>
      </w:r>
      <w:r>
        <w:rPr>
          <w:rFonts w:ascii="Amiri" w:cs="Amiri" w:eastAsia="Amiri" w:hAnsi="Amiri"/>
          <w:b/>
          <w:bCs/>
          <w:i w:val="false"/>
          <w:iCs w:val="false"/>
          <w:color w:val="0D2143"/>
          <w:sz w:val="22"/>
          <w:szCs w:val="22"/>
          <w:rtl/>
        </w:rPr>
        <w:t xml:space="preserve">مرتبة المشيئة</w:t>
      </w:r>
      <w:r>
        <w:rPr>
          <w:rFonts w:ascii="Amiri" w:cs="Amiri" w:eastAsia="Amiri" w:hAnsi="Amiri"/>
          <w:b w:val="false"/>
          <w:bCs w:val="false"/>
          <w:i w:val="false"/>
          <w:iCs w:val="false"/>
          <w:color w:val="181410"/>
          <w:sz w:val="22"/>
          <w:szCs w:val="22"/>
          <w:rtl/>
        </w:rPr>
        <w:t xml:space="preserve">، وهي أن ما شاء الله كان وما لم يشأ لم يكن، لا في السماوات ولا في الأرض؛ ثم </w:t>
      </w:r>
      <w:r>
        <w:rPr>
          <w:rFonts w:ascii="Amiri" w:cs="Amiri" w:eastAsia="Amiri" w:hAnsi="Amiri"/>
          <w:b/>
          <w:bCs/>
          <w:i w:val="false"/>
          <w:iCs w:val="false"/>
          <w:color w:val="0D2143"/>
          <w:sz w:val="22"/>
          <w:szCs w:val="22"/>
          <w:rtl/>
        </w:rPr>
        <w:t xml:space="preserve">مرتبة الخلق</w:t>
      </w:r>
      <w:r>
        <w:rPr>
          <w:rFonts w:ascii="Amiri" w:cs="Amiri" w:eastAsia="Amiri" w:hAnsi="Amiri"/>
          <w:b w:val="false"/>
          <w:bCs w:val="false"/>
          <w:i w:val="false"/>
          <w:iCs w:val="false"/>
          <w:color w:val="181410"/>
          <w:sz w:val="22"/>
          <w:szCs w:val="22"/>
          <w:rtl/>
        </w:rPr>
        <w:t xml:space="preserve">، وهي أن الله تعالى خالق كل شيء، بما في ذلك أفعال العباد أنفسهم، مع كون العبد فاعلاً حقيقة له مشيئة واختيار يُسأل عنهما ويُحاسب عليهما.</w:t>
      </w:r>
    </w:p>
    <w:p>
      <w:pPr>
        <w:bidi/>
        <w:spacing w:after="140" w:before="0" w:line="300"/>
        <w:jc w:val="both"/>
      </w:pPr>
      <w:r>
        <w:rPr>
          <w:rFonts w:ascii="Amiri" w:cs="Amiri" w:eastAsia="Amiri" w:hAnsi="Amiri"/>
          <w:b w:val="false"/>
          <w:bCs w:val="false"/>
          <w:i w:val="false"/>
          <w:iCs w:val="false"/>
          <w:color w:val="181410"/>
          <w:sz w:val="22"/>
          <w:szCs w:val="22"/>
          <w:rtl/>
        </w:rPr>
        <w:t xml:space="preserve">والملاحظ أن المؤلف خص "خيره وشره" بالذكر، وهذا موافق لألفاظ حديث جبريل المشهور، وفيه إشارة إلى أن الإيمان بالقدر لا يكتمل إلا بالتسليم لكلا الأمرين: فما يقدره الله من نعمة يستوجب الشكر، وما يقدره من بلاء يستوجب الصبر والرضا، وفي كليهما ابتلاء واختبار للعبد.</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يشهد لهذا الأصل قول الله تعالى: </w:t>
      </w:r>
      <w:r>
        <w:rPr>
          <w:rFonts w:ascii="Amiri Quran" w:cs="Amiri Quran" w:eastAsia="Amiri Quran" w:hAnsi="Amiri Quran"/>
          <w:b w:val="false"/>
          <w:bCs w:val="false"/>
          <w:i w:val="false"/>
          <w:iCs w:val="false"/>
          <w:color w:val="0D2143"/>
          <w:sz w:val="26"/>
          <w:szCs w:val="26"/>
          <w:rtl/>
        </w:rPr>
        <w:t xml:space="preserve">﴿إِنَّا كُلَّ شَيْءٍ خَلَقْنَاهُ بِقَدَرٍ﴾</w:t>
      </w:r>
      <w:r>
        <w:rPr>
          <w:rFonts w:ascii="Cairo" w:cs="Cairo" w:eastAsia="Cairo" w:hAnsi="Cairo"/>
          <w:b/>
          <w:bCs/>
          <w:i w:val="false"/>
          <w:iCs w:val="false"/>
          <w:color w:val="8A6A1F"/>
          <w:sz w:val="16"/>
          <w:szCs w:val="16"/>
          <w:rtl/>
        </w:rPr>
        <w:t xml:space="preserve"> [القمر: 49]</w:t>
      </w:r>
      <w:r>
        <w:rPr>
          <w:rFonts w:ascii="Amiri" w:cs="Amiri" w:eastAsia="Amiri" w:hAnsi="Amiri"/>
          <w:b w:val="false"/>
          <w:bCs w:val="false"/>
          <w:i w:val="false"/>
          <w:iCs w:val="false"/>
          <w:color w:val="181410"/>
          <w:sz w:val="22"/>
          <w:szCs w:val="22"/>
          <w:rtl/>
        </w:rPr>
        <w:t xml:space="preserve">، ووجه الدلالة أن الآية عامة شاملة لكل شيء دون استثناء، فما من كائن في هذا الوجود إلا وقد سبق به قدر الله وعلمه. ويشهد له أيضاً قوله تعالى: </w:t>
      </w:r>
      <w:r>
        <w:rPr>
          <w:rFonts w:ascii="Amiri Quran" w:cs="Amiri Quran" w:eastAsia="Amiri Quran" w:hAnsi="Amiri Quran"/>
          <w:b w:val="false"/>
          <w:bCs w:val="false"/>
          <w:i w:val="false"/>
          <w:iCs w:val="false"/>
          <w:color w:val="0D2143"/>
          <w:sz w:val="26"/>
          <w:szCs w:val="26"/>
          <w:rtl/>
        </w:rPr>
        <w:t xml:space="preserve">﴿وَخَلَقَ كُلَّ شَيْءٍ فَقَدَّرَهُ تَقْدِيراً﴾</w:t>
      </w:r>
      <w:r>
        <w:rPr>
          <w:rFonts w:ascii="Cairo" w:cs="Cairo" w:eastAsia="Cairo" w:hAnsi="Cairo"/>
          <w:b/>
          <w:bCs/>
          <w:i w:val="false"/>
          <w:iCs w:val="false"/>
          <w:color w:val="8A6A1F"/>
          <w:sz w:val="16"/>
          <w:szCs w:val="16"/>
          <w:rtl/>
        </w:rPr>
        <w:t xml:space="preserve"> [الفرقان: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السنة حديث عمر بن الخطاب رضي الله عنه الطويل في سؤال جبريل عليه السلام النبي صلى الله عليه وسلم عن الإسلام والإيمان والإحسان، وفيه أن النبي صلى الله عليه وسلم قال: «أَنْ تُؤْمِنَ بِاللَّهِ، وَمَلَائِكَتِهِ، وَكُتُبِهِ، وَرُسُلِهِ، وَالْيَوْمِ الْآخِرِ، وَتُؤْمِنَ بِالْقَدَرِ خَيْرِهِ وَشَرِّهِ» (رواه مسلم)، فجعل النبي صلى الله عليه وسلم الإيمان بالقدر خيره وشره ركناً سادساً من أركان الإيمان، مقروناً بالإيمان بالله وملائكته وكتبه ورسله واليوم الآخر، مما يدل على عظم شأنه ومكانته.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من فوائد هذه الفقرة أن الإمام أحمد افتتح بها الباب الثاني، فربط بذلك بين أصول التلقي التي تقدمت في الباب الأول (التمسك بهدي الصحابة، وترك البدع، وترك الجدال) وبين مسائل الغيب التي سيتحدث عنها فيما بعد، وكأنه يقرر أن السبيل الوحيد إلى تلقي هذه المسائل الغيبية الدقيقة هو الاتباع المحض دون تحكيم العقل والهوى، وهذا هو الرابط المنهجي بين الفقرة الثامنة وما قبلها من الفقرة السابعة في النهي عن إخضاع السنة للقياس والعقل.</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المسائل المهمة هنا: أن القدر كان من أبرز المسائل التي خاض فيها أهل الأهواء في القرون المفضلة، فأنكرت القدرية علم الله السابق أو زعمت أن العبد خالق لفعله استقلالاً عن مشيئة الله، بينما غلت الجبرية في الطرف المقابل فسلبت العبد كل إرادة واختيار حتى جعلته كالريشة في مهب الريح لا يُسأل عن فعله. وأهل السنة والجماعة وسط بين الطائفتين، يثبتون للعبد مشيئة حقيقية مقرونة بمشيئة الله الشاملة، فلا هم كالقدرية الذين شبّهوا بالمجوس (لإثباتهم خالقين مع الله)، ولا هم كالجبرية الذين نفوا التكليف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ومن فوائد ذكر "خيره وشره" أن الشر في المقدور ليس شراً في القدر نفسه من كل وجه، فأفعال الله كلها حكمة وعدل، وإنما يكون الشر في بعض المقدورات باعتبار ما تؤول إليه من ألم أو معصية، لا باعتبار الفعل الإلهي في ذاته، كما قال النبي صلى الله عليه وسلم في دعائه: «وَالشَّرُّ لَيْسَ إِلَيْكَ» (رواه مسلم).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الواجب على المسلم أن يؤمن بالقدر خيره وشره، بمراتبه الأربع: العلم، والكتابة، والمشيئة، والخلق، وأن يرضى بما قضاه الله وقدّره، ولا يسأل عن "لم" و"كيف" في أفعال الله وقدره، فإن ذلك من الغيب الذي استأثر الله بعلم كنهه، وحسب العبد أن يُسلّم ويصدّق ويعمل بما أُمر به.</w:t>
            </w:r>
          </w:p>
        </w:tc>
      </w:tr>
    </w:tbl>
    <w:p>
      <w:pPr>
        <w:spacing w:after="160"/>
      </w:pPr>
    </w:p>
    <w:p>
      <w:pPr>
        <w:pStyle w:val="Heading2"/>
        <w:bidi/>
        <w:spacing w:after="140" w:before="320"/>
        <w:jc w:val="right"/>
      </w:pPr>
      <w:bookmarkStart w:name="bm_faqrah_9" w:id="1016"/>
      <w:r>
        <w:rPr>
          <w:rFonts w:ascii="Aref Ruqaa" w:cs="Aref Ruqaa" w:eastAsia="Aref Ruqaa" w:hAnsi="Aref Ruqaa"/>
          <w:b/>
          <w:bCs/>
          <w:i w:val="false"/>
          <w:iCs w:val="false"/>
          <w:color w:val="0D2143"/>
          <w:sz w:val="28"/>
          <w:szCs w:val="28"/>
          <w:rtl/>
        </w:rPr>
        <w:t xml:space="preserve">الفقرة التاسعة: التصديق بأحاديث القدر دون سؤال «لِمَ» و«كيف»</w:t>
      </w:r>
      <w:bookmarkEnd w:id="101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وَالتَّصْدِيقُ بِالْأَحَادِيثِ فِيهِ وَالْإِيمَانُ بِهَا، لَا يُقَالُ: لِمَ؟ وَلَا كَيْفَ؟ إِنَّمَا هُوَ التَّصْدِيقُ وَالْإِيمَانُ بِهَا.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تتفرع هذه الفقرة عن التي قبلها، فبعد أن قرر الإمام أحمد وجوب الإيمان بالقدر خيره وشره، انتقل يبين هنا موقف المسلم من الأحاديث النبوية الواردة في تفصيل هذا الباب، وهي أحاديث كثيرة تتحدث عن كتابة الأقدار، وعن أطوار خلق الإنسان، وعن مضامين دقيقة قد يستشكلها بعض الناس. فالمقرر عند أهل السنة أن هذه الأحاديث - إذا صحت - يُصدَّق بها ويُؤمن بمضمونها، ولا يُفتح باب السؤال عن علتها ("لِمَ") ولا عن كيفية وقوعها ("كيف")، لأن ذلك مما استأثر الله بعلمه، وموضعه التسليم لا التنقيب.</w:t>
      </w:r>
    </w:p>
    <w:p>
      <w:pPr>
        <w:bidi/>
        <w:spacing w:after="140" w:before="0" w:line="300"/>
        <w:jc w:val="both"/>
      </w:pPr>
      <w:r>
        <w:rPr>
          <w:rFonts w:ascii="Amiri" w:cs="Amiri" w:eastAsia="Amiri" w:hAnsi="Amiri"/>
          <w:b w:val="false"/>
          <w:bCs w:val="false"/>
          <w:i w:val="false"/>
          <w:iCs w:val="false"/>
          <w:color w:val="181410"/>
          <w:sz w:val="22"/>
          <w:szCs w:val="22"/>
          <w:rtl/>
        </w:rPr>
        <w:t xml:space="preserve">والفرق بين هذه الفقرة والتي قبلها أن الثامنة في أصل الإيمان بالقدر إجمالاً، وهذه في المنهج الواجب اتباعه عند تلقي تفاصيله الواردة في النصوص، فهي بذلك قاعدة منهجية تحكم تعامل المسلم مع كل ما يرد من أحاديث القدر الدقيقة التي قد تتجاوز طاقة العقول على الإحاطة بها.</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الأصل في هذا المنهج قول الله تعالى: </w:t>
      </w:r>
      <w:r>
        <w:rPr>
          <w:rFonts w:ascii="Amiri Quran" w:cs="Amiri Quran" w:eastAsia="Amiri Quran" w:hAnsi="Amiri Quran"/>
          <w:b w:val="false"/>
          <w:bCs w:val="false"/>
          <w:i w:val="false"/>
          <w:iCs w:val="false"/>
          <w:color w:val="0D2143"/>
          <w:sz w:val="26"/>
          <w:szCs w:val="26"/>
          <w:rtl/>
        </w:rPr>
        <w:t xml:space="preserve">﴿لَا يُسْأَلُ عَمَّا يَفْعَلُ وَهُمْ يُسْأَلُونَ﴾</w:t>
      </w:r>
      <w:r>
        <w:rPr>
          <w:rFonts w:ascii="Cairo" w:cs="Cairo" w:eastAsia="Cairo" w:hAnsi="Cairo"/>
          <w:b/>
          <w:bCs/>
          <w:i w:val="false"/>
          <w:iCs w:val="false"/>
          <w:color w:val="8A6A1F"/>
          <w:sz w:val="16"/>
          <w:szCs w:val="16"/>
          <w:rtl/>
        </w:rPr>
        <w:t xml:space="preserve"> [الأنبياء: 23]</w:t>
      </w:r>
      <w:r>
        <w:rPr>
          <w:rFonts w:ascii="Amiri" w:cs="Amiri" w:eastAsia="Amiri" w:hAnsi="Amiri"/>
          <w:b w:val="false"/>
          <w:bCs w:val="false"/>
          <w:i w:val="false"/>
          <w:iCs w:val="false"/>
          <w:color w:val="181410"/>
          <w:sz w:val="22"/>
          <w:szCs w:val="22"/>
          <w:rtl/>
        </w:rPr>
        <w:t xml:space="preserve">، ووجه الدلالة أن الله سبحانه منزّه عن أن يُسأل عن حكمة أفعاله على وجه الاعتراض أو التحدي، بخلاف الخلق الذين هم موضع السؤال والمحاسبة؛ فإذا كان هذا شأن أفعاله سبحانه على الإطلاق، فتفاصيل قدره من باب أولى لا يليق أن تُستقبل بالاعتراض والمساءلة، بل بالتسليم والانقياد.</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من فوائد هذه الفقرة أنها تكشف عن قاعدة عامة عند السلف في التعامل مع كل ما أشكل من النصوص، لا في القدر وحده، بل في سائر أبواب الغيب: الأسماء والصفات، وأحوال البرزخ، وأمور الآخرة. فمنهجهم واحد: التصديق بما صح من النص، وترك التكلف في السؤال عن كنهه وكيفيته، لأن العقل البشري محدود، والغيب لا سبيل لإدراك تفاصيله إلا بالخبر الصادق.</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المسائل المهمة التمييز بين نوعين من السؤال: سؤال طالب للفهم واستجلاء المعنى العربي للنص، وهذا مطلوب ومشروع بل واجب على طالب العلم؛ وسؤال عن الكيفية الحقيقية التي لا يُطلع عليها إلا بالخبر ولم يرد فيها خبر، فهذا هو الممنوع المعدود من التكلف والابتداع، لأنه سؤال عما استأثر الله بعلمه.</w:t>
      </w:r>
    </w:p>
    <w:p>
      <w:pPr>
        <w:bidi/>
        <w:spacing w:after="140" w:before="0" w:line="300"/>
        <w:jc w:val="both"/>
      </w:pPr>
      <w:r>
        <w:rPr>
          <w:rFonts w:ascii="Amiri" w:cs="Amiri" w:eastAsia="Amiri" w:hAnsi="Amiri"/>
          <w:b w:val="false"/>
          <w:bCs w:val="false"/>
          <w:i w:val="false"/>
          <w:iCs w:val="false"/>
          <w:color w:val="181410"/>
          <w:sz w:val="22"/>
          <w:szCs w:val="22"/>
          <w:rtl/>
        </w:rPr>
        <w:t xml:space="preserve">ويتصل هذا بما سبق في الفقرة السابعة من أن السنة "لا تُدرك بالعقول ولا الأهواء، إنما هو الاتباع"، فمن حاول أن يُخضع نصوص القدر والغيب لموازين عقله المحدود، وقع في التكلف أو التكذيب أو التأويل الباطل، وكل ذلك من مسالك أهل البدع الذين قاسوا الغيب على الشاهد.</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الواجب على المسلم أن يصدّق بأحاديث القدر الثابتة ويؤمن بها على ظاهرها، ولا يسأل عن "لم" ولا "كيف"، بل يكِل علم ذلك إلى الله تعالى، ويعلم أن التسليم لما استأثر الله بعلمه هو عين الأدب مع النصوص، وطريق السلامة من التكلف والابتداع.</w:t>
            </w:r>
          </w:p>
        </w:tc>
      </w:tr>
    </w:tbl>
    <w:p>
      <w:pPr>
        <w:spacing w:after="160"/>
      </w:pPr>
    </w:p>
    <w:p>
      <w:pPr>
        <w:pStyle w:val="Heading2"/>
        <w:bidi/>
        <w:spacing w:after="140" w:before="320"/>
        <w:jc w:val="right"/>
      </w:pPr>
      <w:bookmarkStart w:name="bm_faqrah_10" w:id="1017"/>
      <w:r>
        <w:rPr>
          <w:rFonts w:ascii="Aref Ruqaa" w:cs="Aref Ruqaa" w:eastAsia="Aref Ruqaa" w:hAnsi="Aref Ruqaa"/>
          <w:b/>
          <w:bCs/>
          <w:i w:val="false"/>
          <w:iCs w:val="false"/>
          <w:color w:val="0D2143"/>
          <w:sz w:val="28"/>
          <w:szCs w:val="28"/>
          <w:rtl/>
        </w:rPr>
        <w:t xml:space="preserve">الفقرة العاشرة: التسليم لما يُعجز العقل عن إدراكه</w:t>
      </w:r>
      <w:bookmarkEnd w:id="101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وَمَنْ لَمْ يَعْرِفْ تَفْسِيرَ الْحَدِيثِ وَيَعْيَا عَنْهُ عَقْلُهُ؛ فَقَدْ كُفِيَ ذَلِكَ، فَعَلَيْهِ الْإِيمَانُ بِهِ وَالتَّسْلِيمُ لَهُ، مِثْلَ حَدِيثِ «الصَّادِقِ الْمَصْدُوقِ» وَمِثْلَ مَا كَانَ مِثْلَهُ فِي الْقَدَرِ.</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تتناول هذه الفقرة حالة أخص مما سبق، وهي حال من يقف أمام حديث صحيح ثابت عن النبي صلى الله عليه وسلم، فلا يبلغ فهمه معناه، أو يعجز عقله عن إدراك كنهه وحقيقته. فيقرر الإمام أحمد أن مثل هذا الشخص "قد كُفي ذلك"، أي: لم يُطالب بأكثر من الإيمان والتسليم، ولم يُكلَّف أن يبلغ في الفهم مبلغاً يعجز عنه، فحسبه أن يصدّق بالخبر ويسلّم لمعناه وإن غاب عنه كنهه التفصيلي.</w:t>
      </w:r>
    </w:p>
    <w:p>
      <w:pPr>
        <w:bidi/>
        <w:spacing w:after="140" w:before="0" w:line="300"/>
        <w:jc w:val="both"/>
      </w:pPr>
      <w:r>
        <w:rPr>
          <w:rFonts w:ascii="Amiri" w:cs="Amiri" w:eastAsia="Amiri" w:hAnsi="Amiri"/>
          <w:b w:val="false"/>
          <w:bCs w:val="false"/>
          <w:i w:val="false"/>
          <w:iCs w:val="false"/>
          <w:color w:val="181410"/>
          <w:sz w:val="22"/>
          <w:szCs w:val="22"/>
          <w:rtl/>
        </w:rPr>
        <w:t xml:space="preserve">وهذا من رحمة الله بعباده ويسر هذا الدين، فلم يجعل الله صحة إيمان العبد متوقفة على إحاطته العقلية بكل ما ورد من الأخبار، بل أوجب عليه التصديق بها فحسب، وأما الفهم التام لكيفياتها ودقائقها فأمر زائد لا يُشترط لصحة الإيمان.</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حديث الصادق المصدوق:</w:t>
            </w:r>
            <w:r>
              <w:rPr>
                <w:rFonts w:ascii="Amiri" w:cs="Amiri" w:eastAsia="Amiri" w:hAnsi="Amiri"/>
                <w:b w:val="false"/>
                <w:bCs w:val="false"/>
                <w:i w:val="false"/>
                <w:iCs w:val="false"/>
                <w:color w:val="181410"/>
                <w:sz w:val="22"/>
                <w:szCs w:val="22"/>
                <w:rtl/>
              </w:rPr>
              <w:t xml:space="preserve"> هو حديث عبد الله بن مسعود رضي الله عنه المشهور في وصف أطوار خلق الإنسان في بطن أمه: نطفة أربعين يوماً، ثم علقة مثل ذلك، ثم مضغة مثل ذلك، ثم يُرسل الملك فينفخ فيه الروح ويُؤمر بكتب أربع: رزقه وأجله وعمله وشقي أو سعيد. وسُمي النبي صلى الله عليه وسلم في هذا الحديث بـ"الصادق المصدوق" لأنه صادق فيما يخبر به عن ربه، مصدَّق فيما يخبر به من الوحي.</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الدليل على هذا الأصل حديث ابن مسعود رضي الله عنه، قال: حدثنا رسول الله صلى الله عليه وسلم وهو الصادق المصدوق: «إِنَّ أَحَدَكُمْ يُجْمَعُ خَلْقُهُ فِي بَطْنِ أُمِّهِ أَرْبَعِينَ يَوْماً نُطْفَةً، ثُمَّ يَكُونُ عَلَقَةً مِثْلَ ذَلِكَ، ثُمَّ يَكُونُ مُضْغَةً مِثْلَ ذَلِكَ، ثُمَّ يُرْسَلُ إِلَيْهِ الْمَلَكُ فَيَنْفُخُ فِيهِ الرُّوحَ، وَيُؤْمَرُ بِأَرْبَعِ كَلِمَاتٍ: بِكَتْبِ رِزْقِهِ، وَأَجَلِهِ، وَعَمَلِهِ، وَشَقِيٌّ أَوْ سَعِيدٌ» (رواه البخاري ومسلم). ووجه الاستدلال أن هذا الحديث يتضمن أموراً غيبية دقيقة عن كيفية خلق الإنسان وتقدير أموره، لا يمكن للعقل البشري أن يدرك تفاصيلها من تلقاء نفسه، ومع ذلك فالواجب تصديقه والإيمان بمضمونه، لأنه من خبر الصادق المصدوق صلى الله عليه وسلم.</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من فوائد هذه الفقرة بيان الفرق بين "التصديق" و"الفهم التام": فالتصديق واجب على كل مؤمن سمع الخبر الصحيح، أما الفهم التام لكل دقائقه فليس شرطاً، وقد يتفاوت الناس فيه بحسب علمهم وفطنتهم، دون أن يؤثر ذلك في صحة إيمان من قصر فهمه عن غيره.</w:t>
      </w:r>
    </w:p>
    <w:p>
      <w:pPr>
        <w:bidi/>
        <w:spacing w:after="140" w:before="0" w:line="300"/>
        <w:jc w:val="both"/>
      </w:pPr>
      <w:r>
        <w:rPr>
          <w:rFonts w:ascii="Amiri" w:cs="Amiri" w:eastAsia="Amiri" w:hAnsi="Amiri"/>
          <w:b w:val="false"/>
          <w:bCs w:val="false"/>
          <w:i w:val="false"/>
          <w:iCs w:val="false"/>
          <w:color w:val="181410"/>
          <w:sz w:val="22"/>
          <w:szCs w:val="22"/>
          <w:rtl/>
        </w:rPr>
        <w:t xml:space="preserve">ويتصل هذا بمسألة مهمة، وهي أن بعض أهل الأهواء اتخذوا من عجز عقولهم عن فهم بعض النصوص الغيبية ذريعة لردها أو تأويلها تأويلاً يخرجها عن ظاهرها، بينما منهج أهل السنة أن قصور العقل عن الإحاطة بالنص لا يبرر رده، بل يوجب التسليم له، لأن مصدره الوحي المعصوم لا العقل القاصر، وشتان بين من يعجز فهمه فيسلم، ومن يعجز فهمه فيرد أو يؤول.</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المسائل اللطيفة أن الإمام أحمد لم يقتصر على ذكر حديث الصادق المصدوق، بل قال: "ومثل ما كان مثله في القدر"، فجعله مثالاً تطبيقياً لقاعدة عامة تشمل كل ما ورد من أحاديث القدر التي تتضمن تفاصيل دقيقة تفوق إحاطة العقل، لا حديثاً واحداً بعينه، وهذا من دقة عبارته رحمه الله في التقعيد.</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الواجب على المسلم أن يؤمن بالنصوص الصحيحة الثابتة عن النبي صلى الله عليه وسلم ويسلّم لها، وإن لم يبلغ فهمه كنهها وتفاصيلها، فقد كُفي ذلك، وحسبه التصديق والتسليم، كما في حديث الصادق المصدوق وأمثاله من أحاديث القدر.</w:t>
            </w:r>
          </w:p>
        </w:tc>
      </w:tr>
    </w:tbl>
    <w:p>
      <w:pPr>
        <w:spacing w:after="160"/>
      </w:pPr>
    </w:p>
    <w:p>
      <w:pPr>
        <w:pStyle w:val="Heading2"/>
        <w:bidi/>
        <w:spacing w:after="140" w:before="320"/>
        <w:jc w:val="right"/>
      </w:pPr>
      <w:bookmarkStart w:name="bm_faqrah_11" w:id="1018"/>
      <w:r>
        <w:rPr>
          <w:rFonts w:ascii="Aref Ruqaa" w:cs="Aref Ruqaa" w:eastAsia="Aref Ruqaa" w:hAnsi="Aref Ruqaa"/>
          <w:b/>
          <w:bCs/>
          <w:i w:val="false"/>
          <w:iCs w:val="false"/>
          <w:color w:val="0D2143"/>
          <w:sz w:val="28"/>
          <w:szCs w:val="28"/>
          <w:rtl/>
        </w:rPr>
        <w:t xml:space="preserve">الفقرة الحادية عشرة: الإيمان بأحاديث الرؤية</w:t>
      </w:r>
      <w:bookmarkEnd w:id="101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وَمِثْلُ أَحَادِيثِ الرُّؤْيَةِ كُلِّهَا، وَإِنْ نَأَتْ عَنِ الْأَسْمَاعِ وَاسْتَوْحَشَ مِنْهَا الْمُسْتَمِعُ؛ وَإِنَّمَا عَلَيْهِ الْإِيمَانُ بِهَا وَأَنْ لَا يَرُدَّ مِنْهَا حَرْفاً وَاحِداً، وَغَيْرُهَا مِنَ الْأَحَادِيثِ الْمَأْثُورَاتِ عَنِ الثِّقَاتِ.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ينتقل الإمام أحمد في هذه الفقرة إلى تطبيق القاعدة السابقة على باب آخر من أبواب الغيب، وهو "أحاديث الرؤية"، أي الأحاديث الثابتة التي تخبر بأن المؤمنين يرون ربهم عز وجل يوم القيامة رؤية حقيقية بالأبصار، كما يُرى القمر ليلة البدر. وقد وصف المؤلف هذه الأحاديث بأنها قد "تنأى عن الأسماع"، أي تكون غريبة على أذهان بعض الناس لعظم شأن المخبَر عنه، حتى إن السامع قد "يستوحش منها"، أي يجد في نفسه نفوراً أو استغراباً أول الأمر. ومع ذلك فالواجب - كما يقرر - الإيمان بها كاملة، وعدم رد "حرف واحد" منها.</w:t>
      </w:r>
    </w:p>
    <w:p>
      <w:pPr>
        <w:bidi/>
        <w:spacing w:after="140" w:before="0" w:line="300"/>
        <w:jc w:val="both"/>
      </w:pPr>
      <w:r>
        <w:rPr>
          <w:rFonts w:ascii="Amiri" w:cs="Amiri" w:eastAsia="Amiri" w:hAnsi="Amiri"/>
          <w:b w:val="false"/>
          <w:bCs w:val="false"/>
          <w:i w:val="false"/>
          <w:iCs w:val="false"/>
          <w:color w:val="181410"/>
          <w:sz w:val="22"/>
          <w:szCs w:val="22"/>
          <w:rtl/>
        </w:rPr>
        <w:t xml:space="preserve">ومسألة رؤية المؤمنين ربهم في الآخرة من أعظم مسائل الاعتقاد التي وقع فيها خلاف قديم بين أهل السنة وبين طوائف من أهل الكلام، فأثبتها أهل السنة والجماعة كافة بلا استثناء، بينما أنكرتها المعتزلة جملة، بناءً على قاعدتهم العقلية في نفي الجهة والمقابلة عن الله تعالى، وزعموا أن الرؤية تستلزم التحيز والجسمية تعالى الله عن ذلك علواً كبيراً. وذهب متأخرو الأشاعرة إلى إثبات الرؤية مع نفي الجهة، فأثبتوها لكن بتأويل يخالف ظاهر ما تواترت به النصوص من كون المؤمنين ينظرون إلى ربهم مواجهة كما ينظرون إلى القمر.</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يشهد لهذا الأصل قول الله تعالى: </w:t>
      </w:r>
      <w:r>
        <w:rPr>
          <w:rFonts w:ascii="Amiri Quran" w:cs="Amiri Quran" w:eastAsia="Amiri Quran" w:hAnsi="Amiri Quran"/>
          <w:b w:val="false"/>
          <w:bCs w:val="false"/>
          <w:i w:val="false"/>
          <w:iCs w:val="false"/>
          <w:color w:val="0D2143"/>
          <w:sz w:val="26"/>
          <w:szCs w:val="26"/>
          <w:rtl/>
        </w:rPr>
        <w:t xml:space="preserve">﴿وُجُوهٌ يَوْمَئِذٍ نَاضِرَةٌ * إِلَى رَبِّهَا نَاظِرَةٌ﴾</w:t>
      </w:r>
      <w:r>
        <w:rPr>
          <w:rFonts w:ascii="Cairo" w:cs="Cairo" w:eastAsia="Cairo" w:hAnsi="Cairo"/>
          <w:b/>
          <w:bCs/>
          <w:i w:val="false"/>
          <w:iCs w:val="false"/>
          <w:color w:val="8A6A1F"/>
          <w:sz w:val="16"/>
          <w:szCs w:val="16"/>
          <w:rtl/>
        </w:rPr>
        <w:t xml:space="preserve"> [القيامة: 22-23]</w:t>
      </w:r>
      <w:r>
        <w:rPr>
          <w:rFonts w:ascii="Amiri" w:cs="Amiri" w:eastAsia="Amiri" w:hAnsi="Amiri"/>
          <w:b w:val="false"/>
          <w:bCs w:val="false"/>
          <w:i w:val="false"/>
          <w:iCs w:val="false"/>
          <w:color w:val="181410"/>
          <w:sz w:val="22"/>
          <w:szCs w:val="22"/>
          <w:rtl/>
        </w:rPr>
        <w:t xml:space="preserve">، ووجه الدلالة أن نضارة الوجوه معلَّلة بنظرها إلى ربها، والنظر إذا أُطلق وعُدي بـ"إلى" وأُضيف إلى العين كما هنا فإنه يفيد رؤية البصر الحقيقية عند جمهور المفسرين من السلف، لا مجرد الانتظار كما تأوله بعض المعتزلة.</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السنة حديث جرير بن عبد الله رضي الله عنه، قال: كنا جلوساً عند النبي صلى الله عليه وسلم إذ نظر إلى القمر ليلة البدر فقال: «إِنَّكُمْ سَتَرَوْنَ رَبَّكُمْ كَمَا تَرَوْنَ هَذَا الْقَمَرَ، لَا تُضَامُّونَ فِي رُؤْيَتِهِ» (رواه البخاري ومسلم)، ووجه الدلالة أن النبي صلى الله عليه وسلم شبّه وضوح الرؤية وتحققها بوضوح رؤية القمر ليلة تمامه، لا في الكيفية، بل في تحقق الرؤية ووضوحها وعدم الالتباس فيها.</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من فوائد هذه الفقرة أنها نموذج تطبيقي لما تقدم في الفقرة العاشرة من وجوب التسليم لما تعجز العقول عن إدراك كيفيته، فرؤية الله تعالى في الآخرة من الأمور التي لا تُقاس بالمشاهد في الدنيا، ولا يُدرك كيفية وقوعها بالعقل، ومع ذلك فقد وردت بها نصوص متواترة يجب الإيمان بها والتسليم لها دون تكييف أو تمثيل أو تأويل أو تعطيل.</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المسائل المهمة أن نفي الجهة والمقابلة الذي بنت عليه المعتزلة إنكارهم قاعدة عقلية لم يقم عليها دليل صحيح من الكتاب والسنة، بل هي من موروث علم الكلام الذي دخل على المسلمين من خارج مصادر الوحي، وقد رد عليها علماء أهل السنة قديماً وحديثاً ببيان أن رؤية الله تعالى في الآخرة ثابتة بالنصوص الصريحة، وهي على الوجه اللائق بجلاله سبحانه، دون أن يلزم من ذلك تشبيه أو تجسيم كما توهمه من أنكرها.</w:t>
      </w:r>
    </w:p>
    <w:p>
      <w:pPr>
        <w:bidi/>
        <w:spacing w:after="140" w:before="0" w:line="300"/>
        <w:jc w:val="both"/>
      </w:pPr>
      <w:r>
        <w:rPr>
          <w:rFonts w:ascii="Amiri" w:cs="Amiri" w:eastAsia="Amiri" w:hAnsi="Amiri"/>
          <w:b w:val="false"/>
          <w:bCs w:val="false"/>
          <w:i w:val="false"/>
          <w:iCs w:val="false"/>
          <w:color w:val="181410"/>
          <w:sz w:val="22"/>
          <w:szCs w:val="22"/>
          <w:rtl/>
        </w:rPr>
        <w:t xml:space="preserve">ومما يُلحظ في عبارة المؤلف قوله: "وغيرها من الأحاديث المأثورات عن الثقات"، فهو بذلك يعمم الحكم على كل حديث ثابت رواه الثقات في أبواب الغيب، لا في الرؤية وحدها، فيجعل قاعدة الإيمان والتسليم دون رد حرف واحد منهجاً كلياً في التعامل مع السنة الصحيحة.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الواجب على المسلم أن يؤمن بأحاديث الرؤية الثابتة كلها، وأن لا يرد منها حرفاً واحداً وإن استوحشت منها نفسه أول الأمر، وكذلك كل ما صح من الأحاديث المأثورة عن الثقات في أبواب الغيب، فالإيمان والتسليم لا الرد والاعتراض.</w:t>
            </w:r>
          </w:p>
        </w:tc>
      </w:tr>
    </w:tbl>
    <w:p>
      <w:pPr>
        <w:spacing w:after="160"/>
      </w:pPr>
    </w:p>
    <w:p>
      <w:pPr>
        <w:pStyle w:val="Heading2"/>
        <w:bidi/>
        <w:spacing w:after="140" w:before="320"/>
        <w:jc w:val="right"/>
      </w:pPr>
      <w:bookmarkStart w:name="bm_faqrah_12" w:id="1019"/>
      <w:r>
        <w:rPr>
          <w:rFonts w:ascii="Aref Ruqaa" w:cs="Aref Ruqaa" w:eastAsia="Aref Ruqaa" w:hAnsi="Aref Ruqaa"/>
          <w:b/>
          <w:bCs/>
          <w:i w:val="false"/>
          <w:iCs w:val="false"/>
          <w:color w:val="0D2143"/>
          <w:sz w:val="28"/>
          <w:szCs w:val="28"/>
          <w:rtl/>
        </w:rPr>
        <w:t xml:space="preserve">الفقرة الثانية عشرة: النهي عن الجدال في القدر والرؤية والقرآن</w:t>
      </w:r>
      <w:bookmarkEnd w:id="101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وَأَنْ لَا يُخَاصِمَ أَحَداً وَلَا يُنَاظِرَهُ، وَلَا يَتَعَلَّمَ الْجِدَالَ؛ فَإِنَّ الْكَلَامَ فِي الْقَدَرِ وَالرُّؤْيَةِ وَالْقُرْآنِ وَغَيْرِهَا مِنَ السُّنَنِ مَكْرُوهٌ مَنْهِيٌّ عَنْهُ، لَا يَكُونُ صَاحِبُهُ -وَإِنْ أَصَابَ بِكَلَامِهِ السُّنَّةَ- مِنْ أَهْلِ السُّنَّةِ حَتَّى يَدَعَ الْجِدَالَ وَيُسَلِّمَ وَيُؤْمِنَ بِالْآثَارِ.</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تختم هذه الفقرة الباب الثاني بتقرير قاعدة منهجية جامعة، تلخص ما تفرق في الفقرات السابقة: النهي عن الخصومة والمناظرة وتعلم الجدال في مسائل القدر والرؤية والقرآن وسائر السنن. ويلاحظ أن هذه الفقرة تكرر معنى الفقرتين الثالثة والخامسة من الباب الأول ("ترك الخصومات في الدين"، و"ترك المراء والجدال")، لكنها هنا تطبقه تطبيقاً خاصاً على مسائل الغيب الدقيقة التي سبق ذكرها، مؤكدة أن الجدال فيها أشد خطراً من الجدال في غيرها، لأنها مما لا يُدرك بالعقل، فالخوض فيها جدلاً يفضي غالباً إلى البدعة والانحراف.</w:t>
      </w:r>
    </w:p>
    <w:p>
      <w:pPr>
        <w:bidi/>
        <w:spacing w:after="140" w:before="0" w:line="300"/>
        <w:jc w:val="both"/>
      </w:pPr>
      <w:r>
        <w:rPr>
          <w:rFonts w:ascii="Amiri" w:cs="Amiri" w:eastAsia="Amiri" w:hAnsi="Amiri"/>
          <w:b w:val="false"/>
          <w:bCs w:val="false"/>
          <w:i w:val="false"/>
          <w:iCs w:val="false"/>
          <w:color w:val="181410"/>
          <w:sz w:val="22"/>
          <w:szCs w:val="22"/>
          <w:rtl/>
        </w:rPr>
        <w:t xml:space="preserve">والأعجب في هذه الفقرة قوله: "لا يكون صاحبه -وإن أصاب بكلامه السنة- من أهل السنة حتى يدع الجدال ويسلم ويؤمن بالآثار"، فهذا تقرير دقيق مفاده أن مجرد إصابة القول للحق الظاهر لا تكفي وحدها لعد صاحبها من "أهل السنة"، ما دام قد سلك في الوصول إليه أو في الدفاع عنه طريق الجدال والمناظرة الكلامية بدل الاتباع والتسليم، لأن "أهل السنة" وصف يتضمن المنهج لا مجرد مطابقة النتيجة، فمن أصاب الحق بطريق الجدل يبقى في منهجه على خطر مباينة السنة، ولو وافق قوله ظاهرها.</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يشهد لعموم هذا المعنى -في اجتماع أهل الحق على منهج واحد بعيد عن مسالك الفرقة والجدل- حديث معاوية بن أبي سفيان رضي الله عنه أن النبي صلى الله عليه وسلم قال: «لَا يَزَالُ مِنْ أُمَّتِي أُمَّةٌ قَائِمَةٌ بِأَمْرِ اللَّهِ، لَا يَضُرُّهُمْ مَنْ خَذَلَهُمْ وَلَا مَنْ خَالَفَهُمْ حَتَّى يَأْتِيَ أَمْرُ اللَّهِ وَهُمْ ظَاهِرُونَ عَلَى النَّاسِ» (رواه البخاري ومسلم)، وفي رواية عند مسلم بلفظ: «لَا تَزَالُ طَائِفَةٌ مِنْ أُمَّتِي ظَاهِرِينَ عَلَى الْحَقِّ، لَا يَضُرُّهُمْ مَنْ خَذَلَهُمْ حَتَّى تَقُومَ السَّاعَةُ». ووجه الدلالة أن أهل العلم فسروا هذه "الطائفة المنصورة" في أحد أقوالهم بأنهم أهل الحديث والأثر الذين لزموا السنة واتباع الآثار، وتركوا طرائق أهل الكلام والجدل التي أورثت أممهم فرقة واختلافاً.</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من أهم فوائد هذه الفقرة أنها تجعل "ترك الجدال" شرطاً منهجياً لا مجرد أدب مستحب، فالجدال في هذا الباب - كما يقرر المؤلف - مكروه منهي عنه، وصاحبه ناقص في وصف "أهل السنة" حتى يدعه. وهذا يفسر لماذا اتفق أئمة السلف - كالإمام أحمد ومالك والشافعي وغيرهم - على ذم الكلام وأهله، وعلى أن طريق النجاة هو الاتباع لا الابتداع بالجدل، ولو زعم صاحبه أنه ينافح به عن الحق.</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المسائل الدقيقة التفريق بين "الجدال" المذموم و"البيان والدعوة بالحكمة" المطلوب شرعاً، فليس المراد من هذا الأصل تعطيل الرد على أهل البدع أو الإعراض عن تعليم الناس أصول اعتقادهم بالدليل، وإنما المراد ذم طريقة الجدل الكلامي القائمة على المراء وتحكيم القياسات العقلية المجردة بدل النصوص، أو المماحكة لغلبة الخصم لا لإظهار الحق، وهذا هو الذي أطبق السلف على النهي عنه والتحذير منه.</w:t>
      </w:r>
    </w:p>
    <w:p>
      <w:pPr>
        <w:bidi/>
        <w:spacing w:after="140" w:before="0" w:line="300"/>
        <w:jc w:val="both"/>
      </w:pPr>
      <w:r>
        <w:rPr>
          <w:rFonts w:ascii="Amiri" w:cs="Amiri" w:eastAsia="Amiri" w:hAnsi="Amiri"/>
          <w:b w:val="false"/>
          <w:bCs w:val="false"/>
          <w:i w:val="false"/>
          <w:iCs w:val="false"/>
          <w:color w:val="181410"/>
          <w:sz w:val="22"/>
          <w:szCs w:val="22"/>
          <w:rtl/>
        </w:rPr>
        <w:t xml:space="preserve">وبهذا تكتمل حلقة الباب الثاني: فالفقرة الثامنة قررت أصل الإيمان بالقدر، والتاسعة والعاشرة والحادية عشرة فصّلت منهج التلقي لنصوصه ونصوص الرؤية دون سؤال عن "لم" و"كيف"، وهذه الفقرة الثانية عشرة ختمت الباب بالتحذير من الجدال في كل ذلك، فصار الباب كله بناءً متكاملاً: أصل يُعتقد، ونصوص تُصدَّق، ومنهج في التلقي يُلتزم، وموقف من الجدال يُجتنب.</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الواجب على المسلم أن يترك الجدال والمراء والمناظرة في القدر والرؤية والقرآن وسائر السنن، وأن يسلك سبيل الاتباع والتسليم والإيمان بالآثار، فإن ذلك هو طريق أهل السنة، ولا يكفي في هذا الوصف إصابة القول للحق وحده ما لم يُصاحب بترك الجدال والانقياد للأثر.</w:t>
            </w:r>
          </w:p>
        </w:tc>
      </w:tr>
    </w:tbl>
    <w:p>
      <w:pPr>
        <w:spacing w:after="160"/>
      </w:pPr>
    </w:p>
    <w:p>
      <w:pPr>
        <w:pStyle w:val="Heading1"/>
        <w:pageBreakBefore/>
        <w:bidi/>
        <w:spacing w:after="160" w:before="0"/>
        <w:jc w:val="right"/>
      </w:pPr>
      <w:bookmarkStart w:name="bm_bab3" w:id="1020"/>
      <w:r>
        <w:rPr>
          <w:rFonts w:ascii="Aref Ruqaa" w:cs="Aref Ruqaa" w:eastAsia="Aref Ruqaa" w:hAnsi="Aref Ruqaa"/>
          <w:b/>
          <w:bCs/>
          <w:i w:val="false"/>
          <w:iCs w:val="false"/>
          <w:color w:val="0A1830"/>
          <w:sz w:val="34"/>
          <w:szCs w:val="34"/>
          <w:rtl/>
        </w:rPr>
        <w:t xml:space="preserve">الباب الثالث — في القرآن كلام الله غير مخلوق</w:t>
      </w:r>
      <w:bookmarkEnd w:id="1020"/>
    </w:p>
    <w:p>
      <w:pPr>
        <w:pStyle w:val="Heading2"/>
        <w:bidi/>
        <w:spacing w:after="140" w:before="320"/>
        <w:jc w:val="right"/>
      </w:pPr>
      <w:bookmarkStart w:name="bm_faqrah_13" w:id="1021"/>
      <w:r>
        <w:rPr>
          <w:rFonts w:ascii="Aref Ruqaa" w:cs="Aref Ruqaa" w:eastAsia="Aref Ruqaa" w:hAnsi="Aref Ruqaa"/>
          <w:b/>
          <w:bCs/>
          <w:i w:val="false"/>
          <w:iCs w:val="false"/>
          <w:color w:val="0D2143"/>
          <w:sz w:val="28"/>
          <w:szCs w:val="28"/>
          <w:rtl/>
        </w:rPr>
        <w:t xml:space="preserve">الفقرة الثالثة عشرة: القرآن كلام الله غير مخلوق</w:t>
      </w:r>
      <w:bookmarkEnd w:id="102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وَالْقُرْآنُ كَلَامُ اللَّهِ وَلَيْسَ بِمَخْلُوقٍ، وَلَا يَضْعُفْ أَنْ يَقُولَ: لَيْسَ بِمَخْلُوقٍ؛ فَإِنَّ كَلَامَ اللَّهِ لَيْسَ بِبَائِنٍ مِنْهُ، وَلَيْسَ مِنْهُ شَيْءٌ مَخْلُوقٌ.</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تفتتح هذه الفقرة بابًا من أعظم أبواب الاعتقاد بعد توحيد الله وإثبات أسمائه وصفاته، وهو باب كلام الله عز وجل، وأن القرآن الكريم كلامه سبحانه حقيقة، تكلم به كما يليق بجلاله، وليس مخلوقًا من مخلوقاته، ولا هو شيء أحدثه الله في غيره ثم أضافه إلى نفسه إضافة تشريف فحسب، كما تزعم الجهمية والمعتزلة. فقول الإمام: «والقرآن كلام الله وليس بمخلوق» عقيدة صريحة جازمة لا مجال فيها للتردد، وقوله بعده: «ولا يضعف أن يقول: ليس بمخلوق» توجيهٌ للمسلم ألا يتهيب الجهر بهذه الكلمة، وألا يستكين لضغط الواقع أو سطوة السلطان، بل يصدع بها ولو أوذي في سبيلها.</w:t>
      </w:r>
    </w:p>
    <w:p>
      <w:pPr>
        <w:bidi/>
        <w:spacing w:after="140" w:before="0" w:line="300"/>
        <w:jc w:val="both"/>
      </w:pPr>
      <w:r>
        <w:rPr>
          <w:rFonts w:ascii="Amiri" w:cs="Amiri" w:eastAsia="Amiri" w:hAnsi="Amiri"/>
          <w:b w:val="false"/>
          <w:bCs w:val="false"/>
          <w:i w:val="false"/>
          <w:iCs w:val="false"/>
          <w:color w:val="181410"/>
          <w:sz w:val="22"/>
          <w:szCs w:val="22"/>
          <w:rtl/>
        </w:rPr>
        <w:t xml:space="preserve">ولإدراك ثقل هذه الفقرة في ميزان الاعتقاد لا بد من استحضار سياقها التاريخي؛ فقد ابتُليت هذه الأمة في القرن الثالث الهجري بفتنة عظيمة عُرفت في كتب التاريخ والسير بـ«محنة خلق القرآن»، حين تبنّى الخليفة العباسي المأمون في أواخر أيامه مقالة المعتزلة القائلة بخلق القرآن، ثم حمل الناس على القول بها، وامتحن العلماء والقضاة والمحدثين فيها؛ فمن أجاب موافقًا تُرك وشأنه، ومن أبى نِيل منه بالحبس والتضييق. واشتدت هذه المحنة بعده في عهد الخليفة المعتصم، حتى أُحضر الإمام أحمد بن حنبل رحمه الله بين يدي أهل الكلام فناظروه وجادلوه، فلم يزغ عن الحق، وثبت على قوله: القرآن كلام الله غير مخلوق، فسُجن وضُرب بالسياط، وهو صابر محتسب لا يجيب إلا بما علمه من كتاب الله وسنة رسوله ﷺ وإجماع سلف الأمة. واستمرت المحنة زمنًا بعد ذلك، حتى رفعها الله في عهد الخليفة المتوكل الذي أعلن نصرة مقالة أهل السنة وأظهر إكرام الإمام أحمد وتعظيمه.</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الفقرة، بل أصول السنة كلها في هذا الباب، إنما هي ثمرة مباشرة لتلك المحنة وخلاصة تجربة الإمام أحمد فيها؛ فهو لم يكتبها نظريًا من بعيد، بل كتبها وهو يحمل في بدنه أثر الابتلاء الذي ذاقه من أجلها، فصار قوله فيها شهادة حية لا مجرد تقرير علمي. ولهذا عظّم أهل السنة هذه الفقرة، وجعلوها من أوضح علامات الانتساب إلى مذهب السلف.</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«فإن كلام الله ليس ببائن منه» تعليل لكونه غير مخلوق؛ إذ الكلام صفة من صفات الله تعالى، قائمة به سبحانه، غير منفصلة عنه، كسائر صفاته من العلم والقدرة والسمع والبصر. وقوله: «وليس منه شيء مخلوق» تأكيد لهذا المعنى ونفي لأي تبعيض فيه، فليس بعض القرآن مخلوقًا وبعضه غير مخلوق، بل هو كله كلام الله من أوله إلى آخره، حروفه ومعانيه، تلاوة وكتابة وحفظًا.</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bCs/>
          <w:i w:val="false"/>
          <w:iCs w:val="false"/>
          <w:color w:val="0D2143"/>
          <w:sz w:val="22"/>
          <w:szCs w:val="22"/>
          <w:rtl/>
        </w:rPr>
        <w:t xml:space="preserve">الدليل الأول:</w:t>
      </w:r>
      <w:r>
        <w:rPr>
          <w:rFonts w:ascii="Amiri" w:cs="Amiri" w:eastAsia="Amiri" w:hAnsi="Amiri"/>
          <w:b w:val="false"/>
          <w:bCs w:val="false"/>
          <w:i w:val="false"/>
          <w:iCs w:val="false"/>
          <w:color w:val="181410"/>
          <w:sz w:val="22"/>
          <w:szCs w:val="22"/>
          <w:rtl/>
        </w:rPr>
        <w:t xml:space="preserve"> قال الله تعالى: </w:t>
      </w:r>
      <w:r>
        <w:rPr>
          <w:rFonts w:ascii="Amiri Quran" w:cs="Amiri Quran" w:eastAsia="Amiri Quran" w:hAnsi="Amiri Quran"/>
          <w:b w:val="false"/>
          <w:bCs w:val="false"/>
          <w:i w:val="false"/>
          <w:iCs w:val="false"/>
          <w:color w:val="0D2143"/>
          <w:sz w:val="26"/>
          <w:szCs w:val="26"/>
          <w:rtl/>
        </w:rPr>
        <w:t xml:space="preserve">﴿وَإِنْ أَحَدٌ مِنَ الْمُشْرِكِينَ اسْتَجَارَكَ فَأَجِرْهُ حَتَّىٰ يَسْمَعَ كَلَامَ اللَّهِ﴾</w:t>
      </w:r>
      <w:r>
        <w:rPr>
          <w:rFonts w:ascii="Cairo" w:cs="Cairo" w:eastAsia="Cairo" w:hAnsi="Cairo"/>
          <w:b/>
          <w:bCs/>
          <w:i w:val="false"/>
          <w:iCs w:val="false"/>
          <w:color w:val="8A6A1F"/>
          <w:sz w:val="16"/>
          <w:szCs w:val="16"/>
          <w:rtl/>
        </w:rPr>
        <w:t xml:space="preserve"> [التوبة: 6]</w:t>
      </w:r>
      <w:r>
        <w:rPr>
          <w:rFonts w:ascii="Amiri" w:cs="Amiri" w:eastAsia="Amiri" w:hAnsi="Amiri"/>
          <w:b w:val="false"/>
          <w:bCs w:val="false"/>
          <w:i w:val="false"/>
          <w:iCs w:val="false"/>
          <w:color w:val="181410"/>
          <w:sz w:val="22"/>
          <w:szCs w:val="22"/>
          <w:rtl/>
        </w:rPr>
        <w:t xml:space="preserve">. ووجه الدلالة أن الله تعالى سمّى ما يُتلى على المشرك ويُسمعه إياه كلامه سبحانه إضافة حقيقية، فدل على أن هذا المتلوّ المسموع كلام الله بعينه، لا مخلوق أضافه الله إلى نفسه إضافة تشريف كما يُضاف بيت الله وناقة الله.</w:t>
      </w:r>
    </w:p>
    <w:p>
      <w:pPr>
        <w:bidi/>
        <w:spacing w:after="140" w:before="0" w:line="300"/>
        <w:jc w:val="both"/>
      </w:pPr>
      <w:r>
        <w:rPr>
          <w:rFonts w:ascii="Amiri" w:cs="Amiri" w:eastAsia="Amiri" w:hAnsi="Amiri"/>
          <w:b/>
          <w:bCs/>
          <w:i w:val="false"/>
          <w:iCs w:val="false"/>
          <w:color w:val="0D2143"/>
          <w:sz w:val="22"/>
          <w:szCs w:val="22"/>
          <w:rtl/>
        </w:rPr>
        <w:t xml:space="preserve">الدليل الثاني:</w:t>
      </w:r>
      <w:r>
        <w:rPr>
          <w:rFonts w:ascii="Amiri" w:cs="Amiri" w:eastAsia="Amiri" w:hAnsi="Amiri"/>
          <w:b w:val="false"/>
          <w:bCs w:val="false"/>
          <w:i w:val="false"/>
          <w:iCs w:val="false"/>
          <w:color w:val="181410"/>
          <w:sz w:val="22"/>
          <w:szCs w:val="22"/>
          <w:rtl/>
        </w:rPr>
        <w:t xml:space="preserve"> قال الله تعالى: </w:t>
      </w:r>
      <w:r>
        <w:rPr>
          <w:rFonts w:ascii="Amiri Quran" w:cs="Amiri Quran" w:eastAsia="Amiri Quran" w:hAnsi="Amiri Quran"/>
          <w:b w:val="false"/>
          <w:bCs w:val="false"/>
          <w:i w:val="false"/>
          <w:iCs w:val="false"/>
          <w:color w:val="0D2143"/>
          <w:sz w:val="26"/>
          <w:szCs w:val="26"/>
          <w:rtl/>
        </w:rPr>
        <w:t xml:space="preserve">﴿وَكَلَّمَ اللَّهُ مُوسَىٰ تَكْلِيمًا﴾</w:t>
      </w:r>
      <w:r>
        <w:rPr>
          <w:rFonts w:ascii="Cairo" w:cs="Cairo" w:eastAsia="Cairo" w:hAnsi="Cairo"/>
          <w:b/>
          <w:bCs/>
          <w:i w:val="false"/>
          <w:iCs w:val="false"/>
          <w:color w:val="8A6A1F"/>
          <w:sz w:val="16"/>
          <w:szCs w:val="16"/>
          <w:rtl/>
        </w:rPr>
        <w:t xml:space="preserve"> [النساء: 164]</w:t>
      </w:r>
      <w:r>
        <w:rPr>
          <w:rFonts w:ascii="Amiri" w:cs="Amiri" w:eastAsia="Amiri" w:hAnsi="Amiri"/>
          <w:b w:val="false"/>
          <w:bCs w:val="false"/>
          <w:i w:val="false"/>
          <w:iCs w:val="false"/>
          <w:color w:val="181410"/>
          <w:sz w:val="22"/>
          <w:szCs w:val="22"/>
          <w:rtl/>
        </w:rPr>
        <w:t xml:space="preserve">. ووجه الدلالة أن الله تعالى أثبت لنفسه الكلام على الحقيقة بمصدر مؤكِّد يرفع كل احتمال للمجاز، فدل على أن الكلام صفة ثابتة لله تعالى، وليس أمرًا خلقه في غيره ثم نسبه إلى نفسه.</w:t>
      </w:r>
    </w:p>
    <w:p>
      <w:pPr>
        <w:bidi/>
        <w:spacing w:after="140" w:before="0" w:line="300"/>
        <w:jc w:val="both"/>
      </w:pPr>
      <w:r>
        <w:rPr>
          <w:rFonts w:ascii="Amiri" w:cs="Amiri" w:eastAsia="Amiri" w:hAnsi="Amiri"/>
          <w:b w:val="false"/>
          <w:bCs w:val="false"/>
          <w:i w:val="false"/>
          <w:iCs w:val="false"/>
          <w:color w:val="181410"/>
          <w:sz w:val="22"/>
          <w:szCs w:val="22"/>
          <w:rtl/>
        </w:rPr>
        <w:t xml:space="preserve">فهذان الدليلان يوضحان الأصل الذي بنى عليه أهل السنة قولهم في القرآن: أن الله موصوف بالكلام حقيقة، وأن القرآن كلامه الذي تكلم به حقيقة، فهو صفة من صفاته، وصفات الله غير مخلوقة، لأن المخلوق ما كان بائنًا عن خالقه، وصفات الله ليست بائنة عنه.</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الكلام صفة من صفات الله:</w:t>
            </w:r>
            <w:r>
              <w:rPr>
                <w:rFonts w:ascii="Amiri" w:cs="Amiri" w:eastAsia="Amiri" w:hAnsi="Amiri"/>
                <w:b w:val="false"/>
                <w:bCs w:val="false"/>
                <w:i w:val="false"/>
                <w:iCs w:val="false"/>
                <w:color w:val="181410"/>
                <w:sz w:val="22"/>
                <w:szCs w:val="22"/>
                <w:rtl/>
              </w:rPr>
              <w:t xml:space="preserve"> أي أن التكلم وصفٌ ثابت لله تعالى يتصف به حقيقة كما يتصف بالعلم والقدرة والسمع والبصر، فهو سبحانه متكلم إذا شاء بما شاء، وكلامه صفة له لا عرض خلقه في محل غيره كما تزعم الجهمية والمعتزلة.</w:t>
            </w: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غير بائن منه:</w:t>
            </w:r>
            <w:r>
              <w:rPr>
                <w:rFonts w:ascii="Amiri" w:cs="Amiri" w:eastAsia="Amiri" w:hAnsi="Amiri"/>
                <w:b w:val="false"/>
                <w:bCs w:val="false"/>
                <w:i w:val="false"/>
                <w:iCs w:val="false"/>
                <w:color w:val="181410"/>
                <w:sz w:val="22"/>
                <w:szCs w:val="22"/>
                <w:rtl/>
              </w:rPr>
              <w:t xml:space="preserve"> أي غير منفصل عن الله ولا خارج عن كونه صفة له؛ فكما أن علم الله وقدرته صفات قائمة بذاته لا تنفك عنه، فكذلك كلامه سبحانه؛ فليس القرآن شيئًا خُلق بائنًا عن الله كخلقه السماوات والأرض، بل هو كلامه الذي تكلم به، قائم به سبحانه، لا ينفصل عن كونه وصفًا له.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الأولى:</w:t>
      </w:r>
      <w:r>
        <w:rPr>
          <w:rFonts w:ascii="Amiri" w:cs="Amiri" w:eastAsia="Amiri" w:hAnsi="Amiri"/>
          <w:b w:val="false"/>
          <w:bCs w:val="false"/>
          <w:i w:val="false"/>
          <w:iCs w:val="false"/>
          <w:color w:val="181410"/>
          <w:sz w:val="22"/>
          <w:szCs w:val="22"/>
          <w:rtl/>
        </w:rPr>
        <w:t xml:space="preserve"> اختلف الناس في القرآن على أقوال متفاوتة، أشهرها ثلاثة: القول بأنه مخلوق، وهو قول الجهمية ومن تبعهم من المعتزلة؛ والقول بأنه كلام الله غير مخلوق، وهو قول أهل السنة والجماعة، سلفًا وخلفًا؛ والقول بالتوقف أو بـ«اللفظ»، وهو قول محدَث وسطي في ظاهره، منحرف في حقيقته، وسيأتي تفصيله في الفقرة التالية.</w:t>
      </w:r>
    </w:p>
    <w:p>
      <w:pPr>
        <w:bidi/>
        <w:spacing w:after="140" w:before="0" w:line="300"/>
        <w:jc w:val="both"/>
      </w:pPr>
      <w:r>
        <w:rPr>
          <w:rFonts w:ascii="Amiri" w:cs="Amiri" w:eastAsia="Amiri" w:hAnsi="Amiri"/>
          <w:b/>
          <w:bCs/>
          <w:i w:val="false"/>
          <w:iCs w:val="false"/>
          <w:color w:val="0D2143"/>
          <w:sz w:val="22"/>
          <w:szCs w:val="22"/>
          <w:rtl/>
        </w:rPr>
        <w:t xml:space="preserve">الثانية:</w:t>
      </w:r>
      <w:r>
        <w:rPr>
          <w:rFonts w:ascii="Amiri" w:cs="Amiri" w:eastAsia="Amiri" w:hAnsi="Amiri"/>
          <w:b w:val="false"/>
          <w:bCs w:val="false"/>
          <w:i w:val="false"/>
          <w:iCs w:val="false"/>
          <w:color w:val="181410"/>
          <w:sz w:val="22"/>
          <w:szCs w:val="22"/>
          <w:rtl/>
        </w:rPr>
        <w:t xml:space="preserve"> إنما عظُم شأن هذه المسألة عند أهل السنة لأنها ليست مسألة فرعية معزولة، بل هي بوابة إلى باب الصفات كله؛ فمن قال بخلق كلام الله فتح على نفسه باب إنكار سائر الصفات قياسًا عليها، إذ لا فرق بين نفي كون الكلام صفة حقيقية ونفي كون العلم والقدرة والحياة كذلك. ولهذا كان موقف أهل السنة من هذه المسألة معيارًا يُعرف به منهج القوم في سائر أبواب الأسماء والصفات.</w:t>
      </w:r>
    </w:p>
    <w:p>
      <w:pPr>
        <w:bidi/>
        <w:spacing w:after="140" w:before="0" w:line="300"/>
        <w:jc w:val="both"/>
      </w:pPr>
      <w:r>
        <w:rPr>
          <w:rFonts w:ascii="Amiri" w:cs="Amiri" w:eastAsia="Amiri" w:hAnsi="Amiri"/>
          <w:b/>
          <w:bCs/>
          <w:i w:val="false"/>
          <w:iCs w:val="false"/>
          <w:color w:val="0D2143"/>
          <w:sz w:val="22"/>
          <w:szCs w:val="22"/>
          <w:rtl/>
        </w:rPr>
        <w:t xml:space="preserve">الثالثة:</w:t>
      </w:r>
      <w:r>
        <w:rPr>
          <w:rFonts w:ascii="Amiri" w:cs="Amiri" w:eastAsia="Amiri" w:hAnsi="Amiri"/>
          <w:b w:val="false"/>
          <w:bCs w:val="false"/>
          <w:i w:val="false"/>
          <w:iCs w:val="false"/>
          <w:color w:val="181410"/>
          <w:sz w:val="22"/>
          <w:szCs w:val="22"/>
          <w:rtl/>
        </w:rPr>
        <w:t xml:space="preserve"> من حجج أهل السنة العقلية على أن القرآن غير مخلوق أن الله تحدّى الإنس والجن أن يأتوا بمثله فعجزوا، ولو كان القرآن كسائر المخلوقات لأمكن أن يُعارَض بمخلوق مثله، فلما استحال ذلك على الخلق أجمعين، دل على أن كلام الله من جنس مغاير لجنس المخلوقات، لا يُقاس عليها ولا يُدرَك بمقاييسها.</w:t>
      </w:r>
    </w:p>
    <w:p>
      <w:pPr>
        <w:bidi/>
        <w:spacing w:after="140" w:before="0" w:line="300"/>
        <w:jc w:val="both"/>
      </w:pPr>
      <w:r>
        <w:rPr>
          <w:rFonts w:ascii="Amiri" w:cs="Amiri" w:eastAsia="Amiri" w:hAnsi="Amiri"/>
          <w:b/>
          <w:bCs/>
          <w:i w:val="false"/>
          <w:iCs w:val="false"/>
          <w:color w:val="0D2143"/>
          <w:sz w:val="22"/>
          <w:szCs w:val="22"/>
          <w:rtl/>
        </w:rPr>
        <w:t xml:space="preserve">الرابعة:</w:t>
      </w:r>
      <w:r>
        <w:rPr>
          <w:rFonts w:ascii="Amiri" w:cs="Amiri" w:eastAsia="Amiri" w:hAnsi="Amiri"/>
          <w:b w:val="false"/>
          <w:bCs w:val="false"/>
          <w:i w:val="false"/>
          <w:iCs w:val="false"/>
          <w:color w:val="181410"/>
          <w:sz w:val="22"/>
          <w:szCs w:val="22"/>
          <w:rtl/>
        </w:rPr>
        <w:t xml:space="preserve"> ينبغي التفريق بين حكم القول بخلق القرآن في ذاته، وهو قول باطل بل كفر عند جمهور أهل السنة، وبين حكم قائله المعيّن؛ فليس كل من تلفظ به مكرهًا أو جاهلاً أو متأولاً يُحكم عليه بالكفر عينًا، إذ لا بد من مراعاة شروط التكفير وانتفاء موانعه، وهذا هو منهج المحققين من أهل العلم في التفريق بين القول المطلق والقائل المعين.</w:t>
      </w:r>
    </w:p>
    <w:p>
      <w:pPr>
        <w:bidi/>
        <w:spacing w:after="140" w:before="0" w:line="300"/>
        <w:jc w:val="both"/>
      </w:pPr>
      <w:r>
        <w:rPr>
          <w:rFonts w:ascii="Amiri" w:cs="Amiri" w:eastAsia="Amiri" w:hAnsi="Amiri"/>
          <w:b/>
          <w:bCs/>
          <w:i w:val="false"/>
          <w:iCs w:val="false"/>
          <w:color w:val="0D2143"/>
          <w:sz w:val="22"/>
          <w:szCs w:val="22"/>
          <w:rtl/>
        </w:rPr>
        <w:t xml:space="preserve">الخامسة:</w:t>
      </w:r>
      <w:r>
        <w:rPr>
          <w:rFonts w:ascii="Amiri" w:cs="Amiri" w:eastAsia="Amiri" w:hAnsi="Amiri"/>
          <w:b w:val="false"/>
          <w:bCs w:val="false"/>
          <w:i w:val="false"/>
          <w:iCs w:val="false"/>
          <w:color w:val="181410"/>
          <w:sz w:val="22"/>
          <w:szCs w:val="22"/>
          <w:rtl/>
        </w:rPr>
        <w:t xml:space="preserve"> في ثبات الإمام أحمد رحمه الله في المحنة، ورفضه المداهنة مع علمه بما ينتظره من الأذى، عبرة عظيمة لطلبة العلم والدعاة في كل عصر: أن الحق لا يُساوَم عليه ولو كلّف صاحبه حريته وبدنه، وأن العاقبة للمتقين وإن طال الابتلاء.</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فالواجب على المسلم أن يعتقد جازمًا أن القرآن كلام الله حقيقة، غير مخلوق، تلاوة وسماعًا وكتابة، وأن هذا الاعتقاد من أصول الإيمان التي لا تصح عقيدة المسلم إلا بها، وأن يجهر بهذه الكلمة عند الحاجة ولا يضعف عن قولها استحياء أو مداهنة، اقتداءً بالإمام أحمد وأئمة السنة الذين ثبتوا عليها في زمن المحنة وصبروا على الأذى في سبيلها.</w:t>
            </w:r>
          </w:p>
        </w:tc>
      </w:tr>
    </w:tbl>
    <w:p>
      <w:pPr>
        <w:spacing w:after="160"/>
      </w:pPr>
    </w:p>
    <w:p>
      <w:pPr>
        <w:pStyle w:val="Heading2"/>
        <w:bidi/>
        <w:spacing w:after="140" w:before="320"/>
        <w:jc w:val="right"/>
      </w:pPr>
      <w:bookmarkStart w:name="bm_faqrah_14" w:id="1022"/>
      <w:r>
        <w:rPr>
          <w:rFonts w:ascii="Aref Ruqaa" w:cs="Aref Ruqaa" w:eastAsia="Aref Ruqaa" w:hAnsi="Aref Ruqaa"/>
          <w:b/>
          <w:bCs/>
          <w:i w:val="false"/>
          <w:iCs w:val="false"/>
          <w:color w:val="0D2143"/>
          <w:sz w:val="28"/>
          <w:szCs w:val="28"/>
          <w:rtl/>
        </w:rPr>
        <w:t xml:space="preserve">الفقرة الرابعة عشرة: التحذير من مناظرة أهل البدع في مسألة القرآن</w:t>
      </w:r>
      <w:bookmarkEnd w:id="102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وَإِيَّاكَ وَمُنَاظَرَةَ مَنْ أَحْدَثَ فِيهِ، وَمَنْ قَالَ بِاللَّفْظِ وَغَيْرِهِ، وَمَنْ وَقَفَ فَقَالَ: لَا أَدْرِي مَخْلُوقٌ أَوْ لَيْسَ بِمَخْلُوقٍ؛ وَإِنَّمَا هُوَ كَلَامُ اللَّهِ، فَهَذَا صَاحِبُ بِدْعَةٍ مِثْلَ مَنْ قَالَ "هُوَ مَخْلُوقٌ"، وَإِنَّمَا هُوَ كَلَامُ اللَّهِ وَلَيْسَ بِمَخْلُوقٍ.</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تحذّر هذه الفقرة من مسلك خطير قد يقع فيه بعض الناس ظانّين أنه طريق للسلامة والوسطية، وهو مناظرة أهل البدع في مسألة القرآن، والانجرار وراء عباراتهم الملتبسة التي ظاهرها الاحتياط وحقيقتها موافقة لأصل قولهم بخلق القرآن أو تشكيك في نقيضه. فالإمام أحمد رحمه الله، بعد أن قرر في الفقرة السابقة عقيدة أهل السنة الجازمة في القرآن، ينتقل هنا إلى التحذير من ثلاثة مسالك منحرفة اجتمعت في هذا النص: مسلك من أحدث في القرآن قولاً لم يُعرف عن السلف، ومسلك من قال بـ«اللفظ»، ومسلك من توقف فقال: لا أدري أمخلوق هو أم غير مخلوق. وحكم عليها جميعًا بأنها بدعة، وسوّى بين أصحابها وبين من صرّح بأن القرآن مخلوق، مع ما بين العبارات من تفاوت ظاهري، لأن المآل عنده واحد: الشك في كون القرآن كلام الله غير مخلوق، أو الإيهام بذلك.</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«وإياك ومناظرة من أحدث فيه» توجيه تربوي، وليس المقصود منه الفرار من الحوار والبيان مطلقًا؛ فقد ناظر الإمام أحمد نفسه أهل البدع في المحنة وأقام عليهم الحجة، وإنما المقصود التحذير من الانجرار وراء جدل أهل الكلام على طريقتهم ومجاراتهم في ألفاظهم المحدثة التي لم يتكلم بها السلف، لأن هذا الباب من أخطر أبواب الفتنة على قلب من لم يتمكن من العلم، إذ يفتح عليه من الشبه ما قد لا يقوى على دفعه، فربما زلّ لسانه أو اضطرب اعتقاده وهو لا يشعر.</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حذّر أئمة السنة من القول باللفظ تحذيرًا شديدًا، ورأوا فيه بداية الانزلاق إلى القول بخلق القرآن من طريق غير مباشرة. قال الإمام أحمد بن حنبل رحمه الله: «من قال: لفظي بالقرآن مخلوق، فهو جهمي». وقال الإمام محمد بن إسماعيل البخاري رحمه الله: «من قال: لفظي بالقرآن مخلوق، فهو مبتدع». فهذان إمامان جليلان، أحدهما إمام أهل السنة في زمانه وأعلم الناس بمقالات الفرق، والآخر إمام أهل الحديث وصاحب الصحيح، اتفقا على تبديع هذا القول وتصنيف قائله في زمرة أهل البدع، مما يدل على خطورة هذه العبارة عند أئمة الاعتقاد، وعلى أنها ليست خلافًا لفظيًا هيّنًا كما قد يُظن.</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القول باللفظ:</w:t>
            </w:r>
            <w:r>
              <w:rPr>
                <w:rFonts w:ascii="Amiri" w:cs="Amiri" w:eastAsia="Amiri" w:hAnsi="Amiri"/>
                <w:b w:val="false"/>
                <w:bCs w:val="false"/>
                <w:i w:val="false"/>
                <w:iCs w:val="false"/>
                <w:color w:val="181410"/>
                <w:sz w:val="22"/>
                <w:szCs w:val="22"/>
                <w:rtl/>
              </w:rPr>
              <w:t xml:space="preserve"> هو قول من يقول: «لفظي بالقرآن مخلوق»، أي أن تلفظي أنا بالقرآن -حركة لساني وصوتي عند القراءة- مخلوق. وهذه العبارة مجملة توهم معنيين: فإن أُريد بها أن أصوات العباد وأفعالهم عند التلاوة مخلوقة، فهذا حق لا خلاف فيه، لأن العبد وأفعاله مخلوقة. وإن أُريد بها أن القرآن الملفوظ به، أي كلام الله نفسه الذي يُتلى، مخلوق، فهذا باطل وهو عين قول الجهمية. ولأجل هذا الإجمال المُلبِس منع أئمة السنة من إطلاق هذه العبارة، وعدّوا التلفظ بها ابتداعًا سدًا للذريعة وصونًا للعقيدة من الاختلاط.</w:t>
            </w:r>
          </w:p>
        </w:tc>
      </w:tr>
    </w:tbl>
    <w:p>
      <w:pPr>
        <w:spacing w:after="14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الأولى:</w:t>
      </w:r>
      <w:r>
        <w:rPr>
          <w:rFonts w:ascii="Amiri" w:cs="Amiri" w:eastAsia="Amiri" w:hAnsi="Amiri"/>
          <w:b w:val="false"/>
          <w:bCs w:val="false"/>
          <w:i w:val="false"/>
          <w:iCs w:val="false"/>
          <w:color w:val="181410"/>
          <w:sz w:val="22"/>
          <w:szCs w:val="22"/>
          <w:rtl/>
        </w:rPr>
        <w:t xml:space="preserve"> عدّ الإمام الواقفة -الذين قالوا: لا أدري القرآن مخلوق أو ليس بمخلوق- أصحاب بدعة كمن صرّح بأنه مخلوق، مع أن ظاهر كلامهم توقف لا جزم بالخلق. ووجه ذلك أن التوقف في هذه المسألة تشكيك في أمر يجب فيه اليقين والجزم، فمن توقف فقد ساوى عمليًا بين احتمال الخلق واحتمال عدمه، وهذا في ذاته انحراف عن اليقين الواجب، ولأنه يمنح قول الجهمية شرعية ضمنية بجعله قولاً محتملاً لا يُجزم ببطلانه، وهذا مسلك خطير في باب يجب فيه القطع لا الظن.</w:t>
      </w:r>
    </w:p>
    <w:p>
      <w:pPr>
        <w:bidi/>
        <w:spacing w:after="140" w:before="0" w:line="300"/>
        <w:jc w:val="both"/>
      </w:pPr>
      <w:r>
        <w:rPr>
          <w:rFonts w:ascii="Amiri" w:cs="Amiri" w:eastAsia="Amiri" w:hAnsi="Amiri"/>
          <w:b/>
          <w:bCs/>
          <w:i w:val="false"/>
          <w:iCs w:val="false"/>
          <w:color w:val="0D2143"/>
          <w:sz w:val="22"/>
          <w:szCs w:val="22"/>
          <w:rtl/>
        </w:rPr>
        <w:t xml:space="preserve">الثانية:</w:t>
      </w:r>
      <w:r>
        <w:rPr>
          <w:rFonts w:ascii="Amiri" w:cs="Amiri" w:eastAsia="Amiri" w:hAnsi="Amiri"/>
          <w:b w:val="false"/>
          <w:bCs w:val="false"/>
          <w:i w:val="false"/>
          <w:iCs w:val="false"/>
          <w:color w:val="181410"/>
          <w:sz w:val="22"/>
          <w:szCs w:val="22"/>
          <w:rtl/>
        </w:rPr>
        <w:t xml:space="preserve"> ليس كل توقف مذمومًا في الشريعة؛ فالتوقف مشروع بل واجب في مسائل الاجتهاد التي لم يرد فيها نص قاطع ولا إجماع، أما مسألة خلق القرآن فقد قام عليها من الأدلة النقلية والعقلية وإجماع سلف الأمة ما يرفعها إلى درجة القطع، فلا يسوغ فيها التوقف كما يسوغ في مسائل الاجتهاد المحضة.</w:t>
      </w:r>
    </w:p>
    <w:p>
      <w:pPr>
        <w:bidi/>
        <w:spacing w:after="140" w:before="0" w:line="300"/>
        <w:jc w:val="both"/>
      </w:pPr>
      <w:r>
        <w:rPr>
          <w:rFonts w:ascii="Amiri" w:cs="Amiri" w:eastAsia="Amiri" w:hAnsi="Amiri"/>
          <w:b/>
          <w:bCs/>
          <w:i w:val="false"/>
          <w:iCs w:val="false"/>
          <w:color w:val="0D2143"/>
          <w:sz w:val="22"/>
          <w:szCs w:val="22"/>
          <w:rtl/>
        </w:rPr>
        <w:t xml:space="preserve">الثالثة:</w:t>
      </w:r>
      <w:r>
        <w:rPr>
          <w:rFonts w:ascii="Amiri" w:cs="Amiri" w:eastAsia="Amiri" w:hAnsi="Amiri"/>
          <w:b w:val="false"/>
          <w:bCs w:val="false"/>
          <w:i w:val="false"/>
          <w:iCs w:val="false"/>
          <w:color w:val="181410"/>
          <w:sz w:val="22"/>
          <w:szCs w:val="22"/>
          <w:rtl/>
        </w:rPr>
        <w:t xml:space="preserve"> إنما سوّى الإمام بين القائل بخلق القرآن والقائل باللفظ والواقف، مع تفاوت عباراتهم الظاهر، لأن العبرة في هذا الباب بالمآل لا بمجرد اللفظ؛ فكل هذه الأقوال تُوهم أو تصرّح بأن القرآن ليس كلام الله على الحقيقة القطعية غير المخلوقة، فاتفقت في النتيجة وإن اختلفت في الظاهر، ولهذا استوى حكمها عند أئمة السنة.</w:t>
      </w:r>
    </w:p>
    <w:p>
      <w:pPr>
        <w:bidi/>
        <w:spacing w:after="140" w:before="0" w:line="300"/>
        <w:jc w:val="both"/>
      </w:pPr>
      <w:r>
        <w:rPr>
          <w:rFonts w:ascii="Amiri" w:cs="Amiri" w:eastAsia="Amiri" w:hAnsi="Amiri"/>
          <w:b/>
          <w:bCs/>
          <w:i w:val="false"/>
          <w:iCs w:val="false"/>
          <w:color w:val="0D2143"/>
          <w:sz w:val="22"/>
          <w:szCs w:val="22"/>
          <w:rtl/>
        </w:rPr>
        <w:t xml:space="preserve">الرابعة:</w:t>
      </w:r>
      <w:r>
        <w:rPr>
          <w:rFonts w:ascii="Amiri" w:cs="Amiri" w:eastAsia="Amiri" w:hAnsi="Amiri"/>
          <w:b w:val="false"/>
          <w:bCs w:val="false"/>
          <w:i w:val="false"/>
          <w:iCs w:val="false"/>
          <w:color w:val="181410"/>
          <w:sz w:val="22"/>
          <w:szCs w:val="22"/>
          <w:rtl/>
        </w:rPr>
        <w:t xml:space="preserve"> هذا التحذير من المناظرة موجَّه لعامة الناس وطلبة العلم المبتدئين الذين لا طاقة لهم بدفع الشبه، لا لأهل العلم الراسخين القادرين على البيان والحجاج؛ فقد ناظر أئمة السنة كالإمام أحمد أهل البدع في مجالس المحنة وأقاموا عليهم الحجة، فالتحذير من جنس سد الذريعة عمن يُخشى عليه، لا نهي عام عن الرد على أهل البدع ودحض شبههم.</w:t>
      </w:r>
    </w:p>
    <w:p>
      <w:pPr>
        <w:bidi/>
        <w:spacing w:after="140" w:before="0" w:line="300"/>
        <w:jc w:val="both"/>
      </w:pPr>
      <w:r>
        <w:rPr>
          <w:rFonts w:ascii="Amiri" w:cs="Amiri" w:eastAsia="Amiri" w:hAnsi="Amiri"/>
          <w:b/>
          <w:bCs/>
          <w:i w:val="false"/>
          <w:iCs w:val="false"/>
          <w:color w:val="0D2143"/>
          <w:sz w:val="22"/>
          <w:szCs w:val="22"/>
          <w:rtl/>
        </w:rPr>
        <w:t xml:space="preserve">الخامسة:</w:t>
      </w:r>
      <w:r>
        <w:rPr>
          <w:rFonts w:ascii="Amiri" w:cs="Amiri" w:eastAsia="Amiri" w:hAnsi="Amiri"/>
          <w:b w:val="false"/>
          <w:bCs w:val="false"/>
          <w:i w:val="false"/>
          <w:iCs w:val="false"/>
          <w:color w:val="181410"/>
          <w:sz w:val="22"/>
          <w:szCs w:val="22"/>
          <w:rtl/>
        </w:rPr>
        <w:t xml:space="preserve"> في هذه الفقرة أصل مهم من أصول منهج السلف، وهو الاقتصار على الألفاظ الشرعية الواضحة في مسائل الاعتقاد الدقيقة، والحذر من إحداث عبارات جديدة قد تحمل معاني ملتبسة وإن حسنت نية قائلها، لأن باب الألفاظ المجملة كان من أخطر أبواب دخول البدع على الأمة.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فالواجب على المسلم أن يعتقد جزمًا أن القرآن كلام الله غير مخلوق، وأن يبتعد عن الألفاظ المحدثة المجملة كـ«اللفظ» وعن التوقف في هذه المسألة، وألا يخوض في جدال أهل البدع وهو غير مؤهل لذلك، فإن دُعي إلى الكلام في هذا الباب اكتفى بالعبارة السلفية الواضحة: القرآن كلام الله غير مخلوق، من غير زيادة ولا تفصيل يوقعه في اللبس، سائلاً الله الثبات على الحق كما ثبت عليه أئمة السنة من قبله.</w:t>
            </w:r>
          </w:p>
        </w:tc>
      </w:tr>
    </w:tbl>
    <w:p>
      <w:pPr>
        <w:spacing w:after="160"/>
      </w:pPr>
    </w:p>
    <w:p>
      <w:pPr>
        <w:pStyle w:val="Heading1"/>
        <w:pageBreakBefore/>
        <w:bidi/>
        <w:spacing w:after="160" w:before="0"/>
        <w:jc w:val="right"/>
      </w:pPr>
      <w:bookmarkStart w:name="bm_bab4" w:id="1023"/>
      <w:r>
        <w:rPr>
          <w:rFonts w:ascii="Aref Ruqaa" w:cs="Aref Ruqaa" w:eastAsia="Aref Ruqaa" w:hAnsi="Aref Ruqaa"/>
          <w:b/>
          <w:bCs/>
          <w:i w:val="false"/>
          <w:iCs w:val="false"/>
          <w:color w:val="0A1830"/>
          <w:sz w:val="34"/>
          <w:szCs w:val="34"/>
          <w:rtl/>
        </w:rPr>
        <w:t xml:space="preserve">الباب الرابع — في اليوم الآخر وعالم الغيب</w:t>
      </w:r>
      <w:bookmarkEnd w:id="1023"/>
    </w:p>
    <w:p>
      <w:pPr>
        <w:pStyle w:val="Heading2"/>
        <w:bidi/>
        <w:spacing w:after="140" w:before="320"/>
        <w:jc w:val="right"/>
      </w:pPr>
      <w:bookmarkStart w:name="bm_faqrah_15" w:id="1024"/>
      <w:r>
        <w:rPr>
          <w:rFonts w:ascii="Aref Ruqaa" w:cs="Aref Ruqaa" w:eastAsia="Aref Ruqaa" w:hAnsi="Aref Ruqaa"/>
          <w:b/>
          <w:bCs/>
          <w:i w:val="false"/>
          <w:iCs w:val="false"/>
          <w:color w:val="0D2143"/>
          <w:sz w:val="28"/>
          <w:szCs w:val="28"/>
          <w:rtl/>
        </w:rPr>
        <w:t xml:space="preserve">الفقرة الخامسة عشرة: الإيمان بالرؤية يوم القيامة</w:t>
      </w:r>
      <w:bookmarkEnd w:id="102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وَالْإِيمَانُ بِالرُّؤْيَةِ يَوْمَ الْقِيَامَةِ كَمَا رُوِيَ عَنِ النَّبِيِّ ﷺ فِي الْأَحَادِيثِ الصِّحَاحِ.</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يفتتح الإمام أحمد رحمه الله بهذه الفقرة الباب الرابع من هذا المتن، وهو الباب المتعلق باليوم الآخر وعالم الغيب، فيقرر أول أصل من أصول الغيبيات الأخروية، وهو الإيمان برؤية المؤمنين لربهم يوم القيامة. وقوله: "كما رُوي عن النبي ﷺ في الأحاديث الصحاح" إشارة إلى أن هذه المسألة ليست من قبيل الاجتهاد أو النظر العقلي، وإنما هي مسألة توقيفية تلقّاها أهل السنة عن رسول الله ﷺ بطريق الرواية الصحيحة، فقد جاءت الأحاديث في إثبات الرؤية عن عدد من الصحابة رضي الله عنهم من طرق متعددة، حتى عدّها جمع من أهل العلم من الأحاديث المتواترة.</w:t>
      </w:r>
    </w:p>
    <w:p>
      <w:pPr>
        <w:bidi/>
        <w:spacing w:after="140" w:before="0" w:line="300"/>
        <w:jc w:val="both"/>
      </w:pPr>
      <w:r>
        <w:rPr>
          <w:rFonts w:ascii="Amiri" w:cs="Amiri" w:eastAsia="Amiri" w:hAnsi="Amiri"/>
          <w:b w:val="false"/>
          <w:bCs w:val="false"/>
          <w:i w:val="false"/>
          <w:iCs w:val="false"/>
          <w:color w:val="181410"/>
          <w:sz w:val="22"/>
          <w:szCs w:val="22"/>
          <w:rtl/>
        </w:rPr>
        <w:t xml:space="preserve">والرؤية هنا المقصود بها: أن المؤمنين يرون ربهم سبحانه وتعالى يوم القيامة رؤية حقيقية بالأبصار، لا بمعنى العلم أو الكشف القلبي كما يزعم أهل التأويل، وذلك في عرصات القيامة، ثم تكون الرؤية الكبرى في الجنة، يتنعّم بها أهلها بالنظر إلى وجه الله الكريم، وهي أعظم نعيم أهل الجنة على الإطلاق، حتى قال بعض السلف: إن أهل الجنة لولا رؤية ربهم لَما التذوا بنعيمهم.</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على هذا الأصل بالأحاديث الصحاح الواردة عن النبي ﷺ، ومنها ما جاء في الصحيحين من حديث جرير بن عبد الله البجلي رضي الله عنه قال: كنا جلوساً عند النبي ﷺ إذ نظر إلى القمر ليلة البدر فقال: «إِنَّكُمْ سَتَرَوْنَ رَبَّكُمْ كَمَا تَرَوْنَ هَذَا الْقَمَرَ، لَا تُضَامُونَ فِي رُؤْيَتِهِ» (رواه البخاري ومسلم). ووجه الدلالة أن النبي ﷺ شبّه وضوح الرؤية وعدم المزاحمة فيها برؤية القمر ليلة البدر، لا أنه تشبيه للمرئي بالمرئي، فإن الله تعالى ليس كمثله شيء.</w:t>
      </w:r>
    </w:p>
    <w:p>
      <w:pPr>
        <w:bidi/>
        <w:spacing w:after="140" w:before="0" w:line="300"/>
        <w:jc w:val="both"/>
      </w:pPr>
      <w:r>
        <w:rPr>
          <w:rFonts w:ascii="Amiri" w:cs="Amiri" w:eastAsia="Amiri" w:hAnsi="Amiri"/>
          <w:b w:val="false"/>
          <w:bCs w:val="false"/>
          <w:i w:val="false"/>
          <w:iCs w:val="false"/>
          <w:color w:val="181410"/>
          <w:sz w:val="22"/>
          <w:szCs w:val="22"/>
          <w:rtl/>
        </w:rPr>
        <w:t xml:space="preserve">ويؤيد هذا قوله تعالى: </w:t>
      </w:r>
      <w:r>
        <w:rPr>
          <w:rFonts w:ascii="Amiri Quran" w:cs="Amiri Quran" w:eastAsia="Amiri Quran" w:hAnsi="Amiri Quran"/>
          <w:b w:val="false"/>
          <w:bCs w:val="false"/>
          <w:i w:val="false"/>
          <w:iCs w:val="false"/>
          <w:color w:val="0D2143"/>
          <w:sz w:val="26"/>
          <w:szCs w:val="26"/>
          <w:rtl/>
        </w:rPr>
        <w:t xml:space="preserve">﴿وُجُوهٌ يَوْمَئِذٍ نَاضِرَةٌ * إِلَى رَبِّهَا نَاظِرَةٌ﴾</w:t>
      </w:r>
      <w:r>
        <w:rPr>
          <w:rFonts w:ascii="Cairo" w:cs="Cairo" w:eastAsia="Cairo" w:hAnsi="Cairo"/>
          <w:b/>
          <w:bCs/>
          <w:i w:val="false"/>
          <w:iCs w:val="false"/>
          <w:color w:val="8A6A1F"/>
          <w:sz w:val="16"/>
          <w:szCs w:val="16"/>
          <w:rtl/>
        </w:rPr>
        <w:t xml:space="preserve"> [القيامة: 22-23]</w:t>
      </w:r>
      <w:r>
        <w:rPr>
          <w:rFonts w:ascii="Amiri" w:cs="Amiri" w:eastAsia="Amiri" w:hAnsi="Amiri"/>
          <w:b w:val="false"/>
          <w:bCs w:val="false"/>
          <w:i w:val="false"/>
          <w:iCs w:val="false"/>
          <w:color w:val="181410"/>
          <w:sz w:val="22"/>
          <w:szCs w:val="22"/>
          <w:rtl/>
        </w:rPr>
        <w:t xml:space="preserve">، فقد قرر جمهور سلف الأمة أن "النظر" هنا متعدٍّ بـ"إلى"، وهذا صريح في نظر العين إلى الله تعالى، إذ لا يقال في اللغة العربية "نظر إلى كذا" إلا للنظر بالعين غالباً، بخلاف نظر القلب فإنه يقال فيه "نظر في كذا" أو "فكّر فيه". ويؤيد هذا أيضاً قوله تعالى: </w:t>
      </w:r>
      <w:r>
        <w:rPr>
          <w:rFonts w:ascii="Amiri Quran" w:cs="Amiri Quran" w:eastAsia="Amiri Quran" w:hAnsi="Amiri Quran"/>
          <w:b w:val="false"/>
          <w:bCs w:val="false"/>
          <w:i w:val="false"/>
          <w:iCs w:val="false"/>
          <w:color w:val="0D2143"/>
          <w:sz w:val="26"/>
          <w:szCs w:val="26"/>
          <w:rtl/>
        </w:rPr>
        <w:t xml:space="preserve">﴿لِلَّذِينَ أَحْسَنُوا الْحُسْنَى وَزِيَادَةٌ﴾</w:t>
      </w:r>
      <w:r>
        <w:rPr>
          <w:rFonts w:ascii="Cairo" w:cs="Cairo" w:eastAsia="Cairo" w:hAnsi="Cairo"/>
          <w:b/>
          <w:bCs/>
          <w:i w:val="false"/>
          <w:iCs w:val="false"/>
          <w:color w:val="8A6A1F"/>
          <w:sz w:val="16"/>
          <w:szCs w:val="16"/>
          <w:rtl/>
        </w:rPr>
        <w:t xml:space="preserve"> [يونس: 26]</w:t>
      </w:r>
      <w:r>
        <w:rPr>
          <w:rFonts w:ascii="Amiri" w:cs="Amiri" w:eastAsia="Amiri" w:hAnsi="Amiri"/>
          <w:b w:val="false"/>
          <w:bCs w:val="false"/>
          <w:i w:val="false"/>
          <w:iCs w:val="false"/>
          <w:color w:val="181410"/>
          <w:sz w:val="22"/>
          <w:szCs w:val="22"/>
          <w:rtl/>
        </w:rPr>
        <w:t xml:space="preserve">، وقد فسّر النبي ﷺ "الزيادة" في هذه الآية بأنها النظر إلى وجه الله الكريم، كما ثبت ذلك في صحيح مسلم من حديث صهيب رضي الله عنه.</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إثبات الرؤية عقيدة أهل السنة والجماعة قاطبة، خلافاً للمعتزلة والجهمية والخوارج الذين أنكروها بحجة أن الرؤية تستلزم الجهة والمكان والتحيّز، وهذه شبهة عقلية باطلة، ردّها أهل السنة بأن الرؤية لا تستلزم عندهم شيئاً من ذلك، وإنما هي إثبات على الوجه الذي يليق بجلال الله وعظمته، من غير تكييف ولا تمثيل.</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فرّق العلماء بين رؤية عموم المؤمنين لربهم في عرصات القيامة وفي الجنة، وهي محل هذه الفقرة، وبين مسألة رؤية النبي ﷺ لربه في الدنيا، وهي مسألة مستقلة سيأتي ذكرها في الفقرة التالية (الفقرة السادسة عشرة). فالمسألتان وإن اشتركتا في أصل إثبات الرؤية، إلا أن الأولى مجمع عليها بين أهل السنة قاطبة، والثانية وقع فيها خلاف مشهور بين الصحابة أنفسهم كما سيأتي بيانه.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يظن بعض الناس أن نفي الإدراك في آية الأنعام دليل على نفي الرؤية مطلقاً، وهذا خطأ نشأ عن الخلط بين "الرؤية" و"الإدراك"، وقد كان هذا هو أصل شبهة المعتزلة في إنكار الرؤية، وقد ردّها أهل السنة بما تقدم من التفريق بين اللفظين، وبأن الآية نفسها سيقت في سياق الامتنان والثناء على الله بكمال قدرته وعلمه، لا في سياق نفي الرؤية يوم القيامة.</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يؤمن إيماناً جازماً بأن المؤمنين يرون ربهم سبحانه وتعالى يوم القيامة رؤية حقيقية بالأبصار، كما جاءت بذلك الأحاديث الصحاح عن النبي ﷺ، من غير تكييف ولا تمثيل ولا تعطيل، وأن يعلم أن هذه الرؤية أعظم نعيم يناله أهل الجنة، فيسعى بصالح العمل إلى نيلها، ويحذر كل قول يفضي إلى نفيها أو تأويلها بغير ظاهرها.</w:t>
            </w:r>
          </w:p>
        </w:tc>
      </w:tr>
    </w:tbl>
    <w:p>
      <w:pPr>
        <w:spacing w:after="160"/>
      </w:pPr>
    </w:p>
    <w:p>
      <w:pPr>
        <w:pStyle w:val="Heading2"/>
        <w:bidi/>
        <w:spacing w:after="140" w:before="320"/>
        <w:jc w:val="right"/>
      </w:pPr>
      <w:bookmarkStart w:name="bm_faqrah_16" w:id="1025"/>
      <w:r>
        <w:rPr>
          <w:rFonts w:ascii="Aref Ruqaa" w:cs="Aref Ruqaa" w:eastAsia="Aref Ruqaa" w:hAnsi="Aref Ruqaa"/>
          <w:b/>
          <w:bCs/>
          <w:i w:val="false"/>
          <w:iCs w:val="false"/>
          <w:color w:val="0D2143"/>
          <w:sz w:val="28"/>
          <w:szCs w:val="28"/>
          <w:rtl/>
        </w:rPr>
        <w:t xml:space="preserve">الفقرة السادسة عشرة: رؤية النبي ﷺ لربه</w:t>
      </w:r>
      <w:bookmarkEnd w:id="1025"/>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وَأَنَّ النَّبِيَّ ﷺ قَدْ رَأَى رَبَّهُ، فَإِنَّهُ مَأْثُورٌ عَنْ رَسُولِ اللَّهِ ﷺ صَحِيحٌ، رَوَاهُ قَتَادَةُ عَنْ عِكْرِمَةَ عَنِ ابْنِ عَبَّاسٍ، وَرَوَاهُ الْحَكَمُ بْنُ أَبَانَ عَنْ عِكْرِمَةَ عَنِ ابْنِ عَبَّاسٍ، وَرَوَاهُ عَلِيُّ بْنُ زَيْدٍ عَنْ يُوسُفَ بْنِ مِهْرَانَ عَنِ ابْنِ عَبَّاسٍ.</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قرر الإمام أحمد رحمه الله في الفقرة السابقة إثبات الرؤية العامة للمؤمنين يوم القيامة، ينتقل هنا إلى مسألة خاصة، وهي: هل رأى النبي ﷺ ربه عز وجل؟ وهذه مسألة مختلَف فيها بين الصحابة أنفسهم رضي الله عنهم، وليست من قبيل الرؤية العامة التي وقع الإجماع عليها. وقد ذكر الإمام أحمد أن هذا "مأثور عن رسول الله ﷺ صحيح"، وساق له ثلاثة أسانيد كلها ترجع إلى عبد الله بن عباس رضي الله عنهما، عن طريق قتادة عن عكرمة، وعن طريق الحكم بن أبان عن عكرمة، وعن طريق علي بن زيد بن جدعان عن يوسف بن مهران، وكلها عن ابن عباس.</w:t>
      </w:r>
    </w:p>
    <w:p>
      <w:pPr>
        <w:bidi/>
        <w:spacing w:after="140" w:before="0" w:line="300"/>
        <w:jc w:val="both"/>
      </w:pPr>
      <w:r>
        <w:rPr>
          <w:rFonts w:ascii="Amiri" w:cs="Amiri" w:eastAsia="Amiri" w:hAnsi="Amiri"/>
          <w:b w:val="false"/>
          <w:bCs w:val="false"/>
          <w:i w:val="false"/>
          <w:iCs w:val="false"/>
          <w:color w:val="181410"/>
          <w:sz w:val="22"/>
          <w:szCs w:val="22"/>
          <w:rtl/>
        </w:rPr>
        <w:t xml:space="preserve">وموضع هذه المسألة هو: هل رأى النبي ﷺ ربه ليلة المعراج بعينَي رأسه، أم رآه بقلبه وفؤاده رؤية قلبية؟ وقد اشتهر عن ابن عباس رضي الله عنهما أنه كان يميل إلى إثبات أن النبي ﷺ رأى ربه، حتى قيل إنه كان يقول: "رآه بفؤاده مرتين"، وهذا هو ما يظهر أنه المقصود بهذه الرواية عن ابن عباس، أي أن يكون المثبَت هو رؤية القلب لا رؤية العين المجردة، والله أعلم بحقيقة الحال.</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روي عن ابن عباس رضي الله عنهما من طرق متعددة أن النبي ﷺ قال: «رَأَيْتُ رَبِّي عَزَّ وَجَلَّ»، وهذا مما رُوي في هذا الباب. وقد اعتنى أهل الحديث ببيان طرق هذا الأثر وأسانيده عن ابن عباس، وهي الأسانيد الثلاثة التي ذكرها الإمام أحمد في هذه الفقرة (طريق قتادة، وطريق الحكم بن أبان، وطريق علي بن زيد بن جدعان)، وقد تكلم أهل العلم في بعض رجال هذه الأسانيد، فمن أراد التحقيق في درجة كل إسناد على حدة فليرجع إلى كتب التخريج المتخصصة وأقوال أئمة الحديث في نقدها، فإن هذا الباب من أدق أبواب العلم وأحوجها إلى التثبت.</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اختلف الصحابة رضي الله عنهم في هذه المسألة على قولين مشهورين: فذهب ابن عباس رضي الله عنهما -كما يظهر من هذه الروايات- إلى إثبات أن النبي ﷺ رأى ربه، بينما ذهبت أم المؤمنين عائشة رضي الله عنها إلى نفي أن يكون النبي ﷺ رأى ربه بعيني رأسه، مستدلة بقوله تعالى: </w:t>
      </w:r>
      <w:r>
        <w:rPr>
          <w:rFonts w:ascii="Amiri Quran" w:cs="Amiri Quran" w:eastAsia="Amiri Quran" w:hAnsi="Amiri Quran"/>
          <w:b w:val="false"/>
          <w:bCs w:val="false"/>
          <w:i w:val="false"/>
          <w:iCs w:val="false"/>
          <w:color w:val="0D2143"/>
          <w:sz w:val="26"/>
          <w:szCs w:val="26"/>
          <w:rtl/>
        </w:rPr>
        <w:t xml:space="preserve">﴿لَا تُدْرِكُهُ الْأَبْصَارُ﴾</w:t>
      </w:r>
      <w:r>
        <w:rPr>
          <w:rFonts w:ascii="Cairo" w:cs="Cairo" w:eastAsia="Cairo" w:hAnsi="Cairo"/>
          <w:b/>
          <w:bCs/>
          <w:i w:val="false"/>
          <w:iCs w:val="false"/>
          <w:color w:val="8A6A1F"/>
          <w:sz w:val="16"/>
          <w:szCs w:val="16"/>
          <w:rtl/>
        </w:rPr>
        <w:t xml:space="preserve"> [الأنعام: 103]</w:t>
      </w:r>
      <w:r>
        <w:rPr>
          <w:rFonts w:ascii="Amiri" w:cs="Amiri" w:eastAsia="Amiri" w:hAnsi="Amiri"/>
          <w:b w:val="false"/>
          <w:bCs w:val="false"/>
          <w:i w:val="false"/>
          <w:iCs w:val="false"/>
          <w:color w:val="181410"/>
          <w:sz w:val="22"/>
          <w:szCs w:val="22"/>
          <w:rtl/>
        </w:rPr>
        <w:t xml:space="preserve">، وبأن جبريل عليه السلام هو الذي كان يأتي النبي ﷺ بالوحي، فمن زعم أنه رأى ربه فقد أعظم على الله الفرية، على حد تعبيرها رضي الله عنها.</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جمع طائفة من أهل العلم بين القولين بأن يكون المثبَت هو رؤية القلب والفؤاد، لا رؤية العين المجردة، وبهذا يزول التعارض الظاهر بين قول ابن عباس وقول عائشة رضي الله عنهما، فتكون عائشة نفت رؤية العين، وابن عباس أثبت رؤية الفؤاد، وكلاهما حق لا تعارض فيه. وممن مال إلى هذا الجمع جمع من أهل العلم، وإن بقيت المسألة من مسائل الاجتهاد التي لا يُبدَّع فيها المخالف.</w:t>
      </w:r>
    </w:p>
    <w:p>
      <w:pPr>
        <w:bidi/>
        <w:spacing w:after="140" w:before="0" w:line="300"/>
        <w:jc w:val="both"/>
      </w:pPr>
      <w:r>
        <w:rPr>
          <w:rFonts w:ascii="Amiri" w:cs="Amiri" w:eastAsia="Amiri" w:hAnsi="Amiri"/>
          <w:b/>
          <w:bCs/>
          <w:i w:val="false"/>
          <w:iCs w:val="false"/>
          <w:color w:val="0D2143"/>
          <w:sz w:val="22"/>
          <w:szCs w:val="22"/>
          <w:rtl/>
        </w:rPr>
        <w:t xml:space="preserve">المسألة الثالثة:</w:t>
      </w:r>
      <w:r>
        <w:rPr>
          <w:rFonts w:ascii="Amiri" w:cs="Amiri" w:eastAsia="Amiri" w:hAnsi="Amiri"/>
          <w:b w:val="false"/>
          <w:bCs w:val="false"/>
          <w:i w:val="false"/>
          <w:iCs w:val="false"/>
          <w:color w:val="181410"/>
          <w:sz w:val="22"/>
          <w:szCs w:val="22"/>
          <w:rtl/>
        </w:rPr>
        <w:t xml:space="preserve"> هذه الفقرة متصلة بالفقرة الحادية عشرة من هذا المتن (في أحاديث الرؤية عموماً) وبالفقرة الخامسة عشرة (في رؤية المؤمنين يوم القيامة)، غير أن موضوعها أخص: فرؤية المؤمنين يوم القيامة مجمع عليها بين أهل السنة، بخلاف رؤية النبي ﷺ لربه في الدنيا فمختلف فيها كما تقدم. وهذا من دقيق فقه الإمام أحمد رحمه الله في ترتيب هذه الفقرات، إذ قدّم المجمع عليه ثم أتبعه بالمختلف فيه.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يعلم أن مسألة رؤية النبي ﷺ لربه في الدنيا من مسائل الاجتهاد التي اختلف فيها الصحابة رضي الله عنهم، فروي عن ابن عباس إثباتها، وروي عن عائشة رضي الله عنها نفي وقوعها بالعين، وأن يتأدب مع الفريقين، ولا يبدّع أحداً منهما، وأن يفرّق بين هذه المسألة الخاصة وبين رؤية المؤمنين لربهم يوم القيامة التي هي محل إجماع أهل السنة.</w:t>
            </w:r>
          </w:p>
        </w:tc>
      </w:tr>
    </w:tbl>
    <w:p>
      <w:pPr>
        <w:spacing w:after="160"/>
      </w:pPr>
    </w:p>
    <w:p>
      <w:pPr>
        <w:pStyle w:val="Heading2"/>
        <w:bidi/>
        <w:spacing w:after="140" w:before="320"/>
        <w:jc w:val="right"/>
      </w:pPr>
      <w:bookmarkStart w:name="bm_faqrah_17" w:id="1026"/>
      <w:r>
        <w:rPr>
          <w:rFonts w:ascii="Aref Ruqaa" w:cs="Aref Ruqaa" w:eastAsia="Aref Ruqaa" w:hAnsi="Aref Ruqaa"/>
          <w:b/>
          <w:bCs/>
          <w:i w:val="false"/>
          <w:iCs w:val="false"/>
          <w:color w:val="0D2143"/>
          <w:sz w:val="28"/>
          <w:szCs w:val="28"/>
          <w:rtl/>
        </w:rPr>
        <w:t xml:space="preserve">الفقرة السابعة عشرة: منهج أهل السنة في التعامل مع نصوص الصفات</w:t>
      </w:r>
      <w:bookmarkEnd w:id="102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وَالْحَدِيثُ عِنْدَنَا عَلَى ظَاهِرِهِ كَمَا جَاءَ عَنِ النَّبِيِّ ﷺ، وَالْكَلَامُ فِيهِ بِدْعَةٌ، وَلَكِنْ نُؤْمِنُ بِهِ كَمَا جَاءَ عَلَى ظَاهِرِهِ وَلَا نُنَاظِرُ فِيهِ أَحَداً.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هذه الفقرة من أجمع فقرات هذا المتن وأدقّها، إذ يقرر فيها الإمام أحمد رحمه الله القاعدة الكلية التي يسير عليها أهل السنة والجماعة في التعامل مع نصوص الصفات والأحاديث الواردة فيها، وهي المتفرعة عن الحديث المذكور في الفقرة السابقة (رؤية النبي ﷺ لربه) وما شاكله من أحاديث الصفات: "والحديث عندنا على ظاهره"، أي: يؤخذ الحديث على ما يفهم من ظاهر لفظه في اللغة العربية، دون صرفه عن ظاهره بتأويل أو تحريف. "والكلام فيه بدعة"، أي: الخوض في كيفية هذه الصفة أو تفصيل كنهها وكيفيتها أمر محدَث لم يكن عليه الصحابة والتابعون. "ولكن نؤمن به كما جاء على ظاهره ولا نناظر فيه أحداً"، أي: نصدّق بمعناه ونؤمن بمقتضاه، ولا ندخل في جدال ومناظرة حوله مع المخالفين.</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إمرار النصوص:</w:t>
            </w:r>
            <w:r>
              <w:rPr>
                <w:rFonts w:ascii="Amiri" w:cs="Amiri" w:eastAsia="Amiri" w:hAnsi="Amiri"/>
                <w:b w:val="false"/>
                <w:bCs w:val="false"/>
                <w:i w:val="false"/>
                <w:iCs w:val="false"/>
                <w:color w:val="181410"/>
                <w:sz w:val="22"/>
                <w:szCs w:val="22"/>
                <w:rtl/>
              </w:rPr>
              <w:t xml:space="preserve"> هو المنهج الذي جرى عليه السلف الصالح في التعامل مع آيات الصفات وأحاديثها، وحاصله: إثبات ما دلت عليه من المعنى على الوجه اللائق بجلال الله وعظمته، مع تفويض علم الكيفية إلى الله تعالى، من غير تحريف للفظ أو المعنى (التأويل الباطل)، ولا تعطيل لدلالته (الجحود والنفي)، ولا تكييف لصفته (السؤال عن "كيف؟")، ولا تمثيل له بصفات المخلوقين.</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المنهج هو ما استقر عليه أئمة السلف قاطبة، وقد اشتهر عن الإمام مالك رحمه الله لما سُئل عن قوله تعالى: </w:t>
      </w:r>
      <w:r>
        <w:rPr>
          <w:rFonts w:ascii="Amiri Quran" w:cs="Amiri Quran" w:eastAsia="Amiri Quran" w:hAnsi="Amiri Quran"/>
          <w:b w:val="false"/>
          <w:bCs w:val="false"/>
          <w:i w:val="false"/>
          <w:iCs w:val="false"/>
          <w:color w:val="0D2143"/>
          <w:sz w:val="26"/>
          <w:szCs w:val="26"/>
          <w:rtl/>
        </w:rPr>
        <w:t xml:space="preserve">﴿الرَّحْمَٰنُ عَلَى الْعَرْشِ اسْتَوَى﴾</w:t>
      </w:r>
      <w:r>
        <w:rPr>
          <w:rFonts w:ascii="Cairo" w:cs="Cairo" w:eastAsia="Cairo" w:hAnsi="Cairo"/>
          <w:b/>
          <w:bCs/>
          <w:i w:val="false"/>
          <w:iCs w:val="false"/>
          <w:color w:val="8A6A1F"/>
          <w:sz w:val="16"/>
          <w:szCs w:val="16"/>
          <w:rtl/>
        </w:rPr>
        <w:t xml:space="preserve"> [طه: 5]</w:t>
      </w:r>
      <w:r>
        <w:rPr>
          <w:rFonts w:ascii="Amiri" w:cs="Amiri" w:eastAsia="Amiri" w:hAnsi="Amiri"/>
          <w:b w:val="false"/>
          <w:bCs w:val="false"/>
          <w:i w:val="false"/>
          <w:iCs w:val="false"/>
          <w:color w:val="181410"/>
          <w:sz w:val="22"/>
          <w:szCs w:val="22"/>
          <w:rtl/>
        </w:rPr>
        <w:t xml:space="preserve">، كيف استوى؟ فأطرق برأسه حتى علاه الرحضاء (العرق)، ثم قال: "الاستواء غير مجهول، والكيف غير معقول، والإيمان به واجب، والسؤال عنه بدعة، وما أراك إلا مبتدعاً" وأمر به فأُخرج. وهذا الأثر عن الإمام مالك من أشهر ما نُقل في تقرير هذا الأصل، وقد رُوي نحوه عن غيره من أئمة السلف في آيات الاستواء وسائر آيات الصفات.</w:t>
      </w:r>
    </w:p>
    <w:p>
      <w:pPr>
        <w:bidi/>
        <w:spacing w:after="140" w:before="0" w:line="300"/>
        <w:jc w:val="both"/>
      </w:pPr>
      <w:r>
        <w:rPr>
          <w:rFonts w:ascii="Amiri" w:cs="Amiri" w:eastAsia="Amiri" w:hAnsi="Amiri"/>
          <w:b w:val="false"/>
          <w:bCs w:val="false"/>
          <w:i w:val="false"/>
          <w:iCs w:val="false"/>
          <w:color w:val="181410"/>
          <w:sz w:val="22"/>
          <w:szCs w:val="22"/>
          <w:rtl/>
        </w:rPr>
        <w:t xml:space="preserve">وقد نقل عن الإمام أحمد رحمه الله نفسه -صاحب هذا المتن- في تقرير هذا المنهج قوله في أحاديث الصفات: "نمرّها كما جاءت، ونؤمن بها، ولا نقول: كيف؟ ولا: لِمَ؟"، وهذا هو عين ما قرره في هذه الفقرة، وهو امتداد لما تقدم في الفقرة العاشرة من هذا المتن، حيث ذكر أن من لم يعرف تفسير الحديث ويعيا عنه عقله، فعليه الإيمان به والتسليم له.</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هذه الفقرة قاعدة كلية جامعة، تنطبق على جميع أحاديث الصفات وآياتها، لا على حديث الرؤية وحده. فهي بمثابة الأصل المنهجي الذي يُرجع إليه في كل ما أشكل من نصوص الصفات، سواء ما ورد منها في القرآن كآيات الاستواء واليدين والوجه، أو ما ورد في السنة كأحاديث النزول والضحك والقدم، فكلها تُجرى على هذا المنهج: إمرارها على ظاهرها، وترك الخوض في كيفيتها، وترك المناظرة فيها.</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ينبغي التفريق بين "الظاهر" الذي يثبته أهل السنة، وبين ما يتوهمه بعض الناس من "ظاهر" التشبيه بصفات المخلوقين. فـ"ظاهر" النص عند أهل السنة هو المعنى اللائق بجلال الله تعالى الذي يفهم من اللفظ بحسب المتكلم به، لا المعنى الذي يتبادر إلى ذهن من يقيس الخالق على المخلوق. فإذا قيل: "يد الله"، فظاهرها إثبات يد حقيقية تليق بالله، لا يد كيد المخلوقين، فالمشترك بينهما هو أصل المعنى اللغوي لا الكيفية.</w:t>
      </w:r>
    </w:p>
    <w:p>
      <w:pPr>
        <w:bidi/>
        <w:spacing w:after="140" w:before="0" w:line="300"/>
        <w:jc w:val="both"/>
      </w:pPr>
      <w:r>
        <w:rPr>
          <w:rFonts w:ascii="Amiri" w:cs="Amiri" w:eastAsia="Amiri" w:hAnsi="Amiri"/>
          <w:b/>
          <w:bCs/>
          <w:i w:val="false"/>
          <w:iCs w:val="false"/>
          <w:color w:val="0D2143"/>
          <w:sz w:val="22"/>
          <w:szCs w:val="22"/>
          <w:rtl/>
        </w:rPr>
        <w:t xml:space="preserve">المسألة الثالثة:</w:t>
      </w:r>
      <w:r>
        <w:rPr>
          <w:rFonts w:ascii="Amiri" w:cs="Amiri" w:eastAsia="Amiri" w:hAnsi="Amiri"/>
          <w:b w:val="false"/>
          <w:bCs w:val="false"/>
          <w:i w:val="false"/>
          <w:iCs w:val="false"/>
          <w:color w:val="181410"/>
          <w:sz w:val="22"/>
          <w:szCs w:val="22"/>
          <w:rtl/>
        </w:rPr>
        <w:t xml:space="preserve"> النهي عن "الكلام" و"المناظرة" في هذه الفقرة ليس نهياً عن بيان العقيدة وتعليمها والرد على المخالفين بالحجة والدليل -فهذا هو موضوع هذا الكتاب نفسه- وإنما هو نهي عن الجدال المذموم الذي يقصد به صاحبه الغلبة والمراء، أو الخوض في كيفية الصفة بالعقل المجرد على طريقة أهل الكلام. وهذا يتصل بما تقدم في الفقرتين الثالثة والخامسة من هذا المتن في ترك الخصومات والمراء والجدال في الدين.</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يظن بعض من ينتسب إلى التنزيه أن إثبات الصفات على ظاهرها يستلزم التشبيه بصفات المخلوقين، فيفرّون إلى تأويل النصوص أو تفويض معناها بالكلية، وهذا فهم خاطئ لمنهج السلف، فإن أهل السنة يثبتون المعنى ويفوضون الكيفية، لا العكس. فيقولون: لله يد حقيقية تليق بجلاله، ولا يعلم كيفيتها إلا هو، وبهذا يسلمون من التشبيه (بنفي مماثلة كيفية المخلوق) ومن التعطيل (بإثبات المعنى) في آن واحد.</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يأخذ نصوص الصفات الواردة في الكتاب والسنة على ظاهرها اللائق بجلال الله تعالى، وأن يؤمن بها ويصدّق بمقتضاها، وأن يجتنب الخوض في كيفيتها والسؤال عنها، وأن يترك مناظرة أهل الأهواء فيها، سالكاً بذلك طريق السلف الصالح القائم على الإثبات بلا تكييف، والتنزيه بلا تعطيل.</w:t>
            </w:r>
          </w:p>
        </w:tc>
      </w:tr>
    </w:tbl>
    <w:p>
      <w:pPr>
        <w:spacing w:after="160"/>
      </w:pPr>
    </w:p>
    <w:p>
      <w:pPr>
        <w:pStyle w:val="Heading2"/>
        <w:bidi/>
        <w:spacing w:after="140" w:before="320"/>
        <w:jc w:val="right"/>
      </w:pPr>
      <w:bookmarkStart w:name="bm_faqrah_18" w:id="1027"/>
      <w:r>
        <w:rPr>
          <w:rFonts w:ascii="Aref Ruqaa" w:cs="Aref Ruqaa" w:eastAsia="Aref Ruqaa" w:hAnsi="Aref Ruqaa"/>
          <w:b/>
          <w:bCs/>
          <w:i w:val="false"/>
          <w:iCs w:val="false"/>
          <w:color w:val="0D2143"/>
          <w:sz w:val="28"/>
          <w:szCs w:val="28"/>
          <w:rtl/>
        </w:rPr>
        <w:t xml:space="preserve">الفقرة الثامنة عشرة: الإيمان بالميزان</w:t>
      </w:r>
      <w:bookmarkEnd w:id="102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وَالْإِيمَانُ بِالْمِيزَانِ يَوْمَ الْقِيَامَةِ كَمَا جَاءَ: «يُوزَنُ الْعَبْدُ يَوْمَ الْقِيَامَةِ فَلَا يَزِنُ جَنَاحَ بَعُوضَةٍ»، وَتُوزَنُ أَعْمَالُ الْعِبَادِ كَمَا جَاءَ فِي الْأَثَرِ؛ وَالْإِيمَانُ بِهِ وَالتَّصْدِيقُ بِهِ وَالْإِعْرَاضُ عَمَّنْ رَدَّ ذَلِكَ وَتَرْكُ مُجَادَلَتِهِ.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ينتقل الإمام أحمد رحمه الله في هذه الفقرة إلى إثبات أصل آخر من أصول الإيمان باليوم الآخر، وهو الميزان. والميزان في اللغة: الآلة التي يوزن بها الشيء ليُعرف مقداره وثقله من خفته. وفي الشرع: هو ميزان حقيقي له كفتان ولسان، يوزن به يوم القيامة، إما أعمال العباد نفسها -بأن تُجعل الأعمال أجساماً توضع في الكفتين- وإما صحائف الأعمال المكتوب فيها، وإما العاملون أنفسهم كما جاء في بعض النصوص، والراجح عند أهل السنة أن الوزن يقع على كل ذلك بحسب ما دلت عليه النصوص، ولا تعارض بينها.</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في المتن: "والإعراض عمن رد ذلك وترك مجادلته" فيه توجيه منهجي مهم، وهو أن المسلم إذا واجه من ينكر هذا الأصل الثابت بالنص الصريح، فواجبه أن يعرض عنه بعد بيان الحجة، ولا يستمر في المجادلة والمماراة، لأن الجدال في مثل هذه الأصول الثابتة قد يفضي إلى الشك والريبة، وأهل البدع كثيراً ما يقصدون بجدالهم الإيقاع في الشبهات لا طلب الحق.</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الحديث الذي أورده الإمام أحمد في المتن: «يُوزَنُ الْعَبْدُ يَوْمَ الْقِيَامَةِ فَلَا يَزِنُ جَنَاحَ بَعُوضَةٍ»، وقد جاء في السنة ما يدل على معناه، ومنه ما رواه الشيخان من حديث أبي هريرة رضي الله عنه أن النبي ﷺ قال: «كَلِمَتَانِ خَفِيفَتَانِ عَلَى اللِّسَانِ، ثَقِيلَتَانِ فِي الْمِيزَانِ، حَبِيبَتَانِ إِلَى الرَّحْمَنِ: سُبْحَانَ اللَّهِ وَبِحَمْدِهِ، سُبْحَانَ اللَّهِ الْعَظِيمِ» (رواه البخاري ومسلم)، وفيه دلالة صريحة على أن الأعمال توزن ولها ثقل حقيقي.</w:t>
      </w:r>
    </w:p>
    <w:p>
      <w:pPr>
        <w:bidi/>
        <w:spacing w:after="140" w:before="0" w:line="300"/>
        <w:jc w:val="both"/>
      </w:pPr>
      <w:r>
        <w:rPr>
          <w:rFonts w:ascii="Amiri" w:cs="Amiri" w:eastAsia="Amiri" w:hAnsi="Amiri"/>
          <w:b w:val="false"/>
          <w:bCs w:val="false"/>
          <w:i w:val="false"/>
          <w:iCs w:val="false"/>
          <w:color w:val="181410"/>
          <w:sz w:val="22"/>
          <w:szCs w:val="22"/>
          <w:rtl/>
        </w:rPr>
        <w:t xml:space="preserve">وقد قال الله تعالى: </w:t>
      </w:r>
      <w:r>
        <w:rPr>
          <w:rFonts w:ascii="Amiri Quran" w:cs="Amiri Quran" w:eastAsia="Amiri Quran" w:hAnsi="Amiri Quran"/>
          <w:b w:val="false"/>
          <w:bCs w:val="false"/>
          <w:i w:val="false"/>
          <w:iCs w:val="false"/>
          <w:color w:val="0D2143"/>
          <w:sz w:val="26"/>
          <w:szCs w:val="26"/>
          <w:rtl/>
        </w:rPr>
        <w:t xml:space="preserve">﴿وَنَضَعُ الْمَوَازِينَ الْقِسْطَ لِيَوْمِ الْقِيَامَةِ فَلَا تُظْلَمُ نَفْسٌ شَيْئاً وَإِنْ كَانَ مِثْقَالَ حَبَّةٍ مِنْ خَرْدَلٍ أَتَيْنَا بِهَا وَكَفَى بِنَا حَاسِبِينَ﴾</w:t>
      </w:r>
      <w:r>
        <w:rPr>
          <w:rFonts w:ascii="Cairo" w:cs="Cairo" w:eastAsia="Cairo" w:hAnsi="Cairo"/>
          <w:b/>
          <w:bCs/>
          <w:i w:val="false"/>
          <w:iCs w:val="false"/>
          <w:color w:val="8A6A1F"/>
          <w:sz w:val="16"/>
          <w:szCs w:val="16"/>
          <w:rtl/>
        </w:rPr>
        <w:t xml:space="preserve"> [الأنبياء: 47]</w:t>
      </w:r>
      <w:r>
        <w:rPr>
          <w:rFonts w:ascii="Amiri" w:cs="Amiri" w:eastAsia="Amiri" w:hAnsi="Amiri"/>
          <w:b w:val="false"/>
          <w:bCs w:val="false"/>
          <w:i w:val="false"/>
          <w:iCs w:val="false"/>
          <w:color w:val="181410"/>
          <w:sz w:val="22"/>
          <w:szCs w:val="22"/>
          <w:rtl/>
        </w:rPr>
        <w:t xml:space="preserve">، وهذه الآية أصل عظيم في إثبات الميزان، وقوله "مثقال حبة من خردل" فيه بيان دقة هذا الميزان وعدم ضياع أي شيء من الأعمال، خيرها وشرها. ويؤيدها أيضاً قوله تعالى: </w:t>
      </w:r>
      <w:r>
        <w:rPr>
          <w:rFonts w:ascii="Amiri Quran" w:cs="Amiri Quran" w:eastAsia="Amiri Quran" w:hAnsi="Amiri Quran"/>
          <w:b w:val="false"/>
          <w:bCs w:val="false"/>
          <w:i w:val="false"/>
          <w:iCs w:val="false"/>
          <w:color w:val="0D2143"/>
          <w:sz w:val="26"/>
          <w:szCs w:val="26"/>
          <w:rtl/>
        </w:rPr>
        <w:t xml:space="preserve">﴿فَمَنْ ثَقُلَتْ مَوَازِينُهُ فَأُولَٰئِكَ هُمُ الْمُفْلِحُونَ * وَمَنْ خَفَّتْ مَوَازِينُهُ فَأُولَٰئِكَ الَّذِينَ خَسِرُوا أَنْفُسَهُمْ﴾</w:t>
      </w:r>
      <w:r>
        <w:rPr>
          <w:rFonts w:ascii="Cairo" w:cs="Cairo" w:eastAsia="Cairo" w:hAnsi="Cairo"/>
          <w:b/>
          <w:bCs/>
          <w:i w:val="false"/>
          <w:iCs w:val="false"/>
          <w:color w:val="8A6A1F"/>
          <w:sz w:val="16"/>
          <w:szCs w:val="16"/>
          <w:rtl/>
        </w:rPr>
        <w:t xml:space="preserve"> [المؤمنون: 102-103]</w:t>
      </w:r>
      <w:r>
        <w:rPr>
          <w:rFonts w:ascii="Amiri" w:cs="Amiri" w:eastAsia="Amiri" w:hAnsi="Amiri"/>
          <w:b w:val="false"/>
          <w:bCs w:val="false"/>
          <w:i w:val="false"/>
          <w:iCs w:val="false"/>
          <w:color w:val="181410"/>
          <w:sz w:val="22"/>
          <w:szCs w:val="22"/>
          <w:rtl/>
        </w:rPr>
        <w:t xml:space="preserve">.</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إثبات الميزان مذهب أهل السنة والجماعة قاطبة، خلافاً للمعتزلة الذين أوّلوه بالعدل المجرد، فقالوا: المراد بالميزان العدل في الحساب لا آلة حقيقية، وهذا تأويل باطل يخالف ظاهر النصوص من غير موجب، فإن الأصل في النصوص الحمل على ظاهرها، ولا صارف هنا يوجب العدول عنه، وقد تقدم في الفقرة السابعة عشرة تقرير هذا المنهج في التعامل مع النصوص على وجه العموم.</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اختلف أهل العلم فيما يوقع في كفتي الميزان على أقوال: فقيل: توزن الأعمال نفسها بأن يقلبها الله أجساماً، وقيل: توزن صحائف الأعمال، وقيل: يوزن العاملون أنفسهم، والصحيح -كما قرره جمع من المحققين- أن كل هذا وارد في النصوص، ولا مانع من الجمع بينها، فيوزن العبد، وتوزن صحيفته، وتوزن أعماله، كل ذلك بحسب ما شاء الله وكيف شاء.</w:t>
      </w:r>
    </w:p>
    <w:p>
      <w:pPr>
        <w:bidi/>
        <w:spacing w:after="140" w:before="0" w:line="300"/>
        <w:jc w:val="both"/>
      </w:pPr>
      <w:r>
        <w:rPr>
          <w:rFonts w:ascii="Amiri" w:cs="Amiri" w:eastAsia="Amiri" w:hAnsi="Amiri"/>
          <w:b/>
          <w:bCs/>
          <w:i w:val="false"/>
          <w:iCs w:val="false"/>
          <w:color w:val="0D2143"/>
          <w:sz w:val="22"/>
          <w:szCs w:val="22"/>
          <w:rtl/>
        </w:rPr>
        <w:t xml:space="preserve">المسألة الثالثة:</w:t>
      </w:r>
      <w:r>
        <w:rPr>
          <w:rFonts w:ascii="Amiri" w:cs="Amiri" w:eastAsia="Amiri" w:hAnsi="Amiri"/>
          <w:b w:val="false"/>
          <w:bCs w:val="false"/>
          <w:i w:val="false"/>
          <w:iCs w:val="false"/>
          <w:color w:val="181410"/>
          <w:sz w:val="22"/>
          <w:szCs w:val="22"/>
          <w:rtl/>
        </w:rPr>
        <w:t xml:space="preserve"> في قوله "فلا يزن جناح بعوضة" تحذير بليغ من الاغترار بالعمل القليل أو بصورة العمل دون حقيقته وإخلاصه، فرب عمل يظنه صاحبه عظيماً وهو عند الله لا وزن له لفساد نيته أو مخالفته للسنة، وفي المقابل رب عمل يسير في نظر الناس، يثقل في ميزان صاحبه لصدق نيته وإخلاصه، كالكلمة اليسيرة "سبحان الله وبحمده" التي مرّ ذكرها.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يؤمن بالميزان الحقيقي الذي توزن به الأعمال يوم القيامة، وأن يعلم أن كل عمل مهما دقّ فهو محسوب عند الله لا يضيع، فيجتهد في تثقيل ميزانه بصالح الأعمال، وأن يُعرض عمن أنكر هذا الأصل الثابت بالكتاب والسنة، دون أن يخوض معه في جدال ومماراة.</w:t>
            </w:r>
          </w:p>
        </w:tc>
      </w:tr>
    </w:tbl>
    <w:p>
      <w:pPr>
        <w:spacing w:after="160"/>
      </w:pPr>
    </w:p>
    <w:p>
      <w:pPr>
        <w:pStyle w:val="Heading2"/>
        <w:bidi/>
        <w:spacing w:after="140" w:before="320"/>
        <w:jc w:val="right"/>
      </w:pPr>
      <w:bookmarkStart w:name="bm_faqrah_19" w:id="1028"/>
      <w:r>
        <w:rPr>
          <w:rFonts w:ascii="Aref Ruqaa" w:cs="Aref Ruqaa" w:eastAsia="Aref Ruqaa" w:hAnsi="Aref Ruqaa"/>
          <w:b/>
          <w:bCs/>
          <w:i w:val="false"/>
          <w:iCs w:val="false"/>
          <w:color w:val="0D2143"/>
          <w:sz w:val="28"/>
          <w:szCs w:val="28"/>
          <w:rtl/>
        </w:rPr>
        <w:t xml:space="preserve">الفقرة التاسعة عشرة: تكليم الله لعباده يوم القيامة</w:t>
      </w:r>
      <w:bookmarkEnd w:id="102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وَأَنَّ اللَّهَ تَعَالَى يُكَلِّمُ الْعِبَادَ يَوْمَ الْقِيَامَةِ لَيْسَ بَيْنَهُمْ وَبَيْنَهُ تُرْجُمَانٌ، وَالْإِيمَانُ بِهِ وَالتَّصْدِيقُ بِهِ.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يقرر الإمام أحمد رحمه الله في هذه الفقرة أصلاً عظيماً من أصول الغيبيات الأخروية، وهو أن الله تعالى يكلّم كل عبد من عباده يوم القيامة تكليماً مباشراً "ليس بينهم وبينه ترجمان"، أي: بلا واسطة ولا مترجم يترجم كلام الله لعبده أو كلام العبد لربه، بل يخاطب الله كل واحد من عباده بنفسه، ويخاطبه العبد بنفسه، مواجهة، كما يخاطب الرجل صاحبه وجهاً لوجه بلا حاجب ولا واسطة.</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الأصل متفرع عن إثبات صفة الكلام لله تعالى، وهي من الصفات التي دل عليها الكتاب والسنة، وقد سبق للإمام أحمد أن أصّل لهذا في الباب الثالث من هذا المتن (القرآن كلام الله غير مخلوق)، فكلام الله تعالى صفة حقيقية له سبحانه، يتكلم متى شاء وكيف شاء، ومن ذلك تكليمه لعباده يوم القيامة.</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أحمد بحديث النبي ﷺ الذي أورده في المتن: «مَا مِنْكُمْ مِنْ أَحَدٍ إِلَّا سَيُكَلِّمُهُ اللَّهُ يَوْمَ الْقِيَامَةِ، لَيْسَ بَيْنَهُ وَبَيْنَهُ تَرْجُمَانٌ» (رواه البخاري ومسلم)، وهذا الحديث من أصرح النصوص في إثبات هذا الأصل، وقد جاء تمامه في الصحيحين: «... فَيَنْظُرُ أَيْمَنَ مِنْهُ فَلَا يَرَى إِلَّا مَا قَدَّمَ، وَيَنْظُرُ أَشْأَمَ مِنْهُ فَلَا يَرَى إِلَّا مَا قَدَّمَ، وَيَنْظُرُ بَيْنَ يَدَيْهِ فَلَا يَرَى إِلَّا النَّارَ تِلْقَاءَ وَجْهِهِ، فَاتَّقُوا النَّارَ وَلَوْ بِشِقِّ تَمْرَةٍ»، وهذا الحديث دل بمنطوقه على عموم هذا التكليم لكل عبد من الأولين والآخرين، برهم وفاجرهم، كل بحسب حاله.</w:t>
      </w:r>
    </w:p>
    <w:p>
      <w:pPr>
        <w:bidi/>
        <w:spacing w:after="140" w:before="0" w:line="300"/>
        <w:jc w:val="both"/>
      </w:pPr>
      <w:r>
        <w:rPr>
          <w:rFonts w:ascii="Amiri" w:cs="Amiri" w:eastAsia="Amiri" w:hAnsi="Amiri"/>
          <w:b w:val="false"/>
          <w:bCs w:val="false"/>
          <w:i w:val="false"/>
          <w:iCs w:val="false"/>
          <w:color w:val="181410"/>
          <w:sz w:val="22"/>
          <w:szCs w:val="22"/>
          <w:rtl/>
        </w:rPr>
        <w:t xml:space="preserve">ويؤيد هذا الأصل قوله تعالى: </w:t>
      </w:r>
      <w:r>
        <w:rPr>
          <w:rFonts w:ascii="Amiri Quran" w:cs="Amiri Quran" w:eastAsia="Amiri Quran" w:hAnsi="Amiri Quran"/>
          <w:b w:val="false"/>
          <w:bCs w:val="false"/>
          <w:i w:val="false"/>
          <w:iCs w:val="false"/>
          <w:color w:val="0D2143"/>
          <w:sz w:val="26"/>
          <w:szCs w:val="26"/>
          <w:rtl/>
        </w:rPr>
        <w:t xml:space="preserve">﴿سَلَامٌ قَوْلًا مِنْ رَبٍّ رَحِيمٍ﴾</w:t>
      </w:r>
      <w:r>
        <w:rPr>
          <w:rFonts w:ascii="Cairo" w:cs="Cairo" w:eastAsia="Cairo" w:hAnsi="Cairo"/>
          <w:b/>
          <w:bCs/>
          <w:i w:val="false"/>
          <w:iCs w:val="false"/>
          <w:color w:val="8A6A1F"/>
          <w:sz w:val="16"/>
          <w:szCs w:val="16"/>
          <w:rtl/>
        </w:rPr>
        <w:t xml:space="preserve"> [يس: 58]</w:t>
      </w:r>
      <w:r>
        <w:rPr>
          <w:rFonts w:ascii="Amiri" w:cs="Amiri" w:eastAsia="Amiri" w:hAnsi="Amiri"/>
          <w:b w:val="false"/>
          <w:bCs w:val="false"/>
          <w:i w:val="false"/>
          <w:iCs w:val="false"/>
          <w:color w:val="181410"/>
          <w:sz w:val="22"/>
          <w:szCs w:val="22"/>
          <w:rtl/>
        </w:rPr>
        <w:t xml:space="preserve">، ووجه الدلالة أن الله تعالى وصف هذا الخطاب بأنه "قول" صادر منه سبحانه، وهو خطاب سلام وتكريم يُلقيه الله على أهل الجنة، وهذا من جنس تكليمه سبحانه لعباده يوم القيامة، وإن كان هذا خاصاً بأهل الجنة إكراماً وتشريفاً، بخلاف عموم التكليم الوارد في حديث البخاري ومسلم الذي يشمل الجميع.</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هذا الأصل من فروع إثبات صفة الكلام لله تعالى، وهو ردّ ضمني على من ينفي هذه الصفة أو يؤولها من المعتزلة والجهمية، إذ لو لم يكن الله متكلماً بكلام حقيقي مسموع، لما صح إثبات هذا التكليم المباشر لعباده يوم القيامة بلا واسطة.</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في نفي "الترجمان" بيان لعظمة هذا الموقف وهوله، فإن الترجمان في الدنيا إنما يُحتاج إليه عند اختلاف اللغات أو عند وجود حاجب بين المتخاطبين، أما يوم القيامة فالله تعالى يخاطب عبده مواجهة بلا واسطة، وهذا من كمال قدرته سبحانه أن يخاطب الخلائق كلهم في وقت واحد، كل واحد منهم يسمع خطاب ربه له وحده، لا يشغله عنه كثرة الخلائق ولا ازدحامهم.</w:t>
      </w:r>
    </w:p>
    <w:p>
      <w:pPr>
        <w:bidi/>
        <w:spacing w:after="140" w:before="0" w:line="300"/>
        <w:jc w:val="both"/>
      </w:pPr>
      <w:r>
        <w:rPr>
          <w:rFonts w:ascii="Amiri" w:cs="Amiri" w:eastAsia="Amiri" w:hAnsi="Amiri"/>
          <w:b/>
          <w:bCs/>
          <w:i w:val="false"/>
          <w:iCs w:val="false"/>
          <w:color w:val="0D2143"/>
          <w:sz w:val="22"/>
          <w:szCs w:val="22"/>
          <w:rtl/>
        </w:rPr>
        <w:t xml:space="preserve">المسألة الثالثة:</w:t>
      </w:r>
      <w:r>
        <w:rPr>
          <w:rFonts w:ascii="Amiri" w:cs="Amiri" w:eastAsia="Amiri" w:hAnsi="Amiri"/>
          <w:b w:val="false"/>
          <w:bCs w:val="false"/>
          <w:i w:val="false"/>
          <w:iCs w:val="false"/>
          <w:color w:val="181410"/>
          <w:sz w:val="22"/>
          <w:szCs w:val="22"/>
          <w:rtl/>
        </w:rPr>
        <w:t xml:space="preserve"> هذا اللقاء والتكليم المباشر يتصل بما تقدم في الفقرة الخامسة عشرة من إثبات الرؤية، فكلاهما من أعظم أحوال يوم القيامة التي يتشرف بها المؤمن: النظر إلى وجه الله الكريم، وسماع كلامه مباشرة بلا واسطة. وهما معاً من أعظم ما يميز نعيم أهل الجنة، إذ يجمع الله لهم بين رؤيته وتكليمه سبحانه وتعالى.</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يؤمن بأن الله تعالى يكلّم كل عبد من عباده يوم القيامة مواجهة بلا واسطة ولا ترجمان، وأن يستحضر هذا الموقف العظيم فيستعد له بصالح العمل، راجياً أن يكون كلام الله له كلام رحمة وتكريم لا كلام غضب وتوبيخ.</w:t>
            </w:r>
          </w:p>
        </w:tc>
      </w:tr>
    </w:tbl>
    <w:p>
      <w:pPr>
        <w:spacing w:after="160"/>
      </w:pPr>
    </w:p>
    <w:p>
      <w:pPr>
        <w:pStyle w:val="Heading2"/>
        <w:bidi/>
        <w:spacing w:after="140" w:before="320"/>
        <w:jc w:val="right"/>
      </w:pPr>
      <w:bookmarkStart w:name="bm_faqrah_20" w:id="1029"/>
      <w:r>
        <w:rPr>
          <w:rFonts w:ascii="Aref Ruqaa" w:cs="Aref Ruqaa" w:eastAsia="Aref Ruqaa" w:hAnsi="Aref Ruqaa"/>
          <w:b/>
          <w:bCs/>
          <w:i w:val="false"/>
          <w:iCs w:val="false"/>
          <w:color w:val="0D2143"/>
          <w:sz w:val="28"/>
          <w:szCs w:val="28"/>
          <w:rtl/>
        </w:rPr>
        <w:t xml:space="preserve">الفقرة العشرون: الإيمان بالحوض</w:t>
      </w:r>
      <w:bookmarkEnd w:id="102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وَالْإِيمَانُ بِالْحَوْضِ، وَأَنَّ لِرَسُولِ اللَّهِ ﷺ حَوْضاً يَوْمَ الْقِيَامَةِ تَرِدُ عَلَيْهِ أُمَّتُهُ، عَرْضُهُ مِثْلُ طُولِهِ مَسِيرَةُ شَهْرٍ، آنِيَتُهُ كَعَدَدِ نُجُومِ السَّمَاءِ عَلَى مَا صَحَّتْ بِهِ الْأَخْبَارُ مِنْ غَيْرِ وَجْهٍ.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يقرر الإمام أحمد رحمه الله في هذه الفقرة أصلاً من أصول الاعتقاد المتعلقة بخصائص النبي ﷺ يوم القيامة، وهو الحوض. والحوض في اللغة: مجتمع الماء، وهو هنا حوض حقيقي عظيم يُهيّئه الله تعالى لنبيه محمد ﷺ يوم القيامة، ترده أمته المؤمنة فتشرب منه شربة هنيئة لا تظمأ بعدها أبداً. وقد وصفه المتن بأن "عرضه مثل طوله مسيرة شهر"، أي: أنه مربع الشكل تقريباً، طوله كعرضه، ومسافة كل جانب منه مسيرة شهر كامل للسائر، وهذا يدل على عِظَم سعته وامتداده. وقوله: "آنيته كعدد نجوم السماء" أي: أن عدد الكيزان والأقداح التي يُشرب بها منه لا يُحصى، كعدد نجوم السماء في كثرتها.</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"على ما صحت به الأخبار من غير وجه" إشارة من الإمام أحمد إلى أن أحاديث الحوض قد بلغت مبلغاً عظيماً من الكثرة والتواتر، فقد رويت عن عدد كبير من الصحابة رضي الله عنهم من طرق متعددة، حتى عدّها أهل العلم من الأحاديث المتواترة التي لا يسع مسلماً إنكارها.</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وردت أحاديث كثيرة صحيحة في وصف الحوض وبيان صفاته، منها ما رواه البخاري ومسلم من حديث عبد الله بن عمرو رضي الله عنهما أن النبي ﷺ قال: «حَوْضِي مَسِيرَةُ شَهْرٍ، مَاؤُهُ أَبْيَضُ مِنَ اللَّبَنِ، وَرِيحُهُ أَطْيَبُ مِنَ الْمِسْكِ، وَكِيزَانُهُ كَنُجُومِ السَّمَاءِ، مَنْ شَرِبَ مِنْهَا فَلَا يَظْمَأُ أَبَداً» (رواه البخاري ومسلم)، وهذا الحديث أصل عظيم في هذا الباب، جمع أكثر أوصاف الحوض المذكورة في المتن.</w:t>
      </w:r>
    </w:p>
    <w:p>
      <w:pPr>
        <w:bidi/>
        <w:spacing w:after="140" w:before="0" w:line="300"/>
        <w:jc w:val="both"/>
      </w:pPr>
      <w:r>
        <w:rPr>
          <w:rFonts w:ascii="Amiri" w:cs="Amiri" w:eastAsia="Amiri" w:hAnsi="Amiri"/>
          <w:b w:val="false"/>
          <w:bCs w:val="false"/>
          <w:i w:val="false"/>
          <w:iCs w:val="false"/>
          <w:color w:val="181410"/>
          <w:sz w:val="22"/>
          <w:szCs w:val="22"/>
          <w:rtl/>
        </w:rPr>
        <w:t xml:space="preserve">ومما يدل أيضاً على عظم شأن الحوض وتواتر أحاديثه، ما رواه البخاري ومسلم من حديث أنس بن مالك رضي الله عنه في قصة نزول سورة الكوثر على النبي ﷺ، وفيها تفسير الكوثر بأنه نهر في الجنة يصب في الحوض، وقد قال الله تعالى: </w:t>
      </w:r>
      <w:r>
        <w:rPr>
          <w:rFonts w:ascii="Amiri Quran" w:cs="Amiri Quran" w:eastAsia="Amiri Quran" w:hAnsi="Amiri Quran"/>
          <w:b w:val="false"/>
          <w:bCs w:val="false"/>
          <w:i w:val="false"/>
          <w:iCs w:val="false"/>
          <w:color w:val="0D2143"/>
          <w:sz w:val="26"/>
          <w:szCs w:val="26"/>
          <w:rtl/>
        </w:rPr>
        <w:t xml:space="preserve">﴿إِنَّا أَعْطَيْنَاكَ الْكَوْثَرَ﴾</w:t>
      </w:r>
      <w:r>
        <w:rPr>
          <w:rFonts w:ascii="Cairo" w:cs="Cairo" w:eastAsia="Cairo" w:hAnsi="Cairo"/>
          <w:b/>
          <w:bCs/>
          <w:i w:val="false"/>
          <w:iCs w:val="false"/>
          <w:color w:val="8A6A1F"/>
          <w:sz w:val="16"/>
          <w:szCs w:val="16"/>
          <w:rtl/>
        </w:rPr>
        <w:t xml:space="preserve"> [الكوثر: 1]</w:t>
      </w:r>
      <w:r>
        <w:rPr>
          <w:rFonts w:ascii="Amiri" w:cs="Amiri" w:eastAsia="Amiri" w:hAnsi="Amiri"/>
          <w:b w:val="false"/>
          <w:bCs w:val="false"/>
          <w:i w:val="false"/>
          <w:iCs w:val="false"/>
          <w:color w:val="181410"/>
          <w:sz w:val="22"/>
          <w:szCs w:val="22"/>
          <w:rtl/>
        </w:rPr>
        <w:t xml:space="preserve">، وقد فسّر جمع من الصحابة والمفسرين الكوثر بأنه الحوض، أو النهر الذي يمد الحوض.</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الحوض من خصائص النبي ﷺ التي أكرمه الله بها، ولا يشاركه فيها أحد من الأنبياء والمرسلين، وإن كان قد ورد في بعض الآثار أن لكل نبي حوضاً، إلا أن حوض نبينا ﷺ أعظمها وأكثرها واردين، كما جاء في الحديث: «إِنَّ لِكُلِّ نَبِيٍّ حَوْضاً، وَإِنَّهُمْ يَتَبَاهَوْنَ أَيُّهُمْ أَكْثَرُ وَارِدَةً، وَإِنِّي أَرْجُو أَنْ أَكُونَ أَكْثَرَهُمْ وَارِدَةً» (رواه الترمذي).</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ينبغي التفريق بين الحوض والكوثر: فالكوثر نهر في الجنة، والحوض مجتمع ماء في عرصات القيامة يصب فيه ذلك النهر بميزابين من الجنة، كما جاء في بعض الروايات، فالكوثر أصل الحوض ومورده، والحوض مورد الأمة قبل دخول الجنة.</w:t>
      </w:r>
    </w:p>
    <w:p>
      <w:pPr>
        <w:bidi/>
        <w:spacing w:after="140" w:before="0" w:line="300"/>
        <w:jc w:val="both"/>
      </w:pPr>
      <w:r>
        <w:rPr>
          <w:rFonts w:ascii="Amiri" w:cs="Amiri" w:eastAsia="Amiri" w:hAnsi="Amiri"/>
          <w:b/>
          <w:bCs/>
          <w:i w:val="false"/>
          <w:iCs w:val="false"/>
          <w:color w:val="0D2143"/>
          <w:sz w:val="22"/>
          <w:szCs w:val="22"/>
          <w:rtl/>
        </w:rPr>
        <w:t xml:space="preserve">المسألة الثالثة:</w:t>
      </w:r>
      <w:r>
        <w:rPr>
          <w:rFonts w:ascii="Amiri" w:cs="Amiri" w:eastAsia="Amiri" w:hAnsi="Amiri"/>
          <w:b w:val="false"/>
          <w:bCs w:val="false"/>
          <w:i w:val="false"/>
          <w:iCs w:val="false"/>
          <w:color w:val="181410"/>
          <w:sz w:val="22"/>
          <w:szCs w:val="22"/>
          <w:rtl/>
        </w:rPr>
        <w:t xml:space="preserve"> جاءت أحاديث صحيحة في أن أقواماً من هذه الأمة يُذادون عن الحوض يوم القيامة فلا يردونه، وذلك عقوبة لهم على ما أحدثوا بعد النبي ﷺ من البدع والمعاصي، كما في حديث: «فَأَقُولُ: أَصْحَابِي، فَيُقَالُ: إِنَّكَ لَا تَدْرِي مَا أَحْدَثُوا بَعْدَكَ» (رواه البخاري ومسلم)، وهذا فيه تحذير عظيم من إحداث البدع والمخالفات، وقد سبق التحذير من البدع في مطلع هذا المتن (الفقرة الثانية).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يؤمن بحوض النبي ﷺ إيماناً جازماً كما وصفته الأحاديث الصحيحة المتواترة، وأن يرجو أن يكون من الواردين عليه، فيسعى إلى ذلك بلزوم السنة واجتناب البدع والمحدثات التي هي سبب الذَّود عن الحوض والحرمان منه.</w:t>
            </w:r>
          </w:p>
        </w:tc>
      </w:tr>
    </w:tbl>
    <w:p>
      <w:pPr>
        <w:spacing w:after="160"/>
      </w:pPr>
    </w:p>
    <w:p>
      <w:pPr>
        <w:pStyle w:val="Heading2"/>
        <w:bidi/>
        <w:spacing w:after="140" w:before="320"/>
        <w:jc w:val="right"/>
      </w:pPr>
      <w:bookmarkStart w:name="bm_faqrah_21" w:id="1030"/>
      <w:r>
        <w:rPr>
          <w:rFonts w:ascii="Aref Ruqaa" w:cs="Aref Ruqaa" w:eastAsia="Aref Ruqaa" w:hAnsi="Aref Ruqaa"/>
          <w:b/>
          <w:bCs/>
          <w:i w:val="false"/>
          <w:iCs w:val="false"/>
          <w:color w:val="0D2143"/>
          <w:sz w:val="28"/>
          <w:szCs w:val="28"/>
          <w:rtl/>
        </w:rPr>
        <w:t xml:space="preserve">الفقرة الحادية والعشرون: عذاب القبر وسؤال منكر ونكير</w:t>
      </w:r>
      <w:bookmarkEnd w:id="103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وَالْإِيمَانُ بِعَذَابِ الْقَبْرِ، وَأَنَّ هَذِهِ الْأُمَّةَ تُفْتَنُ فِي قُبُورِهَا وَتُسْأَلُ عَنِ الْإِيمَانِ وَالْإِسْلَامِ؛ وَمَنْ رَبُّهُ؟ وَمَنْ نَبِيُّهُ؟ وَيَأْتِيهِ مُنْكَرٌ وَنَكِيرٌ كَيْفَ شَاءَ اللَّهُ وَكَيْفَ أَرَادَ، وَالْإِيمَانُ بِهِ وَالتَّصْدِيقُ بِهِ.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يقرر الإمام أحمد رحمه الله في هذه الفقرة أصلاً عظيماً من أصول الإيمان بالغيب، وهو عذاب القبر وفتنته وسؤال الملَكين. وقوله: "هذه الأمة تُفتن في قبورها" أي: يُمتَحن الميت في قبره بعد دفنه بسؤاله عن أصول دينه، فيُسأل: "من ربه؟ ومن نبيه؟" وقد جاء في تمام الحديث سؤال رابع: "ما دينك؟"، فيُجيب المؤمن بتوفيق الله فيقول: ربي الله، ونبيي محمد ﷺ، وديني الإسلام. أما المنافق والكافر فيتلعثم ويحار في الجواب.</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"ويأتيه منكر ونكير" إشارة إلى اسمَي الملَكين الموكَّلين بسؤال القبر، وقد وردت تسميتهما بهذا في بعض الأحاديث، وقوله: "كيف شاء الله وكيف أراد" فيه تفويض لكيفية هذا السؤال والفتنة إلى الله تعالى، فلا نخوض في تفصيل كيفيتها بما لم يرد به نص، بل نؤمن بها إجمالاً وتفصيلاً بحسب ما صح من النصوص، ونكل ما لم يرد فيه نص إلى علم الله تعالى.</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عذاب القبر وسؤال الملَكين ونعيم القبر أو عذابه كلها ثابتة بنصوص كثيرة متضافرة من الكتاب والسنة، وقد استدل الإمام أحمد بقوله تعالى: </w:t>
      </w:r>
      <w:r>
        <w:rPr>
          <w:rFonts w:ascii="Amiri Quran" w:cs="Amiri Quran" w:eastAsia="Amiri Quran" w:hAnsi="Amiri Quran"/>
          <w:b w:val="false"/>
          <w:bCs w:val="false"/>
          <w:i w:val="false"/>
          <w:iCs w:val="false"/>
          <w:color w:val="0D2143"/>
          <w:sz w:val="26"/>
          <w:szCs w:val="26"/>
          <w:rtl/>
        </w:rPr>
        <w:t xml:space="preserve">﴿يُثَبِّتُ اللَّهُ الَّذِينَ آمَنُوا بِالْقَوْلِ الثَّابِتِ فِي الْحَيَاةِ الدُّنْيَا وَفِي الْآخِرَةِ﴾</w:t>
      </w:r>
      <w:r>
        <w:rPr>
          <w:rFonts w:ascii="Cairo" w:cs="Cairo" w:eastAsia="Cairo" w:hAnsi="Cairo"/>
          <w:b/>
          <w:bCs/>
          <w:i w:val="false"/>
          <w:iCs w:val="false"/>
          <w:color w:val="8A6A1F"/>
          <w:sz w:val="16"/>
          <w:szCs w:val="16"/>
          <w:rtl/>
        </w:rPr>
        <w:t xml:space="preserve"> [إبراهيم: 27]</w:t>
      </w:r>
      <w:r>
        <w:rPr>
          <w:rFonts w:ascii="Amiri" w:cs="Amiri" w:eastAsia="Amiri" w:hAnsi="Amiri"/>
          <w:b w:val="false"/>
          <w:bCs w:val="false"/>
          <w:i w:val="false"/>
          <w:iCs w:val="false"/>
          <w:color w:val="181410"/>
          <w:sz w:val="22"/>
          <w:szCs w:val="22"/>
          <w:rtl/>
        </w:rPr>
        <w:t xml:space="preserve">. وقد فُسِّرت هذه الآية بأن "القول الثابت" هو ثبات المؤمن عند سؤال ملَكَي القبر، كما فسره جمع من الصحابة رضي الله عنهم، وأشهر ما ورد في ذلك حديث البراء بن عازب رضي الله عنه المرفوع في صحيح البخاري، وفيه ذكر فتنة القبر وسؤال الملَكين للمؤمن: من ربك؟ وما دينك؟ ومن نبيك؟ فيثبته الله بالقول الثابت فيقول: ربي الله، وديني الإسلام، ونبيي محمد ﷺ، ثم تلا النبي ﷺ هذه الآية: </w:t>
      </w:r>
      <w:r>
        <w:rPr>
          <w:rFonts w:ascii="Amiri Quran" w:cs="Amiri Quran" w:eastAsia="Amiri Quran" w:hAnsi="Amiri Quran"/>
          <w:b w:val="false"/>
          <w:bCs w:val="false"/>
          <w:i w:val="false"/>
          <w:iCs w:val="false"/>
          <w:color w:val="0D2143"/>
          <w:sz w:val="26"/>
          <w:szCs w:val="26"/>
          <w:rtl/>
        </w:rPr>
        <w:t xml:space="preserve">﴿يُثَبِّتُ اللَّهُ الَّذِينَ آمَنُوا بِالْقَوْلِ الثَّابِتِ﴾</w:t>
      </w:r>
      <w:r>
        <w:rPr>
          <w:rFonts w:ascii="Amiri" w:cs="Amiri" w:eastAsia="Amiri" w:hAnsi="Amiri"/>
          <w:b w:val="false"/>
          <w:bCs w:val="false"/>
          <w:i w:val="false"/>
          <w:iCs w:val="false"/>
          <w:color w:val="181410"/>
          <w:sz w:val="22"/>
          <w:szCs w:val="22"/>
          <w:rtl/>
        </w:rPr>
        <w:t xml:space="preserve">، فهذا الحديث هو الأصل الأشهر في هذا التفسير.</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الأدلة أيضاً ما رواه البخاري ومسلم من حديث أنس بن مالك رضي الله عنه أن النبي ﷺ قال: «إِنَّ الْعَبْدَ إِذَا وُضِعَ فِي قَبْرِهِ وَتَوَلَّى عَنْهُ أَصْحَابُهُ، إِنَّهُ لَيَسْمَعُ قَرْعَ نِعَالِهِمْ، أَتَاهُ مَلَكَانِ فَيُقْعِدَانِهِ فَيَقُولَانِ لَهُ: مَا كُنْتَ تَقُولُ فِي هَذَا الرَّجُلِ لِمُحَمَّدٍ ﷺ؟ فَأَمَّا الْمُؤْمِنُ فَيَقُولُ: أَشْهَدُ أَنَّهُ عَبْدُ اللَّهِ وَرَسُولُهُ...» الحديث، وهو نص صريح في إثبات سؤال القبر وفتنته.</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عذاب القبر ونعيمه من أصول اعتقاد أهل السنة والجماعة، خلافاً لبعض طوائف المعتزلة الذين أنكروه بحجة أن القبر لا يتسع لهذا العذاب أو النعيم، وهذه شبهة عقلية باطلة، فإن عذاب القبر ونعيمه من أمور الغيب التي لا تُقاس بمقاييس الدنيا، وهو من الأمور البرزخية التي تتعلق بالروح والبدن على وجه لا يُدرَك كنهه في هذه الحياة.</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اسما الملَكين "منكر ونكير" وردا في بعض الأحاديث، وإن كانت أسانيدها محل كلام عند بعض أهل الحديث، إلا أن أصل السؤال والفتنة ثابت يقيناً بالأحاديث الصحيحة المتواترة كحديث البراء بن عازب وحديث أنس المتقدمين، فلا يُشترط في إثبات أصل السؤال صحة كل ما ورد من تفصيلات في تسمية الملَكين.</w:t>
      </w:r>
    </w:p>
    <w:p>
      <w:pPr>
        <w:bidi/>
        <w:spacing w:after="140" w:before="0" w:line="300"/>
        <w:jc w:val="both"/>
      </w:pPr>
      <w:r>
        <w:rPr>
          <w:rFonts w:ascii="Amiri" w:cs="Amiri" w:eastAsia="Amiri" w:hAnsi="Amiri"/>
          <w:b/>
          <w:bCs/>
          <w:i w:val="false"/>
          <w:iCs w:val="false"/>
          <w:color w:val="0D2143"/>
          <w:sz w:val="22"/>
          <w:szCs w:val="22"/>
          <w:rtl/>
        </w:rPr>
        <w:t xml:space="preserve">المسألة الثالثة:</w:t>
      </w:r>
      <w:r>
        <w:rPr>
          <w:rFonts w:ascii="Amiri" w:cs="Amiri" w:eastAsia="Amiri" w:hAnsi="Amiri"/>
          <w:b w:val="false"/>
          <w:bCs w:val="false"/>
          <w:i w:val="false"/>
          <w:iCs w:val="false"/>
          <w:color w:val="181410"/>
          <w:sz w:val="22"/>
          <w:szCs w:val="22"/>
          <w:rtl/>
        </w:rPr>
        <w:t xml:space="preserve"> هذا الأصل متصل بما تقدم في الفقرة العاشرة من هذا المتن من التسليم لما يُعجز العقل عن إدراكه، فعذاب القبر وفتنته من الأمور الغيبية التي لا تُدرك بالحس ولا بالعقل المجرد، وإنما تُتلقى بالتسليم والإيمان لثبوتها بالنص الصحيح.</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يؤمن بعذاب القبر ونعيمه، وبفتنة القبر وسؤال الملَكين للميت عن ربه ودينه ونبيه، إيماناً جازماً كما وردت بذلك النصوص الصحيحة، وأن يستعد لذلك الموقف بصدق الإيمان ولزوم القول الثابت في الدنيا، رجاء أن يثبته الله به عند السؤال.</w:t>
            </w:r>
          </w:p>
        </w:tc>
      </w:tr>
    </w:tbl>
    <w:p>
      <w:pPr>
        <w:spacing w:after="160"/>
      </w:pPr>
    </w:p>
    <w:p>
      <w:pPr>
        <w:pStyle w:val="Heading2"/>
        <w:bidi/>
        <w:spacing w:after="140" w:before="320"/>
        <w:jc w:val="right"/>
      </w:pPr>
      <w:bookmarkStart w:name="bm_faqrah_22" w:id="1031"/>
      <w:r>
        <w:rPr>
          <w:rFonts w:ascii="Aref Ruqaa" w:cs="Aref Ruqaa" w:eastAsia="Aref Ruqaa" w:hAnsi="Aref Ruqaa"/>
          <w:b/>
          <w:bCs/>
          <w:i w:val="false"/>
          <w:iCs w:val="false"/>
          <w:color w:val="0D2143"/>
          <w:sz w:val="28"/>
          <w:szCs w:val="28"/>
          <w:rtl/>
        </w:rPr>
        <w:t xml:space="preserve">الفقرة الثانية والعشرون: الشفاعة وإخراج الموحدين من النار</w:t>
      </w:r>
      <w:bookmarkEnd w:id="103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وَالْإِيمَانُ بِشَفَاعَةِ النَّبِيِّ ﷺ وَبِقَوْمٍ يَخْرُجُونَ مِنَ النَّارِ بَعْدَمَا احْتَرَقُوا وَصَارُوا فَحْماً، فَيُؤْمَرُ بِهِمْ إِلَى نَهْرٍ عَلَى بَابِ الْجَنَّةِ كَمَا جَاءَ فِي الْأَثَرِ، كَيْفَ شَاءَ اللَّهُ وَكَمَا شَاءَ، إِنَّمَا هُوَ الْإِيمَانُ بِهِ وَالتَّصْدِيقُ بِهِ.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يقرر الإمام أحمد رحمه الله في هذه الفقرة أصلاً عظيماً من أصول الرجاء عند أهل السنة، وهو الإيمان بشفاعة النبي ﷺ. والشفاعة في اللغة: التوسط للغير بجلب نفع أو دفع ضر. وشفاعته ﷺ أنواع عديدة، منها الشفاعة العظمى في أهل الموقف يوم القيامة ليقضي الله بينهم بعد أن يمتنع من إجابة هذا الطلب سائر الأنبياء أولي العزم، ومنها شفاعته في أهل الكبائر من أمته الذين دخلوا النار أن يُخرَجوا منها، وهذه هي الشفاعة التي أشار إليها المتن هنا.</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"بقوم يخرجون من النار بعدما احترقوا وصاروا فحماً" وصف دقيق لحال هؤلاء العصاة الموحدين الذين استحقوا دخول النار بذنوبهم، فتمسّهم النار حتى تحرقهم فيصيروا كالفحم، ثم يشفع فيهم النبي ﷺ وغيره ممن أذن الله له بالشفاعة، فيُخرَجون من النار ويُلقَون في نهر يُقال له نهر الحياة عند باب الجنة، فينبتون فيه كما تنبت الحبة في جانب السيل. وقوله: "كيف شاء الله وكما شاء" تفويض لكيفية هذا الإخراج والإنبات إلى علم الله تعالى.</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أحمد بحديثين: الأول قوله ﷺ: «شَفَاعَتِي لِأَهْلِ الْكَبَائِرِ مِنْ أُمَّتِي» (رواه الترمذي)، وهذا الحديث نص صريح في أن شفاعة النبي ﷺ ليست لأهل الطاعة الكاملين الذين لا يحتاجون إليها، بل هي لأهل المعاصي والكبائر الذين استحقوا العقوبة، وهذا من رحمة الله بهذه الأمة أن جعل لها نبياً يشفع لعصاتها.</w:t>
      </w:r>
    </w:p>
    <w:p>
      <w:pPr>
        <w:bidi/>
        <w:spacing w:after="140" w:before="0" w:line="300"/>
        <w:jc w:val="both"/>
      </w:pPr>
      <w:r>
        <w:rPr>
          <w:rFonts w:ascii="Amiri" w:cs="Amiri" w:eastAsia="Amiri" w:hAnsi="Amiri"/>
          <w:b w:val="false"/>
          <w:bCs w:val="false"/>
          <w:i w:val="false"/>
          <w:iCs w:val="false"/>
          <w:color w:val="181410"/>
          <w:sz w:val="22"/>
          <w:szCs w:val="22"/>
          <w:rtl/>
        </w:rPr>
        <w:t xml:space="preserve">والثاني قوله ﷺ: «يَخْرُجُ قَوْمٌ مِنَ النَّارِ بَعْدَ مَا أَصَابَهُمْ فِيهَا مِنْ عَذَابٍ، ثُمَّ يُدْخَلُونَ الْجَنَّةَ» (رواه البخاري ومسلم)، وهذا الحديث ثابت في الصحيحين بألفاظ متقاربة، وفيه تفصيل قصة إخراج الموحدين من النار، وأنهم يُعرَفون في النار بآثار السجود التي حرّمها الله على النار، ثم يُلقَون في نهر الحياة فينبتون كما تنبت الحِبَّة في حميل السيل، ثم يدخلون الجنة، ويُسمَّون "عتقاء الله من النار".</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إثبات الشفاعة لأهل الكبائر من أعظم ما يميز عقيدة أهل السنة والجماعة عن عقيدة الخوارج والمعتزلة، فإن الخوارج يكفّرون مرتكب الكبيرة ويخلّدونه في النار، والمعتزلة يوجبون له الخلود في النار (منزلة بين المنزلتين في الدنيا، وخلود في الآخرة)، وكلا القولين باطل مخالف لصريح النصوص المثبتة للشفاعة ولإخراج الموحدين من النار.</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ينبغي التفريق بين أنواع الشفاعة: فمنها الشفاعة العظمى التي يختص بها النبي ﷺ دون سائر الأنبياء، ومنها شفاعته وشفاعة غيره من الأنبياء والملائكة والمؤمنين والشهداء في إخراج أهل الكبائر من النار، وهذه الأخيرة هي التي وردت في هذا المتن، وقد دلت النصوص على أنها لا تقتصر على النبي ﷺ وحده، بل يشفع فيها أيضاً الملائكة والمؤمنون، وآخر من يشفع فيها هو أرحم الراحمين سبحانه وتعالى.</w:t>
      </w:r>
    </w:p>
    <w:p>
      <w:pPr>
        <w:bidi/>
        <w:spacing w:after="140" w:before="0" w:line="300"/>
        <w:jc w:val="both"/>
      </w:pPr>
      <w:r>
        <w:rPr>
          <w:rFonts w:ascii="Amiri" w:cs="Amiri" w:eastAsia="Amiri" w:hAnsi="Amiri"/>
          <w:b/>
          <w:bCs/>
          <w:i w:val="false"/>
          <w:iCs w:val="false"/>
          <w:color w:val="0D2143"/>
          <w:sz w:val="22"/>
          <w:szCs w:val="22"/>
          <w:rtl/>
        </w:rPr>
        <w:t xml:space="preserve">المسألة الثالثة:</w:t>
      </w:r>
      <w:r>
        <w:rPr>
          <w:rFonts w:ascii="Amiri" w:cs="Amiri" w:eastAsia="Amiri" w:hAnsi="Amiri"/>
          <w:b w:val="false"/>
          <w:bCs w:val="false"/>
          <w:i w:val="false"/>
          <w:iCs w:val="false"/>
          <w:color w:val="181410"/>
          <w:sz w:val="22"/>
          <w:szCs w:val="22"/>
          <w:rtl/>
        </w:rPr>
        <w:t xml:space="preserve"> في هذا الأصل ردّ على من يزعم أن كل من دخل النار خُلِّد فيها، فقد دلت النصوص على أن الموحدين الذين ماتوا على التوحيد وإن ارتكبوا الكبائر لا يُخلَّدون في النار، بل مصيرهم إلى الجنة ولو بعد حين، إما بعفو الله ابتداءً، أو بالشفاعة، أو بعد أن يُطهَّروا بعذاب في النار بقدر ذنوبهم، وهذا من أعظم أصول الرجاء التي يقوم عليها اعتقاد أهل السنة، مع بقاء الخوف من الوعيد قائماً، فلا يُتّكل على الشفاعة في ترك العمل.</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يؤمن بشفاعة النبي ﷺ لأهل الكبائر من أمته، وبإخراج طائفة من الموحدين من النار بعد أن مسّتهم بذنوبهم، رجاءً بفضل الله ورحمته، مع عدم الاتكال على ذلك في ترك التوبة والعمل الصالح، فإن الشفاعة رجاء لا ضمان، والحذر من الذنوب واجب على كل حال.</w:t>
            </w:r>
          </w:p>
        </w:tc>
      </w:tr>
    </w:tbl>
    <w:p>
      <w:pPr>
        <w:spacing w:after="160"/>
      </w:pPr>
    </w:p>
    <w:p>
      <w:pPr>
        <w:pStyle w:val="Heading2"/>
        <w:bidi/>
        <w:spacing w:after="140" w:before="320"/>
        <w:jc w:val="right"/>
      </w:pPr>
      <w:bookmarkStart w:name="bm_faqrah_23" w:id="1032"/>
      <w:r>
        <w:rPr>
          <w:rFonts w:ascii="Aref Ruqaa" w:cs="Aref Ruqaa" w:eastAsia="Aref Ruqaa" w:hAnsi="Aref Ruqaa"/>
          <w:b/>
          <w:bCs/>
          <w:i w:val="false"/>
          <w:iCs w:val="false"/>
          <w:color w:val="0D2143"/>
          <w:sz w:val="28"/>
          <w:szCs w:val="28"/>
          <w:rtl/>
        </w:rPr>
        <w:t xml:space="preserve">الفقرة الثالثة والعشرون: خروج الدجال ونزول عيسى عليه السلام</w:t>
      </w:r>
      <w:bookmarkEnd w:id="103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وَالْإِيمَانُ أَنَّ الْمَسِيحَ الدَّجَّالَ خَارِجٌ، مَكْتُوبٌ بَيْنَ عَيْنَيْهِ "كَافِرٌ"، وَالْأَحَادِيثُ الَّتِي جَاءَتْ فِيهِ، وَالْإِيمَانُ بِأَنَّ ذَلِكَ كَائِنٌ، وَأَنَّ عِيسَى ابْنَ مَرْيَمَ عَلَيْهِ السَّلَامُ يَنْزِلُ فَيَقْتُلُهُ بِبَابِ لُدٍّ.</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الإمام أحمد رحمه الله هذا الباب المتعلق باليوم الآخر وعالم الغيب بذكر أصل عظيم من أشراط الساعة الكبرى، وهو خروج المسيح الدجال. والدجّال في اللغة: مأخوذ من الدَّجْل، وهو الخلط والتغطية والتمويه، سُمّي بذلك لأنه يُغطّي الحق بالباطل، ويلبّس على الناس بما يُظهره من الخوارق. وقوله: "المسيح الدجال" فيه إشارة إلى أن لفظ "المسيح" يُطلق على عيسى عليه السلام وعلى الدجال أيضاً، وإن كان الأصل في إطلاقه على المسيح عيسى، وأما الدجال فسُمّي مسيحاً لمسح إحدى عينيه، أو لكونه يمسح الأرض في زمن يسير.</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"مكتوب بين عينيه كافر" إشارة إلى علامة ظاهرة يجعلها الله على جبهة الدجال، يقرؤها كل مؤمن كاتباً كان أو غير كاتب، وهي من الآيات البيّنات التي يُميَّز بها الدجال، ويُكشف بها كذبه وضلاله لمن أراد الله له الهداية والثبات. وقوله: "وأن عيسى ابن مريم عليه السلام ينزل فيقتله بباب لد" فيه إثبات نزول عيسى عليه السلام في آخر الزمان، وأنه هو الذي يتولى قتل الدجال في موضع يُقال له "لُدّ"، وهي بلدة معروفة قرب بيت المقدس.</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وردت أحاديث كثيرة صحيحة متواترة في ذكر الدجال وصفاته وفتنته، حتى قال جمع من أهل العلم إن أحاديثه بلغت مبلغ التواتر، وقد حذّر منه النبي ﷺ أشد التحذير، حتى إنه كان يستعيذ منه في الصلاة، كما ثبت في الصحيحين من قوله ﷺ: «اللَّهُمَّ إِنِّي أَعُوذُ بِكَ مِنْ عَذَابِ جَهَنَّمَ، وَمِنْ عَذَابِ الْقَبْرِ، وَمِنْ فِتْنَةِ الْمَحْيَا وَالْمَمَاتِ، وَمِنْ شَرِّ فِتْنَةِ الْمَسِيحِ الدَّجَّالِ» (رواه البخاري ومسلم).</w:t>
      </w:r>
    </w:p>
    <w:p>
      <w:pPr>
        <w:bidi/>
        <w:spacing w:after="140" w:before="0" w:line="300"/>
        <w:jc w:val="both"/>
      </w:pPr>
      <w:r>
        <w:rPr>
          <w:rFonts w:ascii="Amiri" w:cs="Amiri" w:eastAsia="Amiri" w:hAnsi="Amiri"/>
          <w:b w:val="false"/>
          <w:bCs w:val="false"/>
          <w:i w:val="false"/>
          <w:iCs w:val="false"/>
          <w:color w:val="181410"/>
          <w:sz w:val="22"/>
          <w:szCs w:val="22"/>
          <w:rtl/>
        </w:rPr>
        <w:t xml:space="preserve">وأما نزول عيسى عليه السلام وقتله للدجال، فقد دل عليه قوله تعالى: </w:t>
      </w:r>
      <w:r>
        <w:rPr>
          <w:rFonts w:ascii="Amiri Quran" w:cs="Amiri Quran" w:eastAsia="Amiri Quran" w:hAnsi="Amiri Quran"/>
          <w:b w:val="false"/>
          <w:bCs w:val="false"/>
          <w:i w:val="false"/>
          <w:iCs w:val="false"/>
          <w:color w:val="0D2143"/>
          <w:sz w:val="26"/>
          <w:szCs w:val="26"/>
          <w:rtl/>
        </w:rPr>
        <w:t xml:space="preserve">﴿وَإِن مِّنْ أَهْلِ الْكِتَابِ إِلَّا لَيُؤْمِنَنَّ بِهِ قَبْلَ مَوْتِهِ﴾</w:t>
      </w:r>
      <w:r>
        <w:rPr>
          <w:rFonts w:ascii="Cairo" w:cs="Cairo" w:eastAsia="Cairo" w:hAnsi="Cairo"/>
          <w:b/>
          <w:bCs/>
          <w:i w:val="false"/>
          <w:iCs w:val="false"/>
          <w:color w:val="8A6A1F"/>
          <w:sz w:val="16"/>
          <w:szCs w:val="16"/>
          <w:rtl/>
        </w:rPr>
        <w:t xml:space="preserve"> [النساء: 159]</w:t>
      </w:r>
      <w:r>
        <w:rPr>
          <w:rFonts w:ascii="Amiri" w:cs="Amiri" w:eastAsia="Amiri" w:hAnsi="Amiri"/>
          <w:b w:val="false"/>
          <w:bCs w:val="false"/>
          <w:i w:val="false"/>
          <w:iCs w:val="false"/>
          <w:color w:val="181410"/>
          <w:sz w:val="22"/>
          <w:szCs w:val="22"/>
          <w:rtl/>
        </w:rPr>
        <w:t xml:space="preserve">، وقد فسّر جمع من المفسرين هذا بأن المراد نزول عيسى عليه السلام آخر الزمان فيؤمن به جميع أهل الكتاب قبل موته. وقد جاء في السنة تفصيل ذلك، ومنه ما رواه مسلم في حديث النواس بن سمعان الطويل في قصة الدجال، وفيه: أن عيسى عليه السلام ينزل عند المنارة البيضاء شرقي دمشق، فيطلب الدجال حتى يدركه عند باب "لُدّ" فيقتله.</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الإيمان بخروج الدجال من أصول الاعتقاد عند أهل السنة والجماعة، وهو من أعظم الفتن التي تمر بها هذه الأمة، ولذلك كثرت النصوص في التحذير منه وبيان صفاته، حتى يكون المسلم على بيّنة من أمره فلا يُفتَن به إذا خرج.</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من رحمة الله بعباده أنه لم يترك أمر الدجال مجملاً، بل بيّن من صفاته وعلاماته ما يكفي كل من أراد الحق أن يعرفه، فمن ذلك أنه أعور العين، مكتوب بين عينيه "كافر" كما تقدم، وأنه يدّعي الربوبية، ويأتي بخوارق تُلبَّس على ضعاف الإيمان، ومع ذلك فإن أثر الكفر ظاهر عليه بيّن لمن تأمّل.</w:t>
      </w:r>
    </w:p>
    <w:p>
      <w:pPr>
        <w:bidi/>
        <w:spacing w:after="140" w:before="0" w:line="300"/>
        <w:jc w:val="both"/>
      </w:pPr>
      <w:r>
        <w:rPr>
          <w:rFonts w:ascii="Amiri" w:cs="Amiri" w:eastAsia="Amiri" w:hAnsi="Amiri"/>
          <w:b/>
          <w:bCs/>
          <w:i w:val="false"/>
          <w:iCs w:val="false"/>
          <w:color w:val="0D2143"/>
          <w:sz w:val="22"/>
          <w:szCs w:val="22"/>
          <w:rtl/>
        </w:rPr>
        <w:t xml:space="preserve">المسألة الثالثة:</w:t>
      </w:r>
      <w:r>
        <w:rPr>
          <w:rFonts w:ascii="Amiri" w:cs="Amiri" w:eastAsia="Amiri" w:hAnsi="Amiri"/>
          <w:b w:val="false"/>
          <w:bCs w:val="false"/>
          <w:i w:val="false"/>
          <w:iCs w:val="false"/>
          <w:color w:val="181410"/>
          <w:sz w:val="22"/>
          <w:szCs w:val="22"/>
          <w:rtl/>
        </w:rPr>
        <w:t xml:space="preserve"> في ختام هذا الباب بذكر الدجال ونزول عيسى عليه السلام مناسبة ظاهرة، إذ إن الإيمان بأشراط الساعة الكبرى من تمام الإيمان باليوم الآخر الذي افتُتح به هذا الباب من أوله، فمن الرؤية ونعيم الآخرة وأهوالها، إلى علامات قيامها الكبرى، وكل ذلك من الغيب الذي لا سبيل إلى معرفته إلا بالوحي، فوجب التسليم به والإيمان بما صح منه.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يؤمن بخروج المسيح الدجال في آخر الزمان، وبعلاماته التي بيّنها النبي ﷺ، وأن يؤمن بنزول عيسى ابن مريم عليه السلام وقتله للدجال عند باب لُدّ، وأن يتحصّن من فتنته بما أرشد إليه النبي ﷺ من الاستعاذة بالله منها، وحفظ أوائل سورة الكهف، ولزوم جماعة المسلمين عند ظهور الفتن.</w:t>
            </w:r>
          </w:p>
        </w:tc>
      </w:tr>
    </w:tbl>
    <w:p>
      <w:pPr>
        <w:spacing w:after="160"/>
      </w:pPr>
    </w:p>
    <w:p>
      <w:pPr>
        <w:pStyle w:val="Heading1"/>
        <w:pageBreakBefore/>
        <w:bidi/>
        <w:spacing w:after="160" w:before="0"/>
        <w:jc w:val="right"/>
      </w:pPr>
      <w:bookmarkStart w:name="bm_bab5" w:id="1033"/>
      <w:r>
        <w:rPr>
          <w:rFonts w:ascii="Aref Ruqaa" w:cs="Aref Ruqaa" w:eastAsia="Aref Ruqaa" w:hAnsi="Aref Ruqaa"/>
          <w:b/>
          <w:bCs/>
          <w:i w:val="false"/>
          <w:iCs w:val="false"/>
          <w:color w:val="0A1830"/>
          <w:sz w:val="34"/>
          <w:szCs w:val="34"/>
          <w:rtl/>
        </w:rPr>
        <w:t xml:space="preserve">الباب الخامس — في حقيقة الإيمان وحكم تارك الصلاة</w:t>
      </w:r>
      <w:bookmarkEnd w:id="1033"/>
    </w:p>
    <w:p>
      <w:pPr>
        <w:pStyle w:val="Heading2"/>
        <w:bidi/>
        <w:spacing w:after="140" w:before="320"/>
        <w:jc w:val="right"/>
      </w:pPr>
      <w:bookmarkStart w:name="bm_faqrah_24" w:id="1034"/>
      <w:r>
        <w:rPr>
          <w:rFonts w:ascii="Aref Ruqaa" w:cs="Aref Ruqaa" w:eastAsia="Aref Ruqaa" w:hAnsi="Aref Ruqaa"/>
          <w:b/>
          <w:bCs/>
          <w:i w:val="false"/>
          <w:iCs w:val="false"/>
          <w:color w:val="0D2143"/>
          <w:sz w:val="28"/>
          <w:szCs w:val="28"/>
          <w:rtl/>
        </w:rPr>
        <w:t xml:space="preserve">الفقرة الرابعة والعشرون: الإيمان قول وعمل يزيد وينقص</w:t>
      </w:r>
      <w:bookmarkEnd w:id="103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وَالْإِيمَانُ قَوْلٌ وَعَمَلٌ، يَزِيدُ وَيَنْقُصُ كَمَا جَاءَ فِي الْخَبَرِ: «أَكْمَلُ الْمُؤْمِنِينَ إِيمَاناً أَحْسَنُهُمْ خُلُقاً».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يفتتح الإمام أحمد رحمه الله بهذه الفقرة الباب الخامس من هذا المتن، فيقرر أصلاً عظيماً من أصول الإيمان عند أهل السنة والجماعة، وهو أن الإيمان "قول وعمل"، لا قول مجرد، ولا عمل مجرد عن القول والاعتقاد. فـ"القول" يشمل قول القلب (وهو التصديق والاعتقاد)، وقول اللسان (وهو النطق بالشهادتين وسائر ما يُتلفظ به من ذكر ودعاء وتلاوة). و"العمل" يشمل عمل القلب (كالخشية والمحبة والتوكل والإخلاص)، وعمل الجوارح (كالصلاة والصيام والزكاة وسائر الطاعات). ثم يقرر الإمام أن هذا الإيمان "يزيد وينقص"، فليس هو حقيقة واحدة ثابتة لا تتفاوت، بل يزيد بالطاعة وحسن العمل، وينقص بالمعصية والتقصير، وهذا هو الفارق الجوهري بين مذهب أهل السنة ومذهب من خالفهم في حقيقة الإيمان.</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على زيادة الإيمان ونقصانه بقوله تعالى: </w:t>
      </w:r>
      <w:r>
        <w:rPr>
          <w:rFonts w:ascii="Amiri Quran" w:cs="Amiri Quran" w:eastAsia="Amiri Quran" w:hAnsi="Amiri Quran"/>
          <w:b w:val="false"/>
          <w:bCs w:val="false"/>
          <w:i w:val="false"/>
          <w:iCs w:val="false"/>
          <w:color w:val="0D2143"/>
          <w:sz w:val="26"/>
          <w:szCs w:val="26"/>
          <w:rtl/>
        </w:rPr>
        <w:t xml:space="preserve">﴿لِيَزْدَادُوا إِيمَانًا مَعَ إِيمَانِهِمْ﴾</w:t>
      </w:r>
      <w:r>
        <w:rPr>
          <w:rFonts w:ascii="Cairo" w:cs="Cairo" w:eastAsia="Cairo" w:hAnsi="Cairo"/>
          <w:b/>
          <w:bCs/>
          <w:i w:val="false"/>
          <w:iCs w:val="false"/>
          <w:color w:val="8A6A1F"/>
          <w:sz w:val="16"/>
          <w:szCs w:val="16"/>
          <w:rtl/>
        </w:rPr>
        <w:t xml:space="preserve"> [الفتح: 4]</w:t>
      </w:r>
      <w:r>
        <w:rPr>
          <w:rFonts w:ascii="Amiri" w:cs="Amiri" w:eastAsia="Amiri" w:hAnsi="Amiri"/>
          <w:b w:val="false"/>
          <w:bCs w:val="false"/>
          <w:i w:val="false"/>
          <w:iCs w:val="false"/>
          <w:color w:val="181410"/>
          <w:sz w:val="22"/>
          <w:szCs w:val="22"/>
          <w:rtl/>
        </w:rPr>
        <w:t xml:space="preserve">، ووجه الدلالة صريح، إذ لا يزداد إلا ما كان قابلاً للزيادة والنقصان. واستدل على أن الإيمان يشمل العمل والخلق الحسن بقوله صلى الله عليه وسلم: «أَكْمَلُ الْمُؤْمِنِينَ إِيمَانًا أَحْسَنُهُمْ خُلُقًا» (رواه أبو داود والترمذي)، ووجه الدلالة أن النبي ﷺ جعل حسن الخلق -وهو عمل- سبباً لكمال الإيمان، فدل على أن الإيمان يتفاضل أهله فيه بتفاضل أعمالهم.</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قول وعمل:</w:t>
            </w:r>
            <w:r>
              <w:rPr>
                <w:rFonts w:ascii="Amiri" w:cs="Amiri" w:eastAsia="Amiri" w:hAnsi="Amiri"/>
                <w:b w:val="false"/>
                <w:bCs w:val="false"/>
                <w:i w:val="false"/>
                <w:iCs w:val="false"/>
                <w:color w:val="181410"/>
                <w:sz w:val="22"/>
                <w:szCs w:val="22"/>
                <w:rtl/>
              </w:rPr>
              <w:t xml:space="preserve"> يراد بـ"القول" قول القلب (التصديق) وقول اللسان (النطق بالشهادتين وسائر الأقوال الشرعية)، ويراد بـ"العمل" عمل القلب (كالمحبة والخشية) وعمل الجوارح (كالصلاة والزكاة). فالإيمان عند أهل السنة مركّب من هذه العناصر الأربعة مجتمعة، لا ينفك بعضها عن بعض.</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هذا التعريف يضع أهل السنة في موقف وسط بين طرفين متقابلين. فالمرجئة يقولون: الإيمان هو التصديق القلبي فحسب (أو التصديق والقول باللسان)، ولا يدخل العمل في مسماه، حتى إن بعض غلاتهم زعم أن من صدّق بقلبه فهو مؤمن كامل الإيمان ولو لم يعمل عملاً صالحاً قط. والخوارج على الطرف المقابل يقولون: الإيمان كل لا يتجزأ، فمن ترك عملاً واجباً أو ارتكب كبيرة فقد خرج من الإيمان بالكلية وصار كافراً. وأهل السنة يجمعون بين الحسنيين: فيثبتون أن الإيمان يشمل العمل خلافاً للمرجئة، ويثبتون أن نقص العمل ينقص الإيمان ولا يخرج صاحبه من الملة إلا بما ورد الشرع بتكفيره خلافاً للخوارج.</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ثمرة هذا الأصل عملياً أن المؤمن لا يزال يسعى لزيادة إيمانه بالطاعات، ويخاف من نقصانه بالمعاصي والغفلة، فلا يتّكل على مجرد التصديق القلبي ويُهمل العمل، ولا يقنط من رحمة الله إذا قصّر في بعض الطاعات أو وقع في بعض الذنوب، إذ النقص لا يعني الزوال الكلي.</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يعتقد أن الإيمان قول باللسان، واعتقاد بالقلب، وعمل بالجوارح، وأنه يزيد بالطاعة وينقص بالمعصية، فيجتهد في الأعمال الصالحة رجاء زيادة إيمانه، ويحذر من التفريط في الطاعات خشية نقصانه.</w:t>
            </w:r>
          </w:p>
        </w:tc>
      </w:tr>
    </w:tbl>
    <w:p>
      <w:pPr>
        <w:spacing w:after="160"/>
      </w:pPr>
    </w:p>
    <w:p>
      <w:pPr>
        <w:pStyle w:val="Heading2"/>
        <w:bidi/>
        <w:spacing w:after="140" w:before="320"/>
        <w:jc w:val="right"/>
      </w:pPr>
      <w:bookmarkStart w:name="bm_faqrah_25" w:id="1035"/>
      <w:r>
        <w:rPr>
          <w:rFonts w:ascii="Aref Ruqaa" w:cs="Aref Ruqaa" w:eastAsia="Aref Ruqaa" w:hAnsi="Aref Ruqaa"/>
          <w:b/>
          <w:bCs/>
          <w:i w:val="false"/>
          <w:iCs w:val="false"/>
          <w:color w:val="0D2143"/>
          <w:sz w:val="28"/>
          <w:szCs w:val="28"/>
          <w:rtl/>
        </w:rPr>
        <w:t xml:space="preserve">الفقرة الخامسة والعشرون: حكم تارك الصلاة</w:t>
      </w:r>
      <w:bookmarkEnd w:id="1035"/>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وَمَنْ تَرَكَ الصَّلَاةَ فَقَدْ كَفَرَ، وَلَيْسَ مِنَ الْأَعْمَالِ شَيْءٌ تَرْكُهُ كُفْرٌ إِلَّا الصَّلَاةَ، مَنْ تَرَكَهَا فَهُوَ كَافِرٌ، وَقَدْ أَحَلَّ اللَّهُ قَتْلَهُ.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يقرر الإمام أحمد رحمه الله في هذه الفقرة حكماً من أخطر أحكام هذا الباب، وهو أن تارك الصلاة كافر، وأنها هي العمل الوحيد الذي يُخرج تركه من الملة، بخلاف سائر الأعمال التي لا يكفر تاركها إلا إذا جحد وجوبها. ومراد الإمام بـ"ترك الصلاة" هنا: تركها بالكلية جحوداً أو تهاوناً وكسلاً مع الإصرار، لا ترك صلاة واحدة عارضة أو التأخر عن وقتها لعذر، فإن هذا لا يُعدّ تركاً بالمعنى المقصود في هذه الفقرة.</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بقوله صلى الله عليه وسلم: «بَيْنَ الرَّجُلِ وَبَيْنَ الشِّرْكِ وَالْكُفْرِ تَرْكُ الصَّلَاةِ» (رواه مسلم)، ووجه الدلالة أن النبي ﷺ جعل ترك الصلاة حداً فاصلاً بين الرجل والكفر، فمن تركها فقد جاوز ذلك الحد. واستدل أيضاً بقوله صلى الله عليه وسلم: «الْعَهْدُ الَّذِي بَيْنَنَا وَبَيْنَهُمُ الصَّلَاةُ، فَمَنْ تَرَكَهَا فَقَدْ كَفَرَ» (رواه الترمذي)، وهو نص صريح في المسألة.</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إنما تُشدَّد هذه الفقرة في الصلاة خاصة دون سائر الأركان، لمكانتها العظيمة في الدين؛ فهي عمود الإسلام، وآخر ما يُفقد من الدين، وأول ما يُحاسب عليه العبد يوم القيامة، وهي الرابطة الظاهرة بين العبد وربه التي تتكرر في كل يوم خمس مرات، فتركها بالكلية دليل على انحلال هذه الرابطة من القلب.</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ينبغي التفريق بين من ترك الصلاة بالكلية جحوداً أو تهاوناً مستمراً، وبين من قد يقصّر أحياناً في أدائها في وقتها أو يتكاسل عن بعضها مع بقاء أصل التزامه بها؛ فالحكم الوارد في هذه الفقرة محله الترك الكلي المستمر، وهذا مما ينبغي التنبه له عند التعامل مع هذه المسألة الخطيرة.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يحافظ على الصلوات الخمس في أوقاتها أشد المحافظة، وأن يعلم خطر التهاون فيها أو تركها، وأن هذا محل تشديد عظيم عند أهل السنة، فلا يستهين بهذا الأمر بحال.</w:t>
            </w:r>
          </w:p>
        </w:tc>
      </w:tr>
    </w:tbl>
    <w:p>
      <w:pPr>
        <w:spacing w:after="160"/>
      </w:pPr>
    </w:p>
    <w:p>
      <w:pPr>
        <w:pStyle w:val="Heading1"/>
        <w:pageBreakBefore/>
        <w:bidi/>
        <w:spacing w:after="160" w:before="0"/>
        <w:jc w:val="right"/>
      </w:pPr>
      <w:bookmarkStart w:name="bm_bab6" w:id="1036"/>
      <w:r>
        <w:rPr>
          <w:rFonts w:ascii="Aref Ruqaa" w:cs="Aref Ruqaa" w:eastAsia="Aref Ruqaa" w:hAnsi="Aref Ruqaa"/>
          <w:b/>
          <w:bCs/>
          <w:i w:val="false"/>
          <w:iCs w:val="false"/>
          <w:color w:val="0A1830"/>
          <w:sz w:val="34"/>
          <w:szCs w:val="34"/>
          <w:rtl/>
        </w:rPr>
        <w:t xml:space="preserve">الباب السادس — في فضائل الصحابة ومراتبهم</w:t>
      </w:r>
      <w:bookmarkEnd w:id="1036"/>
    </w:p>
    <w:p>
      <w:pPr>
        <w:pStyle w:val="Heading2"/>
        <w:bidi/>
        <w:spacing w:after="140" w:before="320"/>
        <w:jc w:val="right"/>
      </w:pPr>
      <w:bookmarkStart w:name="bm_faqrah_26" w:id="1037"/>
      <w:r>
        <w:rPr>
          <w:rFonts w:ascii="Aref Ruqaa" w:cs="Aref Ruqaa" w:eastAsia="Aref Ruqaa" w:hAnsi="Aref Ruqaa"/>
          <w:b/>
          <w:bCs/>
          <w:i w:val="false"/>
          <w:iCs w:val="false"/>
          <w:color w:val="0D2143"/>
          <w:sz w:val="28"/>
          <w:szCs w:val="28"/>
          <w:rtl/>
        </w:rPr>
        <w:t xml:space="preserve">الفقرة السادسة والعشرون: تفضيل الخلفاء الراشدين الثلاثة</w:t>
      </w:r>
      <w:bookmarkEnd w:id="103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وَخَيْرُ هَذِهِ الْأُمَّةِ بَعْدَ نَبِيِّهَا ﷺ: أَبُو بَكْرٍ الصِّدِّيقُ، ثُمَّ عُمَرُ بْنُ الْخَطَّابِ، ثُمَّ عُثْمَانُ بْنُ عَفَّانَ. وَنُقَدِّمُ هَؤُلَاءِ الثَّلَاثَةَ كَمَا قَدَّمَهُمْ أَصْحَابُ رَسُولِ اللَّهِ ﷺ، لَمْ يَخْتَلِفُوا فِي ذَلِكَ.</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فرغ الإمام أحمد رحمه الله من تقرير أصول الاعتقاد في الإيمان والقدر والقرآن واليوم الآخر، افتتح بهذه الفقرة بابًا عظيمًا من أبواب أصول السنة، وهو باب المعتقد في أصحاب رسول الله صلى الله عليه وسلم: محبتهم، وتوليهم، ومعرفة مراتبهم وفضائلهم. وقد جرت عادة أئمة السنة على أن يجعلوا مسألة تفضيل الصحابة من صميم الاعتقاد الذي يُمتحن به أهل البدع، لا مسألة تاريخية مجردة يسوغ فيها الخلاف كما يُختلف في وقائع التاريخ العادية؛ لأن موقف الرجل من الصحابة كاشف عن موقفه من الدين الذي نقلوه، ومن السنة التي حفظوها، ومن القرآن الذي جمعوه وبلّغوه للأمة كابرًا عن كابر.</w:t>
      </w:r>
    </w:p>
    <w:p>
      <w:pPr>
        <w:bidi/>
        <w:spacing w:after="140" w:before="0" w:line="300"/>
        <w:jc w:val="both"/>
      </w:pPr>
      <w:r>
        <w:rPr>
          <w:rFonts w:ascii="Amiri" w:cs="Amiri" w:eastAsia="Amiri" w:hAnsi="Amiri"/>
          <w:b w:val="false"/>
          <w:bCs w:val="false"/>
          <w:i w:val="false"/>
          <w:iCs w:val="false"/>
          <w:color w:val="181410"/>
          <w:sz w:val="22"/>
          <w:szCs w:val="22"/>
          <w:rtl/>
        </w:rPr>
        <w:t xml:space="preserve">فأفضل هذه الأمة بعد نبيها صلى الله عليه وسلم على الإطلاق: أبو بكر الصديق، صاحب رسول الله صلى الله عليه وسلم في الغار، ورفيقه في الهجرة، وأول من أسلم من الرجال الأحرار عند جمهور أهل العلم، وخليفته الأول بعد وفاته، توفي رضي الله عنه سنة ثلاث عشرة للهجرة بعد خلافة دامت نحو سنتين ونصف، ثبّت الله به الدين يوم الردة حين ارتدت طوائف من العرب، فكان -كما وصفه أهل السير- الرجل الذي "لولاه بعد الله لهلك الناس". ثم يليه في الفضل عمر بن الخطاب، الملقب بـ"الفاروق"، الخليفة الثاني، الذي اتسعت في عهده رقعة الإسلام اتساعًا عظيمًا ففُتحت الشام والعراق ومصر، ووضع أسس الدواوين والنظم الإدارية للدولة الإسلامية الفتية، واستُشهد طعنًا بخنجر مجوسي سنة ثلاث وعشرين للهجرة وهو يؤم المسلمين في صلاة الفجر. ثم يليه في الفضل عثمان بن عفان، الملقب بـ"ذي النورين"، الخليفة الثالث، الذي جمع الأمة على مصحف واحد صيانةً للقرآن من تفرق القراءات واختلاف المصاحف، واستُشهد مظلومًا في داره وهو يقرأ القرآن سنة خمس وثلاثين للهجرة.</w:t>
      </w:r>
    </w:p>
    <w:p>
      <w:pPr>
        <w:bidi/>
        <w:spacing w:after="140" w:before="0" w:line="300"/>
        <w:jc w:val="both"/>
      </w:pPr>
      <w:r>
        <w:rPr>
          <w:rFonts w:ascii="Amiri" w:cs="Amiri" w:eastAsia="Amiri" w:hAnsi="Amiri"/>
          <w:b w:val="false"/>
          <w:bCs w:val="false"/>
          <w:i w:val="false"/>
          <w:iCs w:val="false"/>
          <w:color w:val="181410"/>
          <w:sz w:val="22"/>
          <w:szCs w:val="22"/>
          <w:rtl/>
        </w:rPr>
        <w:t xml:space="preserve">وقول الإمام أحمد: "ونقدم هؤلاء الثلاثة كما قدمهم أصحاب رسول الله صلى الله عليه وسلم، لم يختلفوا في ذلك" إشارة دقيقة إلى أن هذا الترتيب ليس اجتهادًا من الأئمة المتأخرين ولا رأيًا محدثًا، وإنما هو الترتيب الذي عرفه الصحابة أنفسهم وأجمعوا عليه في حياتهم، ودلّ عليه واقع الخلافة نفسها؛ إذ لم يُبايَع أحد قبل أبي بكر، ولم يُبايَع أحد قبل عمر بعد أبي بكر، ولم يُبايَع أحد قبل عثمان بعد عمر، مع وجود علي بن أبي طالب وغيره من كبار الصحابة حاضرين مرشحين، فكان تقدّم هؤلاء الثلاثة بالخلافة تبعًا لتقدّمهم بالفضل عند من عاصرهم وعرف أقدارهم عن قرب.</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bCs/>
          <w:i w:val="false"/>
          <w:iCs w:val="false"/>
          <w:color w:val="0D2143"/>
          <w:sz w:val="22"/>
          <w:szCs w:val="22"/>
          <w:rtl/>
        </w:rPr>
        <w:t xml:space="preserve">الدليل الأول:</w:t>
      </w:r>
      <w:r>
        <w:rPr>
          <w:rFonts w:ascii="Amiri" w:cs="Amiri" w:eastAsia="Amiri" w:hAnsi="Amiri"/>
          <w:b w:val="false"/>
          <w:bCs w:val="false"/>
          <w:i w:val="false"/>
          <w:iCs w:val="false"/>
          <w:color w:val="181410"/>
          <w:sz w:val="22"/>
          <w:szCs w:val="22"/>
          <w:rtl/>
        </w:rPr>
        <w:t xml:space="preserve"> حديث عبد الله بن عمر رضي الله عنهما، قال: «كُنَّا نَقُولُ وَرَسُولُ اللَّهِ صَلَّى اللَّهُ عَلَيْهِ وَسَلَّمَ حَيٌّ: أَفْضَلُ هَذِهِ الْأُمَّةِ بَعْدَ نَبِيِّهَا أَبُو بَكْرٍ، ثُمَّ عُمَرُ، ثُمَّ عُثْمَانُ» (رواه البخاري). ووجه الدلالة أن هذا القول كان يجري على ألسنة الصحابة والنبي صلى الله عليه وسلم حيٌّ يسمع، فلم ينكره عليهم، فكان سكوته صلى الله عليه وسلم إقرارًا نبويًا لهذا الترتيب، وشهادة من جيل الصحابة أنفسهم على أنفسهم بأن هذا هو الحق الذي لا خلاف فيه بينهم.</w:t>
      </w:r>
    </w:p>
    <w:p>
      <w:pPr>
        <w:bidi/>
        <w:spacing w:after="140" w:before="0" w:line="300"/>
        <w:jc w:val="both"/>
      </w:pPr>
      <w:r>
        <w:rPr>
          <w:rFonts w:ascii="Amiri" w:cs="Amiri" w:eastAsia="Amiri" w:hAnsi="Amiri"/>
          <w:b/>
          <w:bCs/>
          <w:i w:val="false"/>
          <w:iCs w:val="false"/>
          <w:color w:val="0D2143"/>
          <w:sz w:val="22"/>
          <w:szCs w:val="22"/>
          <w:rtl/>
        </w:rPr>
        <w:t xml:space="preserve">الدليل الثاني:</w:t>
      </w:r>
      <w:r>
        <w:rPr>
          <w:rFonts w:ascii="Amiri" w:cs="Amiri" w:eastAsia="Amiri" w:hAnsi="Amiri"/>
          <w:b w:val="false"/>
          <w:bCs w:val="false"/>
          <w:i w:val="false"/>
          <w:iCs w:val="false"/>
          <w:color w:val="181410"/>
          <w:sz w:val="22"/>
          <w:szCs w:val="22"/>
          <w:rtl/>
        </w:rPr>
        <w:t xml:space="preserve"> ما رواه البخاري عن محمد بن الحنفية، عن أبيه علي بن أبي طالب رضي الله عنه، أنه سُئل: من خير الناس بعد رسول الله صلى الله عليه وسلم؟ فقال: أبو بكر. قيل: ثم من؟ قال: ثم عمر. فخشي محمد بن الحنفية أن يقول أبوه: عثمان، فقال: ثم أنت يا أبتِ؟ فقال علي رضي الله عنه: ما أنا إلا رجل من المسلمين. ووجه الدلالة أن هذه الشهادة صادرة من علي بن أبي طالب نفسه، وهو الخليفة الرابع، ومحل نزاع طوائف الغلاة فيه؛ فإذا شهد هو بنفسه بتقديم أبي بكر ثم عمر على نفسه، عُلم بطلان قول من يزعم خلاف ذلك من الرافضة وغيرهم.</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الصِّدِّيق:</w:t>
            </w:r>
            <w:r>
              <w:rPr>
                <w:rFonts w:ascii="Amiri" w:cs="Amiri" w:eastAsia="Amiri" w:hAnsi="Amiri"/>
                <w:b w:val="false"/>
                <w:bCs w:val="false"/>
                <w:i w:val="false"/>
                <w:iCs w:val="false"/>
                <w:color w:val="181410"/>
                <w:sz w:val="22"/>
                <w:szCs w:val="22"/>
                <w:rtl/>
              </w:rPr>
              <w:t xml:space="preserve"> لقب لأبي بكر رضي الله عنه، لكثرة تصديقه للنبي صلى الله عليه وسلم فيما أخبر به، وأشهر ذلك تصديقه في خبر الإسراء والمعراج حين كذّب به المشركون.</w:t>
            </w:r>
          </w:p>
          <w:p>
            <w:pPr>
              <w:bidi/>
              <w:spacing w:after="80" w:before="0" w:line="300"/>
              <w:jc w:val="both"/>
            </w:pPr>
            <w:r>
              <w:rPr>
                <w:rFonts w:ascii="Amiri" w:cs="Amiri" w:eastAsia="Amiri" w:hAnsi="Amiri"/>
                <w:b/>
                <w:bCs/>
                <w:i w:val="false"/>
                <w:iCs w:val="false"/>
                <w:color w:val="0D2143"/>
                <w:sz w:val="22"/>
                <w:szCs w:val="22"/>
                <w:rtl/>
              </w:rPr>
              <w:t xml:space="preserve">الفاروق:</w:t>
            </w:r>
            <w:r>
              <w:rPr>
                <w:rFonts w:ascii="Amiri" w:cs="Amiri" w:eastAsia="Amiri" w:hAnsi="Amiri"/>
                <w:b w:val="false"/>
                <w:bCs w:val="false"/>
                <w:i w:val="false"/>
                <w:iCs w:val="false"/>
                <w:color w:val="181410"/>
                <w:sz w:val="22"/>
                <w:szCs w:val="22"/>
                <w:rtl/>
              </w:rPr>
              <w:t xml:space="preserve"> لقب لعمر بن الخطاب رضي الله عنه، لأن الله فرّق به بين الحق والباطل، وأظهر به الإسلام بعد أن كان أهله مستخفين به.</w:t>
            </w:r>
          </w:p>
          <w:p>
            <w:pPr>
              <w:bidi/>
              <w:spacing w:after="80" w:before="0" w:line="300"/>
              <w:jc w:val="both"/>
            </w:pPr>
            <w:r>
              <w:rPr>
                <w:rFonts w:ascii="Amiri" w:cs="Amiri" w:eastAsia="Amiri" w:hAnsi="Amiri"/>
                <w:b/>
                <w:bCs/>
                <w:i w:val="false"/>
                <w:iCs w:val="false"/>
                <w:color w:val="0D2143"/>
                <w:sz w:val="22"/>
                <w:szCs w:val="22"/>
                <w:rtl/>
              </w:rPr>
              <w:t xml:space="preserve">ذو النورين:</w:t>
            </w:r>
            <w:r>
              <w:rPr>
                <w:rFonts w:ascii="Amiri" w:cs="Amiri" w:eastAsia="Amiri" w:hAnsi="Amiri"/>
                <w:b w:val="false"/>
                <w:bCs w:val="false"/>
                <w:i w:val="false"/>
                <w:iCs w:val="false"/>
                <w:color w:val="181410"/>
                <w:sz w:val="22"/>
                <w:szCs w:val="22"/>
                <w:rtl/>
              </w:rPr>
              <w:t xml:space="preserve"> لقب لعثمان بن عفان رضي الله عنه، لجمعه بين الزواج من ابنتي النبي صلى الله عليه وسلم: رقية، فلما توفيت زوّجه النبي صلى الله عليه وسلم أختها أم كلثوم رضي الله عنهما.</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جعل أئمة السنة تفضيل أبي بكر ثم عمر ثم عثمان علامة فارقة بين أهل السنة وأهل البدع، حتى قال غير واحد من السلف بتبديع من لا يقدّم أبا بكر وعمر على سائر الصحابة. وسبب هذا التشديد أن إنكار هذا الترتيب يستلزم عند طوائف الغلاة الطعن في مشروعية خلافة الشيخين، وهو طعن في إجماع الصحابة أنفسهم، وفتح لباب التشكيك في نقلة الدين كله، إذ هما اللذان تلقّت عنهما الأمة معظم أصول الشريعة في صدر الإسلام.</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هذا الترتيب لا يعني نقصًا في إيمان من بعدهم من الصحابة، فتقديم الثلاثة في الفضل لا يستلزم الطعن في علي رضي الله عنه أو غيره من العشرة المبشرين بالجنة، وسيأتي في الفقرة التالية بيان منزلة أصحاب الشورى الستة، وأنهم جميعًا من أهل الفضل والإمامة، وإنما المقصود ترتيب الأفضل فالأفضل، لا نفي الفضل عمن سواهم.</w:t>
      </w:r>
    </w:p>
    <w:p>
      <w:pPr>
        <w:bidi/>
        <w:spacing w:after="140" w:before="0" w:line="300"/>
        <w:jc w:val="both"/>
      </w:pPr>
      <w:r>
        <w:rPr>
          <w:rFonts w:ascii="Amiri" w:cs="Amiri" w:eastAsia="Amiri" w:hAnsi="Amiri"/>
          <w:b/>
          <w:bCs/>
          <w:i w:val="false"/>
          <w:iCs w:val="false"/>
          <w:color w:val="0D2143"/>
          <w:sz w:val="22"/>
          <w:szCs w:val="22"/>
          <w:rtl/>
        </w:rPr>
        <w:t xml:space="preserve">المسألة الثالثة: موقف أهل السنة الوسط بين طرفي الغلو.</w:t>
      </w:r>
      <w:r>
        <w:rPr>
          <w:rFonts w:ascii="Amiri" w:cs="Amiri" w:eastAsia="Amiri" w:hAnsi="Amiri"/>
          <w:b w:val="false"/>
          <w:bCs w:val="false"/>
          <w:i w:val="false"/>
          <w:iCs w:val="false"/>
          <w:color w:val="181410"/>
          <w:sz w:val="22"/>
          <w:szCs w:val="22"/>
          <w:rtl/>
        </w:rPr>
        <w:t xml:space="preserve"> يخالف أهل السنة والجماعة في هذه المسألة طرفين متقابلين: الرافضة الذين يقدّمون عليًّا على أبي بكر وعمر وعثمان، بل يزعم غلاتهم أن الخلافة كانت حقًا خالصًا لعلي بنص من النبي صلى الله عليه وسلم صُرف عنه ظلمًا، وهذا مردود بشهادة علي نفسه المتقدمة، ثم بإجماع الصحابة الذي لا يُتصور تواطؤهم جميعًا -ومنهم علي وأهل بيته- على كتمان نص أو الرضا بغصب حق. ويخالفون في الطرف الآخر النواصب الذين ينتقصون عليًّا رضي الله عنه أو يقدّمون عليه غيره ممن لا يستحق التقديم، وهذا باطل أيضًا؛ فعلي عند أهل السنة من أفضل الصحابة وأحد الخلفاء الراشدين المهديين، وإنما الخلاف في ترتيبه بعد الثلاثة لا في أصل فضله وإمامته.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يتولى جميع الصحابة رضي الله عنهم، وأن يعتقد تفضيل أبي بكر الصديق، ثم عمر الفاروق، ثم عثمان ذي النورين، على سائر هذه الأمة بعد نبيها صلى الله عليه وسلم، سالكًا في ذلك مسلك الصحابة أنفسهم الذين لم يختلفوا في هذا الترتيب، وحذرًا من مسالك الغلاة في الطرفين الذين يقدّمون أهواءهم على ما أجمع عليه سلف هذه الأمة.</w:t>
            </w:r>
          </w:p>
        </w:tc>
      </w:tr>
    </w:tbl>
    <w:p>
      <w:pPr>
        <w:spacing w:after="160"/>
      </w:pPr>
    </w:p>
    <w:p>
      <w:pPr>
        <w:pStyle w:val="Heading2"/>
        <w:bidi/>
        <w:spacing w:after="140" w:before="320"/>
        <w:jc w:val="right"/>
      </w:pPr>
      <w:bookmarkStart w:name="bm_faqrah_27" w:id="1038"/>
      <w:r>
        <w:rPr>
          <w:rFonts w:ascii="Aref Ruqaa" w:cs="Aref Ruqaa" w:eastAsia="Aref Ruqaa" w:hAnsi="Aref Ruqaa"/>
          <w:b/>
          <w:bCs/>
          <w:i w:val="false"/>
          <w:iCs w:val="false"/>
          <w:color w:val="0D2143"/>
          <w:sz w:val="28"/>
          <w:szCs w:val="28"/>
          <w:rtl/>
        </w:rPr>
        <w:t xml:space="preserve">الفقرة السابعة والعشرون: أصحاب الشورى الستة</w:t>
      </w:r>
      <w:bookmarkEnd w:id="103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ثُمَّ بَعْدَ هَؤُلَاءِ الثَّلَاثَةِ: أَصْحَابُ الشُّورَى السِّتَّةُ: عَلِيُّ بْنُ أَبِي طَالِبٍ، وَطَلْحَةُ، وَالزُّبَيْرُ، وَعَبْدُ الرَّحْمَنِ بْنُ عَوْفٍ، وَسَعْدٌ، وَسَعِيدُ بْنُ زَيْدٍ؛ كُلُّهُمْ يَصْلُحُ لِلْخِلَافَةِ، وَكُلُّهُمْ إِمَامٌ. وَنَذْهَبُ فِي ذَلِكَ إِلَى حَدِيثِ ابْنِ عُمَرَ: «كُنَّا نَعُدُّ وَرَسُولُ اللَّهِ ﷺ حَيٌّ وَأَصْحَابُهُ مُتَوَافِرُونَ: أَبُو بَكْرٍ، ثُمَّ عُمَرُ، ثُمَّ عُثْمَانُ، ثُمَّ نَسْكُتُ».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قرر الإمام أحمد في الفقرة السابقة تفضيل الخلفاء الراشدين الثلاثة: أبي بكر وعمر وعثمان، ينتقل هنا إلى الطبقة التالية من كبار الصحابة، وهم "أصحاب الشورى الستة"، الذين اختارهم عمر بن الخطاب رضي الله عنه حين طُعن وهو يشرف على الموت سنة ثلاث وعشرين للهجرة، فجعل أمر اختيار الخليفة من بعده شورى بينهم، وهم: علي بن أبي طالب، وطلحة بن عبيد الله، والزبير بن العوام، وعبد الرحمن بن عوف، وسعد بن أبي وقاص، وسعيد بن زيد، رضي الله عنهم أجمعين. وقد اختارهم عمر لعلمه بمكانتهم وفضلهم، وأمرهم أن يتشاوروا فيمن يُبايعونه خليفة من بينهم في غضون ثلاثة أيام، فآل الأمر بعد تشاورهم -وتنازل بعضهم لبعض- إلى عثمان بن عفان رضي الله عنه عن طريق ترشيح عبد الرحمن بن عوف له بعد استطلاعه رأي المسلمين.</w:t>
      </w:r>
    </w:p>
    <w:p>
      <w:pPr>
        <w:bidi/>
        <w:spacing w:after="140" w:before="0" w:line="300"/>
        <w:jc w:val="both"/>
      </w:pPr>
      <w:r>
        <w:rPr>
          <w:rFonts w:ascii="Amiri" w:cs="Amiri" w:eastAsia="Amiri" w:hAnsi="Amiri"/>
          <w:b w:val="false"/>
          <w:bCs w:val="false"/>
          <w:i w:val="false"/>
          <w:iCs w:val="false"/>
          <w:color w:val="181410"/>
          <w:sz w:val="22"/>
          <w:szCs w:val="22"/>
          <w:rtl/>
        </w:rPr>
        <w:t xml:space="preserve">وهؤلاء الستة جميعًا من كبار السابقين إلى الإسلام، ومن العشرة المبشرين بالجنة. فعلي بن أبي طالب ابن عم النبي صلى الله عليه وسلم وزوج ابنته فاطمة، ورابع الخلفاء الراشدين، من أول من أسلم من الصبيان أو من أول الناس إسلامًا على خلاف بين أهل السير، بات على فراش النبي صلى الله عليه وسلم ليلة الهجرة فداءً له. وطلحة بن عبيد الله، الملقب بـ"طلحة الخير" و"طلحة الفياض"، وقى النبي صلى الله عليه وسلم بجسده يوم أحد حتى شُلّت يده. والزبير بن العوام، ابن عمة النبي صلى الله عليه وسلم صفية بنت عبد المطلب، ولقّبه النبي صلى الله عليه وسلم بـ"الحواري" تشبيهًا له بحواريي عيسى عليه السلام لنصرته ودفاعه عنه. وعبد الرحمن بن عوف، من كبار التجار الأسخياء، أنفق أموالاً عظيمة في سبيل الله. وسعد بن أبي وقاص، فاتح العراق وقائد معركة القادسية، وأول من رمى بسهم في سبيل الله كما ورد في فضله. وسعيد بن زيد، من السابقين الأولين، وزوج فاطمة بنت الخطاب أخت عمر رضي الله عنهم جميعًا.</w:t>
      </w:r>
    </w:p>
    <w:p>
      <w:pPr>
        <w:bidi/>
        <w:spacing w:after="140" w:before="0" w:line="300"/>
        <w:jc w:val="both"/>
      </w:pPr>
      <w:r>
        <w:rPr>
          <w:rFonts w:ascii="Amiri" w:cs="Amiri" w:eastAsia="Amiri" w:hAnsi="Amiri"/>
          <w:b w:val="false"/>
          <w:bCs w:val="false"/>
          <w:i w:val="false"/>
          <w:iCs w:val="false"/>
          <w:color w:val="181410"/>
          <w:sz w:val="22"/>
          <w:szCs w:val="22"/>
          <w:rtl/>
        </w:rPr>
        <w:t xml:space="preserve">وقد استدل الإمام أحمد على منزلة هؤلاء الستة بحديث ابن عمر المذكور في المتن، وفيه أن الصحابة كانوا يعدّون الأفضل فالأفضل: أبا بكر، ثم عمر، ثم عثمان، "ثم نسكت"، أي: يتوقفون عن تفضيل بعض الباقين على بعض، مع اتفاقهم على أنهم من خيرة الصحابة وأهل الفضل الذين يصلحون للخلافة والإمامة.</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bCs/>
          <w:i w:val="false"/>
          <w:iCs w:val="false"/>
          <w:color w:val="0D2143"/>
          <w:sz w:val="22"/>
          <w:szCs w:val="22"/>
          <w:rtl/>
        </w:rPr>
        <w:t xml:space="preserve">الدليل الأول:</w:t>
      </w:r>
      <w:r>
        <w:rPr>
          <w:rFonts w:ascii="Amiri" w:cs="Amiri" w:eastAsia="Amiri" w:hAnsi="Amiri"/>
          <w:b w:val="false"/>
          <w:bCs w:val="false"/>
          <w:i w:val="false"/>
          <w:iCs w:val="false"/>
          <w:color w:val="181410"/>
          <w:sz w:val="22"/>
          <w:szCs w:val="22"/>
          <w:rtl/>
        </w:rPr>
        <w:t xml:space="preserve"> حديث ابن عمر رضي الله عنهما المذكور في المتن: «كُنَّا نَعُدُّ وَرَسُولُ اللَّهِ صَلَّى اللَّهُ عَلَيْهِ وَسَلَّمَ حَيٌّ وَأَصْحَابُهُ مُتَوَافِرُونَ: أَبُو بَكْرٍ، ثُمَّ عُمَرُ، ثُمَّ عُثْمَانُ، ثُمَّ نَسْكُتُ». ووجه الدلالة أن الصحابة كانوا يعرفون هذا الترتيب في حياة النبي صلى الله عليه وسلم، ثم يتوقفون عمّن سواهم، فلم يجزموا بتفضيل واحد بعينه من الباقين على الآخرين، وهذا هو عين منهج أهل السنة في التوقف عمّا لم يرد فيه نص قاطع.</w:t>
      </w:r>
    </w:p>
    <w:p>
      <w:pPr>
        <w:bidi/>
        <w:spacing w:after="140" w:before="0" w:line="300"/>
        <w:jc w:val="both"/>
      </w:pPr>
      <w:r>
        <w:rPr>
          <w:rFonts w:ascii="Amiri" w:cs="Amiri" w:eastAsia="Amiri" w:hAnsi="Amiri"/>
          <w:b/>
          <w:bCs/>
          <w:i w:val="false"/>
          <w:iCs w:val="false"/>
          <w:color w:val="0D2143"/>
          <w:sz w:val="22"/>
          <w:szCs w:val="22"/>
          <w:rtl/>
        </w:rPr>
        <w:t xml:space="preserve">الدليل الثاني:</w:t>
      </w:r>
      <w:r>
        <w:rPr>
          <w:rFonts w:ascii="Amiri" w:cs="Amiri" w:eastAsia="Amiri" w:hAnsi="Amiri"/>
          <w:b w:val="false"/>
          <w:bCs w:val="false"/>
          <w:i w:val="false"/>
          <w:iCs w:val="false"/>
          <w:color w:val="181410"/>
          <w:sz w:val="22"/>
          <w:szCs w:val="22"/>
          <w:rtl/>
        </w:rPr>
        <w:t xml:space="preserve"> ما ثبت من حديث "العشرة المبشرين بالجنة"، وفيه تسمية النبي صلى الله عليه وسلم لعشرة من أصحابه بأنهم في الجنة، وهم: أبو بكر، وعمر، وعثمان، وعلي، وطلحة، والزبير، وعبد الرحمن بن عوف، وسعد بن أبي وقاص، وسعيد بن زيد، وأبو عبيدة عامر بن الجراح رضي الله عنهم أجمعين (رواه أبو داود والترمذي وغيرهما). ووجه الدلالة أن هذا الحديث يجمع أصحاب الشورى الستة كلهم -علاوة على الخلفاء الثلاثة وأبي عبيدة بن الجراح- في هذه الشهادة النبوية العظيمة، فيؤكد ما قرره الإمام أحمد من أن كل واحد منهم أهل للفضل والإمامة، وأنهم استحقوا أن يُجعل أمر الخلافة شورى بينهم دون سائر الصحابة.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أصحاب الشورى:</w:t>
            </w:r>
            <w:r>
              <w:rPr>
                <w:rFonts w:ascii="Amiri" w:cs="Amiri" w:eastAsia="Amiri" w:hAnsi="Amiri"/>
                <w:b w:val="false"/>
                <w:bCs w:val="false"/>
                <w:i w:val="false"/>
                <w:iCs w:val="false"/>
                <w:color w:val="181410"/>
                <w:sz w:val="22"/>
                <w:szCs w:val="22"/>
                <w:rtl/>
              </w:rPr>
              <w:t xml:space="preserve"> هم الستة الذين عيّنهم عمر بن الخطاب رضي الله عنه عند وفاته، وأمرهم أن يختاروا الخليفة من بينهم خلال ثلاثة أيام، وهم: علي بن أبي طالب، وطلحة بن عبيد الله، والزبير بن العوام، وعبد الرحمن بن عوف، وسعد بن أبي وقاص، وسعيد بن زيد رضي الله عنهم. وقد اختارهم عمر لعلمه بسابقتهم وفضلهم، ولأن النبي صلى الله عليه وسلم توفي وهو عنهم راضٍ، فكانوا أحق الناس بهذا الأمر من بعده.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 حكمة قوله "ثم نسكت".</w:t>
      </w:r>
      <w:r>
        <w:rPr>
          <w:rFonts w:ascii="Amiri" w:cs="Amiri" w:eastAsia="Amiri" w:hAnsi="Amiri"/>
          <w:b w:val="false"/>
          <w:bCs w:val="false"/>
          <w:i w:val="false"/>
          <w:iCs w:val="false"/>
          <w:color w:val="181410"/>
          <w:sz w:val="22"/>
          <w:szCs w:val="22"/>
          <w:rtl/>
        </w:rPr>
        <w:t xml:space="preserve"> بعد أن ذكر الإمام أحمد -تبعًا لحديث ابن عمر- الترتيب القاطع لأبي بكر ثم عمر ثم عثمان، أمسك عن ترتيب الباقين، ولم يفضّل عليًّا على طلحة، ولا طلحة على الزبير، وهكذا. وهذا من دقيق فقه السلف؛ فإنهم لم يقولوا في دين الله بغير علم، ولم يرد نص قاطع يرتب هؤلاء الخمسة أو الستة بعضهم فوق بعض كما ورد في الثلاثة، فوقفوا حيث وقف بهم الدليل، ولم يتكلفوا القول بالظن والتخمين في مسألة لا سبيل إلى القطع فيها إلا بنص أو إجماع. وفي هذا تحذير للمتأخرين من أن يجتهدوا في ترتيب هؤلاء برأيهم المجرد، فيوقعوا أنفسهم فيما لم يوقع فيه سلف الأمة أنفسهم.</w:t>
      </w:r>
    </w:p>
    <w:p>
      <w:pPr>
        <w:bidi/>
        <w:spacing w:after="140" w:before="0" w:line="300"/>
        <w:jc w:val="both"/>
      </w:pPr>
      <w:r>
        <w:rPr>
          <w:rFonts w:ascii="Amiri" w:cs="Amiri" w:eastAsia="Amiri" w:hAnsi="Amiri"/>
          <w:b/>
          <w:bCs/>
          <w:i w:val="false"/>
          <w:iCs w:val="false"/>
          <w:color w:val="0D2143"/>
          <w:sz w:val="22"/>
          <w:szCs w:val="22"/>
          <w:rtl/>
        </w:rPr>
        <w:t xml:space="preserve">المسألة الثانية: منزلة علي بن أبي طالب بين هذا الترتيب.</w:t>
      </w:r>
      <w:r>
        <w:rPr>
          <w:rFonts w:ascii="Amiri" w:cs="Amiri" w:eastAsia="Amiri" w:hAnsi="Amiri"/>
          <w:b w:val="false"/>
          <w:bCs w:val="false"/>
          <w:i w:val="false"/>
          <w:iCs w:val="false"/>
          <w:color w:val="181410"/>
          <w:sz w:val="22"/>
          <w:szCs w:val="22"/>
          <w:rtl/>
        </w:rPr>
        <w:t xml:space="preserve"> ذِكر عليّ رضي الله عنه أولاً في عداد الستة لا يعني بالضرورة تفضيله عليهم عند الإمام أحمد، فالترتيب هنا قد يكون لاعتبارات أخرى كقرابته أو سِنّه أو ترتيب ذكره في الروايات، لا لتفضيل قطعي؛ ولذلك أمسك الإمام عن الجزم بذلك، تأسيًا بمنهج ابن عمر ومن قبله من الصحابة. وهذا موضع دقيق ينبغي التنبه له حتى لا يُظن أن ترتيب الأسماء في المتن ترتيب تفضيل قطعي.</w:t>
      </w:r>
    </w:p>
    <w:p>
      <w:pPr>
        <w:bidi/>
        <w:spacing w:after="140" w:before="0" w:line="300"/>
        <w:jc w:val="both"/>
      </w:pPr>
      <w:r>
        <w:rPr>
          <w:rFonts w:ascii="Amiri" w:cs="Amiri" w:eastAsia="Amiri" w:hAnsi="Amiri"/>
          <w:b/>
          <w:bCs/>
          <w:i w:val="false"/>
          <w:iCs w:val="false"/>
          <w:color w:val="0D2143"/>
          <w:sz w:val="22"/>
          <w:szCs w:val="22"/>
          <w:rtl/>
        </w:rPr>
        <w:t xml:space="preserve">المسألة الثالثة: موقف أهل السنة الوسط في شأن علي رضي الله عنه بين الروافض والنواصب.</w:t>
      </w:r>
      <w:r>
        <w:rPr>
          <w:rFonts w:ascii="Amiri" w:cs="Amiri" w:eastAsia="Amiri" w:hAnsi="Amiri"/>
          <w:b w:val="false"/>
          <w:bCs w:val="false"/>
          <w:i w:val="false"/>
          <w:iCs w:val="false"/>
          <w:color w:val="181410"/>
          <w:sz w:val="22"/>
          <w:szCs w:val="22"/>
          <w:rtl/>
        </w:rPr>
        <w:t xml:space="preserve"> تتجلى في هذه الفقرة عقيدة أهل السنة الوسطية بأبهى صورها: فهم لا يغلون في علي رضي الله عنه كما غلت الرافضة الذين زعموا له وصيةً ونصًا بالخلافة، وجعلوه أفضل الخلق بعد النبي صلى الله عليه وسلم، بل بعضهم رفعه فوق منزلته حتى قاربوا به منازل الألوهية أو النبوة في غلوهم الباطل. كما لا يجفون في حقه كما جفا النواصب والخوارج الذين أبغضوه وسبّوه بل كفّر بعضهم به لموقفه في الفتنة بين المسلمين. فأهل السنة يحبونه رضي الله عنه، ويتولونه، ويعدّونه رابع الخلفاء الراشدين وأحد أصحاب الشورى الذين هم أفضل هذه الأمة بعد الثلاثة، من غير غلو يرفعه فوق قدره، ولا جفاء ينتقص من حقه.</w:t>
      </w:r>
    </w:p>
    <w:p>
      <w:pPr>
        <w:bidi/>
        <w:spacing w:after="140" w:before="0" w:line="300"/>
        <w:jc w:val="both"/>
      </w:pPr>
      <w:r>
        <w:rPr>
          <w:rFonts w:ascii="Amiri" w:cs="Amiri" w:eastAsia="Amiri" w:hAnsi="Amiri"/>
          <w:b/>
          <w:bCs/>
          <w:i w:val="false"/>
          <w:iCs w:val="false"/>
          <w:color w:val="0D2143"/>
          <w:sz w:val="22"/>
          <w:szCs w:val="22"/>
          <w:rtl/>
        </w:rPr>
        <w:t xml:space="preserve">المسألة الرابعة: وجه الحكمة في اختيار عمر لهؤلاء الستة تحديدًا.</w:t>
      </w:r>
      <w:r>
        <w:rPr>
          <w:rFonts w:ascii="Amiri" w:cs="Amiri" w:eastAsia="Amiri" w:hAnsi="Amiri"/>
          <w:b w:val="false"/>
          <w:bCs w:val="false"/>
          <w:i w:val="false"/>
          <w:iCs w:val="false"/>
          <w:color w:val="181410"/>
          <w:sz w:val="22"/>
          <w:szCs w:val="22"/>
          <w:rtl/>
        </w:rPr>
        <w:t xml:space="preserve"> اختار عمر رضي الله عنه هؤلاء الستة دون غيرهم لأنهم توفي عنهم النبي صلى الله عليه وسلم وهو راضٍ عنهم، ولأن أكثرهم من أهل بدر والسابقة العظيمة في الإسلام؛ وأما طلحة وسعيد بن زيد فقد كانا في مهمة استطلاع بأمر النبي ﷺ يوم بدر فلم يشهدا القتال بأنفسهما، إلا أن النبي ﷺ ألحقهما بأهل بدر وأعطاهما سهمهما وأجرهما، فكانا في حكمهم وإن غابا عن المعركة. ولم يُدخل عمر نفسه معهم مع أنه أحد العشرة، تواضعًا منه وزهدًا في الإمارة لنفسه أو لأحد من أهل بيته، وهذا من عدله وورعه المعروفين رضي الله عنه.</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يظن بعض الناس أن ترتيب أسماء أصحاب الشورى في النصوص -كترتيبهم في المتن هنا بدءًا بعلي- يمثل ترتيب تفضيل قطعيًا بينهم، فيبني على ذلك تفضيل بعضهم على بعض بالتشهي. والصواب أن هذا الترتيب لا يفيد قطعًا تفضيليًا معينًا، وأن الواجب هو ما قرره السلف من السكوت عن تفضيل بعضهم على بعض بعد الثلاثة، لعدم قيام دليل قاطع على ترتيب معين بينهم.</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يحب أصحاب الشورى الستة جميعًا: عليًا، وطلحة، والزبير، وعبد الرحمن بن عوف، وسعدًا، وسعيدًا، ويعتقد أنهم جميعًا من أهل الفضل والإمامة، وأن يسكت -كما سكت سلف الأمة- عن تفضيل بعضهم على بعض بعد الخلفاء الثلاثة، فلا يغلو في أحدهم كما غلت الرافضة في علي، ولا يجفو في حقه كما جفا النواصب والخوارج.</w:t>
            </w:r>
          </w:p>
        </w:tc>
      </w:tr>
    </w:tbl>
    <w:p>
      <w:pPr>
        <w:spacing w:after="160"/>
      </w:pPr>
    </w:p>
    <w:p>
      <w:pPr>
        <w:pStyle w:val="Heading2"/>
        <w:bidi/>
        <w:spacing w:after="140" w:before="320"/>
        <w:jc w:val="right"/>
      </w:pPr>
      <w:bookmarkStart w:name="bm_faqrah_28" w:id="1039"/>
      <w:r>
        <w:rPr>
          <w:rFonts w:ascii="Aref Ruqaa" w:cs="Aref Ruqaa" w:eastAsia="Aref Ruqaa" w:hAnsi="Aref Ruqaa"/>
          <w:b/>
          <w:bCs/>
          <w:i w:val="false"/>
          <w:iCs w:val="false"/>
          <w:color w:val="0D2143"/>
          <w:sz w:val="28"/>
          <w:szCs w:val="28"/>
          <w:rtl/>
        </w:rPr>
        <w:t xml:space="preserve">الفقرة الثامنة والعشرون: أهل بدر وسائر الصحابة ومراتب الصحبة</w:t>
      </w:r>
      <w:bookmarkEnd w:id="103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ثُمَّ مِنْ بَعْدِ أَصْحَابِ الشُّورَى: أَهْلُ بَدْرٍ مِنَ الْمُهَاجِرِينَ، ثُمَّ أَهْلُ بَدْرٍ مِنَ الْأَنْصَارِ مِنْ أَصْحَابِ رَسُولِ اللَّهِ ﷺ عَلَى قَدْرِ الْهِجْرَةِ وَالسَّابِقَةِ أَوَّلاً فَأَوَّلاً.</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ثُمَّ أَفْضَلُ النَّاسِ بَعْدَ هَؤُلَاءِ أَصْحَابُ رَسُولِ اللَّهِ ﷺ، الْقَرْنُ الَّذِي بُعِثَ فِيهِمْ، كُلُّ مَنْ صَحِبَهُ سَنَةً أَوْ شَهْراً أَوْ يَوْماً أَوْ سَاعَةً أَوْ رَآهُ مُؤْمِناً بِهِ فَهُوَ مِنْ أَصْحَابِهِ؛ لَهُ مِنَ الصُّحْبَةِ عَلَى قَدْرِ مَا صَحِبَهُ وَكَانَتْ سَابِقَتُهُ مَعَهُ وَسَمِعَ مِنْهُ وَنَظَرَ إِلَيْهِ نَظْرَةً.</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فَأَدْنَاهُمْ صُحْبَةً هُوَ أَفْضَلُ مِنَ الْقَرْنِ الَّذِينَ لَمْ يَرَوْهُ وَلَوْ لَقُوا اللَّهَ بِجَمِيعِ الْأَعْمَالِ.</w:t>
      </w:r>
      <w:r>
        <w:rPr>
          <w:rFonts w:ascii="Amiri" w:cs="Amiri" w:eastAsia="Amiri" w:hAnsi="Amiri"/>
          <w:b w:val="false"/>
          <w:bCs w:val="false"/>
          <w:i w:val="false"/>
          <w:iCs w:val="false"/>
          <w:color w:val="0A1830"/>
          <w:sz w:val="24"/>
          <w:szCs w:val="24"/>
          <w:rtl/>
        </w:rPr>
        <w:t xml:space="preserve">
</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بعد بيان منزلة الخلفاء الثلاثة، ثم أصحاب الشورى الستة، ينتقل الإمام أحمد في هذه الفقرة إلى بيان الطبقة الثالثة من الصحابة، وهم "أهل بدر"، ثم يرسم بعد ذلك القاعدة الجامعة الكلية في تفاضل الصحابة كافة، ومنزلتهم مقارنة بمن جاء بعدهم من التابعين.</w:t>
      </w:r>
    </w:p>
    <w:p>
      <w:pPr>
        <w:bidi/>
        <w:spacing w:after="140" w:before="0" w:line="300"/>
        <w:jc w:val="both"/>
      </w:pPr>
      <w:r>
        <w:rPr>
          <w:rFonts w:ascii="Amiri" w:cs="Amiri" w:eastAsia="Amiri" w:hAnsi="Amiri"/>
          <w:b w:val="false"/>
          <w:bCs w:val="false"/>
          <w:i w:val="false"/>
          <w:iCs w:val="false"/>
          <w:color w:val="181410"/>
          <w:sz w:val="22"/>
          <w:szCs w:val="22"/>
          <w:rtl/>
        </w:rPr>
        <w:t xml:space="preserve">فأهل بدر هم الذين شهدوا غزوة بدر الكبرى في السابع عشر من رمضان سنة اثنتين للهجرة، أول معركة فاصلة كبرى بين المسلمين والمشركين، وكانوا نحو ثلاثمائة وبضعة عشر رجلاً، قلة عددًا وعُدة في مقابل جيش قريش الأكبر عددًا وعدة، فنصرهم الله نصرًا عزيزًا كان فرقانًا بين الحق والباطل، ولذلك سمى الله يومهم "يوم الفرقان" في قوله تعالى: </w:t>
      </w:r>
      <w:r>
        <w:rPr>
          <w:rFonts w:ascii="Amiri Quran" w:cs="Amiri Quran" w:eastAsia="Amiri Quran" w:hAnsi="Amiri Quran"/>
          <w:b w:val="false"/>
          <w:bCs w:val="false"/>
          <w:i w:val="false"/>
          <w:iCs w:val="false"/>
          <w:color w:val="0D2143"/>
          <w:sz w:val="26"/>
          <w:szCs w:val="26"/>
          <w:rtl/>
        </w:rPr>
        <w:t xml:space="preserve">﴿إِن كُنتُمْ آمَنتُم بِاللَّهِ وَمَا أَنزَلْنَا عَلَىٰ عَبْدِنَا يَوْمَ الْفُرْقَانِ يَوْمَ الْتَقَى الْجَمْعَانِ﴾</w:t>
      </w:r>
      <w:r>
        <w:rPr>
          <w:rFonts w:ascii="Cairo" w:cs="Cairo" w:eastAsia="Cairo" w:hAnsi="Cairo"/>
          <w:b/>
          <w:bCs/>
          <w:i w:val="false"/>
          <w:iCs w:val="false"/>
          <w:color w:val="8A6A1F"/>
          <w:sz w:val="16"/>
          <w:szCs w:val="16"/>
          <w:rtl/>
        </w:rPr>
        <w:t xml:space="preserve"> [الأنفال: 41]</w:t>
      </w:r>
      <w:r>
        <w:rPr>
          <w:rFonts w:ascii="Amiri" w:cs="Amiri" w:eastAsia="Amiri" w:hAnsi="Amiri"/>
          <w:b w:val="false"/>
          <w:bCs w:val="false"/>
          <w:i w:val="false"/>
          <w:iCs w:val="false"/>
          <w:color w:val="181410"/>
          <w:sz w:val="22"/>
          <w:szCs w:val="22"/>
          <w:rtl/>
        </w:rPr>
        <w:t xml:space="preserve">. وقد ثبت في نصوص صحيحة أن الله اطّلع على أهل بدر خاصة فغفر لهم، فهم مقطوع لهم بالمغفرة والجنة، وهذا مما رفع منزلتهم فوق منزلة سائر الصحابة ممن لم يشهد بدرًا.</w:t>
      </w:r>
    </w:p>
    <w:p>
      <w:pPr>
        <w:bidi/>
        <w:spacing w:after="140" w:before="0" w:line="300"/>
        <w:jc w:val="both"/>
      </w:pPr>
      <w:r>
        <w:rPr>
          <w:rFonts w:ascii="Amiri" w:cs="Amiri" w:eastAsia="Amiri" w:hAnsi="Amiri"/>
          <w:b w:val="false"/>
          <w:bCs w:val="false"/>
          <w:i w:val="false"/>
          <w:iCs w:val="false"/>
          <w:color w:val="181410"/>
          <w:sz w:val="22"/>
          <w:szCs w:val="22"/>
          <w:rtl/>
        </w:rPr>
        <w:t xml:space="preserve">وقد قدّم الإمام أهل بدر من المهاجرين على أهل بدر من الأنصار، لأن المهاجرين جمعوا بين شرف الهجرة وشرف شهود بدر وسابقة الإسلام قبل الهجرة، وهذا هو معنى قوله: "على قدر الهجرة والسابقة أولاً فأولاً"، أي أن التفاضل بينهم يراعى فيه من تقدّم إسلامه وهجرته على من تأخر.</w:t>
      </w:r>
    </w:p>
    <w:p>
      <w:pPr>
        <w:bidi/>
        <w:spacing w:after="140" w:before="0" w:line="300"/>
        <w:jc w:val="both"/>
      </w:pPr>
      <w:r>
        <w:rPr>
          <w:rFonts w:ascii="Amiri" w:cs="Amiri" w:eastAsia="Amiri" w:hAnsi="Amiri"/>
          <w:b w:val="false"/>
          <w:bCs w:val="false"/>
          <w:i w:val="false"/>
          <w:iCs w:val="false"/>
          <w:color w:val="181410"/>
          <w:sz w:val="22"/>
          <w:szCs w:val="22"/>
          <w:rtl/>
        </w:rPr>
        <w:t xml:space="preserve">ثم انتقل الإمام إلى القاعدة الكلية العظيمة في تعريف الصحابي ومراتب الصحبة، فبيّن أن كل من صحب النبي صلى الله عليه وسلم -ولو لحظة يسيرة- مؤمنًا به، فهو من أصحابه، له من شرف الصحبة على قدر ما حصل له منها؛ فمن طالت صحبته وكثرت مشاهده وسابقته كان أفضل ممن قلّت صحبته أو تأخر إسلامه. وهذا تعريف جامع يشمل درجات متفاوتة تفاوتًا عظيمًا، من السابقين الأولين إلى من أسلم عام الفتح أو حجة الوداع، لكنهم جميعًا يشتركون في شرف الصحبة الذي لا يشاركهم فيه أحد من الأمة بعدهم.</w:t>
      </w:r>
    </w:p>
    <w:p>
      <w:pPr>
        <w:bidi/>
        <w:spacing w:after="140" w:before="0" w:line="300"/>
        <w:jc w:val="both"/>
      </w:pPr>
      <w:r>
        <w:rPr>
          <w:rFonts w:ascii="Amiri" w:cs="Amiri" w:eastAsia="Amiri" w:hAnsi="Amiri"/>
          <w:b w:val="false"/>
          <w:bCs w:val="false"/>
          <w:i w:val="false"/>
          <w:iCs w:val="false"/>
          <w:color w:val="181410"/>
          <w:sz w:val="22"/>
          <w:szCs w:val="22"/>
          <w:rtl/>
        </w:rPr>
        <w:t xml:space="preserve">ثم ختم الإمام الفقرة بقاعدة عظيمة جامعة، وهي أن أدنى الصحابة صحبة -أي أقلهم مصاحبة للنبي صلى الله عليه وسلم وأخصهم بها زمنًا- أفضل من أعلى التابعين منزلة، بل أفضل من القرن الذي لم يره صلى الله عليه وسلم ولو لقوا الله بجميع الأعمال الصالحة. وهذا تقرير لخصوصية شرف الصحبة الذي لا يُدرَك بكثرة العمل، وإنما هو منزلة اختصّ الله بها من رافق نبيه صلى الله عليه وسلم ورآه مؤمنًا به، ولن يُدركها أحد ممن جاء بعدهم مهما بلغ من الفضل والعبادة.</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bCs/>
          <w:i w:val="false"/>
          <w:iCs w:val="false"/>
          <w:color w:val="0D2143"/>
          <w:sz w:val="22"/>
          <w:szCs w:val="22"/>
          <w:rtl/>
        </w:rPr>
        <w:t xml:space="preserve">الدليل الأول:</w:t>
      </w:r>
      <w:r>
        <w:rPr>
          <w:rFonts w:ascii="Amiri" w:cs="Amiri" w:eastAsia="Amiri" w:hAnsi="Amiri"/>
          <w:b w:val="false"/>
          <w:bCs w:val="false"/>
          <w:i w:val="false"/>
          <w:iCs w:val="false"/>
          <w:color w:val="181410"/>
          <w:sz w:val="22"/>
          <w:szCs w:val="22"/>
          <w:rtl/>
        </w:rPr>
        <w:t xml:space="preserve"> ما ثبت في قصة حاطب بن أبي بلتعة رضي الله عنه، حين كتب إلى قريش يخبرهم ببعض أمر النبي صلى الله عليه وسلم، فلما عَلِم النبي صلى الله عليه وسلم بذلك واستنكر عمر بن الخطاب فعله وأراد قتله بوصفه منافقًا، قال النبي صلى الله عليه وسلم: «وَمَا يُدْرِيكَ لَعَلَّ اللَّهَ اطَّلَعَ عَلَى أَهْلِ بَدْرٍ فَقَالَ: اعْمَلُوا مَا شِئْتُمْ فَقَدْ غَفَرْتُ لَكُمْ» (متفق عليه). ووجه الدلالة أن هذا الحديث نص صريح في أن أهل بدر خاصة قد نالوا من الله مغفرة سابقة لا يعلم مداها إلا الله، حتى إن الذنب الذي يُخشى منه على غيرهم من المسلمين، غُفر لصاحبه إذا كان بدريًا؛ فدل ذلك على علو منزلتهم وخصوصيتهم من دون سائر الصحابة.</w:t>
      </w:r>
    </w:p>
    <w:p>
      <w:pPr>
        <w:bidi/>
        <w:spacing w:after="140" w:before="0" w:line="300"/>
        <w:jc w:val="both"/>
      </w:pPr>
      <w:r>
        <w:rPr>
          <w:rFonts w:ascii="Amiri" w:cs="Amiri" w:eastAsia="Amiri" w:hAnsi="Amiri"/>
          <w:b/>
          <w:bCs/>
          <w:i w:val="false"/>
          <w:iCs w:val="false"/>
          <w:color w:val="0D2143"/>
          <w:sz w:val="22"/>
          <w:szCs w:val="22"/>
          <w:rtl/>
        </w:rPr>
        <w:t xml:space="preserve">الدليل الثاني:</w:t>
      </w:r>
      <w:r>
        <w:rPr>
          <w:rFonts w:ascii="Amiri" w:cs="Amiri" w:eastAsia="Amiri" w:hAnsi="Amiri"/>
          <w:b w:val="false"/>
          <w:bCs w:val="false"/>
          <w:i w:val="false"/>
          <w:iCs w:val="false"/>
          <w:color w:val="181410"/>
          <w:sz w:val="22"/>
          <w:szCs w:val="22"/>
          <w:rtl/>
        </w:rPr>
        <w:t xml:space="preserve"> قال الله تعالى: </w:t>
      </w:r>
      <w:r>
        <w:rPr>
          <w:rFonts w:ascii="Amiri Quran" w:cs="Amiri Quran" w:eastAsia="Amiri Quran" w:hAnsi="Amiri Quran"/>
          <w:b w:val="false"/>
          <w:bCs w:val="false"/>
          <w:i w:val="false"/>
          <w:iCs w:val="false"/>
          <w:color w:val="0D2143"/>
          <w:sz w:val="26"/>
          <w:szCs w:val="26"/>
          <w:rtl/>
        </w:rPr>
        <w:t xml:space="preserve">﴿وَالسَّابِقُونَ الْأَوَّلُونَ مِنَ الْمُهَاجِرِينَ وَالْأَنصَارِ وَالَّذِينَ اتَّبَعُوهُم بِإِحْسَانٍ رَّضِيَ اللَّهُ عَنْهُمْ وَرَضُوا عَنْهُ﴾</w:t>
      </w:r>
      <w:r>
        <w:rPr>
          <w:rFonts w:ascii="Cairo" w:cs="Cairo" w:eastAsia="Cairo" w:hAnsi="Cairo"/>
          <w:b/>
          <w:bCs/>
          <w:i w:val="false"/>
          <w:iCs w:val="false"/>
          <w:color w:val="8A6A1F"/>
          <w:sz w:val="16"/>
          <w:szCs w:val="16"/>
          <w:rtl/>
        </w:rPr>
        <w:t xml:space="preserve"> [التوبة: 100]</w:t>
      </w:r>
      <w:r>
        <w:rPr>
          <w:rFonts w:ascii="Amiri" w:cs="Amiri" w:eastAsia="Amiri" w:hAnsi="Amiri"/>
          <w:b w:val="false"/>
          <w:bCs w:val="false"/>
          <w:i w:val="false"/>
          <w:iCs w:val="false"/>
          <w:color w:val="181410"/>
          <w:sz w:val="22"/>
          <w:szCs w:val="22"/>
          <w:rtl/>
        </w:rPr>
        <w:t xml:space="preserve">. ووجه الدلالة أن الله تعالى خصّ "السابقين الأولين" من المهاجرين والأنصار بالذكر قبل من اتبعهم بإحسان، فدل على مراعاة الشريعة لمبدأ السبق والتقدم في الإسلام، وهو الأصل الذي بنى عليه الإمام أحمد تقديمه أهل بدر من المهاجرين، ثم من الأنصار، على قدر الهجرة والسابقة.</w:t>
      </w:r>
    </w:p>
    <w:p>
      <w:pPr>
        <w:bidi/>
        <w:spacing w:after="140" w:before="0" w:line="300"/>
        <w:jc w:val="both"/>
      </w:pPr>
      <w:r>
        <w:rPr>
          <w:rFonts w:ascii="Amiri" w:cs="Amiri" w:eastAsia="Amiri" w:hAnsi="Amiri"/>
          <w:b/>
          <w:bCs/>
          <w:i w:val="false"/>
          <w:iCs w:val="false"/>
          <w:color w:val="0D2143"/>
          <w:sz w:val="22"/>
          <w:szCs w:val="22"/>
          <w:rtl/>
        </w:rPr>
        <w:t xml:space="preserve">الدليل الثالث:</w:t>
      </w:r>
      <w:r>
        <w:rPr>
          <w:rFonts w:ascii="Amiri" w:cs="Amiri" w:eastAsia="Amiri" w:hAnsi="Amiri"/>
          <w:b w:val="false"/>
          <w:bCs w:val="false"/>
          <w:i w:val="false"/>
          <w:iCs w:val="false"/>
          <w:color w:val="181410"/>
          <w:sz w:val="22"/>
          <w:szCs w:val="22"/>
          <w:rtl/>
        </w:rPr>
        <w:t xml:space="preserve"> قال النبي صلى الله عليه وسلم: «لَا تَسُبُّوا أَصْحَابِي، فَوَالَّذِي نَفْسِي بِيَدِهِ لَوْ أَنَّ أَحَدَكُمْ أَنْفَقَ مِثْلَ أُحُدٍ ذَهَبًا مَا بَلَغَ مُدَّ أَحَدِهِمْ وَلَا نَصِيفَهُ» (متفق عليه). ووجه الدلالة أن هذا الحديث نص صريح في أن نفقة أحد الصحابة اليسيرة -المُدّ أو نصفه- تفوق في الأجر عند الله إنفاق جبل أُحُد ذهبًا من غيرهم، فدل على أن شرف الصحبة يعطي صاحبه من الفضل ما لا يُدرَك بكثرة العمل عند من جاء بعدهم، وهو عين ما قرره الإمام أحمد في ختام هذه الفقرة.</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في هذه الفقرة تأصيل لمنهج أهل السنة في النظر إلى تاريخ الصحابة نظرة تفصيلية لا إجمالية جامدة؛ فليسوا طبقة واحدة متساوية، بل درجات متفاوتة بحسب السبق والهجرة والجهاد والملازمة، وهذا هو عين ما دلت عليه النصوص الشرعية من تفريق القرآن والسنة بين "السابقين الأولين" ومن جاء بعدهم من الصحابة.</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يُروى عن عبد الله بن مسعود رضي الله عنه كلام مشهور في فضل الصحابة عمومًا، معناه أن الله نظر في قلوب العباد فوجد قلوب أصحاب محمد صلى الله عليه وسلم خير قلوب العباد، فاختارهم لصحبة نبيه ونقل دينه، وأنهم كانوا خير هذه الأمة أبرها قلوبًا وأعمقها علمًا وأقلها تكلفًا. وهذا الأثر، وإن اشتُهر عن ابن مسعود، فإن معناه متفق عليه بين أهل السنة، وهو تعظيم شأن هذا الجيل الفريد الذي لن يتكرر مثله في تاريخ الأمة.</w:t>
      </w:r>
    </w:p>
    <w:p>
      <w:pPr>
        <w:bidi/>
        <w:spacing w:after="140" w:before="0" w:line="300"/>
        <w:jc w:val="both"/>
      </w:pPr>
      <w:r>
        <w:rPr>
          <w:rFonts w:ascii="Amiri" w:cs="Amiri" w:eastAsia="Amiri" w:hAnsi="Amiri"/>
          <w:b/>
          <w:bCs/>
          <w:i w:val="false"/>
          <w:iCs w:val="false"/>
          <w:color w:val="0D2143"/>
          <w:sz w:val="22"/>
          <w:szCs w:val="22"/>
          <w:rtl/>
        </w:rPr>
        <w:t xml:space="preserve">المسألة الثالثة: الفرق بين محبة الصحابة عمومًا وتفضيل بعضهم على بعض.</w:t>
      </w:r>
      <w:r>
        <w:rPr>
          <w:rFonts w:ascii="Amiri" w:cs="Amiri" w:eastAsia="Amiri" w:hAnsi="Amiri"/>
          <w:b w:val="false"/>
          <w:bCs w:val="false"/>
          <w:i w:val="false"/>
          <w:iCs w:val="false"/>
          <w:color w:val="181410"/>
          <w:sz w:val="22"/>
          <w:szCs w:val="22"/>
          <w:rtl/>
        </w:rPr>
        <w:t xml:space="preserve"> يجب على المسلم أن يحب جميع الصحابة رضي الله عنهم دون استثناء، فهذا أصل لا خلاف فيه عند أهل السنة. لكن هذه المحبة العامة لا تمنع من معرفة تفاوت درجاتهم، فمحبة أهل بدر ليست كمحبة من أسلم عام الفتح، وإن كان كلاهما محبوبًا مُوالى، وهذا هو التوازن الدقيق الذي يميز منهج أهل السنة عن منهج من يسوّي بين الصحابة جميعًا جهلاً بمراتبهم، أو من يتنقص بعضهم غلوًا في تفضيل آخرين.</w:t>
      </w:r>
    </w:p>
    <w:p>
      <w:pPr>
        <w:bidi/>
        <w:spacing w:after="140" w:before="0" w:line="300"/>
        <w:jc w:val="both"/>
      </w:pPr>
      <w:r>
        <w:rPr>
          <w:rFonts w:ascii="Amiri" w:cs="Amiri" w:eastAsia="Amiri" w:hAnsi="Amiri"/>
          <w:b/>
          <w:bCs/>
          <w:i w:val="false"/>
          <w:iCs w:val="false"/>
          <w:color w:val="0D2143"/>
          <w:sz w:val="22"/>
          <w:szCs w:val="22"/>
          <w:rtl/>
        </w:rPr>
        <w:t xml:space="preserve">المسألة الرابعة:</w:t>
      </w:r>
      <w:r>
        <w:rPr>
          <w:rFonts w:ascii="Amiri" w:cs="Amiri" w:eastAsia="Amiri" w:hAnsi="Amiri"/>
          <w:b w:val="false"/>
          <w:bCs w:val="false"/>
          <w:i w:val="false"/>
          <w:iCs w:val="false"/>
          <w:color w:val="181410"/>
          <w:sz w:val="22"/>
          <w:szCs w:val="22"/>
          <w:rtl/>
        </w:rPr>
        <w:t xml:space="preserve"> في قوله "ولو لقوا الله بجميع الأعمال" مبالغة بيانية بليغة، تفيد أن أدنى الصحابة صحبة يفضل من جاء بعده من التابعين حتى لو بلغ هذا التابعي في العمل والعبادة والزهد أعلى ما يمكن أن يبلغه إنسان؛ لأن شرف الصحبة منزلة زمانية اختص الله بها جيلاً بعينه لا تُنال بالاجتهاد ولا تُدرَك بكثرة العمل، بخلاف سائر الفضائل التي يمكن اكتسابها بالعمل الصالح.</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يحب جميع أصحاب رسول الله صلى الله عليه وسلم، ويعرف تفاوت مراتبهم بحسب السبق والهجرة وشهود بدر وطول الملازمة، ويعتقد أنهم خير هذه الأمة وأفضل قرونها، وأن أدناهم صحبة أفضل من أعلى من جاء بعدهم درجة، ويكفّ لسانه عن الخوض في ما شجر بينهم، مقتديًا في ذلك بهدي النبي صلى الله عليه وسلم في النهي عن سب أصحابه.</w:t>
            </w:r>
          </w:p>
        </w:tc>
      </w:tr>
    </w:tbl>
    <w:p>
      <w:pPr>
        <w:spacing w:after="160"/>
      </w:pPr>
    </w:p>
    <w:p>
      <w:pPr>
        <w:pStyle w:val="Heading1"/>
        <w:pageBreakBefore/>
        <w:bidi/>
        <w:spacing w:after="160" w:before="0"/>
        <w:jc w:val="right"/>
      </w:pPr>
      <w:bookmarkStart w:name="bm_bab7" w:id="1040"/>
      <w:r>
        <w:rPr>
          <w:rFonts w:ascii="Aref Ruqaa" w:cs="Aref Ruqaa" w:eastAsia="Aref Ruqaa" w:hAnsi="Aref Ruqaa"/>
          <w:b/>
          <w:bCs/>
          <w:i w:val="false"/>
          <w:iCs w:val="false"/>
          <w:color w:val="0A1830"/>
          <w:sz w:val="34"/>
          <w:szCs w:val="34"/>
          <w:rtl/>
        </w:rPr>
        <w:t xml:space="preserve">الباب السابع — في الإمامة والسمع والطاعة وأحكام الجهاد والجمعة</w:t>
      </w:r>
      <w:bookmarkEnd w:id="1040"/>
    </w:p>
    <w:p>
      <w:pPr>
        <w:pStyle w:val="Heading2"/>
        <w:bidi/>
        <w:spacing w:after="140" w:before="320"/>
        <w:jc w:val="right"/>
      </w:pPr>
      <w:bookmarkStart w:name="bm_faqrah_29" w:id="1041"/>
      <w:r>
        <w:rPr>
          <w:rFonts w:ascii="Aref Ruqaa" w:cs="Aref Ruqaa" w:eastAsia="Aref Ruqaa" w:hAnsi="Aref Ruqaa"/>
          <w:b/>
          <w:bCs/>
          <w:i w:val="false"/>
          <w:iCs w:val="false"/>
          <w:color w:val="0D2143"/>
          <w:sz w:val="28"/>
          <w:szCs w:val="28"/>
          <w:rtl/>
        </w:rPr>
        <w:t xml:space="preserve">الفقرة التاسعة والعشرون: السمع والطاعة لولاة الأمر</w:t>
      </w:r>
      <w:bookmarkEnd w:id="104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وَالسَّمْعُ وَالطَّاعَةُ لِلْأَئِمَّةِ وَأَمِيرِ الْمُؤْمِنِينَ الْبَرِّ وَالْفَاجِرِ، وَمَنْ وَلِيَ الْخِلَافَةَ وَاجْتَمَعَ النَّاسُ عَلَيْهِ وَرَضُوا بِهِ، وَمَنْ خَرَجَ عَلَيْهِمْ بِالسَّيْفِ حَتَّى صَارَ خَلِيفَةً وَسُمِّيَ أَمِيرَ الْمُؤْمِنِينَ.</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يقرر الإمام أحمد بن حنبل في هذه الفقرة أصلاً جليلاً من أصول الاعتقاد عند أهل السنة والجماعة، وهو وجوب السمع والطاعة لولاة أمر المسلمين، سواء كان الوالي براً تقياً أو فاجراً ظالماً، وسواء تولى الأمر بطريق الشورى واجتماع الناس عليه ورضاهم به، أو تغلّب على الملك بالسيف حتى استقر له الأمر وسُمي أمير المؤمنين. فمناط الطاعة عند الإمام أحمد ليس عدالة الوالي أو نسبه أو الطريقة التي وصل بها إلى الحكم، بل تحقق الاستيلاء الفعلي واجتماع كلمة الناس عليه، بحيث يصير له من السلطان ما يُمكّنه من إقامة الأمور وحفظ نظام الجماعة.</w:t>
      </w:r>
    </w:p>
    <w:p>
      <w:pPr>
        <w:bidi/>
        <w:spacing w:after="140" w:before="0" w:line="300"/>
        <w:jc w:val="both"/>
      </w:pPr>
      <w:r>
        <w:rPr>
          <w:rFonts w:ascii="Amiri" w:cs="Amiri" w:eastAsia="Amiri" w:hAnsi="Amiri"/>
          <w:b w:val="false"/>
          <w:bCs w:val="false"/>
          <w:i w:val="false"/>
          <w:iCs w:val="false"/>
          <w:color w:val="181410"/>
          <w:sz w:val="22"/>
          <w:szCs w:val="22"/>
          <w:rtl/>
        </w:rPr>
        <w:t xml:space="preserve">ولم يقرر الإمام أحمد هذا الأصل اعتباطاً، بل هو ثمرة تجربة مريرة عاشتها الأمة في القرون الأولى من فتنٍ ودماءٍ سالت بسبب الخروج على الولاة ومنازعتهم في الملك، فرأى أئمة السلف - ومنهم الإمام أحمد - أن سد هذا الباب وتقرير وجوب الطاعة ولزوم الجماعة هو الطريق الشرعي لحقن الدماء وحفظ كيان الأمة، ولو كان في ذلك صبر على جَور بعض الولاة، إذ إن مفسدة الخروج والفرقة أعظم من مفسدة الجَور المحتمل.</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Quran" w:cs="Amiri Quran" w:eastAsia="Amiri Quran" w:hAnsi="Amiri Quran"/>
          <w:b w:val="false"/>
          <w:bCs w:val="false"/>
          <w:i w:val="false"/>
          <w:iCs w:val="false"/>
          <w:color w:val="0D2143"/>
          <w:sz w:val="26"/>
          <w:szCs w:val="26"/>
          <w:rtl/>
        </w:rPr>
        <w:t xml:space="preserve">﴿يَا أَيُّهَا الَّذِينَ آمَنُوا أَطِيعُوا اللَّهَ وَأَطِيعُوا الرَّسُولَ وَأُولِي الْأَمْرِ مِنْكُمْ﴾</w:t>
      </w:r>
      <w:r>
        <w:rPr>
          <w:rFonts w:ascii="Cairo" w:cs="Cairo" w:eastAsia="Cairo" w:hAnsi="Cairo"/>
          <w:b/>
          <w:bCs/>
          <w:i w:val="false"/>
          <w:iCs w:val="false"/>
          <w:color w:val="8A6A1F"/>
          <w:sz w:val="16"/>
          <w:szCs w:val="16"/>
          <w:rtl/>
        </w:rPr>
        <w:t xml:space="preserve"> [النساء: 59]</w:t>
      </w:r>
      <w:r>
        <w:rPr>
          <w:rFonts w:ascii="Amiri" w:cs="Amiri" w:eastAsia="Amiri" w:hAnsi="Amiri"/>
          <w:b w:val="false"/>
          <w:bCs w:val="false"/>
          <w:i w:val="false"/>
          <w:iCs w:val="false"/>
          <w:color w:val="181410"/>
          <w:sz w:val="22"/>
          <w:szCs w:val="22"/>
          <w:rtl/>
        </w:rPr>
        <w:t xml:space="preserve">، فقرن الله سبحانه طاعة أولي الأمر بطاعته وطاعة رسوله ﷺ، وهذا أصل في وجوب هذه الطاعة، وإن كان ذلك في غير معصية كما سيأتي بيانه.</w:t>
      </w:r>
    </w:p>
    <w:p>
      <w:pPr>
        <w:bidi/>
        <w:spacing w:after="140" w:before="0" w:line="300"/>
        <w:jc w:val="both"/>
      </w:pPr>
      <w:r>
        <w:rPr>
          <w:rFonts w:ascii="Amiri" w:cs="Amiri" w:eastAsia="Amiri" w:hAnsi="Amiri"/>
          <w:b w:val="false"/>
          <w:bCs w:val="false"/>
          <w:i w:val="false"/>
          <w:iCs w:val="false"/>
          <w:color w:val="181410"/>
          <w:sz w:val="22"/>
          <w:szCs w:val="22"/>
          <w:rtl/>
        </w:rPr>
        <w:t xml:space="preserve">وعن أنس بن مالك رضي الله عنه أن النبي ﷺ قال: «اسْمَعُوا وَأَطِيعُوا، وَإِنِ اسْتُعْمِلَ عَلَيْكُمْ عَبْدٌ حَبَشِيٌّ» (رواه البخاري)؛ ووجه الدلالة أن النبي ﷺ أوجب الطاعة حتى مع تصور أدنى الناس منزلة في عرف ذلك الزمان لو تولى الإمارة، فكيف بمن استقر له الأمر واجتمعت عليه كلمة الناس.</w:t>
      </w:r>
    </w:p>
    <w:p>
      <w:pPr>
        <w:bidi/>
        <w:spacing w:after="140" w:before="0" w:line="300"/>
        <w:jc w:val="both"/>
      </w:pPr>
      <w:r>
        <w:rPr>
          <w:rFonts w:ascii="Amiri" w:cs="Amiri" w:eastAsia="Amiri" w:hAnsi="Amiri"/>
          <w:b w:val="false"/>
          <w:bCs w:val="false"/>
          <w:i w:val="false"/>
          <w:iCs w:val="false"/>
          <w:color w:val="181410"/>
          <w:sz w:val="22"/>
          <w:szCs w:val="22"/>
          <w:rtl/>
        </w:rPr>
        <w:t xml:space="preserve">وعن عبد الله بن عباس رضي الله عنهما أن النبي ﷺ قال: «مَنْ كَرِهَ مِنْ أَمِيرِهِ شَيْئًا فَلْيَصْبِرْ، فَإِنَّهُ مَنْ خَرَجَ مِنَ السُّلْطَانِ شِبْرًا مَاتَ مِيتَةً جَاهِلِيَّةً» (رواه البخاري ومسلم)، وهذا نص صريح في وجوب الصبر على الوالي ولو كره المرء منه شيئاً، وتحذير شديد من الخروج عليه أو منازعته سلطانه.</w:t>
      </w:r>
    </w:p>
    <w:p>
      <w:pPr>
        <w:bidi/>
        <w:spacing w:after="140" w:before="0" w:line="300"/>
        <w:jc w:val="both"/>
      </w:pPr>
      <w:r>
        <w:rPr>
          <w:rFonts w:ascii="Amiri" w:cs="Amiri" w:eastAsia="Amiri" w:hAnsi="Amiri"/>
          <w:b w:val="false"/>
          <w:bCs w:val="false"/>
          <w:i w:val="false"/>
          <w:iCs w:val="false"/>
          <w:color w:val="181410"/>
          <w:sz w:val="22"/>
          <w:szCs w:val="22"/>
          <w:rtl/>
        </w:rPr>
        <w:t xml:space="preserve">ومن ذلك أيضاً ما ثبت عن النبي ﷺ من قوله: «مَنْ أَطَاعَنِي فَقَدْ أَطَاعَ اللَّهَ، وَمَنْ عَصَانِي فَقَدْ عَصَى اللَّهَ، وَمَنْ يُطِعِ الْأَمِيرَ فَقَدْ أَطَاعَنِي، وَمَنْ يَعْصِ الْأَمِيرَ فَقَدْ عَصَانِي» (رواه البخاري ومسلم)، ووجه الدلالة أن طاعة الأمير جُعلت في هذا الحديث من طاعة النبي ﷺ نفسه، وهذا من أعظم ما يبين مكانة هذا الأصل.</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أمير المؤمنين:</w:t>
            </w:r>
            <w:r>
              <w:rPr>
                <w:rFonts w:ascii="Amiri" w:cs="Amiri" w:eastAsia="Amiri" w:hAnsi="Amiri"/>
                <w:b w:val="false"/>
                <w:bCs w:val="false"/>
                <w:i w:val="false"/>
                <w:iCs w:val="false"/>
                <w:color w:val="181410"/>
                <w:sz w:val="22"/>
                <w:szCs w:val="22"/>
                <w:rtl/>
              </w:rPr>
              <w:t xml:space="preserve"> اللقب الشرعي الذي يُطلق على من تولى أمر عموم المسلمين وصارت له الولاية العامة عليهم، سواء وصل إليها بطريق الاختيار والشورى أو بالتغلب والقهر إذا استقر له الأمر واجتمعت عليه كلمة الناس.</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 التفريق بين الطاعة في المعروف والطاعة في المعصية.</w:t>
      </w:r>
      <w:r>
        <w:rPr>
          <w:rFonts w:ascii="Amiri" w:cs="Amiri" w:eastAsia="Amiri" w:hAnsi="Amiri"/>
          <w:b w:val="false"/>
          <w:bCs w:val="false"/>
          <w:i w:val="false"/>
          <w:iCs w:val="false"/>
          <w:color w:val="181410"/>
          <w:sz w:val="22"/>
          <w:szCs w:val="22"/>
          <w:rtl/>
        </w:rPr>
        <w:t xml:space="preserve"> اتفق أهل السنة على أن وجوب طاعة ولي الأمر مقيد بغير معصية الله، فما أمر به الوالي من المباحات والمصالح العامة وجبت طاعته فيه ولو كان الوالي نفسه فاسقاً فاجراً في حياته الخاصة، وأما إن أمر بمعصية فلا طاعة له فيها، لقول النبي ﷺ: «إِنَّمَا الطَّاعَةُ فِي الْمَعْرُوفِ» (متفق عليه)، وقد تقرر عند أهل العلم أن "لا طاعة لمخلوق في معصية الخالق". فالميزان إذن ذو شقين: وجوب الطاعة في غير المعصية، وحرمة الطاعة في المعصية، وليس أحدهما نافياً للآخر.</w:t>
      </w:r>
    </w:p>
    <w:p>
      <w:pPr>
        <w:bidi/>
        <w:spacing w:after="140" w:before="0" w:line="300"/>
        <w:jc w:val="both"/>
      </w:pPr>
      <w:r>
        <w:rPr>
          <w:rFonts w:ascii="Amiri" w:cs="Amiri" w:eastAsia="Amiri" w:hAnsi="Amiri"/>
          <w:b/>
          <w:bCs/>
          <w:i w:val="false"/>
          <w:iCs w:val="false"/>
          <w:color w:val="0D2143"/>
          <w:sz w:val="22"/>
          <w:szCs w:val="22"/>
          <w:rtl/>
        </w:rPr>
        <w:t xml:space="preserve">المسألة الثانية: منهج أهل السنة في عدم الخروج على الحاكم الجائر.</w:t>
      </w:r>
      <w:r>
        <w:rPr>
          <w:rFonts w:ascii="Amiri" w:cs="Amiri" w:eastAsia="Amiri" w:hAnsi="Amiri"/>
          <w:b w:val="false"/>
          <w:bCs w:val="false"/>
          <w:i w:val="false"/>
          <w:iCs w:val="false"/>
          <w:color w:val="181410"/>
          <w:sz w:val="22"/>
          <w:szCs w:val="22"/>
          <w:rtl/>
        </w:rPr>
        <w:t xml:space="preserve"> من أصول أهل السنة والجماعة التي تميزهم عن الخوارج أنهم لا يرون الخروج المسلح على الوالي الجائر ولو ظلم وجار وأخذ المال بغير حقه، ما دام مقيماً للصلاة ولم يظهر منه كفر بواح فيه من الله برهان، وذلك درءاً لمفسدة الفتنة وسفك الدماء التي هي أعظم من مفسدة جوره. أما الخوارج فأصّلوا الخروج على الإمام بمجرد ظهور المعصية أو الكبيرة منه، بل استحلوا دمه عندهم، فأراقوا الدماء وشقوا عصا الطاعة، وكانت عاقبة ذلك فتناً عظيمة شهدها التاريخ الإسلامي.</w:t>
      </w:r>
    </w:p>
    <w:p>
      <w:pPr>
        <w:bidi/>
        <w:spacing w:after="140" w:before="0" w:line="300"/>
        <w:jc w:val="both"/>
      </w:pPr>
      <w:r>
        <w:rPr>
          <w:rFonts w:ascii="Amiri" w:cs="Amiri" w:eastAsia="Amiri" w:hAnsi="Amiri"/>
          <w:b/>
          <w:bCs/>
          <w:i w:val="false"/>
          <w:iCs w:val="false"/>
          <w:color w:val="0D2143"/>
          <w:sz w:val="22"/>
          <w:szCs w:val="22"/>
          <w:rtl/>
        </w:rPr>
        <w:t xml:space="preserve">المسألة الثالثة: لماذا شدد الإمام أحمد على هذا الأصل بالذات؟</w:t>
      </w:r>
      <w:r>
        <w:rPr>
          <w:rFonts w:ascii="Amiri" w:cs="Amiri" w:eastAsia="Amiri" w:hAnsi="Amiri"/>
          <w:b w:val="false"/>
          <w:bCs w:val="false"/>
          <w:i w:val="false"/>
          <w:iCs w:val="false"/>
          <w:color w:val="181410"/>
          <w:sz w:val="22"/>
          <w:szCs w:val="22"/>
          <w:rtl/>
        </w:rPr>
        <w:t xml:space="preserve"> عاش الإمام أحمد فترة اضطربت فيها أحوال الأمة، وشهد ما تجره الفتنة من فرقة وسفك دماء، فكان تأكيده على وجوب لزوم الجماعة وطاعة ولاة الأمر - أياً كانت صفتهم - سياجاً منهجياً يحمي وحدة الأمة من التمزق، ويحفظ للناس أمنهم واستقرار دينهم ودنياهم.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يسمع ويطيع لولي أمره فيما ليس معصية لله، ولو كان الوالي فاجراً ظالماً، وأن يصبر على ما يكره منه، ولا يخرج عليه بالسيف ولا ينازعه سلطانه، حفظاً لجماعة المسلمين وحقناً لدمائهم.</w:t>
            </w:r>
          </w:p>
        </w:tc>
      </w:tr>
    </w:tbl>
    <w:p>
      <w:pPr>
        <w:spacing w:after="160"/>
      </w:pPr>
    </w:p>
    <w:p>
      <w:pPr>
        <w:pStyle w:val="Heading2"/>
        <w:bidi/>
        <w:spacing w:after="140" w:before="320"/>
        <w:jc w:val="right"/>
      </w:pPr>
      <w:bookmarkStart w:name="bm_faqrah_30" w:id="1042"/>
      <w:r>
        <w:rPr>
          <w:rFonts w:ascii="Aref Ruqaa" w:cs="Aref Ruqaa" w:eastAsia="Aref Ruqaa" w:hAnsi="Aref Ruqaa"/>
          <w:b/>
          <w:bCs/>
          <w:i w:val="false"/>
          <w:iCs w:val="false"/>
          <w:color w:val="0D2143"/>
          <w:sz w:val="28"/>
          <w:szCs w:val="28"/>
          <w:rtl/>
        </w:rPr>
        <w:t xml:space="preserve">الفقرة الثلاثون: الجهاد وقسمة الفيء وإقامة الحدود ودفع الصدقات مع كل إمام</w:t>
      </w:r>
      <w:bookmarkEnd w:id="104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وَالْغَزْوُ مَاضٍ مَعَ الْأُمَرَاءِ إِلَى يَوْمِ الْقِيَامَةِ، الْبَرِّ وَالْفَاجِرِ لَا يُتْرَكُ.</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وَقِسْمَةُ الْفَيْءِ وَإِقَامَةُ الْحُدُودِ إِلَى الْأَئِمَّةِ مَاضٍ، لَيْسَ لِأَحَدٍ أَنْ يَطْعَنَ عَلَيْهِمْ وَلَا يُنَازِعَهُمْ.</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وَدَفْعُ الصَّدَقَاتِ إِلَيْهِمْ جَائِزَةٌ نَافِذَةٌ، مَنْ دَفَعَهَا إِلَيْهِمْ أَجْزَأَتْ عَنْهُ بَرّاً كَانَ أَوْ فَاجِراً.</w:t>
      </w:r>
      <w:r>
        <w:rPr>
          <w:rFonts w:ascii="Amiri" w:cs="Amiri" w:eastAsia="Amiri" w:hAnsi="Amiri"/>
          <w:b w:val="false"/>
          <w:bCs w:val="false"/>
          <w:i w:val="false"/>
          <w:iCs w:val="false"/>
          <w:color w:val="0A1830"/>
          <w:sz w:val="24"/>
          <w:szCs w:val="24"/>
          <w:rtl/>
        </w:rPr>
        <w:t xml:space="preserve">
</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تتضمن هذه الفقرة ثلاثة أحكام مرتبطة جميعها بمسألة واحدة، وهي أن قيام بعض الشعائر والفرائض الجماعية في الأمة لا يتوقف على عدالة الإمام أو ولي الأمر، بل يمضي مع كل والٍ تولى الأمر، براً كان أو فاجراً: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الأول: الجهاد والغزو في سبيل الله ماضٍ مع الأمراء إلى يوم القيامة، لا يُترك بحال، ولا يسقط وجوبه بفسق الأمير أو جوره.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الثاني: قسمة الفيء (وهو ما أُخذ من أموال الكفار بغير قتال، ويلحق به عند الإطلاق أموال بيت المال العامة) وإقامة الحدود الشرعية موكولة إلى الأئمة وولاة الأمر، فليس لآحاد الناس أن ينازعوهم فيها أو يطعنوا عليهم في تصرفهم.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الثالث: دفع الزكاة (الصدقات) إلى الأئمة وولاتهم جائز مُجزئ، تبرأ به ذمة المُزكّي، سواء كان الوالي القابض للزكاة عدلاً أميناً أو فاجراً يسيء التصرف فيها.</w:t>
      </w:r>
    </w:p>
    <w:p>
      <w:pPr>
        <w:bidi/>
        <w:spacing w:after="140" w:before="0" w:line="300"/>
        <w:jc w:val="both"/>
      </w:pPr>
      <w:r>
        <w:rPr>
          <w:rFonts w:ascii="Amiri" w:cs="Amiri" w:eastAsia="Amiri" w:hAnsi="Amiri"/>
          <w:b w:val="false"/>
          <w:bCs w:val="false"/>
          <w:i w:val="false"/>
          <w:iCs w:val="false"/>
          <w:color w:val="181410"/>
          <w:sz w:val="22"/>
          <w:szCs w:val="22"/>
          <w:rtl/>
        </w:rPr>
        <w:t xml:space="preserve">والجامع بين هذه المسائل الثلاث أن الإمام أحمد أراد أن يقطع الطريق على من يجعل من جور بعض الولاة أو فسقهم ذريعة لتعطيل هذه الفرائض الجماعية العظيمة - الجهاد، وتنفيذ الحدود، وأداء الزكاة - أو ذريعة للتمرد على نظام الجماعة، فقرر أن هذه الأمور من صلاحيات ولي الأمر بحكم ولايته العامة، لا بحكم عدالته الشخصية، وأن تعطيلها بدعوى انتظار الإمام العادل يفضي إلى تعطيل الدين وتفكك جماعة المسلمين، وهذا امتداد لذات المعنى الذي أصّله في الفقرة السابقة.</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الأصل في استمرار مشروعية الجهاد قوله تعالى: </w:t>
      </w:r>
      <w:r>
        <w:rPr>
          <w:rFonts w:ascii="Amiri Quran" w:cs="Amiri Quran" w:eastAsia="Amiri Quran" w:hAnsi="Amiri Quran"/>
          <w:b w:val="false"/>
          <w:bCs w:val="false"/>
          <w:i w:val="false"/>
          <w:iCs w:val="false"/>
          <w:color w:val="0D2143"/>
          <w:sz w:val="26"/>
          <w:szCs w:val="26"/>
          <w:rtl/>
        </w:rPr>
        <w:t xml:space="preserve">﴿وَقَاتِلُوا فِي سَبِيلِ اللَّهِ الَّذِينَ يُقَاتِلُونَكُمْ وَلَا تَعْتَدُوا﴾</w:t>
      </w:r>
      <w:r>
        <w:rPr>
          <w:rFonts w:ascii="Cairo" w:cs="Cairo" w:eastAsia="Cairo" w:hAnsi="Cairo"/>
          <w:b/>
          <w:bCs/>
          <w:i w:val="false"/>
          <w:iCs w:val="false"/>
          <w:color w:val="8A6A1F"/>
          <w:sz w:val="16"/>
          <w:szCs w:val="16"/>
          <w:rtl/>
        </w:rPr>
        <w:t xml:space="preserve"> [البقرة: 190]</w:t>
      </w:r>
      <w:r>
        <w:rPr>
          <w:rFonts w:ascii="Amiri" w:cs="Amiri" w:eastAsia="Amiri" w:hAnsi="Amiri"/>
          <w:b w:val="false"/>
          <w:bCs w:val="false"/>
          <w:i w:val="false"/>
          <w:iCs w:val="false"/>
          <w:color w:val="181410"/>
          <w:sz w:val="22"/>
          <w:szCs w:val="22"/>
          <w:rtl/>
        </w:rPr>
        <w:t xml:space="preserve">، وهذا الأمر بالقتال خطاب عام للأمة لم يُقيَّد بصفة معينة في القائد أو الأمير.</w:t>
      </w:r>
    </w:p>
    <w:p>
      <w:pPr>
        <w:bidi/>
        <w:spacing w:after="140" w:before="0" w:line="300"/>
        <w:jc w:val="both"/>
      </w:pPr>
      <w:r>
        <w:rPr>
          <w:rFonts w:ascii="Amiri" w:cs="Amiri" w:eastAsia="Amiri" w:hAnsi="Amiri"/>
          <w:b w:val="false"/>
          <w:bCs w:val="false"/>
          <w:i w:val="false"/>
          <w:iCs w:val="false"/>
          <w:color w:val="181410"/>
          <w:sz w:val="22"/>
          <w:szCs w:val="22"/>
          <w:rtl/>
        </w:rPr>
        <w:t xml:space="preserve">وقال النبي ﷺ: «لَا تَزَالُ طَائِفَةٌ مِنْ أُمَّتِي ظَاهِرِينَ عَلَى الْحَقِّ» (رواه مسلم)؛ ووجه الاستدلال به في هذا الموضع أن استمرار قيام طائفة من الأمة قائمة بالحق - ومن أعظم مظاهره الجهاد في سبيل الله - أمر ماضٍ متصل لا ينقطع، فالجهاد لا يُعطَّل بتغير أحوال الولاة، بل يبقى قائماً بقيام هذه الطائفة الظاهرة على الحق مع من ولي أمرها.</w:t>
      </w:r>
    </w:p>
    <w:p>
      <w:pPr>
        <w:bidi/>
        <w:spacing w:after="140" w:before="0" w:line="300"/>
        <w:jc w:val="both"/>
      </w:pPr>
      <w:r>
        <w:rPr>
          <w:rFonts w:ascii="Amiri" w:cs="Amiri" w:eastAsia="Amiri" w:hAnsi="Amiri"/>
          <w:b w:val="false"/>
          <w:bCs w:val="false"/>
          <w:i w:val="false"/>
          <w:iCs w:val="false"/>
          <w:color w:val="181410"/>
          <w:sz w:val="22"/>
          <w:szCs w:val="22"/>
          <w:rtl/>
        </w:rPr>
        <w:t xml:space="preserve">وأما دفع الزكاة إلى ولاة الأمر فأصله قوله تعالى: </w:t>
      </w:r>
      <w:r>
        <w:rPr>
          <w:rFonts w:ascii="Amiri Quran" w:cs="Amiri Quran" w:eastAsia="Amiri Quran" w:hAnsi="Amiri Quran"/>
          <w:b w:val="false"/>
          <w:bCs w:val="false"/>
          <w:i w:val="false"/>
          <w:iCs w:val="false"/>
          <w:color w:val="0D2143"/>
          <w:sz w:val="26"/>
          <w:szCs w:val="26"/>
          <w:rtl/>
        </w:rPr>
        <w:t xml:space="preserve">﴿خُذْ مِنْ أَمْوَالِهِمْ صَدَقَةً تُطَهِّرُهُمْ وَتُزَكِّيهِمْ بِهَا﴾</w:t>
      </w:r>
      <w:r>
        <w:rPr>
          <w:rFonts w:ascii="Cairo" w:cs="Cairo" w:eastAsia="Cairo" w:hAnsi="Cairo"/>
          <w:b/>
          <w:bCs/>
          <w:i w:val="false"/>
          <w:iCs w:val="false"/>
          <w:color w:val="8A6A1F"/>
          <w:sz w:val="16"/>
          <w:szCs w:val="16"/>
          <w:rtl/>
        </w:rPr>
        <w:t xml:space="preserve"> [التوبة: 103]</w:t>
      </w:r>
      <w:r>
        <w:rPr>
          <w:rFonts w:ascii="Amiri" w:cs="Amiri" w:eastAsia="Amiri" w:hAnsi="Amiri"/>
          <w:b w:val="false"/>
          <w:bCs w:val="false"/>
          <w:i w:val="false"/>
          <w:iCs w:val="false"/>
          <w:color w:val="181410"/>
          <w:sz w:val="22"/>
          <w:szCs w:val="22"/>
          <w:rtl/>
        </w:rPr>
        <w:t xml:space="preserve">، وهذا الأخذ إنما يكون بيد الإمام أو من ينيبه، وقد كان هذا عمل الصحابة رضي الله عنهم مع السعاة الذين يبعثهم أولو الأمر لجمع الصدقات، فإذا دفعها المزكي إلى من له الولاية على جمعها برئت ذمته، وكان إثم سوء التصرف فيها - إن وقع - على من قبضها لا على من أدّاها.</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يظن بعض الناس أن سوء تصرف بعض الولاة في أموال الزكاة أو الفيء يُبرر الامتناع عن دفع الزكاة إليهم، أو الاستئثار بقسمتها بأنفسهم. وهذا خطأ مخالف لما قرره أهل السنة، إذ الواجب على المسلم أداء ما عليه، وتبرأ ذمته بالدفع إلى من له الولاية الشرعية على جمعها، وسوء التصرف فيها - إن وقع - إثمه على من ولي قبضها وتصرف فيها بغير حق، لا على من أدّاها بنية صادقة.</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 إقامة الحدود من خصائص السلطان العام.</w:t>
      </w:r>
      <w:r>
        <w:rPr>
          <w:rFonts w:ascii="Amiri" w:cs="Amiri" w:eastAsia="Amiri" w:hAnsi="Amiri"/>
          <w:b w:val="false"/>
          <w:bCs w:val="false"/>
          <w:i w:val="false"/>
          <w:iCs w:val="false"/>
          <w:color w:val="181410"/>
          <w:sz w:val="22"/>
          <w:szCs w:val="22"/>
          <w:rtl/>
        </w:rPr>
        <w:t xml:space="preserve"> اتفق أهل السنة على أن إقامة الحدود الشرعية (كحد السرقة والزنا والقذف والحرابة) من اختصاص الإمام أو من ينيبه، ولا يجوز لآحاد الناس تنفيذها بأنفسهم ولو كانوا على يقين من ثبوت الجريمة، لما في ذلك من الفوضى وتعدي بعضهم على بعض بدعوى إقامة الحد. فإن قصّر الإمام في إقامة بعض الحدود أو أخطأ في بعضها، فالمرجع في تقويمه النصيحة لا منازعته سلطانه ولا التعدي على ولايته.</w:t>
      </w:r>
    </w:p>
    <w:p>
      <w:pPr>
        <w:bidi/>
        <w:spacing w:after="140" w:before="0" w:line="300"/>
        <w:jc w:val="both"/>
      </w:pPr>
      <w:r>
        <w:rPr>
          <w:rFonts w:ascii="Amiri" w:cs="Amiri" w:eastAsia="Amiri" w:hAnsi="Amiri"/>
          <w:b/>
          <w:bCs/>
          <w:i w:val="false"/>
          <w:iCs w:val="false"/>
          <w:color w:val="0D2143"/>
          <w:sz w:val="22"/>
          <w:szCs w:val="22"/>
          <w:rtl/>
        </w:rPr>
        <w:t xml:space="preserve">المسألة الثانية: هل يسقط الجهاد بفسق الأمير؟</w:t>
      </w:r>
      <w:r>
        <w:rPr>
          <w:rFonts w:ascii="Amiri" w:cs="Amiri" w:eastAsia="Amiri" w:hAnsi="Amiri"/>
          <w:b w:val="false"/>
          <w:bCs w:val="false"/>
          <w:i w:val="false"/>
          <w:iCs w:val="false"/>
          <w:color w:val="181410"/>
          <w:sz w:val="22"/>
          <w:szCs w:val="22"/>
          <w:rtl/>
        </w:rPr>
        <w:t xml:space="preserve"> لا يسقط، لأن الجهاد فرض متعلق بمصلحة الأمة العامة في الدفاع عن بيضة الإسلام وحماية الثغور، وليس متوقفاً على عدالة القائد الشخصية؛ فقد جاهد الصحابة والتابعون تحت راية أمراء متفاوتين في العدالة والورع، ولم يمتنعوا عن الجهاد بحجة عدم رضاهم عن سيرة الأمير الخاصة، بل كانوا يفرقون بين الحكم على شخص الأمير وبين وجوب المشاركة في الواجب الجماعي الذي يقوده.</w:t>
      </w:r>
    </w:p>
    <w:p>
      <w:pPr>
        <w:bidi/>
        <w:spacing w:after="140" w:before="0" w:line="300"/>
        <w:jc w:val="both"/>
      </w:pPr>
      <w:r>
        <w:rPr>
          <w:rFonts w:ascii="Amiri" w:cs="Amiri" w:eastAsia="Amiri" w:hAnsi="Amiri"/>
          <w:b/>
          <w:bCs/>
          <w:i w:val="false"/>
          <w:iCs w:val="false"/>
          <w:color w:val="0D2143"/>
          <w:sz w:val="22"/>
          <w:szCs w:val="22"/>
          <w:rtl/>
        </w:rPr>
        <w:t xml:space="preserve">المسألة الثالثة: صلة هذه الفقرة بأصل السمع والطاعة.</w:t>
      </w:r>
      <w:r>
        <w:rPr>
          <w:rFonts w:ascii="Amiri" w:cs="Amiri" w:eastAsia="Amiri" w:hAnsi="Amiri"/>
          <w:b w:val="false"/>
          <w:bCs w:val="false"/>
          <w:i w:val="false"/>
          <w:iCs w:val="false"/>
          <w:color w:val="181410"/>
          <w:sz w:val="22"/>
          <w:szCs w:val="22"/>
          <w:rtl/>
        </w:rPr>
        <w:t xml:space="preserve"> هذه الفقرة تطبيق عملي للأصل الذي قررته الفقرة السابقة، فإذا كانت طاعة ولي الأمر واجبة في غير معصية، فإن من أظهر صور هذه الطاعة المشاركة في جهاده، والامتثال لقسمته للفيء وإقامته للحدود، ودفع الزكاة إليه إذا طلبها؛ فهذه كلها من مقتضى لزوم الجماعة الذي شدد عليه الإمام أحمد.</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يشارك في الجهاد مع الأمراء ولا يتخلف عنه بحجة جورهم، وأن يدفع زكاته إلى ولاة الأمر إذا طلبوها فتبرأ بذلك ذمته، وأن لا ينازع الإمام فيما وُكل إليه من قسمة الفيء وإقامة الحدود، بل ينصح ولا يطعن.</w:t>
            </w:r>
          </w:p>
        </w:tc>
      </w:tr>
    </w:tbl>
    <w:p>
      <w:pPr>
        <w:spacing w:after="160"/>
      </w:pPr>
    </w:p>
    <w:p>
      <w:pPr>
        <w:pStyle w:val="Heading2"/>
        <w:bidi/>
        <w:spacing w:after="140" w:before="320"/>
        <w:jc w:val="right"/>
      </w:pPr>
      <w:bookmarkStart w:name="bm_faqrah_31" w:id="1043"/>
      <w:r>
        <w:rPr>
          <w:rFonts w:ascii="Aref Ruqaa" w:cs="Aref Ruqaa" w:eastAsia="Aref Ruqaa" w:hAnsi="Aref Ruqaa"/>
          <w:b/>
          <w:bCs/>
          <w:i w:val="false"/>
          <w:iCs w:val="false"/>
          <w:color w:val="0D2143"/>
          <w:sz w:val="28"/>
          <w:szCs w:val="28"/>
          <w:rtl/>
        </w:rPr>
        <w:t xml:space="preserve">الفقرة الحادية والثلاثون: صلاة الجمعة خلف كل إمام</w:t>
      </w:r>
      <w:bookmarkEnd w:id="104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وَصَلَاةُ الْجُمُعَةِ خَلْفَهُ وَخَلْفَ كُلِّ مَنْ وَلِيَ جَائِزَةٌ تَامَّةٌ رَكْعَتَيْنِ، مَنْ أَعَادَهُمَا فَهُوَ مُبْتَدِعٌ تَارِكٌ لِلْآثَارِ مُخَالِفٌ لِلسُّنَّةِ، لَيْسَ لَهُ مِنْ فَضْلِ الْجُمُعَةِ شَيْءٌ إِذَا لَمْ يَرَ الصَّلَاةَ خَلْفَ الْأَئِمَّةِ بَرِّهِمْ وَفَاجِرِهِمْ، فَالسُّنَّةُ أَنْ يُصَلِّيَ مَعَهُمْ رَكْعَتَيْنِ وَيَدِينَ بِأَنَّهَا تَامَّةٌ، وَلَا يَكُنْ فِي صَدْرِكَ مِنْ ذَلِكَ شَكٌّ.</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يقرر الإمام أحمد في هذه الفقرة حكماً فقهياً متصلاً بأصل السمع والطاعة الذي تقدم، وهو أن صلاة الجمعة خلف كل من ولي أمر المسلمين - إماماً كان أو أميراً أو من ينيبه - صحيحة تامة، ركعتان لا تُقصر ولا تُعاد ظهراً، سواء كان هذا الوالي براً تقياً أو فاجراً مقصراً في نفسه. بل يذهب الإمام أحمد أبعد من ذلك، فيصف من يرى إعادة الجمعة ظهراً بعد صلاتها خلف إمام غير مرضي عنده بأنه "مبتدع تارك للآثار مخالف للسنة"، وينفي عنه فضل الجمعة بالكلية إذا كان هذا رأيه ومعتقده، ويأمر المسلم أن يصلي مع الأئمة ركعتين ويعتقد أنها صلاة تامة كاملة، لا يخالجه في ذلك شك.</w:t>
      </w:r>
    </w:p>
    <w:p>
      <w:pPr>
        <w:bidi/>
        <w:spacing w:after="140" w:before="0" w:line="300"/>
        <w:jc w:val="both"/>
      </w:pPr>
      <w:r>
        <w:rPr>
          <w:rFonts w:ascii="Amiri" w:cs="Amiri" w:eastAsia="Amiri" w:hAnsi="Amiri"/>
          <w:b w:val="false"/>
          <w:bCs w:val="false"/>
          <w:i w:val="false"/>
          <w:iCs w:val="false"/>
          <w:color w:val="181410"/>
          <w:sz w:val="22"/>
          <w:szCs w:val="22"/>
          <w:rtl/>
        </w:rPr>
        <w:t xml:space="preserve">وسبب هذا التشديد أن بعض أهل الأهواء في عصر الإمام أحمد كانوا يمتنعون عن الصلاة خلف من يخالفهم في بعض المسائل، أو خلف من يرونه مقصراً أو فاسقاً، فيعيدون الصلاة ظهراً بعد أن يصلوا خلفه جمعة، وهذا عين ما حذر منه الإمام أحمد، إذ إنه يفضي إلى تفريق صفوف المسلمين في أعظم مجامعهم الأسبوعية، ويجعل صحة العبادة رهينة بالرضا الشخصي عن الإمام، وهذا خلاف منهج السلف الذين كانوا يصلون خلف الأئمة على اختلاف أحوالهم من غير نكير ولا إعادة.</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ورد في بعض الآثار عن النبي ﷺ قوله: «صَلُّوا خَلْفَ كُلِّ بَرٍّ وَفَاجِرٍ» (يُروى من طريق الدارقطني)، وسيأتي التنبيه على حال هذا الأثر.</w:t>
      </w:r>
    </w:p>
    <w:p>
      <w:pPr>
        <w:bidi/>
        <w:spacing w:after="140" w:before="0" w:line="300"/>
        <w:jc w:val="both"/>
      </w:pPr>
      <w:r>
        <w:rPr>
          <w:rFonts w:ascii="Amiri" w:cs="Amiri" w:eastAsia="Amiri" w:hAnsi="Amiri"/>
          <w:b w:val="false"/>
          <w:bCs w:val="false"/>
          <w:i w:val="false"/>
          <w:iCs w:val="false"/>
          <w:color w:val="181410"/>
          <w:sz w:val="22"/>
          <w:szCs w:val="22"/>
          <w:rtl/>
        </w:rPr>
        <w:t xml:space="preserve">وقد نُقل عن الإمام أحمد نفسه قوله: "من أعاد الجمعة فهو مبتدع"، وهذا موافق لما استقر عليه عمل السلف من الصلاة خلف الأئمة من غير تفريق بين برهم وفاجرهم، فقد كان الصحابة والتابعون يصلون الجمعة والجماعات خلف الولاة على تفاوت أحوالهم، ولم يُنقل عن أحد منهم أنه كان يعيد صلاته ظهراً بعد أدائها جمعة خلف من لا يرضى سيرته، بل كان إنكارهم - إن وُجد - على تصرفات الوالي، لا على صحة الصلاة خلفه.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 التفريق بين إنكار المعصية والامتناع عن الصلاة خلف صاحبها.</w:t>
      </w:r>
      <w:r>
        <w:rPr>
          <w:rFonts w:ascii="Amiri" w:cs="Amiri" w:eastAsia="Amiri" w:hAnsi="Amiri"/>
          <w:b w:val="false"/>
          <w:bCs w:val="false"/>
          <w:i w:val="false"/>
          <w:iCs w:val="false"/>
          <w:color w:val="181410"/>
          <w:sz w:val="22"/>
          <w:szCs w:val="22"/>
          <w:rtl/>
        </w:rPr>
        <w:t xml:space="preserve"> إنكار معصية الإمام أو تقصيره واجب بالطرق الشرعية المعتبرة كالنصيحة والإنكار باللسان حسب الاستطاعة، وهذا لا يستلزم الامتناع عن الصلاة خلفه أو إعادتها، فهذان أمران منفصلان: صحة الصلاة تتعلق بصحة إسلام الإمام وأركان الصلاة وشروطها، لا بعدالته الشخصية أو استقامته.</w:t>
      </w:r>
    </w:p>
    <w:p>
      <w:pPr>
        <w:bidi/>
        <w:spacing w:after="140" w:before="0" w:line="300"/>
        <w:jc w:val="both"/>
      </w:pPr>
      <w:r>
        <w:rPr>
          <w:rFonts w:ascii="Amiri" w:cs="Amiri" w:eastAsia="Amiri" w:hAnsi="Amiri"/>
          <w:b/>
          <w:bCs/>
          <w:i w:val="false"/>
          <w:iCs w:val="false"/>
          <w:color w:val="0D2143"/>
          <w:sz w:val="22"/>
          <w:szCs w:val="22"/>
          <w:rtl/>
        </w:rPr>
        <w:t xml:space="preserve">المسألة الثانية: بدعية الإعادة.</w:t>
      </w:r>
      <w:r>
        <w:rPr>
          <w:rFonts w:ascii="Amiri" w:cs="Amiri" w:eastAsia="Amiri" w:hAnsi="Amiri"/>
          <w:b w:val="false"/>
          <w:bCs w:val="false"/>
          <w:i w:val="false"/>
          <w:iCs w:val="false"/>
          <w:color w:val="181410"/>
          <w:sz w:val="22"/>
          <w:szCs w:val="22"/>
          <w:rtl/>
        </w:rPr>
        <w:t xml:space="preserve"> وصف الإمام أحمد من يعيد الجمعة ظهراً بـ"المبتدع"؛ لأن في فعله إحداثاً في الدين لم يأذن به الشرع، وطعناً ضمنياً في صحة الصلاة خلف عموم الأئمة، وهذا يفضي - إن انتشر - إلى تفكك صلاة الجماعة والجمعة، وتعدد الصفوف بحسب الرضا عن كل إمام، وهو باب فتنة عظيم يخالف مقصود الشرع من هذه الشعائر الجامعة.</w:t>
      </w:r>
    </w:p>
    <w:p>
      <w:pPr>
        <w:bidi/>
        <w:spacing w:after="140" w:before="0" w:line="300"/>
        <w:jc w:val="both"/>
      </w:pPr>
      <w:r>
        <w:rPr>
          <w:rFonts w:ascii="Amiri" w:cs="Amiri" w:eastAsia="Amiri" w:hAnsi="Amiri"/>
          <w:b/>
          <w:bCs/>
          <w:i w:val="false"/>
          <w:iCs w:val="false"/>
          <w:color w:val="0D2143"/>
          <w:sz w:val="22"/>
          <w:szCs w:val="22"/>
          <w:rtl/>
        </w:rPr>
        <w:t xml:space="preserve">المسألة الثالثة: الأصل العام في الصلاة خلف أهل القبلة.</w:t>
      </w:r>
      <w:r>
        <w:rPr>
          <w:rFonts w:ascii="Amiri" w:cs="Amiri" w:eastAsia="Amiri" w:hAnsi="Amiri"/>
          <w:b w:val="false"/>
          <w:bCs w:val="false"/>
          <w:i w:val="false"/>
          <w:iCs w:val="false"/>
          <w:color w:val="181410"/>
          <w:sz w:val="22"/>
          <w:szCs w:val="22"/>
          <w:rtl/>
        </w:rPr>
        <w:t xml:space="preserve"> يقرر أهل السنة أن الصلاة خلف كل مسلم مقيم للصلاة - ولو كان فاسقاً في نفسه أو مبتدعاً ببدعة لا تصل إلى الكفر - صحيحة مجزئة، ولا يعيدها من صلاها خلفه، وإنما تُترك الصلاة خلف من ظهر منه ناقض من نواقض الإسلام حتى تُقام عليه الحجة وتُعرف حاله.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يصلي الجمعة والجماعة خلف ولاة أمره وأئمة مساجده على اختلاف أحوالهم، وأن يعتقد صحة صلاته وتمامها، ولا يعيدها ظهراً، ولا يجعل تقصير الإمام سبباً لهجر الجماعة أو الطعن في صحة عبادته.</w:t>
            </w:r>
          </w:p>
        </w:tc>
      </w:tr>
    </w:tbl>
    <w:p>
      <w:pPr>
        <w:spacing w:after="160"/>
      </w:pPr>
    </w:p>
    <w:p>
      <w:pPr>
        <w:pStyle w:val="Heading2"/>
        <w:bidi/>
        <w:spacing w:after="140" w:before="320"/>
        <w:jc w:val="right"/>
      </w:pPr>
      <w:bookmarkStart w:name="bm_faqrah_32" w:id="1044"/>
      <w:r>
        <w:rPr>
          <w:rFonts w:ascii="Aref Ruqaa" w:cs="Aref Ruqaa" w:eastAsia="Aref Ruqaa" w:hAnsi="Aref Ruqaa"/>
          <w:b/>
          <w:bCs/>
          <w:i w:val="false"/>
          <w:iCs w:val="false"/>
          <w:color w:val="0D2143"/>
          <w:sz w:val="28"/>
          <w:szCs w:val="28"/>
          <w:rtl/>
        </w:rPr>
        <w:t xml:space="preserve">الفقرة الثانية والثلاثون: ضوابط قتال اللصوص والخوارج دفاعاً عن النفس</w:t>
      </w:r>
      <w:bookmarkEnd w:id="104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وَقِتَالُ اللُّصُوصِ وَالْخَوَارِجِ جَائِزٌ إِذَا عَرَضُوا لِلرَّجُلِ فِي نَفْسِهِ وَمَالِهِ فَلَهُ أَنْ يُقَاتِلَ عَنْ نَفْسِهِ وَمَالِهِ وَيَدْفَعَ عَنْهَا بِكُلِّ مَا يَقْدِرُ، وَلَيْسَ لَهُ إِذَا فَارَقُوهُ أَوْ تَرَكُوهُ أَنْ يَطْلُبَهُمْ وَلَا يَتَّبِعَ آثَارَهُمْ؛ لَيْسَ لِأَحَدٍ ذَلِكَ إِلَّا الْإِمَامُ أَوْ وُلَاةُ الْأَمْرِ.</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وَإِنَّمَا لَهُ أَنْ يَدْفَعَ عَنْ نَفْسِهِ فِي مَقَامِهِ ذَلِكَ، وَيَنْوِيَ بِجُهْدِهِ أَنْ لَا يَقْتُلَ أَحَداً، فَإِنْ مَاتَ عَلَى يَدَيْهِ فِي دَفْعِهِ عَنْ نَفْسِهِ فِي الْمَعْرَكَةِ فَأَبْعَدَ اللَّهُ الْمَقْتُولَ، وَإِنْ قُتِلَ هَذَا فِي تِلْكَ الْحَالِ وَهُوَ يَدْفَعُ عَنْ نَفْسِهِ وَمَالِهِ رَجَوْتُ لَهُ الشَّهَادَةَ كَمَا جَاءَ فِي الْأَحَادِيثِ.</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وَجَمِيعُ الْآثَارِ فِي هَذَا إِنَّمَا أَمَرَ بِقِتَالِهِ وَلَمْ يُؤْمَرْ بِقَتْلِهِ وَلَا اتِّبَاعِهِ وَلَا يُجْهِزُ عَلَيْهِ إِنْ صُرِعَ أَوْ كَانَ جَرِيحاً، وَإِنْ أَخَذَهُ أَسِيراً فَلَيْسَ لَهُ أَنْ يَقْتُلَهُ وَلَا يُقِيمَ عَلَيْهِ الْحَدَّ، وَلَكِنْ يَرْفَعَ أَمْرَهُ إِلَى مَنْ وَلَّاهُ اللَّهُ فَيَحْكُمَ فِيهِ.</w:t>
      </w:r>
      <w:r>
        <w:rPr>
          <w:rFonts w:ascii="Amiri" w:cs="Amiri" w:eastAsia="Amiri" w:hAnsi="Amiri"/>
          <w:b w:val="false"/>
          <w:bCs w:val="false"/>
          <w:i w:val="false"/>
          <w:iCs w:val="false"/>
          <w:color w:val="0A1830"/>
          <w:sz w:val="24"/>
          <w:szCs w:val="24"/>
          <w:rtl/>
        </w:rPr>
        <w:t xml:space="preserve">
</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تتناول هذه الفقرة مسألة دقيقة تتصل بحق الدفاع عن النفس والمال عند تعرض اللصوص أو الخوارج أو قطاع الطريق للإنسان، فيضع لها الإمام أحمد ضوابط محكمة تمنع أن يتحول حق الدفاع المشروع إلى تجاوز واعتداء. فيقرر أن لكل إنسان أن يقاتل عن نفسه وماله إذا تعرض له من يريد أخذه ظلماً، ويدفع عن نفسه بكل ما يقدر عليه، لكن هذا الحق مقيد بجملة من الضوابط: أن يكون دفاعه في حدود ما يواجهه في مقامه ذلك دون تعقب أو ملاحقة بعد انصراف المعتدي، وأن تكون نيته الدفع لا القتل، فإن أدى دفاعه إلى موت المعتدي في المعركة فلا حرج عليه، وإن قُتل هو نفسه وهو يدافع رجا له الإمام أحمد الشهادة، وأن لا يجهز على جريح ولا يقتل أسيراً أخذه، بل يرفع أمره إلى ولي الأمر ليحكم فيه بما يستحق.</w:t>
      </w:r>
    </w:p>
    <w:p>
      <w:pPr>
        <w:bidi/>
        <w:spacing w:after="140" w:before="0" w:line="300"/>
        <w:jc w:val="both"/>
      </w:pPr>
      <w:r>
        <w:rPr>
          <w:rFonts w:ascii="Amiri" w:cs="Amiri" w:eastAsia="Amiri" w:hAnsi="Amiri"/>
          <w:b w:val="false"/>
          <w:bCs w:val="false"/>
          <w:i w:val="false"/>
          <w:iCs w:val="false"/>
          <w:color w:val="181410"/>
          <w:sz w:val="22"/>
          <w:szCs w:val="22"/>
          <w:rtl/>
        </w:rPr>
        <w:t xml:space="preserve">وموضع هذه الضوابط أن الدفاع عن النفس والمال حق مشروع لا ينازع فيه أحد، لكنه ليس رخصة لتولي القضاء بنفسك أو الانتقام أو تطبيق العقوبات، فهذه من خصائص ولي الأمر وحده، كما تقدم في الفقرة السابقة في مسألة إقامة الحدود. فالفرد يدفع الصائل عنه في حدود دفعه، فإذا زال الخطر انتهت رخصة القتال، وما بعد ذلك من ملاحقة أو عقوبة أو قصاص فمرجعه إلى السلطان، حفظاً من الفوضى وتفويضاً للأمور إلى أهل الاختصاص بها.</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عن سعيد بن زيد بن عمرو بن نفيل رضي الله عنه - أحد العشرة المبشرين بالجنة - أن النبي ﷺ قال: «مَنْ قُتِلَ دُونَ مَالِهِ فَهُوَ شَهِيدٌ، وَمَنْ قُتِلَ دُونَ دَمِهِ فَهُوَ شَهِيدٌ، وَمَنْ قُتِلَ دُونَ دِينِهِ فَهُوَ شَهِيدٌ، وَمَنْ قُتِلَ دُونَ أَهْلِهِ فَهُوَ شَهِيدٌ»، وهو حديث مشهور روي في عدة كتب من كتب السنن (كأبي داود والترمذي والنسائي)، وليس مقصوراً على رواية أبي داود وحدها كما قد يُظن. ووجه الدلالة ظاهر: أن من دافع عن ماله أو نفسه أو دينه أو أهله فقُتل في ذلك فهو في عداد الشهداء عند الله، وهذا يبعث الطمأنينة في قلب من اضطر إلى الدفاع، ويبين مشروعية هذا الدفاع من أصله.</w:t>
      </w:r>
    </w:p>
    <w:p>
      <w:pPr>
        <w:bidi/>
        <w:spacing w:after="140" w:before="0" w:line="300"/>
        <w:jc w:val="both"/>
      </w:pPr>
      <w:r>
        <w:rPr>
          <w:rFonts w:ascii="Amiri" w:cs="Amiri" w:eastAsia="Amiri" w:hAnsi="Amiri"/>
          <w:b w:val="false"/>
          <w:bCs w:val="false"/>
          <w:i w:val="false"/>
          <w:iCs w:val="false"/>
          <w:color w:val="181410"/>
          <w:sz w:val="22"/>
          <w:szCs w:val="22"/>
          <w:rtl/>
        </w:rPr>
        <w:t xml:space="preserve">وأما النهي عن الإجهاز على الجريح فقد اشتهر عند أهل العلم في هذا الباب، وسيأتي التنبيه عليه.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الصائل:</w:t>
            </w:r>
            <w:r>
              <w:rPr>
                <w:rFonts w:ascii="Amiri" w:cs="Amiri" w:eastAsia="Amiri" w:hAnsi="Amiri"/>
                <w:b w:val="false"/>
                <w:bCs w:val="false"/>
                <w:i w:val="false"/>
                <w:iCs w:val="false"/>
                <w:color w:val="181410"/>
                <w:sz w:val="22"/>
                <w:szCs w:val="22"/>
                <w:rtl/>
              </w:rPr>
              <w:t xml:space="preserve"> من يعتدي على غيره في نفسه أو ماله أو عرضه بغير حق، فيجوز لمن اعتدي عليه أن يدفعه عن نفسه بما يكف صياله، بشرط أن يقتصر في الدفع على قدر الحاجة ولا يتجاوز إلى ما وراء ذلك.</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 ضابط النية في الدفاع المشروع.</w:t>
      </w:r>
      <w:r>
        <w:rPr>
          <w:rFonts w:ascii="Amiri" w:cs="Amiri" w:eastAsia="Amiri" w:hAnsi="Amiri"/>
          <w:b w:val="false"/>
          <w:bCs w:val="false"/>
          <w:i w:val="false"/>
          <w:iCs w:val="false"/>
          <w:color w:val="181410"/>
          <w:sz w:val="22"/>
          <w:szCs w:val="22"/>
          <w:rtl/>
        </w:rPr>
        <w:t xml:space="preserve"> نبّه الإمام أحمد على أن نية المدافع ينبغي أن تكون دفع الصائل لا قتله، وهذا فرق دقيق بين الدفاع المشروع والانتقام: فالمدافع مأمور أن يسعى بجهده أن لا يقتل أحداً، لكنه إن أدى دفاعه إلى موت المعتدي في أثناء المعركة فلا إثم عليه، لأن يده يد دفع لا يد قتل عمد.</w:t>
      </w:r>
    </w:p>
    <w:p>
      <w:pPr>
        <w:bidi/>
        <w:spacing w:after="140" w:before="0" w:line="300"/>
        <w:jc w:val="both"/>
      </w:pPr>
      <w:r>
        <w:rPr>
          <w:rFonts w:ascii="Amiri" w:cs="Amiri" w:eastAsia="Amiri" w:hAnsi="Amiri"/>
          <w:b/>
          <w:bCs/>
          <w:i w:val="false"/>
          <w:iCs w:val="false"/>
          <w:color w:val="0D2143"/>
          <w:sz w:val="22"/>
          <w:szCs w:val="22"/>
          <w:rtl/>
        </w:rPr>
        <w:t xml:space="preserve">المسألة الثانية: انتهاء رخصة القتال بانتهاء الصيال.</w:t>
      </w:r>
      <w:r>
        <w:rPr>
          <w:rFonts w:ascii="Amiri" w:cs="Amiri" w:eastAsia="Amiri" w:hAnsi="Amiri"/>
          <w:b w:val="false"/>
          <w:bCs w:val="false"/>
          <w:i w:val="false"/>
          <w:iCs w:val="false"/>
          <w:color w:val="181410"/>
          <w:sz w:val="22"/>
          <w:szCs w:val="22"/>
          <w:rtl/>
        </w:rPr>
        <w:t xml:space="preserve"> قرر الإمام أحمد أنه ليس للمدافع أن يطلب اللصوص أو يتبع آثارهم بعد أن يفارقوه أو يتركوه، بل تنتهي رخصته بانتهاء خطرهم عليه، وما بعد ذلك من طلب أو ملاحقة أو عقوبة فهو من خصائص الإمام وولاة الأمر، لا من حق الأفراد، لما في تفويض ذلك للأفراد من فوضى وتجاوز.</w:t>
      </w:r>
    </w:p>
    <w:p>
      <w:pPr>
        <w:bidi/>
        <w:spacing w:after="140" w:before="0" w:line="300"/>
        <w:jc w:val="both"/>
      </w:pPr>
      <w:r>
        <w:rPr>
          <w:rFonts w:ascii="Amiri" w:cs="Amiri" w:eastAsia="Amiri" w:hAnsi="Amiri"/>
          <w:b/>
          <w:bCs/>
          <w:i w:val="false"/>
          <w:iCs w:val="false"/>
          <w:color w:val="0D2143"/>
          <w:sz w:val="22"/>
          <w:szCs w:val="22"/>
          <w:rtl/>
        </w:rPr>
        <w:t xml:space="preserve">المسألة الثالثة: عدم جواز الإجهاز على الجريح أو قتل الأسير.</w:t>
      </w:r>
      <w:r>
        <w:rPr>
          <w:rFonts w:ascii="Amiri" w:cs="Amiri" w:eastAsia="Amiri" w:hAnsi="Amiri"/>
          <w:b w:val="false"/>
          <w:bCs w:val="false"/>
          <w:i w:val="false"/>
          <w:iCs w:val="false"/>
          <w:color w:val="181410"/>
          <w:sz w:val="22"/>
          <w:szCs w:val="22"/>
          <w:rtl/>
        </w:rPr>
        <w:t xml:space="preserve"> ولو كان الجريح أو الأسير هو نفسه الذي بدأ بالاعتداء، فليس للمعتدى عليه أن يقتله بعد أن يعجز عن القتال أو يقع في يده أسيراً، بل الواجب رفع أمره إلى ولي الأمر، فهو الذي يحكم فيه بما يقتضيه الشرع من حد أو تعزير أو غير ذلك، وهذا التفريق بين ما يجوز للفرد (الدفع حال الصيال) وما لا يجوز له (العقوبة بعد زوال الخطر) هو عين ما يمنع اختلاط حق الدفاع المشروع بالانتقام الشخصي.</w:t>
      </w:r>
    </w:p>
    <w:p>
      <w:pPr>
        <w:bidi/>
        <w:spacing w:after="140" w:before="0" w:line="300"/>
        <w:jc w:val="both"/>
      </w:pPr>
      <w:r>
        <w:rPr>
          <w:rFonts w:ascii="Amiri" w:cs="Amiri" w:eastAsia="Amiri" w:hAnsi="Amiri"/>
          <w:b/>
          <w:bCs/>
          <w:i w:val="false"/>
          <w:iCs w:val="false"/>
          <w:color w:val="0D2143"/>
          <w:sz w:val="22"/>
          <w:szCs w:val="22"/>
          <w:rtl/>
        </w:rPr>
        <w:t xml:space="preserve">المسألة الرابعة: هذه الضوابط أنموذج لمنهج أهل السنة في ضبط استعمال القوة.</w:t>
      </w:r>
      <w:r>
        <w:rPr>
          <w:rFonts w:ascii="Amiri" w:cs="Amiri" w:eastAsia="Amiri" w:hAnsi="Amiri"/>
          <w:b w:val="false"/>
          <w:bCs w:val="false"/>
          <w:i w:val="false"/>
          <w:iCs w:val="false"/>
          <w:color w:val="181410"/>
          <w:sz w:val="22"/>
          <w:szCs w:val="22"/>
          <w:rtl/>
        </w:rPr>
        <w:t xml:space="preserve"> يظهر من مجموع هذه الفقرة - وما قبلها من فقرات هذا الباب - منهج متكامل عند أهل السنة في ضبط استعمال القوة والعنف: فلا يُترك ذلك لاجتهاد الأفراد ورغباتهم، بل يُقيَّد بضوابط شرعية دقيقة تحفظ التوازن بين حق الدفاع المشروع عن النفس والمال من جهة، وحق الجماعة في ضبط النظام العام وعدم ترك الأمور للفوضى الفردية من جهة أخرى.</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يدافع عن نفسه وماله إذا تعرض له صائل أو لص بما يكف صياله، ناوياً الدفع لا القتل، دون تعقب لمن انصرف عنه، ودون إجهاز على جريح أو قتل لأسير، بل يرفع أمر من ظفر به إلى ولي الأمر.</w:t>
            </w:r>
          </w:p>
        </w:tc>
      </w:tr>
    </w:tbl>
    <w:p>
      <w:pPr>
        <w:spacing w:after="160"/>
      </w:pPr>
    </w:p>
    <w:p>
      <w:pPr>
        <w:pStyle w:val="Heading1"/>
        <w:pageBreakBefore/>
        <w:bidi/>
        <w:spacing w:after="160" w:before="0"/>
        <w:jc w:val="right"/>
      </w:pPr>
      <w:bookmarkStart w:name="bm_bab8" w:id="1045"/>
      <w:r>
        <w:rPr>
          <w:rFonts w:ascii="Aref Ruqaa" w:cs="Aref Ruqaa" w:eastAsia="Aref Ruqaa" w:hAnsi="Aref Ruqaa"/>
          <w:b/>
          <w:bCs/>
          <w:i w:val="false"/>
          <w:iCs w:val="false"/>
          <w:color w:val="0A1830"/>
          <w:sz w:val="34"/>
          <w:szCs w:val="34"/>
          <w:rtl/>
        </w:rPr>
        <w:t xml:space="preserve">الباب الثامن — في منهج أهل السنة مع أهل القبلة، والتوبة، وحرمة الصحابة، والغيبيات الختامية</w:t>
      </w:r>
      <w:bookmarkEnd w:id="1045"/>
    </w:p>
    <w:p>
      <w:pPr>
        <w:pStyle w:val="Heading2"/>
        <w:bidi/>
        <w:spacing w:after="140" w:before="320"/>
        <w:jc w:val="right"/>
      </w:pPr>
      <w:bookmarkStart w:name="bm_faqrah_33" w:id="1046"/>
      <w:r>
        <w:rPr>
          <w:rFonts w:ascii="Aref Ruqaa" w:cs="Aref Ruqaa" w:eastAsia="Aref Ruqaa" w:hAnsi="Aref Ruqaa"/>
          <w:b/>
          <w:bCs/>
          <w:i w:val="false"/>
          <w:iCs w:val="false"/>
          <w:color w:val="0D2143"/>
          <w:sz w:val="28"/>
          <w:szCs w:val="28"/>
          <w:rtl/>
        </w:rPr>
        <w:t xml:space="preserve">الفقرة الثالثة والثلاثون: ترك الشهادة لأهل القبلة بجنة أو نار</w:t>
      </w:r>
      <w:bookmarkEnd w:id="104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وَلَا نَشْهَدُ عَلَى أَحَدٍ مِنْ أَهْلِ الْقِبْلَةِ بِعَمَلٍ يَعْمَلُهُ بِجَنَّةٍ وَلَا نَارٍ؛ نَرْجُو لِلصَّالِحِ وَنَخَافُ عَلَيْهِ، وَنَخَافُ عَلَى الْمُسِيءِ الْمُذْنِبِ وَنَرْجُو لَهُ رَحْمَةَ اللَّهِ.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يفتتح الإمام أحمد رحمه الله بهذه الفقرة الباب الثامن والأخير من هذا المتن، فيقرر منهج أهل السنة والجماعة في الحكم على أعيان المسلمين، وهو أنهم لا يشهدون لأحد من أهل القبلة (أي: من المسلمين المصلين المتوجهين إلى الكعبة) بجنة ولا نار بعينه، إلا من شهد له النبي صلى الله عليه وسلم بذلك كالعشرة المبشرين بالجنة. فأهل السنة يعيشون بين منزلتي الخوف والرجاء في نظرتهم إلى أنفسهم وإلى غيرهم من المسلمين: يرجون للمحسن رحمة الله وقبول عمله، ويخافون عليه من سوء الخاتمة أو من عُجب يُحبط عمله؛ ويخافون على المسيء المذنب من عقاب الله، ويرجون له مع ذلك رحمته ومغفرته إن شاء.</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على سعة رحمة الله وعدم القطع بمصير المذنبين بقوله تعالى: </w:t>
      </w:r>
      <w:r>
        <w:rPr>
          <w:rFonts w:ascii="Amiri Quran" w:cs="Amiri Quran" w:eastAsia="Amiri Quran" w:hAnsi="Amiri Quran"/>
          <w:b w:val="false"/>
          <w:bCs w:val="false"/>
          <w:i w:val="false"/>
          <w:iCs w:val="false"/>
          <w:color w:val="0D2143"/>
          <w:sz w:val="26"/>
          <w:szCs w:val="26"/>
          <w:rtl/>
        </w:rPr>
        <w:t xml:space="preserve">﴿إِنَّ اللَّهَ لَا يَغْفِرُ أَنْ يُشْرَكَ بِهِ وَيَغْفِرُ مَا دُونَ ذَلِكَ لِمَنْ يَشَاءُ﴾</w:t>
      </w:r>
      <w:r>
        <w:rPr>
          <w:rFonts w:ascii="Cairo" w:cs="Cairo" w:eastAsia="Cairo" w:hAnsi="Cairo"/>
          <w:b/>
          <w:bCs/>
          <w:i w:val="false"/>
          <w:iCs w:val="false"/>
          <w:color w:val="8A6A1F"/>
          <w:sz w:val="16"/>
          <w:szCs w:val="16"/>
          <w:rtl/>
        </w:rPr>
        <w:t xml:space="preserve"> [النساء: 48]</w:t>
      </w:r>
      <w:r>
        <w:rPr>
          <w:rFonts w:ascii="Amiri" w:cs="Amiri" w:eastAsia="Amiri" w:hAnsi="Amiri"/>
          <w:b w:val="false"/>
          <w:bCs w:val="false"/>
          <w:i w:val="false"/>
          <w:iCs w:val="false"/>
          <w:color w:val="181410"/>
          <w:sz w:val="22"/>
          <w:szCs w:val="22"/>
          <w:rtl/>
        </w:rPr>
        <w:t xml:space="preserve">، ووجه الدلالة أن الله تعالى علّق مغفرة ما دون الشرك بمشيئته سبحانه، فلم يقطع بعذاب كل مذنب، كما لم يقطع بمغفرته على كل حال، فبقي الأمر معلقاً بمشيئة الله وحده، وهذا هو عين منهج التوقف عن الشهادة بعينها لأحد بجنة أو نار.</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هذا الأصل وسط بين طرفين: الخوارج والمعتزلة الذين يقطعون بخلود مرتكب الكبيرة في النار، والمرجئة الذين يقطعون بأن المعاصي لا تضر مع الإيمان فلا خوف على صاحب الكبيرة بحال. وأهل السنة يجمعون بين الخوف والرجاء، فلا يقطعون بشيء من ذلك لأحد بعينه، ويكِلون الأمر إلى الله تعالى.</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هذا الباب الأخير من المتن جامع لخلاصة منهج أهل السنة العملي في التعامل مع المسلمين: عدم التسرع في الحكم على الأعيان، والجمع بين الرجاء والخوف، وهو ما سيتكرر بصور مختلفة في الفقرات الختامية التالية المتعلقة بالتوبة، وحرمة الصحابة، والصلاة على كل موحد.</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يجمع في قلبه بين الخوف من عذاب الله والرجاء في رحمته، وألا يشهد لأحد من أهل القبلة بعينه بجنة ولا نار إلا بنص شرعي صريح.</w:t>
            </w:r>
          </w:p>
        </w:tc>
      </w:tr>
    </w:tbl>
    <w:p>
      <w:pPr>
        <w:spacing w:after="160"/>
      </w:pPr>
    </w:p>
    <w:p>
      <w:pPr>
        <w:pStyle w:val="Heading2"/>
        <w:bidi/>
        <w:spacing w:after="140" w:before="320"/>
        <w:jc w:val="right"/>
      </w:pPr>
      <w:bookmarkStart w:name="bm_faqrah_34" w:id="1047"/>
      <w:r>
        <w:rPr>
          <w:rFonts w:ascii="Aref Ruqaa" w:cs="Aref Ruqaa" w:eastAsia="Aref Ruqaa" w:hAnsi="Aref Ruqaa"/>
          <w:b/>
          <w:bCs/>
          <w:i w:val="false"/>
          <w:iCs w:val="false"/>
          <w:color w:val="0D2143"/>
          <w:sz w:val="28"/>
          <w:szCs w:val="28"/>
          <w:rtl/>
        </w:rPr>
        <w:t xml:space="preserve">الفقرة الرابعة والثلاثون: أحكام من لقي الله بذنبه، والتوبة، والرجم</w:t>
      </w:r>
      <w:bookmarkEnd w:id="104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وَمَنْ لَقِيَ اللَّهَ بِذَنْبٍ يُوجِبُ لَهُ النَّارَ تَائِباً غَيْرَ مُصِرٍّ عَلَيْهِ فَإِنَّ اللَّهَ يَتُوبُ عَلَيْهِ؛ وَاللَّهُ يَقْبَلُ التَّوْبَةَ عَنْ عِبَادِهِ وَيَعْفُو عَنِ السَّيِّئَاتِ.</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وَمَنْ لَقِيَهُ وَقَدْ أُقِيمَ عَلَيْهِ حَدُّ ذَلِكَ الذَّنْبِ فِي الدُّنْيَا فَهُوَ كَفَّارَتُهُ، كَمَا جَاءَ فِي الْخَبَرِ عَنْ رَسُولِ اللَّهِ ﷺ.</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وَمَنْ لَقِيَهُ مُصِرّاً غَيْرَ تَائِبٍ مِنَ الذُّنُوبِ الَّتِي اسْتَوْجَبَ بِهَا الْعُقُوبَةَ فَأَمْرُهُ إِلَى اللَّهِ؛ إِنْ شَاءَ عَذَّبَهُ وَإِنْ شَاءَ غَفَرَ لَهُ.</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وَمَنْ لَقِيَهُ كَافِراً عَذَّبَهُ وَلَمْ يَغْفِرْ لَهُ.</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وَالرَّجْمُ حَقٌّ عَلَى مَنْ زَنَى وَقَدْ أُحْصِنَ إِذَا اعْتَرَفَ أَوْ قَامَتْ عَلَيْهِ بَيِّنَةٌ، وَقَدْ رَجَمَ رَسُولُ اللَّهِ ﷺ وَرَجَمَتِ الْأَئِمَّةُ الرَّاشِدُونَ.</w:t>
      </w:r>
      <w:r>
        <w:rPr>
          <w:rFonts w:ascii="Amiri" w:cs="Amiri" w:eastAsia="Amiri" w:hAnsi="Amiri"/>
          <w:b w:val="false"/>
          <w:bCs w:val="false"/>
          <w:i w:val="false"/>
          <w:iCs w:val="false"/>
          <w:color w:val="0A1830"/>
          <w:sz w:val="24"/>
          <w:szCs w:val="24"/>
          <w:rtl/>
        </w:rPr>
        <w:t xml:space="preserve">
</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يفصّل الإمام أحمد رحمه الله في هذه الفقرة أحوال من لقي الله بذنب: فمن تاب توبة صادقة غير مصرّ على ذنبه، تاب الله عليه وقبل توبته؛ ومن أقيم عليه حد ذلك الذنب في الدنيا فقد كُفِّر عنه به؛ ومن مات مصراً على ذنبه غير تائب فأمره موكول إلى مشيئة الله، إن شاء عذبه بقدر ذنبه ثم أخرجه من النار برحمته إن كان من أهل التوحيد، وإن شاء عفا عنه ابتداءً؛ ومن مات على الكفر فلا مغفرة له. ثم يختم الفقرة بتقرير أن الرجم حق ثابت على الزاني المحصن إذا اعترف أو قامت عليه بينة شرعية.</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على أن إقامة الحد كفارة بقوله صلى الله عليه وسلم في شأن الحدود: «فَهُوَ كَفَّارَةٌ لَهُ» (رواه البخاري ومسلم)، وهذا لفظ صحيح ثابت في قصة بيعة النساء. وأما ثبوت الرجم فقد رجم النبي صلى الله عليه وسلم في قصة ماعز والغامدية وغيرهما، ورجمت الخلفاء الراشدون من بعده، وهذا مما تواتر العمل به عند الصحابة.</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هذه الفقرة تفصيل عملي لما تقدم في الفقرة السابقة من الجمع بين الخوف والرجاء، فبيّنت أحوال المذنبين الأربعة: التائب، ومن أُقيم عليه الحد، والمصر غير التائب، والكافر، وهذا تفصيل دقيق يمنع الخلط بين هذه الأحوال المتباينة في الحكم.</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في ذكر الرجم عقب الكلام عن التوبة والحدود مناسبة ظاهرة؛ إذ الرجم أعظم الحدود، وفي كونه حداً وليس قتلاً اعتباطياً دليل على أن الشريعة جعلت له طريقاً شرعياً منضبطاً بشروط الإحصان والاعتراف أو البينة، لا يُقام إلا بحكم الإمام أو من ينوب عنه.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يبادر بالتوبة النصوح من كل ذنب ولا ييأس من رحمة الله مهما عظم ذنبه، وأن يخاف من عاقبة الإصرار على المعصية، وأن يعتقد ثبوت الرجم حداً شرعياً على الزاني المحصن.</w:t>
            </w:r>
          </w:p>
        </w:tc>
      </w:tr>
    </w:tbl>
    <w:p>
      <w:pPr>
        <w:spacing w:after="160"/>
      </w:pPr>
    </w:p>
    <w:p>
      <w:pPr>
        <w:pStyle w:val="Heading2"/>
        <w:bidi/>
        <w:spacing w:after="140" w:before="320"/>
        <w:jc w:val="right"/>
      </w:pPr>
      <w:bookmarkStart w:name="bm_faqrah_35" w:id="1048"/>
      <w:r>
        <w:rPr>
          <w:rFonts w:ascii="Aref Ruqaa" w:cs="Aref Ruqaa" w:eastAsia="Aref Ruqaa" w:hAnsi="Aref Ruqaa"/>
          <w:b/>
          <w:bCs/>
          <w:i w:val="false"/>
          <w:iCs w:val="false"/>
          <w:color w:val="0D2143"/>
          <w:sz w:val="28"/>
          <w:szCs w:val="28"/>
          <w:rtl/>
        </w:rPr>
        <w:t xml:space="preserve">الفقرة الخامسة والثلاثون: حرمة انتقاص الصحابة</w:t>
      </w:r>
      <w:bookmarkEnd w:id="104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وَمَنِ انْتَقَصَ أَحَداً مِنْ أَصْحَابِ رَسُولِ اللَّهِ ﷺ أَوْ أَبْغَضَهُ بِحَدَثٍ كَانَ مِنْهُ أَوْ ذَكَرَ مَسَاوِئَهُ كَانَ مُبْتَدِعاً حَتَّى يَتَرَحَّمَ عَلَيْهِمْ جَمِيعاً وَيَكُونَ قَلْبُهُ لَهُمْ سَلِيماً.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يعود الإمام أحمد رحمه الله في هذه الفقرة إلى موضوع الصحابة رضي الله عنهم، وقد سبق الكلام على تفضيلهم ومراتبهم في الباب السادس (الفقرات 26-28)، فيقرر هنا حكماً متمماً لذلك، وهو حرمة انتقاصهم. فمن انتقص أحداً منهم، أو أبغضه بسبب حادثة وقعت منه (كالفتن التي جرت بينهم)، أو تتبّع مساوئهم وتحدث بها، فهو مبتدع خارج عن منهج أهل السنة، حتى يترحم عليهم جميعاً، ويطهر قلبه من كل حقد أو بغض تجاه أحد منهم.</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بقوله صلى الله عليه وسلم: «لَا تَسُبُّوا أَصْحَابِي، فَوَالَّذِي نَفْسِي بِيَدِهِ، لَوْ أَنَّ أَحَدَكُمْ أَنْفَقَ مِثْلَ أُحُدٍ ذَهَبًا مَا بَلَغَ مُدَّ أَحَدِهِمْ وَلَا نَصِيفَهُ» (رواه البخاري ومسلم)، ووجه الدلالة أن النبي ﷺ نهى صريحاً عن سب أصحابه، وبيّن أن فضلهم بصحبتهم إياه لا يبلغه أحد بعدهم مهما أنفق من المال، فكيف بمن يتعرض لأعراضهم بالطعن. واستدل أيضاً بشهادة علي بن أبي طالب رضي الله عنه نفسه، وهو أحد المعنيين مباشرة بالفتن التي وقعت، حين سُئل: من خير الناس بعد رسول الله صلى الله عليه وسلم؟ فقال: "أبو بكر"، قيل: ثم من؟ قال: "ثم عمر" (رواه البخاري)، فخشي ابنه محمد بن الحنفية أن يذكر عثمان فسأله: ثم أنت يا أبتِ؟ فقال: "ما أنا إلا رجل من المسلمين". وفي هذا دلالة بالغة على أن عليّاً نفسه -مع ما جرى بينه وبين بعض الصحابة من خلاف سياسي- لم يكن في قلبه شيء تجاه من سبقه، بل أقرّ بفضلهم صراحة، وتواضع عن تفضيل نفسه. ويؤيده حديث ابن عمر رضي الله عنهما: "كنا نقول والنبي صلى الله عليه وسلم حي: أفضل هذه الأمة بعد نبيها أبو بكر، ثم عمر، ثم عثمان" (رواه البخاري)، وهو الأصل في ترتيب الثلاثة، وقد سبق ذكره في الفقرة السادسة والعشرين.</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ترتبط هذه الفقرة ارتباطاً وثيقاً بما تقدم في الباب السادس من تفضيل الصحابة ومراتبهم؛ فذلك الباب قرر منزلتهم الإيجابية، وهذه الفقرة تقرر الجانب السلبي المكمل له، وهو تحريم التعرض لهم بالانتقاص، فالبابان معاً يشكلان منهجاً متكاملاً في التعامل مع جيل الصحابة رضي الله عنهم.</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منهج أهل السنة في التعامل مع ما جرى بين الصحابة من خلافات (كوقعة الجمل وصفين) هو الإمساك عما شجر بينهم، وحملُ أفعالهم على أحسن المحامل من الاجتهاد الذي يُثاب عليه صاحبه وإن أخطأ، لا اتخاذ ذلك ذريعة للطعن في عدالتهم أو الانحياز الطائفي ضد بعضهم، وهذا هو عين ما دلت عليه هذه الفقرة.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يحب جميع الصحابة رضي الله عنهم، ويكف لسانه عن الخوض في مساوئهم أو ما جرى بينهم، ويترحم عليهم جميعاً، ويكون قلبه لهم سليماً خالياً من الحقد والبغضاء.</w:t>
            </w:r>
          </w:p>
        </w:tc>
      </w:tr>
    </w:tbl>
    <w:p>
      <w:pPr>
        <w:spacing w:after="160"/>
      </w:pPr>
    </w:p>
    <w:p>
      <w:pPr>
        <w:pStyle w:val="Heading2"/>
        <w:bidi/>
        <w:spacing w:after="140" w:before="320"/>
        <w:jc w:val="right"/>
      </w:pPr>
      <w:bookmarkStart w:name="bm_faqrah_36" w:id="1049"/>
      <w:r>
        <w:rPr>
          <w:rFonts w:ascii="Aref Ruqaa" w:cs="Aref Ruqaa" w:eastAsia="Aref Ruqaa" w:hAnsi="Aref Ruqaa"/>
          <w:b/>
          <w:bCs/>
          <w:i w:val="false"/>
          <w:iCs w:val="false"/>
          <w:color w:val="0D2143"/>
          <w:sz w:val="28"/>
          <w:szCs w:val="28"/>
          <w:rtl/>
        </w:rPr>
        <w:t xml:space="preserve">الفقرة السادسة والثلاثون: النفاق الأكبر وأحاديث الوعيد</w:t>
      </w:r>
      <w:bookmarkEnd w:id="104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وَالنِّفَاقُ هُوَ الْكُفْرُ: أَنْ يَكْفُرَ بِاللَّهِ وَيَعْبُدَ غَيْرَهُ وَيُظْهِرَ الْإِسْلَامَ فِي الْعَلَانِيَةِ، مِثْلَ الْمُنَافِقِينَ الَّذِينَ كَانُوا عَلَى عَهْدِ رَسُولِ اللَّهِ ﷺ.</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وَقَوْلُهُ ﷺ: «ثَلَاثٌ مَنْ كُنَّ فِيهِ فَهُوَ مُنَافِقٌ» هَذَا عَلَى التَّغْلِيظِ، نَرْوِيهَا كَمَا جَاءَتْ وَلَا نُفَسِّرُهَا.</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وَقَوْلُهُ: «لَا تَرْجِعُوا بَعْدِي كُفَّاراً يَضْرِبُ بَعْضُكُمْ رِقَابَ بَعْضٍ»، وَمِثْلَ: «إِذَا الْتَقَى الْمُسْلِمَانِ بِسَيْفَيْهِمَا فَالْقَاتِلُ وَالْمَقْتُولُ فِي النَّارِ»، وَمِثْلَ: «سِبَابُ الْمُسْلِمِ فُسُوقٌ وَقِتَالُهُ كُفْرٌ»، وَمِثْلَ: «مَنْ قَالَ لِأَخِيهِ يَا كَافِرُ فَقَدْ بَاءَ بِهَا أَحَدُهُمَا»، وَمِثْلَ: «كُفْرٌ بِاللَّهِ تَبَرُّؤٌ مِنْ نَسَبٍ وَإِنْ دَقَّ».</w:t>
      </w:r>
      <w:r>
        <w:rPr>
          <w:rFonts w:ascii="Amiri" w:cs="Amiri" w:eastAsia="Amiri" w:hAnsi="Amiri"/>
          <w:b w:val="false"/>
          <w:bCs w:val="false"/>
          <w:i w:val="false"/>
          <w:iCs w:val="false"/>
          <w:color w:val="0A1830"/>
          <w:sz w:val="24"/>
          <w:szCs w:val="24"/>
          <w:rtl/>
        </w:rPr>
        <w:t xml:space="preserve">
</w:t>
      </w:r>
      <w:r>
        <w:rPr>
          <w:rFonts w:ascii="Amiri" w:cs="Amiri" w:eastAsia="Amiri" w:hAnsi="Amiri"/>
          <w:b w:val="false"/>
          <w:bCs w:val="false"/>
          <w:i w:val="false"/>
          <w:iCs w:val="false"/>
          <w:color w:val="0A1830"/>
          <w:sz w:val="24"/>
          <w:szCs w:val="24"/>
          <w:rtl/>
        </w:rPr>
        <w:t xml:space="preserve">وَنَحْوُ هَذِهِ الْأَحَادِيثِ مِمَّا قَدْ صَحَّ وَحُفِظَ؛ فَإِنَّا نُسَلِّمُ لَهَا وَإِنْ لَمْ نَعْرِفْ تَفْسِيرَهَا وَلَا نَتَكَلَّمُ فِيهَا وَلَا نُجَادِلُ فِيهَا وَلَا نُفَسِّرُ هَذِهِ الْأَحَادِيثَ إِلَّا بِمِثْلِ مَا جَاءَتْ؛ لَا نَرُدُّهَا إِلَّا بِأَحَقَّ مِنْهَا.</w:t>
      </w:r>
      <w:r>
        <w:rPr>
          <w:rFonts w:ascii="Amiri" w:cs="Amiri" w:eastAsia="Amiri" w:hAnsi="Amiri"/>
          <w:b w:val="false"/>
          <w:bCs w:val="false"/>
          <w:i w:val="false"/>
          <w:iCs w:val="false"/>
          <w:color w:val="0A1830"/>
          <w:sz w:val="24"/>
          <w:szCs w:val="24"/>
          <w:rtl/>
        </w:rPr>
        <w:t xml:space="preserve">
</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يقرر الإمام أحمد رحمه الله في هذه الفقرة أصلاً مهماً في التفريق بين حقيقة النفاق الأكبر المخرج من الملة، وبين ما ورد في السنة من أحاديث الوعيد الشديد التي ظاهرها الكفر أو النفاق دون أن يكون مرادها ذلك على الحقيقة. فالنفاق الحقيقي هو أن يكفر الإنسان بالله باطناً ويظهر الإسلام ظاهراً، كحال المنافقين الذين عاصروا النبي صلى الله عليه وسلم. أما الأحاديث التي ورد فيها وصف بعض الخصال بأنها "نفاق" أو "كفر" (كحديث علامات المنافق الثلاث، وأحاديث سباب المسلم وقتاله وتكفيره بغير حق)، فهذه على سبيل التغليظ والتحذير الشديد، لا على إرادة النفاق الأكبر أو الكفر الأكبر المخرج من الملة، ولذلك يوصي الإمام بروايتها كما جاءت من غير تكلّف تأويل أو جدال فيها.</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بقوله صلى الله عليه وسلم: «آيَةُ الْمُنَافِقِ ثَلَاثٌ: إِذَا حَدَّثَ كَذَبَ، وَإِذَا وَعَدَ أَخْلَفَ، وَإِذَا اؤْتُمِنَ خَانَ» (رواه البخاري ومسلم)، ووجه الدلالة أن هذه الخصال قد توجد في بعض المؤمنين المقصرين، ولا يلزم من وجودها فيهم أن يكونوا منافقين نفاقاً أكبر مخرجاً من الملة، وإنما هي من خصال أهل النفاق التي ينبغي للمؤمن الحذر منها والتحرز عن الاتصاف بها.</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هذا المنهج -قبول النص كما جاء مع فهم مراده الصحيح دون جدال أو تعطيل- هو امتداد لما تكرر في هذا المتن من البداية، من الأمر بترك الجدال والمراء والتسليم للنصوص (كما في الفقرات 3، 5، 12)، فهذه الفقرة تطبيق عملي أخير لذلك الأصل المنهجي الكبير في باب أسماء الوعيد وأحكامه.</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الفرق بين هذه الفقرة وبين ما تقدم في الفقرة الخامسة والعشرين (تارك الصلاة) أن ذلك الحكم ورد بلفظ الكفر الصريح المتكرر بصيغ قاطعة الدلالة عند من قال بذلك، بخلاف هذه الأحاديث التي جرى عرف الشرع فيها على إرادة التغليظ لا الكفر الأكبر، وهذا من دقيق الفقه في التعامل مع نصوص الوعيد.</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يسلّم لهذه الأحاديث كما جاءت، فيحذر مما نهت عنه من خصال النفاق، ولا يتكلف تأويلها أو جدالها، ولا يبادر إلى تكفير من اتصف ببعضها من المسلمين.</w:t>
            </w:r>
          </w:p>
        </w:tc>
      </w:tr>
    </w:tbl>
    <w:p>
      <w:pPr>
        <w:spacing w:after="160"/>
      </w:pPr>
    </w:p>
    <w:p>
      <w:pPr>
        <w:pStyle w:val="Heading2"/>
        <w:bidi/>
        <w:spacing w:after="140" w:before="320"/>
        <w:jc w:val="right"/>
      </w:pPr>
      <w:bookmarkStart w:name="bm_faqrah_37" w:id="1050"/>
      <w:r>
        <w:rPr>
          <w:rFonts w:ascii="Aref Ruqaa" w:cs="Aref Ruqaa" w:eastAsia="Aref Ruqaa" w:hAnsi="Aref Ruqaa"/>
          <w:b/>
          <w:bCs/>
          <w:i w:val="false"/>
          <w:iCs w:val="false"/>
          <w:color w:val="0D2143"/>
          <w:sz w:val="28"/>
          <w:szCs w:val="28"/>
          <w:rtl/>
        </w:rPr>
        <w:t xml:space="preserve">الفقرة السابعة والثلاثون: الجنة والنار مخلوقتان موجودتان الآن</w:t>
      </w:r>
      <w:bookmarkEnd w:id="105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وَالْجَنَّةُ وَالنَّارُ مَخْلُوقَتَانِ قَدْ خُلِقَتَا كَمَا جَاءَ عَنْ رَسُولِ اللَّهِ ﷺ: «دَخَلْتُ الْجَنَّةَ فَرَأَيْتُ قَصْراً»، وَ«رَأَيْتُ الْكَوْثَرَ»، وَ«اطَّلَعْتُ فِي الْجَنَّةِ فَرَأَيْتُ أَكْثَرَ أَهْلِهَا كَذَا»، وَ«اطَّلَعْتُ فِي النَّارِ فَرَأَيْتُ كَذَا وَكَذَا»، فَمَنْ زَعَمَ أَنَّهُمَا لَمْ تُخْلَقَا فَهُوَ مُكَذِّبٌ بِالْقُرْآنِ وَبِأَحَادِيثِ رَسُولِ اللَّهِ ﷺ وَلَا أَحْسِبُهُ يُؤْمِنُ بِالْجَنَّةِ وَالنَّارِ.</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يقرر الإمام أحمد رحمه الله في هذه الفقرة أصلاً من أصول الغيبيات، وهو أن الجنة والنار مخلوقتان موجودتان الآن، لم تُخلقا مستقبلاً يوم القيامة كما زعمت المعتزلة، بل هما مخلوقتان قائمتان بالفعل منذ خُلقتا، ينعّم الله فيهما ويعذّب من يشاء. ويرى الإمام أن إنكار هذا الأصل مكذّب بصريح القرآن وبأحاديث النبي صلى الله عليه وسلم الثابتة في رؤيته لهما ليلة الإسراء والمعراج.</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بقوله تعالى في وصف الجنة: </w:t>
      </w:r>
      <w:r>
        <w:rPr>
          <w:rFonts w:ascii="Amiri Quran" w:cs="Amiri Quran" w:eastAsia="Amiri Quran" w:hAnsi="Amiri Quran"/>
          <w:b w:val="false"/>
          <w:bCs w:val="false"/>
          <w:i w:val="false"/>
          <w:iCs w:val="false"/>
          <w:color w:val="0D2143"/>
          <w:sz w:val="26"/>
          <w:szCs w:val="26"/>
          <w:rtl/>
        </w:rPr>
        <w:t xml:space="preserve">﴿أُعِدَّتْ لِلْمُتَّقِينَ﴾</w:t>
      </w:r>
      <w:r>
        <w:rPr>
          <w:rFonts w:ascii="Cairo" w:cs="Cairo" w:eastAsia="Cairo" w:hAnsi="Cairo"/>
          <w:b/>
          <w:bCs/>
          <w:i w:val="false"/>
          <w:iCs w:val="false"/>
          <w:color w:val="8A6A1F"/>
          <w:sz w:val="16"/>
          <w:szCs w:val="16"/>
          <w:rtl/>
        </w:rPr>
        <w:t xml:space="preserve"> [آل عمران: 133]</w:t>
      </w:r>
      <w:r>
        <w:rPr>
          <w:rFonts w:ascii="Amiri" w:cs="Amiri" w:eastAsia="Amiri" w:hAnsi="Amiri"/>
          <w:b w:val="false"/>
          <w:bCs w:val="false"/>
          <w:i w:val="false"/>
          <w:iCs w:val="false"/>
          <w:color w:val="181410"/>
          <w:sz w:val="22"/>
          <w:szCs w:val="22"/>
          <w:rtl/>
        </w:rPr>
        <w:t xml:space="preserve">، ووجه الدلالة أن لفظ "أُعِدَّت" فعل ماضٍ يدل على وقوع الإعداد والخلق فعلاً، لا أنه أمر مستقبل. واستدل بقوله صلى الله عليه وسلم: «دَخَلْتُ الْجَنَّةَ فَرَأَيْتُ قَصْرًا» (رواه البخاري ومسلم)، وهي رؤيا رآها النبي ﷺ لقصر عمر بن الخطاب رضي الله عنه في الجنة، وكذلك ما جاء من رؤيته ﷺ للكوثر ليلة الإسراء والمعراج، واطلاعه على الجنة والنار في مواضع أخرى؛ فهذه المشاهد -على تعدد مناسباتها- لا تستقيم إلا إن كانت الجنة والنار مخلوقتين موجودتين حين وقوعها.</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في ختام هذا المتن بمثل هذه الفقرات الثلاث الأخيرة (33-38) حكمة ظاهرة؛ فالإمام أحمد يختم رسالته بمسائل اليوم الآخر ومصير العباد، بعد أن فرغ من تقرير أصول الاعتقاد الكبرى، وكأنه يذكّر القارئ في ختام الرسالة بغاية كل هذا العلم: الاستعداد للقاء الله والفوز بجنته والنجاة من ناره.</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هذا الأصل مرتبط بما تقدم في الفقرات المتعلقة باليوم الآخر (15-23) في الباب الرابع، وخاصة ما يتعلق بالرؤية والحوض والشفاعة، فجميعها من أصول الغيب التي يجب الإيمان بها كما جاءت، دون إخضاعها للعقل المجرد كما فعلت المعتزلة في هذه المسألة بعينها.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يؤمن إيماناً جازماً بأن الجنة والنار مخلوقتان موجودتان الآن، وأن يسعى بصالح العمل لدخول الجنة والنجاة من النار.</w:t>
            </w:r>
          </w:p>
        </w:tc>
      </w:tr>
    </w:tbl>
    <w:p>
      <w:pPr>
        <w:spacing w:after="160"/>
      </w:pPr>
    </w:p>
    <w:p>
      <w:pPr>
        <w:pStyle w:val="Heading2"/>
        <w:bidi/>
        <w:spacing w:after="140" w:before="320"/>
        <w:jc w:val="right"/>
      </w:pPr>
      <w:bookmarkStart w:name="bm_faqrah_38" w:id="1051"/>
      <w:r>
        <w:rPr>
          <w:rFonts w:ascii="Aref Ruqaa" w:cs="Aref Ruqaa" w:eastAsia="Aref Ruqaa" w:hAnsi="Aref Ruqaa"/>
          <w:b/>
          <w:bCs/>
          <w:i w:val="false"/>
          <w:iCs w:val="false"/>
          <w:color w:val="0D2143"/>
          <w:sz w:val="28"/>
          <w:szCs w:val="28"/>
          <w:rtl/>
        </w:rPr>
        <w:t xml:space="preserve">الفقرة الثامنة والثلاثون والأخيرة: الصلاة على كل موحد والاستغفار له</w:t>
      </w:r>
      <w:bookmarkEnd w:id="105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وَمَنْ مَاتَ مِنْ أَهْلِ الْقِبْلَةِ مُوَحِّداً يُصَلَّى عَلَيْهِ وَيُسْتَغْفَرُ لَهُ، وَلَا يُحْجَبُ عَنْهُ الِاسْتِغْفَارُ وَلَا تُتْرَكُ الصَّلَاةُ عَلَيْهِ لِذَنْبٍ أَذْنَبَهُ صَغِيراً كَانَ أَوْ كَبِيراً، وَأَمْرُهُ إِلَى اللَّهِ عَزَّ وَجَلَّ.</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الإمام أحمد رحمه الله هذا المتن بفقرة تتعلق بحق الميت المسلم الموحد على إخوانه الأحياء، فيقرر أن كل من مات من أهل القبلة موحداً لله، لا يشرك به شيئاً، فإنه يُصلَّى عليه، ويُستغفَر له، ولا يُحرم من ذلك بسبب ذنب اقترفه صغيراً كان أو كبيراً، ما دام لم يخرج بذلك عن أصل التوحيد، وأمره بعد ذلك موكول إلى الله عز وجل، إن شاء عذّبه بقدر ذنبه ثم أخرجه إلى رحمته، وإن شاء عفا عنه ابتداءً.</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استدل الإمام بقوله صلى الله عليه وسلم: «مَنْ مَاتَ لَا يُشْرِكُ بِاللَّهِ شَيْئًا دَخَلَ الْجَنَّةَ» (رواه البخاري ومسلم)، ووجه الدلالة أن مآل الموحد إلى الجنة ولو تأخر دخوله إليها، وهذا يقتضي وجوب الصلاة عليه والاستغفار له، لا الإعراض عنه بسبب ذنوبه. واستدل بقوله صلى الله عليه وسلم: «لَا تَزَالُ طَائِفَةٌ مِنْ أُمَّتِي يُقَاتِلُونَ عَلَى الْحَقِّ ظَاهِرِينَ» (رواه مسلم)، تذكيراً بأن هذه الأمة -على ما فيها من مذنبين ومقصرين- باقية على الحق، محفوظة بحفظ الله لها.</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bCs/>
          <w:i w:val="false"/>
          <w:iCs w:val="false"/>
          <w:color w:val="0D2143"/>
          <w:sz w:val="22"/>
          <w:szCs w:val="22"/>
          <w:rtl/>
        </w:rPr>
        <w:t xml:space="preserve">المسألة الأولى:</w:t>
      </w:r>
      <w:r>
        <w:rPr>
          <w:rFonts w:ascii="Amiri" w:cs="Amiri" w:eastAsia="Amiri" w:hAnsi="Amiri"/>
          <w:b w:val="false"/>
          <w:bCs w:val="false"/>
          <w:i w:val="false"/>
          <w:iCs w:val="false"/>
          <w:color w:val="181410"/>
          <w:sz w:val="22"/>
          <w:szCs w:val="22"/>
          <w:rtl/>
        </w:rPr>
        <w:t xml:space="preserve"> في اختيار الإمام أحمد لهذه الفقرة خاتمةً لرسالته دلالة بيّنة على مقصده من هذا المتن كله؛ فبعد أن قرر أصول الاعتقاد في التمسك بالسنة، والقدر، والقرآن، وصفات الله، واليوم الآخر، والصحابة، والإمامة، يختم بحق أخوة الإسلام العام بين جميع الموحدين: أن يُصلَّى على ميتهم ويُستغفر له مهما كانت ذنوبه، ما لم يخرج من دائرة التوحيد. وفي هذا تذكير بأن غاية هذه الأصول العقدية كلها اجتماع كلمة أهل التوحيد على قلب واحد، لا التفرق والتنازع.</w:t>
      </w:r>
    </w:p>
    <w:p>
      <w:pPr>
        <w:bidi/>
        <w:spacing w:after="140" w:before="0" w:line="300"/>
        <w:jc w:val="both"/>
      </w:pPr>
      <w:r>
        <w:rPr>
          <w:rFonts w:ascii="Amiri" w:cs="Amiri" w:eastAsia="Amiri" w:hAnsi="Amiri"/>
          <w:b/>
          <w:bCs/>
          <w:i w:val="false"/>
          <w:iCs w:val="false"/>
          <w:color w:val="0D2143"/>
          <w:sz w:val="22"/>
          <w:szCs w:val="22"/>
          <w:rtl/>
        </w:rPr>
        <w:t xml:space="preserve">المسألة الثانية:</w:t>
      </w:r>
      <w:r>
        <w:rPr>
          <w:rFonts w:ascii="Amiri" w:cs="Amiri" w:eastAsia="Amiri" w:hAnsi="Amiri"/>
          <w:b w:val="false"/>
          <w:bCs w:val="false"/>
          <w:i w:val="false"/>
          <w:iCs w:val="false"/>
          <w:color w:val="181410"/>
          <w:sz w:val="22"/>
          <w:szCs w:val="22"/>
          <w:rtl/>
        </w:rPr>
        <w:t xml:space="preserve"> هذه الفقرة متممة لما تقدم في الفقرة الثالثة والثلاثين والرابعة والثلاثين من عدم القطع بمصير المذنبين وتوكيل أمرهم إلى الله؛ فكما لا يُشهد لهم بجنة ولا نار بأعيانهم في حياتهم، كذلك لا يُحرمون بعد موتهم من حق إخوانهم عليهم في الصلاة والدعاء، فالرحمة والرجاء يظلان قائمين إلى ما بعد الموت.</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يصلي على كل مسلم موحد يموت، ويستغفر له، ويدعو له بالرحمة والمغفرة، ولا يمنعه من ذلك ما يعلمه من ذنوبه، فأمره إلى الله وحده.</w:t>
            </w:r>
          </w:p>
        </w:tc>
      </w:tr>
    </w:tbl>
    <w:p>
      <w:pPr>
        <w:spacing w:after="160"/>
      </w:pPr>
    </w:p>
    <w:p>
      <w:pPr>
        <w:pStyle w:val="Heading1"/>
        <w:pageBreakBefore/>
        <w:bidi/>
        <w:spacing w:after="200" w:before="0"/>
        <w:jc w:val="right"/>
      </w:pPr>
      <w:bookmarkStart w:name="bm_khatimah" w:id="1052"/>
      <w:r>
        <w:rPr>
          <w:rFonts w:ascii="Aref Ruqaa" w:cs="Aref Ruqaa" w:eastAsia="Aref Ruqaa" w:hAnsi="Aref Ruqaa"/>
          <w:b/>
          <w:bCs/>
          <w:i w:val="false"/>
          <w:iCs w:val="false"/>
          <w:color w:val="0D2143"/>
          <w:sz w:val="32"/>
          <w:szCs w:val="32"/>
          <w:rtl/>
        </w:rPr>
        <w:t xml:space="preserve">خاتمة الكتاب</w:t>
      </w:r>
      <w:bookmarkEnd w:id="1052"/>
    </w:p>
    <w:p>
      <w:pPr>
        <w:bidi/>
        <w:spacing w:after="140" w:before="0" w:line="300"/>
        <w:jc w:val="both"/>
      </w:pPr>
      <w:r>
        <w:rPr>
          <w:rFonts w:ascii="Amiri" w:cs="Amiri" w:eastAsia="Amiri" w:hAnsi="Amiri"/>
          <w:b w:val="false"/>
          <w:bCs w:val="false"/>
          <w:i w:val="false"/>
          <w:iCs w:val="false"/>
          <w:color w:val="181410"/>
          <w:sz w:val="22"/>
          <w:szCs w:val="22"/>
          <w:rtl/>
        </w:rPr>
        <w:t xml:space="preserve">بعد هذا الشرح لفقرات "أصول السنة" للإمام أحمد بن حنبل رحمه الله، من أولها إلى آخرها، تخلص لنا جملة من النتائج العلمية والمنهجية:</w:t>
      </w:r>
    </w:p>
    <w:p>
      <w:pPr>
        <w:bidi/>
        <w:spacing w:after="140" w:before="0" w:line="300"/>
        <w:jc w:val="both"/>
      </w:pPr>
      <w:r>
        <w:rPr>
          <w:rFonts w:ascii="Amiri" w:cs="Amiri" w:eastAsia="Amiri" w:hAnsi="Amiri"/>
          <w:b/>
          <w:bCs/>
          <w:i w:val="false"/>
          <w:iCs w:val="false"/>
          <w:color w:val="0D2143"/>
          <w:sz w:val="22"/>
          <w:szCs w:val="22"/>
          <w:rtl/>
        </w:rPr>
        <w:t xml:space="preserve">أولاً:</w:t>
      </w:r>
      <w:r>
        <w:rPr>
          <w:rFonts w:ascii="Amiri" w:cs="Amiri" w:eastAsia="Amiri" w:hAnsi="Amiri"/>
          <w:b w:val="false"/>
          <w:bCs w:val="false"/>
          <w:i w:val="false"/>
          <w:iCs w:val="false"/>
          <w:color w:val="181410"/>
          <w:sz w:val="22"/>
          <w:szCs w:val="22"/>
          <w:rtl/>
        </w:rPr>
        <w:t xml:space="preserve"> أن "أصول السنة" رسالة موجزة اللفظ، عظيمة المعنى، جمع فيها الإمام أحمد رحمه الله خلاصة عقيدة أهل السنة والجماعة في الاتباع، والقدر، والقرآن، والصفات، واليوم الآخر، والصحابة، والإمامة، في أقل من أربعين فقرة، فكانت مثالاً على منهج السلف في الاختصار غير المخل، والتفصيل غير الممل.</w:t>
      </w:r>
    </w:p>
    <w:p>
      <w:pPr>
        <w:bidi/>
        <w:spacing w:after="140" w:before="0" w:line="300"/>
        <w:jc w:val="both"/>
      </w:pPr>
      <w:r>
        <w:rPr>
          <w:rFonts w:ascii="Amiri" w:cs="Amiri" w:eastAsia="Amiri" w:hAnsi="Amiri"/>
          <w:b/>
          <w:bCs/>
          <w:i w:val="false"/>
          <w:iCs w:val="false"/>
          <w:color w:val="0D2143"/>
          <w:sz w:val="22"/>
          <w:szCs w:val="22"/>
          <w:rtl/>
        </w:rPr>
        <w:t xml:space="preserve">ثانياً:</w:t>
      </w:r>
      <w:r>
        <w:rPr>
          <w:rFonts w:ascii="Amiri" w:cs="Amiri" w:eastAsia="Amiri" w:hAnsi="Amiri"/>
          <w:b w:val="false"/>
          <w:bCs w:val="false"/>
          <w:i w:val="false"/>
          <w:iCs w:val="false"/>
          <w:color w:val="181410"/>
          <w:sz w:val="22"/>
          <w:szCs w:val="22"/>
          <w:rtl/>
        </w:rPr>
        <w:t xml:space="preserve"> أن مدار الرسالة كلها على أصل واحد جامع، هو التمسك بهدي الصحابة رضي الله عنهم وترك ما أحدث بعدهم، وأن سائر الفقرات إنما هي تفريعات على هذا الأصل وتطبيقات له في أبواب الاعتقاد المختلفة.</w:t>
      </w:r>
    </w:p>
    <w:p>
      <w:pPr>
        <w:bidi/>
        <w:spacing w:after="140" w:before="0" w:line="300"/>
        <w:jc w:val="both"/>
      </w:pPr>
      <w:r>
        <w:rPr>
          <w:rFonts w:ascii="Amiri" w:cs="Amiri" w:eastAsia="Amiri" w:hAnsi="Amiri"/>
          <w:b/>
          <w:bCs/>
          <w:i w:val="false"/>
          <w:iCs w:val="false"/>
          <w:color w:val="0D2143"/>
          <w:sz w:val="22"/>
          <w:szCs w:val="22"/>
          <w:rtl/>
        </w:rPr>
        <w:t xml:space="preserve">ثالثاً:</w:t>
      </w:r>
      <w:r>
        <w:rPr>
          <w:rFonts w:ascii="Amiri" w:cs="Amiri" w:eastAsia="Amiri" w:hAnsi="Amiri"/>
          <w:b w:val="false"/>
          <w:bCs w:val="false"/>
          <w:i w:val="false"/>
          <w:iCs w:val="false"/>
          <w:color w:val="181410"/>
          <w:sz w:val="22"/>
          <w:szCs w:val="22"/>
          <w:rtl/>
        </w:rPr>
        <w:t xml:space="preserve"> أن الإمام أحمد رحمه الله كرر في هذه الرسالة، مرة بعد مرة، الأمر بالتسليم لنصوص الوحي وترك الجدال والمراء فيها، وهذا هو الخيط الناظم لعامة فقراتها، حتى في أبواب لا يظهر فيها ارتباط هذا الأصل من أول وهلة.</w:t>
      </w:r>
    </w:p>
    <w:p>
      <w:pPr>
        <w:bidi/>
        <w:spacing w:after="140" w:before="0" w:line="300"/>
        <w:jc w:val="both"/>
      </w:pPr>
      <w:r>
        <w:rPr>
          <w:rFonts w:ascii="Amiri" w:cs="Amiri" w:eastAsia="Amiri" w:hAnsi="Amiri"/>
          <w:b/>
          <w:bCs/>
          <w:i w:val="false"/>
          <w:iCs w:val="false"/>
          <w:color w:val="0D2143"/>
          <w:sz w:val="22"/>
          <w:szCs w:val="22"/>
          <w:rtl/>
        </w:rPr>
        <w:t xml:space="preserve">رابعاً:</w:t>
      </w:r>
      <w:r>
        <w:rPr>
          <w:rFonts w:ascii="Amiri" w:cs="Amiri" w:eastAsia="Amiri" w:hAnsi="Amiri"/>
          <w:b w:val="false"/>
          <w:bCs w:val="false"/>
          <w:i w:val="false"/>
          <w:iCs w:val="false"/>
          <w:color w:val="181410"/>
          <w:sz w:val="22"/>
          <w:szCs w:val="22"/>
          <w:rtl/>
        </w:rPr>
        <w:t xml:space="preserve"> أن هذه الرسالة جاءت -على ما يُذكر في بعض أقوال أهل السير في تأريخها- قريبة من زمن محنة خلق القرآن التي عاناها أهل السنة، وإن كان تحديد تاريخها على وجه القطع مما لا يتسع له هذا المختصر، فهي على كل حال شاهدة على ثبات الإمام أحمد رحمه الله على الحق في هذه المسألة وغيرها، وشاهدة في الوقت نفسه على منهجه العلمي في تقرير مسائل الاعتقاد بالدليل لا بالتقليد.</w:t>
      </w:r>
    </w:p>
    <w:p>
      <w:pPr>
        <w:bidi/>
        <w:spacing w:after="140" w:before="0" w:line="300"/>
        <w:jc w:val="both"/>
      </w:pPr>
      <w:r>
        <w:rPr>
          <w:rFonts w:ascii="Amiri" w:cs="Amiri" w:eastAsia="Amiri" w:hAnsi="Amiri"/>
          <w:b w:val="false"/>
          <w:bCs w:val="false"/>
          <w:i w:val="false"/>
          <w:iCs w:val="false"/>
          <w:color w:val="181410"/>
          <w:sz w:val="22"/>
          <w:szCs w:val="22"/>
          <w:rtl/>
        </w:rPr>
        <w:t xml:space="preserve">وقد حرصنا في هذا الشرح على الجمع بين الدقة العلمية والتيسير على الطالب، مستفيدين من جهود من سبقنا من أهل هذا الفن، غير مستغنين بذلك عن شيء من تراثهم العظيم. ونسأل الله أن يجعل هذا العمل خالصاً لوجهه، نافعاً لطلاب العلم، وأن يغفر لنا ما فيه من تقصير أو زلل.</w:t>
      </w:r>
    </w:p>
    <w:p>
      <w:pPr>
        <w:bidi/>
        <w:spacing w:after="140" w:before="0" w:line="300"/>
        <w:jc w:val="both"/>
      </w:pPr>
      <w:r>
        <w:rPr>
          <w:rFonts w:ascii="Amiri" w:cs="Amiri" w:eastAsia="Amiri" w:hAnsi="Amiri"/>
          <w:b w:val="false"/>
          <w:bCs w:val="false"/>
          <w:i w:val="false"/>
          <w:iCs w:val="false"/>
          <w:color w:val="181410"/>
          <w:sz w:val="22"/>
          <w:szCs w:val="22"/>
          <w:rtl/>
        </w:rPr>
        <w:t xml:space="preserve">وَآخِرُ دَعْوَانَا أَنِ الْحَمْدُ لِلَّهِ رَبِّ الْعَالَمِينَ</w:t>
      </w:r>
    </w:p>
    <w:p>
      <w:pPr>
        <w:pStyle w:val="Heading1"/>
        <w:pageBreakBefore/>
        <w:bidi/>
        <w:spacing w:after="200" w:before="0"/>
        <w:jc w:val="right"/>
      </w:pPr>
      <w:bookmarkStart w:name="bm_bibliography" w:id="1053"/>
      <w:r>
        <w:rPr>
          <w:rFonts w:ascii="Aref Ruqaa" w:cs="Aref Ruqaa" w:eastAsia="Aref Ruqaa" w:hAnsi="Aref Ruqaa"/>
          <w:b/>
          <w:bCs/>
          <w:i w:val="false"/>
          <w:iCs w:val="false"/>
          <w:color w:val="0D2143"/>
          <w:sz w:val="32"/>
          <w:szCs w:val="32"/>
          <w:rtl/>
        </w:rPr>
        <w:t xml:space="preserve">قائمة المصادر</w:t>
      </w:r>
      <w:bookmarkEnd w:id="1053"/>
    </w:p>
    <w:p>
      <w:pPr>
        <w:bidi/>
        <w:spacing w:after="140" w:before="0" w:line="300"/>
        <w:jc w:val="both"/>
      </w:pPr>
      <w:r>
        <w:rPr>
          <w:rFonts w:ascii="Amiri" w:cs="Amiri" w:eastAsia="Amiri" w:hAnsi="Amiri"/>
          <w:b w:val="false"/>
          <w:bCs w:val="false"/>
          <w:i w:val="false"/>
          <w:iCs w:val="false"/>
          <w:color w:val="181410"/>
          <w:sz w:val="22"/>
          <w:szCs w:val="22"/>
          <w:rtl/>
        </w:rPr>
        <w:t xml:space="preserve">المتن الأصلي، ومصادر الأحاديث والآثار المصرَّح بها في هذا الشرح:</w:t>
      </w:r>
    </w:p>
    <w:p>
      <w:pPr>
        <w:pStyle w:val="Heading3"/>
        <w:bidi/>
        <w:spacing w:after="120" w:before="260"/>
        <w:jc w:val="right"/>
      </w:pPr>
      <w:bookmarkStart w:name="bm_5" w:id="1054"/>
      <w:r>
        <w:rPr>
          <w:rFonts w:ascii="Aref Ruqaa" w:cs="Aref Ruqaa" w:eastAsia="Aref Ruqaa" w:hAnsi="Aref Ruqaa"/>
          <w:b/>
          <w:bCs/>
          <w:i w:val="false"/>
          <w:iCs w:val="false"/>
          <w:color w:val="0D2143"/>
          <w:sz w:val="23"/>
          <w:szCs w:val="23"/>
          <w:rtl/>
        </w:rPr>
        <w:t xml:space="preserve">المتن الأصلي</w:t>
      </w:r>
      <w:bookmarkEnd w:id="1054"/>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أصول السنة</w:t>
      </w:r>
      <w:r>
        <w:rPr>
          <w:rFonts w:ascii="Amiri" w:cs="Amiri" w:eastAsia="Amiri" w:hAnsi="Amiri"/>
          <w:b w:val="false"/>
          <w:bCs w:val="false"/>
          <w:i w:val="false"/>
          <w:iCs w:val="false"/>
          <w:color w:val="181410"/>
          <w:sz w:val="22"/>
          <w:szCs w:val="22"/>
          <w:rtl/>
        </w:rPr>
        <w:t xml:space="preserve"> — للإمام أحمد بن محمد بن حنبل الشيباني رحمه الله (164–241هـ)، وهو المتن موضوع هذا الشرح.</w:t>
      </w:r>
    </w:p>
    <w:p>
      <w:pPr>
        <w:pStyle w:val="Heading3"/>
        <w:bidi/>
        <w:spacing w:after="120" w:before="260"/>
        <w:jc w:val="right"/>
      </w:pPr>
      <w:bookmarkStart w:name="bm_6" w:id="1055"/>
      <w:r>
        <w:rPr>
          <w:rFonts w:ascii="Aref Ruqaa" w:cs="Aref Ruqaa" w:eastAsia="Aref Ruqaa" w:hAnsi="Aref Ruqaa"/>
          <w:b/>
          <w:bCs/>
          <w:i w:val="false"/>
          <w:iCs w:val="false"/>
          <w:color w:val="0D2143"/>
          <w:sz w:val="23"/>
          <w:szCs w:val="23"/>
          <w:rtl/>
        </w:rPr>
        <w:t xml:space="preserve">دواوين السنة المروي عنها في هذا الشرح</w:t>
      </w:r>
      <w:bookmarkEnd w:id="1055"/>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صحيح البخاري</w:t>
      </w:r>
      <w:r>
        <w:rPr>
          <w:rFonts w:ascii="Amiri" w:cs="Amiri" w:eastAsia="Amiri" w:hAnsi="Amiri"/>
          <w:b w:val="false"/>
          <w:bCs w:val="false"/>
          <w:i w:val="false"/>
          <w:iCs w:val="false"/>
          <w:color w:val="181410"/>
          <w:sz w:val="22"/>
          <w:szCs w:val="22"/>
          <w:rtl/>
        </w:rPr>
        <w:t xml:space="preserve"> — للإمام محمد بن إسماعيل البخاري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صحيح مسلم</w:t>
      </w:r>
      <w:r>
        <w:rPr>
          <w:rFonts w:ascii="Amiri" w:cs="Amiri" w:eastAsia="Amiri" w:hAnsi="Amiri"/>
          <w:b w:val="false"/>
          <w:bCs w:val="false"/>
          <w:i w:val="false"/>
          <w:iCs w:val="false"/>
          <w:color w:val="181410"/>
          <w:sz w:val="22"/>
          <w:szCs w:val="22"/>
          <w:rtl/>
        </w:rPr>
        <w:t xml:space="preserve"> — للإمام مسلم بن الحجاج النيسابوري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سنن أبي داود</w:t>
      </w:r>
      <w:r>
        <w:rPr>
          <w:rFonts w:ascii="Amiri" w:cs="Amiri" w:eastAsia="Amiri" w:hAnsi="Amiri"/>
          <w:b w:val="false"/>
          <w:bCs w:val="false"/>
          <w:i w:val="false"/>
          <w:iCs w:val="false"/>
          <w:color w:val="181410"/>
          <w:sz w:val="22"/>
          <w:szCs w:val="22"/>
          <w:rtl/>
        </w:rPr>
        <w:t xml:space="preserve"> — للإمام أبي داود سليمان بن الأشعث السجستاني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جامع الترمذي</w:t>
      </w:r>
      <w:r>
        <w:rPr>
          <w:rFonts w:ascii="Amiri" w:cs="Amiri" w:eastAsia="Amiri" w:hAnsi="Amiri"/>
          <w:b w:val="false"/>
          <w:bCs w:val="false"/>
          <w:i w:val="false"/>
          <w:iCs w:val="false"/>
          <w:color w:val="181410"/>
          <w:sz w:val="22"/>
          <w:szCs w:val="22"/>
          <w:rtl/>
        </w:rPr>
        <w:t xml:space="preserve"> — للإمام أبي عيسى محمد بن عيسى الترمذي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سنن ابن ماجه</w:t>
      </w:r>
      <w:r>
        <w:rPr>
          <w:rFonts w:ascii="Amiri" w:cs="Amiri" w:eastAsia="Amiri" w:hAnsi="Amiri"/>
          <w:b w:val="false"/>
          <w:bCs w:val="false"/>
          <w:i w:val="false"/>
          <w:iCs w:val="false"/>
          <w:color w:val="181410"/>
          <w:sz w:val="22"/>
          <w:szCs w:val="22"/>
          <w:rtl/>
        </w:rPr>
        <w:t xml:space="preserve"> — للإمام محمد بن يزيد ابن ماجه القزويني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سنن النسائي</w:t>
      </w:r>
      <w:r>
        <w:rPr>
          <w:rFonts w:ascii="Amiri" w:cs="Amiri" w:eastAsia="Amiri" w:hAnsi="Amiri"/>
          <w:b w:val="false"/>
          <w:bCs w:val="false"/>
          <w:i w:val="false"/>
          <w:iCs w:val="false"/>
          <w:color w:val="181410"/>
          <w:sz w:val="22"/>
          <w:szCs w:val="22"/>
          <w:rtl/>
        </w:rPr>
        <w:t xml:space="preserve"> — للإمام أحمد بن شعيب النسائي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سنن الدارقطني</w:t>
      </w:r>
      <w:r>
        <w:rPr>
          <w:rFonts w:ascii="Amiri" w:cs="Amiri" w:eastAsia="Amiri" w:hAnsi="Amiri"/>
          <w:b w:val="false"/>
          <w:bCs w:val="false"/>
          <w:i w:val="false"/>
          <w:iCs w:val="false"/>
          <w:color w:val="181410"/>
          <w:sz w:val="22"/>
          <w:szCs w:val="22"/>
          <w:rtl/>
        </w:rPr>
        <w:t xml:space="preserve"> — للإمام أبي الحسن علي بن عمر الدارقطني رحمه الله.</w:t>
      </w:r>
    </w:p>
    <w:p>
      <w:pPr>
        <w:pStyle w:val="Heading3"/>
        <w:bidi/>
        <w:spacing w:after="120" w:before="260"/>
        <w:jc w:val="right"/>
      </w:pPr>
      <w:bookmarkStart w:name="bm_7" w:id="1056"/>
      <w:r>
        <w:rPr>
          <w:rFonts w:ascii="Aref Ruqaa" w:cs="Aref Ruqaa" w:eastAsia="Aref Ruqaa" w:hAnsi="Aref Ruqaa"/>
          <w:b/>
          <w:bCs/>
          <w:i w:val="false"/>
          <w:iCs w:val="false"/>
          <w:color w:val="0D2143"/>
          <w:sz w:val="23"/>
          <w:szCs w:val="23"/>
          <w:rtl/>
        </w:rPr>
        <w:t xml:space="preserve">أئمة مذكورون في متن الشرح</w:t>
      </w:r>
      <w:bookmarkEnd w:id="1056"/>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الإمام مالك بن أنس — إمام دار الهجرة، صاحب </w:t>
      </w:r>
      <w:r>
        <w:rPr>
          <w:rFonts w:ascii="Amiri" w:cs="Amiri" w:eastAsia="Amiri" w:hAnsi="Amiri"/>
          <w:b w:val="false"/>
          <w:bCs w:val="false"/>
          <w:i/>
          <w:iCs/>
          <w:color w:val="181410"/>
          <w:sz w:val="22"/>
          <w:szCs w:val="22"/>
          <w:rtl/>
        </w:rPr>
        <w:t xml:space="preserve">الموطأ</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الإمام محمد بن إسماعيل البخاري — صاحب </w:t>
      </w:r>
      <w:r>
        <w:rPr>
          <w:rFonts w:ascii="Amiri" w:cs="Amiri" w:eastAsia="Amiri" w:hAnsi="Amiri"/>
          <w:b w:val="false"/>
          <w:bCs w:val="false"/>
          <w:i/>
          <w:iCs/>
          <w:color w:val="181410"/>
          <w:sz w:val="22"/>
          <w:szCs w:val="22"/>
          <w:rtl/>
        </w:rPr>
        <w:t xml:space="preserve">الصحيح</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علي بن أبي طالب رضي الله عنه.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عبد الله بن عمر، وعبد الله بن عباس، وابن مسعود، وعمر بن الخطاب رضي الله عنهم.</w:t>
      </w: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هذه القائمة مستخلصة من النصوص الصريحة الواردة في متن الشرح نفسه، دون إضافة مصادر لم يُشر إليها الشارح.</w:t>
            </w:r>
          </w:p>
        </w:tc>
      </w:tr>
    </w:tbl>
    <w:p>
      <w:pPr>
        <w:spacing w:after="140"/>
      </w:pPr>
    </w:p>
    <w:p>
      <w:pPr>
        <w:spacing w:after="800"/>
      </w:pPr>
    </w:p>
    <w:p>
      <w:pPr>
        <w:bidi/>
        <w:spacing w:after="300" w:before="0" w:line="300"/>
        <w:jc w:val="center"/>
      </w:pPr>
      <w:r>
        <w:rPr>
          <w:rFonts w:ascii="Amiri Quran" w:cs="Amiri Quran" w:eastAsia="Amiri Quran" w:hAnsi="Amiri Quran"/>
          <w:b w:val="false"/>
          <w:bCs w:val="false"/>
          <w:i w:val="false"/>
          <w:iCs w:val="false"/>
          <w:color w:val="8A6A1F"/>
          <w:sz w:val="22"/>
          <w:szCs w:val="22"/>
          <w:rtl/>
        </w:rPr>
        <w:t xml:space="preserve">وَآخِرُ دَعْوَانَا أَنِ الْحَمْدُ لِلَّهِ رَبِّ الْعَالَمِينَ</w:t>
      </w:r>
    </w:p>
    <w:p>
      <w:pPr>
        <w:bidi/>
        <w:spacing w:after="260"/>
        <w:jc w:val="center"/>
      </w:pPr>
      <w:r>
        <w:rPr>
          <w:rFonts w:ascii="Aref Ruqaa" w:cs="Aref Ruqaa" w:eastAsia="Aref Ruqaa" w:hAnsi="Aref Ruqaa"/>
          <w:b/>
          <w:bCs/>
          <w:i w:val="false"/>
          <w:iCs w:val="false"/>
          <w:color w:val="0A1830"/>
          <w:sz w:val="36"/>
          <w:szCs w:val="36"/>
          <w:rtl/>
        </w:rPr>
        <w:t xml:space="preserve">تمت الرسالة بحمد الله</w:t>
      </w:r>
    </w:p>
    <w:p>
      <w:pPr>
        <w:bidi/>
        <w:spacing w:after="400" w:before="0" w:line="300"/>
        <w:jc w:val="center"/>
      </w:pPr>
      <w:r>
        <w:rPr>
          <w:rFonts w:ascii="Amiri" w:cs="Amiri" w:eastAsia="Amiri" w:hAnsi="Amiri"/>
          <w:b w:val="false"/>
          <w:bCs w:val="false"/>
          <w:i w:val="false"/>
          <w:iCs w:val="false"/>
          <w:color w:val="3A3226"/>
          <w:sz w:val="20"/>
          <w:szCs w:val="20"/>
          <w:rtl/>
        </w:rPr>
        <w:t xml:space="preserve">فصول الأمة — شرح أصول السنة للإمام أحمد بن حنبل رضي الله عنهشرحٌ لأصول السنة بفقراتها الثمان والثلاثين، من مقدمتها إلى خاتمتها، بقلم راجي عفو ربه الغفور أحمد بن إبراهيم السليمي.جامعة الملك العالمية — Al-Mulk International University</w:t>
      </w:r>
    </w:p>
    <w:p>
      <w:pPr>
        <w:bidi/>
        <w:spacing w:after="160" w:before="0" w:line="300"/>
        <w:jc w:val="center"/>
      </w:pPr>
      <w:r>
        <w:rPr>
          <w:rFonts w:ascii="Amiri" w:cs="Amiri" w:eastAsia="Amiri" w:hAnsi="Amiri"/>
          <w:b w:val="false"/>
          <w:bCs w:val="false"/>
          <w:i w:val="false"/>
          <w:iCs w:val="false"/>
          <w:color w:val="6B6152"/>
          <w:sz w:val="16"/>
          <w:szCs w:val="16"/>
          <w:rtl/>
        </w:rPr>
        <w:t xml:space="preserve">فصول الأمة — شرح أصول السنة · النسخة الملكية الفاخرة · جامعة الملك العالمية · جميع الحقوق محفوظة للشارح</w:t>
      </w:r>
    </w:p>
    <w:p>
      <w:pPr>
        <w:spacing w:after="400"/>
      </w:pPr>
    </w:p>
    <w:p>
      <w:pPr>
        <w:bidi/>
        <w:spacing w:after="300" w:before="0" w:line="300"/>
        <w:jc w:val="center"/>
      </w:pPr>
      <w:r>
        <w:rPr>
          <w:rFonts w:ascii="Amiri" w:cs="Amiri" w:eastAsia="Amiri" w:hAnsi="Amiri"/>
          <w:b/>
          <w:bCs/>
          <w:i w:val="false"/>
          <w:iCs w:val="false"/>
          <w:color w:val="A9812A"/>
          <w:sz w:val="16"/>
          <w:szCs w:val="16"/>
          <w:rtl/>
        </w:rPr>
        <w:t xml:space="preserve">سلسلة مؤلفات الإمام أحمد بن إبراهيم السليمي · الكتاب (50)</w:t>
      </w:r>
    </w:p>
    <w:p>
      <w:pPr>
        <w:bidi/>
        <w:spacing w:after="300"/>
        <w:jc w:val="center"/>
      </w:pPr>
      <w:r>
        <w:rPr>
          <w:rFonts w:ascii="Aref Ruqaa" w:cs="Aref Ruqaa" w:eastAsia="Aref Ruqaa" w:hAnsi="Aref Ruqaa"/>
          <w:b/>
          <w:bCs/>
          <w:i w:val="false"/>
          <w:iCs w:val="false"/>
          <w:color w:val="0A1830"/>
          <w:sz w:val="34"/>
          <w:szCs w:val="34"/>
          <w:rtl/>
        </w:rPr>
        <w:t xml:space="preserve">فصول الأمة — شرح أصول السنة</w:t>
      </w:r>
    </w:p>
    <w:p>
      <w:pPr>
        <w:bidi/>
        <w:spacing w:after="400" w:before="0" w:line="300"/>
        <w:jc w:val="both"/>
      </w:pPr>
      <w:r>
        <w:rPr>
          <w:rFonts w:ascii="Amiri" w:cs="Amiri" w:eastAsia="Amiri" w:hAnsi="Amiri"/>
          <w:b w:val="false"/>
          <w:bCs w:val="false"/>
          <w:i w:val="false"/>
          <w:iCs w:val="false"/>
          <w:color w:val="3A3226"/>
          <w:sz w:val="20"/>
          <w:szCs w:val="20"/>
          <w:rtl/>
        </w:rPr>
        <w:t xml:space="preserve">
      شرحٌ لمتن «أصول السنة» للإمام أحمد بن محمد بن حنبل الشيباني رحمه الله تعالى، فقرةً فقرةً، من أوله إلى آخره، جامعاً بيان معانيه وأدلته من الكتاب والسنة وأقوال السلف، مع التنبيه على مواضع الاختلاف في تخريج بعض الآثار حيث وردت، ومبيناً الواجب على المسلم في كل فقرة من فقراته الثمان والثلاثين، في أصول الاعتقاد، والإيمان بالقدر، والقرآن كلام الله، واليوم الآخر، وفضائل الصحابة، والإمامة، ومنهج أهل السنة في الحكم على الناس.
    </w:t>
      </w:r>
    </w:p>
    <w:p>
      <w:pPr>
        <w:bidi/>
        <w:spacing w:after="400" w:before="0" w:line="300"/>
        <w:jc w:val="center"/>
      </w:pPr>
      <w:r>
        <w:rPr>
          <w:rFonts w:ascii="Amiri" w:cs="Amiri" w:eastAsia="Amiri" w:hAnsi="Amiri"/>
          <w:b w:val="false"/>
          <w:bCs w:val="false"/>
          <w:i w:val="false"/>
          <w:iCs w:val="false"/>
          <w:color w:val="C39A3C"/>
          <w:sz w:val="22"/>
          <w:szCs w:val="22"/>
          <w:rtl/>
        </w:rPr>
        <w:t xml:space="preserve">۞</w:t>
      </w:r>
    </w:p>
    <w:p>
      <w:pPr>
        <w:bidi/>
        <w:spacing w:after="80" w:before="0" w:line="300"/>
        <w:jc w:val="right"/>
      </w:pPr>
      <w:r>
        <w:rPr>
          <w:rFonts w:ascii="Amiri" w:cs="Amiri" w:eastAsia="Amiri" w:hAnsi="Amiri"/>
          <w:b/>
          <w:bCs/>
          <w:i w:val="false"/>
          <w:iCs w:val="false"/>
          <w:color w:val="8A6A1F"/>
          <w:sz w:val="16"/>
          <w:szCs w:val="16"/>
          <w:rtl/>
        </w:rPr>
        <w:t xml:space="preserve">عن الشارح</w:t>
      </w:r>
    </w:p>
    <w:p>
      <w:pPr>
        <w:bidi/>
        <w:spacing w:after="400" w:before="0" w:line="300"/>
        <w:jc w:val="both"/>
      </w:pPr>
      <w:r>
        <w:rPr>
          <w:rFonts w:ascii="Amiri" w:cs="Amiri" w:eastAsia="Amiri" w:hAnsi="Amiri"/>
          <w:b w:val="false"/>
          <w:bCs w:val="false"/>
          <w:i w:val="false"/>
          <w:iCs w:val="false"/>
          <w:color w:val="3A3226"/>
          <w:sz w:val="18"/>
          <w:szCs w:val="18"/>
          <w:rtl/>
        </w:rPr>
        <w:t xml:space="preserve">راجي عفو ربه الغفور أحمد بن إبراهيم السليمي، عُني بشرح متون العقيدة والتجويد وتقريبها لطلبة العلم، أسأل الله أن ينفع به.</w:t>
      </w:r>
    </w:p>
    <w:p>
      <w:pPr>
        <w:bidi/>
        <w:spacing w:after="400" w:before="0" w:line="300"/>
        <w:jc w:val="center"/>
      </w:pPr>
      <w:r>
        <w:rPr>
          <w:rFonts w:ascii="Amiri" w:cs="Amiri" w:eastAsia="Amiri" w:hAnsi="Amiri"/>
          <w:b w:val="false"/>
          <w:bCs w:val="false"/>
          <w:i/>
          <w:iCs/>
          <w:color w:val="6B6152"/>
          <w:sz w:val="16"/>
          <w:szCs w:val="16"/>
          <w:rtl/>
        </w:rPr>
        <w:t xml:space="preserve">من سلسلة مؤلفات الإمام أحمد بن إبراهيم السليمي — مجموعة مصنفاته في العقيدة وعلوم القرآن الكريم وتجويده.</w:t>
      </w:r>
    </w:p>
    <w:p>
      <w:pPr>
        <w:bidi/>
        <w:spacing w:after="120" w:before="0" w:line="300"/>
        <w:jc w:val="right"/>
      </w:pPr>
      <w:r>
        <w:rPr>
          <w:rFonts w:ascii="Amiri" w:cs="Amiri" w:eastAsia="Amiri" w:hAnsi="Amiri"/>
          <w:b w:val="false"/>
          <w:bCs w:val="false"/>
          <w:i w:val="false"/>
          <w:iCs w:val="false"/>
          <w:color w:val="3A3226"/>
          <w:sz w:val="18"/>
          <w:szCs w:val="18"/>
          <w:rtl/>
        </w:rPr>
        <w:t xml:space="preserve">الناشر: جامعة الملك العالمية — Al-Mulk International University</w:t>
      </w:r>
    </w:p>
    <w:p>
      <w:pPr>
        <w:bidi/>
        <w:spacing w:after="120" w:before="0" w:line="300"/>
        <w:jc w:val="right"/>
      </w:pPr>
      <w:r>
        <w:rPr>
          <w:rFonts w:ascii="Amiri" w:cs="Amiri" w:eastAsia="Amiri" w:hAnsi="Amiri"/>
          <w:b w:val="false"/>
          <w:bCs w:val="false"/>
          <w:i w:val="false"/>
          <w:iCs w:val="false"/>
          <w:color w:val="3A3226"/>
          <w:sz w:val="18"/>
          <w:szCs w:val="18"/>
          <w:rtl/>
        </w:rPr>
        <w:t xml:space="preserve">السلسلة: سلسلة مؤلفات الإمام أحمد بن إبراهيم السليمي — الكتاب (50)</w:t>
      </w:r>
    </w:p>
    <w:p>
      <w:pPr>
        <w:bidi/>
        <w:spacing w:after="120" w:before="0" w:line="300"/>
        <w:jc w:val="right"/>
      </w:pPr>
      <w:r>
        <w:rPr>
          <w:rFonts w:ascii="Amiri" w:cs="Amiri" w:eastAsia="Amiri" w:hAnsi="Amiri"/>
          <w:b w:val="false"/>
          <w:bCs w:val="false"/>
          <w:i w:val="false"/>
          <w:iCs w:val="false"/>
          <w:color w:val="3A3226"/>
          <w:sz w:val="18"/>
          <w:szCs w:val="18"/>
          <w:rtl/>
        </w:rPr>
        <w:t xml:space="preserve">الإصدار: النسخة الملكية الفاخرة</w:t>
      </w:r>
    </w:p>
    <w:p>
      <w:pPr>
        <w:bidi/>
        <w:spacing w:after="300" w:before="0" w:line="300"/>
        <w:jc w:val="center"/>
      </w:pPr>
      <w:r>
        <w:rPr>
          <w:rFonts w:ascii="Amiri" w:cs="Amiri" w:eastAsia="Amiri" w:hAnsi="Amiri"/>
          <w:b w:val="false"/>
          <w:bCs w:val="false"/>
          <w:i/>
          <w:iCs/>
          <w:color w:val="6B6152"/>
          <w:sz w:val="16"/>
          <w:szCs w:val="16"/>
          <w:rtl/>
        </w:rPr>
        <w:t xml:space="preserve">ISBN 978-1-7345678-3-0</w:t>
      </w:r>
    </w:p>
    <w:p>
      <w:pPr>
        <w:spacing w:after="160"/>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bidi/>
        <w:spacing w:after="200" w:before="0" w:line="300"/>
        <w:jc w:val="center"/>
      </w:pPr>
      <w:r>
        <w:rPr>
          <w:rFonts w:ascii="Amiri" w:cs="Amiri" w:eastAsia="Amiri" w:hAnsi="Amiri"/>
          <w:b/>
          <w:bCs/>
          <w:i w:val="false"/>
          <w:iCs w:val="false"/>
          <w:color w:val="8A6A1F"/>
          <w:sz w:val="18"/>
          <w:szCs w:val="18"/>
          <w:rtl/>
        </w:rPr>
        <w:t xml:space="preserve">جامعة الملك العالمية</w:t>
      </w:r>
    </w:p>
    <w:p>
      <w:pPr>
        <w:pStyle w:val="Heading1"/>
        <w:pageBreakBefore/>
        <w:bidi/>
        <w:spacing w:after="200" w:before="0"/>
        <w:jc w:val="right"/>
      </w:pPr>
      <w:bookmarkStart w:name="bm_native_index" w:id="1057"/>
      <w:r>
        <w:rPr>
          <w:rFonts w:ascii="Aref Ruqaa" w:cs="Aref Ruqaa" w:eastAsia="Aref Ruqaa" w:hAnsi="Aref Ruqaa"/>
          <w:b/>
          <w:bCs/>
          <w:i w:val="false"/>
          <w:iCs w:val="false"/>
          <w:color w:val="0D2143"/>
          <w:sz w:val="32"/>
          <w:szCs w:val="32"/>
          <w:rtl/>
        </w:rPr>
        <w:t xml:space="preserve">الفهرس التحليلي</w:t>
      </w:r>
      <w:bookmarkEnd w:id="1057"/>
    </w:p>
    <w:p>
      <w:pPr>
        <w:bidi/>
        <w:spacing w:after="110"/>
        <w:jc w:val="right"/>
      </w:pPr>
      <w:r>
        <w:rPr>
          <w:rFonts w:ascii="Amiri" w:cs="Amiri" w:eastAsia="Amiri" w:hAnsi="Amiri"/>
          <w:b w:val="false"/>
          <w:bCs w:val="false"/>
          <w:i w:val="false"/>
          <w:iCs w:val="false"/>
          <w:color w:val="3A3226"/>
          <w:sz w:val="22"/>
          <w:szCs w:val="22"/>
          <w:rtl/>
        </w:rPr>
        <w:t xml:space="preserve">الفقرة الأولى: التمسك بهدي الصحابة والاقتداء بهم</w:t>
      </w:r>
      <w:r>
        <w:rPr>
          <w:rtl/>
        </w:rPr>
        <w:ptab w:alignment="left" w:relativeTo="margin" w:leader="dot"/>
      </w:r>
      <w:r>
        <w:fldChar w:fldCharType="begin" w:dirty="true"/>
        <w:instrText xml:space="preserve">PAGEREF bm_faqrah_1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الثانية: ترك البدع</w:t>
      </w:r>
      <w:r>
        <w:rPr>
          <w:rtl/>
        </w:rPr>
        <w:ptab w:alignment="left" w:relativeTo="margin" w:leader="dot"/>
      </w:r>
      <w:r>
        <w:fldChar w:fldCharType="begin" w:dirty="true"/>
        <w:instrText xml:space="preserve">PAGEREF bm_faqrah_2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الثالثة: ترك الخصومات في الدين</w:t>
      </w:r>
      <w:r>
        <w:rPr>
          <w:rtl/>
        </w:rPr>
        <w:ptab w:alignment="left" w:relativeTo="margin" w:leader="dot"/>
      </w:r>
      <w:r>
        <w:fldChar w:fldCharType="begin" w:dirty="true"/>
        <w:instrText xml:space="preserve">PAGEREF bm_faqrah_3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الرابعة: ترك مجالسة أهل الأهواء</w:t>
      </w:r>
      <w:r>
        <w:rPr>
          <w:rtl/>
        </w:rPr>
        <w:ptab w:alignment="left" w:relativeTo="margin" w:leader="dot"/>
      </w:r>
      <w:r>
        <w:fldChar w:fldCharType="begin" w:dirty="true"/>
        <w:instrText xml:space="preserve">PAGEREF bm_faqrah_4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الخامسة: ترك المراء والجدال</w:t>
      </w:r>
      <w:r>
        <w:rPr>
          <w:rtl/>
        </w:rPr>
        <w:ptab w:alignment="left" w:relativeTo="margin" w:leader="dot"/>
      </w:r>
      <w:r>
        <w:fldChar w:fldCharType="begin" w:dirty="true"/>
        <w:instrText xml:space="preserve">PAGEREF bm_faqrah_5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السادسة: مكانة السنة ووظيفتها في تفسير القرآن</w:t>
      </w:r>
      <w:r>
        <w:rPr>
          <w:rtl/>
        </w:rPr>
        <w:ptab w:alignment="left" w:relativeTo="margin" w:leader="dot"/>
      </w:r>
      <w:r>
        <w:fldChar w:fldCharType="begin" w:dirty="true"/>
        <w:instrText xml:space="preserve">PAGEREF bm_faqrah_6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السابعة: عدم إخضاع السنة للقياس والعقل والهوى</w:t>
      </w:r>
      <w:r>
        <w:rPr>
          <w:rtl/>
        </w:rPr>
        <w:ptab w:alignment="left" w:relativeTo="margin" w:leader="dot"/>
      </w:r>
      <w:r>
        <w:fldChar w:fldCharType="begin" w:dirty="true"/>
        <w:instrText xml:space="preserve">PAGEREF bm_faqrah_7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الثامنة: الإيمان بالقدر خيره وشره</w:t>
      </w:r>
      <w:r>
        <w:rPr>
          <w:rtl/>
        </w:rPr>
        <w:ptab w:alignment="left" w:relativeTo="margin" w:leader="dot"/>
      </w:r>
      <w:r>
        <w:fldChar w:fldCharType="begin" w:dirty="true"/>
        <w:instrText xml:space="preserve">PAGEREF bm_faqrah_8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التاسعة: التصديق بأحاديث القدر دون سؤال «لِمَ» و«كيف»</w:t>
      </w:r>
      <w:r>
        <w:rPr>
          <w:rtl/>
        </w:rPr>
        <w:ptab w:alignment="left" w:relativeTo="margin" w:leader="dot"/>
      </w:r>
      <w:r>
        <w:fldChar w:fldCharType="begin" w:dirty="true"/>
        <w:instrText xml:space="preserve">PAGEREF bm_faqrah_9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العاشرة: التسليم لما يُعجز العقل عن إدراكه</w:t>
      </w:r>
      <w:r>
        <w:rPr>
          <w:rtl/>
        </w:rPr>
        <w:ptab w:alignment="left" w:relativeTo="margin" w:leader="dot"/>
      </w:r>
      <w:r>
        <w:fldChar w:fldCharType="begin" w:dirty="true"/>
        <w:instrText xml:space="preserve">PAGEREF bm_faqrah_10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الحادية عشرة: الإيمان بأحاديث الرؤية</w:t>
      </w:r>
      <w:r>
        <w:rPr>
          <w:rtl/>
        </w:rPr>
        <w:ptab w:alignment="left" w:relativeTo="margin" w:leader="dot"/>
      </w:r>
      <w:r>
        <w:fldChar w:fldCharType="begin" w:dirty="true"/>
        <w:instrText xml:space="preserve">PAGEREF bm_faqrah_11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الثانية عشرة: النهي عن الجدال في القدر والرؤية والقرآن</w:t>
      </w:r>
      <w:r>
        <w:rPr>
          <w:rtl/>
        </w:rPr>
        <w:ptab w:alignment="left" w:relativeTo="margin" w:leader="dot"/>
      </w:r>
      <w:r>
        <w:fldChar w:fldCharType="begin" w:dirty="true"/>
        <w:instrText xml:space="preserve">PAGEREF bm_faqrah_12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الثالثة عشرة: القرآن كلام الله غير مخلوق</w:t>
      </w:r>
      <w:r>
        <w:rPr>
          <w:rtl/>
        </w:rPr>
        <w:ptab w:alignment="left" w:relativeTo="margin" w:leader="dot"/>
      </w:r>
      <w:r>
        <w:fldChar w:fldCharType="begin" w:dirty="true"/>
        <w:instrText xml:space="preserve">PAGEREF bm_faqrah_13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الرابعة عشرة: التحذير من مناظرة أهل البدع في مسألة القرآن</w:t>
      </w:r>
      <w:r>
        <w:rPr>
          <w:rtl/>
        </w:rPr>
        <w:ptab w:alignment="left" w:relativeTo="margin" w:leader="dot"/>
      </w:r>
      <w:r>
        <w:fldChar w:fldCharType="begin" w:dirty="true"/>
        <w:instrText xml:space="preserve">PAGEREF bm_faqrah_14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الخامسة عشرة: الإيمان بالرؤية يوم القيامة</w:t>
      </w:r>
      <w:r>
        <w:rPr>
          <w:rtl/>
        </w:rPr>
        <w:ptab w:alignment="left" w:relativeTo="margin" w:leader="dot"/>
      </w:r>
      <w:r>
        <w:fldChar w:fldCharType="begin" w:dirty="true"/>
        <w:instrText xml:space="preserve">PAGEREF bm_faqrah_15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السادسة عشرة: رؤية النبي ﷺ لربه</w:t>
      </w:r>
      <w:r>
        <w:rPr>
          <w:rtl/>
        </w:rPr>
        <w:ptab w:alignment="left" w:relativeTo="margin" w:leader="dot"/>
      </w:r>
      <w:r>
        <w:fldChar w:fldCharType="begin" w:dirty="true"/>
        <w:instrText xml:space="preserve">PAGEREF bm_faqrah_16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السابعة عشرة: منهج أهل السنة في التعامل مع نصوص الصفات</w:t>
      </w:r>
      <w:r>
        <w:rPr>
          <w:rtl/>
        </w:rPr>
        <w:ptab w:alignment="left" w:relativeTo="margin" w:leader="dot"/>
      </w:r>
      <w:r>
        <w:fldChar w:fldCharType="begin" w:dirty="true"/>
        <w:instrText xml:space="preserve">PAGEREF bm_faqrah_17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الثامنة عشرة: الإيمان بالميزان</w:t>
      </w:r>
      <w:r>
        <w:rPr>
          <w:rtl/>
        </w:rPr>
        <w:ptab w:alignment="left" w:relativeTo="margin" w:leader="dot"/>
      </w:r>
      <w:r>
        <w:fldChar w:fldCharType="begin" w:dirty="true"/>
        <w:instrText xml:space="preserve">PAGEREF bm_faqrah_18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التاسعة عشرة: تكليم الله لعباده يوم القيامة</w:t>
      </w:r>
      <w:r>
        <w:rPr>
          <w:rtl/>
        </w:rPr>
        <w:ptab w:alignment="left" w:relativeTo="margin" w:leader="dot"/>
      </w:r>
      <w:r>
        <w:fldChar w:fldCharType="begin" w:dirty="true"/>
        <w:instrText xml:space="preserve">PAGEREF bm_faqrah_19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العشرون: الإيمان بالحوض</w:t>
      </w:r>
      <w:r>
        <w:rPr>
          <w:rtl/>
        </w:rPr>
        <w:ptab w:alignment="left" w:relativeTo="margin" w:leader="dot"/>
      </w:r>
      <w:r>
        <w:fldChar w:fldCharType="begin" w:dirty="true"/>
        <w:instrText xml:space="preserve">PAGEREF bm_faqrah_20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الحادية والعشرون: عذاب القبر وسؤال منكر ونكير</w:t>
      </w:r>
      <w:r>
        <w:rPr>
          <w:rtl/>
        </w:rPr>
        <w:ptab w:alignment="left" w:relativeTo="margin" w:leader="dot"/>
      </w:r>
      <w:r>
        <w:fldChar w:fldCharType="begin" w:dirty="true"/>
        <w:instrText xml:space="preserve">PAGEREF bm_faqrah_21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الثانية والعشرون: الشفاعة وإخراج الموحدين من النار</w:t>
      </w:r>
      <w:r>
        <w:rPr>
          <w:rtl/>
        </w:rPr>
        <w:ptab w:alignment="left" w:relativeTo="margin" w:leader="dot"/>
      </w:r>
      <w:r>
        <w:fldChar w:fldCharType="begin" w:dirty="true"/>
        <w:instrText xml:space="preserve">PAGEREF bm_faqrah_22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الثالثة والعشرون: خروج الدجال ونزول عيسى عليه السلام</w:t>
      </w:r>
      <w:r>
        <w:rPr>
          <w:rtl/>
        </w:rPr>
        <w:ptab w:alignment="left" w:relativeTo="margin" w:leader="dot"/>
      </w:r>
      <w:r>
        <w:fldChar w:fldCharType="begin" w:dirty="true"/>
        <w:instrText xml:space="preserve">PAGEREF bm_faqrah_23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الرابعة والعشرون: الإيمان قول وعمل يزيد وينقص</w:t>
      </w:r>
      <w:r>
        <w:rPr>
          <w:rtl/>
        </w:rPr>
        <w:ptab w:alignment="left" w:relativeTo="margin" w:leader="dot"/>
      </w:r>
      <w:r>
        <w:fldChar w:fldCharType="begin" w:dirty="true"/>
        <w:instrText xml:space="preserve">PAGEREF bm_faqrah_24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الخامسة والعشرون: حكم تارك الصلاة</w:t>
      </w:r>
      <w:r>
        <w:rPr>
          <w:rtl/>
        </w:rPr>
        <w:ptab w:alignment="left" w:relativeTo="margin" w:leader="dot"/>
      </w:r>
      <w:r>
        <w:fldChar w:fldCharType="begin" w:dirty="true"/>
        <w:instrText xml:space="preserve">PAGEREF bm_faqrah_25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السادسة والعشرون: تفضيل الخلفاء الراشدين الثلاثة</w:t>
      </w:r>
      <w:r>
        <w:rPr>
          <w:rtl/>
        </w:rPr>
        <w:ptab w:alignment="left" w:relativeTo="margin" w:leader="dot"/>
      </w:r>
      <w:r>
        <w:fldChar w:fldCharType="begin" w:dirty="true"/>
        <w:instrText xml:space="preserve">PAGEREF bm_faqrah_26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السابعة والعشرون: أصحاب الشورى الستة</w:t>
      </w:r>
      <w:r>
        <w:rPr>
          <w:rtl/>
        </w:rPr>
        <w:ptab w:alignment="left" w:relativeTo="margin" w:leader="dot"/>
      </w:r>
      <w:r>
        <w:fldChar w:fldCharType="begin" w:dirty="true"/>
        <w:instrText xml:space="preserve">PAGEREF bm_faqrah_27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الثامنة والعشرون: أهل بدر وسائر الصحابة ومراتب الصحبة</w:t>
      </w:r>
      <w:r>
        <w:rPr>
          <w:rtl/>
        </w:rPr>
        <w:ptab w:alignment="left" w:relativeTo="margin" w:leader="dot"/>
      </w:r>
      <w:r>
        <w:fldChar w:fldCharType="begin" w:dirty="true"/>
        <w:instrText xml:space="preserve">PAGEREF bm_faqrah_28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التاسعة والعشرون: السمع والطاعة لولاة الأمر</w:t>
      </w:r>
      <w:r>
        <w:rPr>
          <w:rtl/>
        </w:rPr>
        <w:ptab w:alignment="left" w:relativeTo="margin" w:leader="dot"/>
      </w:r>
      <w:r>
        <w:fldChar w:fldCharType="begin" w:dirty="true"/>
        <w:instrText xml:space="preserve">PAGEREF bm_faqrah_29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الثلاثون: الجهاد وقسمة الفيء وإقامة الحدود ودفع الصدقات مع كل إمام</w:t>
      </w:r>
      <w:r>
        <w:rPr>
          <w:rtl/>
        </w:rPr>
        <w:ptab w:alignment="left" w:relativeTo="margin" w:leader="dot"/>
      </w:r>
      <w:r>
        <w:fldChar w:fldCharType="begin" w:dirty="true"/>
        <w:instrText xml:space="preserve">PAGEREF bm_faqrah_30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الحادية والثلاثون: صلاة الجمعة خلف كل إمام</w:t>
      </w:r>
      <w:r>
        <w:rPr>
          <w:rtl/>
        </w:rPr>
        <w:ptab w:alignment="left" w:relativeTo="margin" w:leader="dot"/>
      </w:r>
      <w:r>
        <w:fldChar w:fldCharType="begin" w:dirty="true"/>
        <w:instrText xml:space="preserve">PAGEREF bm_faqrah_31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الثانية والثلاثون: ضوابط قتال اللصوص والخوارج دفاعاً عن النفس</w:t>
      </w:r>
      <w:r>
        <w:rPr>
          <w:rtl/>
        </w:rPr>
        <w:ptab w:alignment="left" w:relativeTo="margin" w:leader="dot"/>
      </w:r>
      <w:r>
        <w:fldChar w:fldCharType="begin" w:dirty="true"/>
        <w:instrText xml:space="preserve">PAGEREF bm_faqrah_32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الثالثة والثلاثون: ترك الشهادة لأهل القبلة بجنة أو نار</w:t>
      </w:r>
      <w:r>
        <w:rPr>
          <w:rtl/>
        </w:rPr>
        <w:ptab w:alignment="left" w:relativeTo="margin" w:leader="dot"/>
      </w:r>
      <w:r>
        <w:fldChar w:fldCharType="begin" w:dirty="true"/>
        <w:instrText xml:space="preserve">PAGEREF bm_faqrah_33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الرابعة والثلاثون: أحكام من لقي الله بذنبه، والتوبة، والرجم</w:t>
      </w:r>
      <w:r>
        <w:rPr>
          <w:rtl/>
        </w:rPr>
        <w:ptab w:alignment="left" w:relativeTo="margin" w:leader="dot"/>
      </w:r>
      <w:r>
        <w:fldChar w:fldCharType="begin" w:dirty="true"/>
        <w:instrText xml:space="preserve">PAGEREF bm_faqrah_34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الخامسة والثلاثون: حرمة انتقاص الصحابة</w:t>
      </w:r>
      <w:r>
        <w:rPr>
          <w:rtl/>
        </w:rPr>
        <w:ptab w:alignment="left" w:relativeTo="margin" w:leader="dot"/>
      </w:r>
      <w:r>
        <w:fldChar w:fldCharType="begin" w:dirty="true"/>
        <w:instrText xml:space="preserve">PAGEREF bm_faqrah_35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السادسة والثلاثون: النفاق الأكبر وأحاديث الوعيد</w:t>
      </w:r>
      <w:r>
        <w:rPr>
          <w:rtl/>
        </w:rPr>
        <w:ptab w:alignment="left" w:relativeTo="margin" w:leader="dot"/>
      </w:r>
      <w:r>
        <w:fldChar w:fldCharType="begin" w:dirty="true"/>
        <w:instrText xml:space="preserve">PAGEREF bm_faqrah_36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السابعة والثلاثون: الجنة والنار مخلوقتان موجودتان الآن</w:t>
      </w:r>
      <w:r>
        <w:rPr>
          <w:rtl/>
        </w:rPr>
        <w:ptab w:alignment="left" w:relativeTo="margin" w:leader="dot"/>
      </w:r>
      <w:r>
        <w:fldChar w:fldCharType="begin" w:dirty="true"/>
        <w:instrText xml:space="preserve">PAGEREF bm_faqrah_37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الفقرة الثامنة والثلاثون والأخيرة: الصلاة على كل موحد والاستغفار له</w:t>
      </w:r>
      <w:r>
        <w:rPr>
          <w:rtl/>
        </w:rPr>
        <w:ptab w:alignment="left" w:relativeTo="margin" w:leader="dot"/>
      </w:r>
      <w:r>
        <w:fldChar w:fldCharType="begin" w:dirty="true"/>
        <w:instrText xml:space="preserve">PAGEREF bm_faqrah_38</w:instrText>
        <w:fldChar w:fldCharType="end"/>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iro" w:cs="Cairo" w:eastAsia="Cairo" w:hAnsi="Cairo"/>
        <w:color w:val="8A6A1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Cairo" w:cs="Cairo" w:eastAsia="Cairo" w:hAnsi="Cairo"/>
        <w:b w:val="false"/>
        <w:bCs w:val="false"/>
        <w:i w:val="false"/>
        <w:iCs w:val="false"/>
        <w:color w:val="6B6152"/>
        <w:sz w:val="16"/>
        <w:szCs w:val="16"/>
        <w:rtl/>
      </w:rPr>
      <w:t xml:space="preserve">فصول الأمة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16"/>
      </w:pPr>
      <w:rPr>
        <w:color w:val="A9812A"/>
      </w:rPr>
    </w:lvl>
  </w:abstractNum>
  <w:abstractNum w:abstractNumId="3" w15:restartNumberingAfterBreak="0">
    <w:multiLevelType w:val="hybridMultilevel"/>
    <w:lvl w:ilvl="0" w15:tentative="1">
      <w:start w:val="1"/>
      <w:numFmt w:val="decimal"/>
      <w:lvlText w:val="%1."/>
      <w:lvlJc w:val="right"/>
      <w:pPr>
        <w:ind w:right="431" w:hanging="316"/>
      </w:pPr>
      <w:rPr>
        <w:b/>
        <w:bCs/>
        <w:color w:val="152C5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81410"/>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right"/>
    </w:pPr>
    <w:rPr>
      <w:rFonts w:ascii="Aref Ruqaa" w:cs="Aref Ruqaa" w:eastAsia="Aref Ruqaa" w:hAnsi="Aref Ruqaa"/>
      <w:b/>
      <w:bCs/>
      <w:color w:val="0A1830"/>
      <w:sz w:val="32"/>
      <w:szCs w:val="32"/>
      <w:rtl/>
    </w:rPr>
  </w:style>
  <w:style w:type="paragraph" w:styleId="Heading2">
    <w:name w:val="Heading 2"/>
    <w:basedOn w:val="Normal"/>
    <w:next w:val="Normal"/>
    <w:qFormat/>
    <w:pPr>
      <w:pBdr>
        <w:bottom w:val="single" w:color="C39A3C" w:sz="8" w:space="4"/>
      </w:pBdr>
      <w:spacing w:after="140" w:before="300"/>
      <w:jc w:val="right"/>
    </w:pPr>
    <w:rPr>
      <w:rFonts w:ascii="Aref Ruqaa" w:cs="Aref Ruqaa" w:eastAsia="Aref Ruqaa" w:hAnsi="Aref Ruqaa"/>
      <w:b/>
      <w:bCs/>
      <w:color w:val="0D2143"/>
      <w:sz w:val="28"/>
      <w:szCs w:val="28"/>
      <w:rtl/>
    </w:rPr>
  </w:style>
  <w:style w:type="paragraph" w:styleId="Heading3">
    <w:name w:val="Heading 3"/>
    <w:basedOn w:val="Normal"/>
    <w:next w:val="Normal"/>
    <w:qFormat/>
    <w:pPr>
      <w:spacing w:after="120" w:before="260"/>
      <w:jc w:val="right"/>
    </w:pPr>
    <w:rPr>
      <w:rFonts w:ascii="Cairo" w:cs="Cairo" w:eastAsia="Cairo" w:hAnsi="Cairo"/>
      <w:b/>
      <w:bCs/>
      <w:color w:val="8A6A1F"/>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5483f31982fc34f4964a9d0a70230e5eede8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فصول الأمة — شرح أصول السنة</dc:title>
  <dc:creator>أحمد بن إبراهيم السليمي</dc:creator>
  <dc:description>شرح متن تحفة الأطفال والغلمان للعلامة سليمان الجمزوري رحمه الله تعالى</dc:description>
  <cp:lastModifiedBy>Un-named</cp:lastModifiedBy>
  <cp:revision>1</cp:revision>
  <dcterms:created xsi:type="dcterms:W3CDTF">2026-07-31T05:55:45.469Z</dcterms:created>
  <dcterms:modified xsi:type="dcterms:W3CDTF">2026-07-31T05:55:45.469Z</dcterms:modified>
</cp:coreProperties>
</file>

<file path=docProps/custom.xml><?xml version="1.0" encoding="utf-8"?>
<Properties xmlns="http://schemas.openxmlformats.org/officeDocument/2006/custom-properties" xmlns:vt="http://schemas.openxmlformats.org/officeDocument/2006/docPropsVTypes"/>
</file>