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pPr>
            <w:r>
              <w:rPr>
                <w:rFonts w:ascii="Liberation Sans" w:hAnsi="Liberation Sans"/>
                <w:color w:val="8C97AB"/>
                <w:sz w:val="18"/>
              </w:rPr>
              <w:t>SUPREME STRATEGIC PLANNING COUNCIL · FOUNDING-DECADE EDITION</w:t>
            </w:r>
          </w:p>
          <w:p>
            <w:pPr>
              <w:jc w:val="center"/>
              <w:spacing w:before="200" w:after="120"/>
            </w:pPr>
            <w:r>
              <w:rPr>
                <w:rFonts w:ascii="Liberation Sans" w:hAnsi="Liberation Sans"/>
                <w:b/>
                <w:sz w:val="20"/>
                <w:color w:val="B08625"/>
                <w:spacing w:val="14"/>
                <w:caps/>
              </w:rPr>
              <w:t>STRATEGIC IMPLEMENTATION BLUEPRINT · 2028–2050</w:t>
            </w:r>
          </w:p>
          <w:p>
            <w:pPr>
              <w:jc w:val="center"/>
              <w:spacing w:before="500" w:after="0"/>
            </w:pPr>
            <w:r>
              <w:rPr>
                <w:rFonts w:ascii="Cinzel" w:hAnsi="Cinzel"/>
                <w:b/>
                <w:color w:val="B08625"/>
                <w:sz w:val="20"/>
                <w:caps/>
                <w:spacing w:val="14"/>
              </w:rPr>
              <w:t>AL-MULK</w:t>
            </w:r>
          </w:p>
          <w:p>
            <w:pPr>
              <w:jc w:val="center"/>
              <w:spacing w:before="0" w:after="500"/>
            </w:pPr>
            <w:r>
              <w:rPr>
                <w:rFonts w:ascii="Cinzel" w:hAnsi="Cinzel"/>
                <w:b/>
                <w:color w:val="B08625"/>
                <w:sz w:val="20"/>
                <w:caps/>
                <w:spacing w:val="14"/>
              </w:rPr>
              <w:t>INTERNATIONAL UNIVERSITY</w:t>
            </w:r>
          </w:p>
          <w:p>
            <w:pPr>
              <w:jc w:val="center"/>
              <w:spacing w:before="300" w:after="100"/>
            </w:pPr>
            <w:r>
              <w:rPr>
                <w:rFonts w:ascii="Cormorant Garamond" w:hAnsi="Cormorant Garamond"/>
                <w:i/>
                <w:color w:val="DCE3F0"/>
                <w:sz w:val="26"/>
              </w:rPr>
              <w:t>“Spreading Islamic Education Worldwide, at Every Pace”</w:t>
            </w:r>
          </w:p>
          <w:p>
            <w:pPr>
              <w:jc w:val="center"/>
              <w:spacing w:before="900" w:after="80"/>
            </w:pPr>
            <w:r>
              <w:rPr>
                <w:rFonts w:ascii="Liberation Sans" w:hAnsi="Liberation Sans"/>
                <w:color w:val="8C97AB"/>
                <w:sz w:val="18"/>
              </w:rPr>
              <w:t>A COMPANION IMPLEMENTATION VOLUME TO</w:t>
            </w:r>
          </w:p>
          <w:p>
            <w:pPr>
              <w:jc w:val="center"/>
              <w:spacing w:before="0" w:after="700"/>
            </w:pPr>
            <w:r>
              <w:rPr>
                <w:rFonts w:ascii="Liberation Sans" w:hAnsi="Liberation Sans"/>
                <w:color w:val="DCE3F0"/>
                <w:sz w:val="19"/>
              </w:rPr>
              <w:t>the Ten-Year Master Plan &amp; Strategic Charter (AMIU-MP-001, 2028–2037)</w:t>
            </w:r>
          </w:p>
          <w:p>
            <w:pPr>
              <w:jc w:val="center"/>
              <w:spacing w:before="0" w:after="60"/>
            </w:pPr>
            <w:r>
              <w:rPr>
                <w:rFonts w:ascii="Liberation Sans" w:hAnsi="Liberation Sans"/>
                <w:b/>
                <w:color w:val="B08625"/>
                <w:sz w:val="20"/>
                <w:caps/>
                <w:spacing w:val="14"/>
              </w:rPr>
              <w:t>DOCUMENT REFERENCE  AMIU-SB-002</w:t>
            </w:r>
          </w:p>
          <w:p>
            <w:pPr>
              <w:jc w:val="center"/>
              <w:spacing w:before="0" w:after="0"/>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r>
        <w:br w:type="page"/>
      </w:r>
    </w:p>
    <w:bookmarkEnd w:id="20"/>
    <w:bookmarkEnd w:id="21"/>
    <w:bookmarkStart w:id="40"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pPr>
    </w:p>
    <w:p>
      <w:pPr>
        <w:pStyle w:val="BodyText"/>
      </w:pPr>
      <w:r>
        <w:rPr>
          <w:bCs/>
          <w:b/>
          <w:color w:val="B08625"/>
          <w:sz w:val="20"/>
          <w:caps/>
          <w:spacing w:val="14"/>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pPr>
      <w:r>
        <w:rPr>
          <w:bCs/>
          <w:b/>
          <w:color w:val="B08625"/>
          <w:sz w:val="20"/>
          <w:caps/>
          <w:spacing w:val="14"/>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r>
        <w:br w:type="page"/>
      </w:r>
    </w:p>
    <w:bookmarkEnd w:id="22"/>
    <w:bookmarkEnd w:id="23"/>
    <w:bookmarkStart w:id="24" w:name="copyright-publication-notice"/>
    <w:p>
      <w:pPr>
        <w:pStyle w:val="Heading2"/>
      </w:pPr>
      <w:r>
        <w:t xml:space="preserve">Copyright &amp; Publication Notice</w:t>
      </w:r>
    </w:p>
    <w:p>
      <w:pPr>
        <w:pStyle w:val="FirstParagraph"/>
      </w:pPr>
      <w:r>
        <w:t xml:space="preserve">© 2028 Al-Mulk International University. All rights reserved.</w:t>
      </w:r>
    </w:p>
    <w:p>
      <w:pPr>
        <w:pStyle w:val="BodyText"/>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pPr>
      <w:r>
        <w:t xml:space="preserve">All financial figures, enrollment projections, and revenue trajectories beyond the audited founding-decade baseline are explicitly labelled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pPr>
      <w:r>
        <w:rPr>
          <w:bCs/>
          <w:b/>
          <w:color w:val="B08625"/>
          <w:sz w:val="20"/>
          <w:caps/>
          <w:spacing w:val="14"/>
        </w:rPr>
        <w:t xml:space="preserve">Typesetting &amp; Publication Design:</w:t>
      </w:r>
      <w:r>
        <w:t xml:space="preserve"> </w:t>
      </w:r>
      <w:r>
        <w:t xml:space="preserve">Prepared in-house by the AMIU Office of Institutional Planning, using the AMIU institutional style system (Cinzel monumental display, Cormorant Garamond editorial headings, Bitstream Charter body serif, navy/gold institutional palette).</w:t>
      </w:r>
    </w:p>
    <w:p>
      <w:pPr>
        <w:pStyle w:val="BodyText"/>
      </w:pPr>
      <w:r>
        <w:rPr>
          <w:bCs/>
          <w:b/>
          <w:color w:val="B08625"/>
          <w:sz w:val="20"/>
          <w:caps/>
          <w:spacing w:val="14"/>
        </w:rPr>
        <w:t xml:space="preserve">Document control:</w:t>
      </w:r>
      <w:r>
        <w:t xml:space="preserve"> </w:t>
      </w:r>
      <w:r>
        <w:t xml:space="preserve">AMIU-SB-002 · Version 1.0 · Founding-Decade Edition · Confidential — Institutional Planning Document</w:t>
      </w:r>
    </w:p>
    <w:p>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pPr>
      <w:r>
        <w:t xml:space="preserve"> </w:t>
      </w:r>
    </w:p>
    <w:p>
      <w:pPr>
        <w:pStyle w:val="BodyText"/>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r>
        <w:br w:type="page"/>
      </w:r>
    </w:p>
    <w:bookmarkEnd w:id="24"/>
    <w:bookmarkStart w:id="25" w:name="endorsement-approval"/>
    <w:p>
      <w:pPr>
        <w:pStyle w:val="Heading2"/>
      </w:pPr>
      <w:r>
        <w:t xml:space="preserve">Endorsement &amp; Approval</w:t>
      </w:r>
    </w:p>
    <w:p>
      <w:pPr>
        <w:pStyle w:val="FirstParagrap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Endorsing Authority</w:t>
            </w:r>
          </w:p>
        </w:tc>
        <w:tc>
          <w:tcPr/>
          <w:p>
            <w:pPr>
              <w:pStyle w:val="Compact"/>
              <w:jc w:val="left"/>
            </w:pPr>
            <w:r>
              <w:t xml:space="preserve">Role in Endorsement</w:t>
            </w:r>
          </w:p>
        </w:tc>
        <w:tc>
          <w:tcPr/>
          <w:p>
            <w:pPr>
              <w:pStyle w:val="Compact"/>
              <w:jc w:val="left"/>
            </w:pPr>
            <w:r>
              <w:t xml:space="preserve">Signature</w:t>
            </w:r>
          </w:p>
        </w:tc>
      </w:tr>
      <w:tr>
        <w:trPr>
          <w:cantSplit/>
        </w:trPr>
        <w:tc>
          <w:tcPr/>
          <w:p>
            <w:pPr>
              <w:pStyle w:val="Compact"/>
              <w:jc w:val="left"/>
            </w:pPr>
            <w:r>
              <w:t xml:space="preserve">Chairman, Board of Trustees</w:t>
            </w:r>
          </w:p>
        </w:tc>
        <w:tc>
          <w:tcPr/>
          <w:p>
            <w:pPr>
              <w:pStyle w:val="Compact"/>
              <w:jc w:val="left"/>
            </w:pPr>
            <w:r>
              <w:t xml:space="preserve">Approves institutional strategy and this Blueprint’s financial and governance framework</w:t>
            </w:r>
          </w:p>
        </w:tc>
        <w:tc>
          <w:tcPr/>
          <w:p>
            <w:pPr>
              <w:pStyle w:val="Compact"/>
              <w:jc w:val="left"/>
            </w:pPr>
            <w:r>
              <w:t xml:space="preserve">_________________________</w:t>
            </w:r>
          </w:p>
        </w:tc>
      </w:tr>
      <w:tr>
        <w:trPr>
          <w:cantSplit/>
        </w:trPr>
        <w:tc>
          <w:tcPr/>
          <w:p>
            <w:pPr>
              <w:pStyle w:val="Compact"/>
              <w:jc w:val="left"/>
            </w:pPr>
            <w:r>
              <w:t xml:space="preserve">President &amp; Vice-Chancellor</w:t>
            </w:r>
          </w:p>
        </w:tc>
        <w:tc>
          <w:tcPr/>
          <w:p>
            <w:pPr>
              <w:pStyle w:val="Compact"/>
              <w:jc w:val="left"/>
            </w:pPr>
            <w:r>
              <w:t xml:space="preserve">Approves this Blueprint as the University’s operative implementation instrument</w:t>
            </w:r>
          </w:p>
        </w:tc>
        <w:tc>
          <w:tcPr/>
          <w:p>
            <w:pPr>
              <w:pStyle w:val="Compact"/>
              <w:jc w:val="left"/>
            </w:pPr>
            <w:r>
              <w:t xml:space="preserve">_________________________</w:t>
            </w:r>
          </w:p>
        </w:tc>
      </w:tr>
      <w:tr>
        <w:trPr>
          <w:cantSplit/>
        </w:trPr>
        <w:tc>
          <w:tcPr/>
          <w:p>
            <w:pPr>
              <w:pStyle w:val="Compact"/>
              <w:jc w:val="left"/>
            </w:pPr>
            <w:r>
              <w:t xml:space="preserve">Deputy Vice-Chancellor, Academic Affairs — Dr. Muhammad Al-Qumash</w:t>
            </w:r>
          </w:p>
        </w:tc>
        <w:tc>
          <w:tcPr/>
          <w:p>
            <w:pPr>
              <w:pStyle w:val="Compact"/>
              <w:jc w:val="left"/>
            </w:pPr>
            <w:r>
              <w:t xml:space="preserve">Endorses academic, curricular, and accreditation content</w:t>
            </w:r>
          </w:p>
        </w:tc>
        <w:tc>
          <w:tcPr/>
          <w:p>
            <w:pPr>
              <w:pStyle w:val="Compact"/>
              <w:jc w:val="left"/>
            </w:pPr>
            <w:r>
              <w:t xml:space="preserve">_________________________</w:t>
            </w:r>
          </w:p>
        </w:tc>
      </w:tr>
      <w:tr>
        <w:trPr>
          <w:cantSplit/>
        </w:trPr>
        <w:tc>
          <w:tcPr/>
          <w:p>
            <w:pPr>
              <w:pStyle w:val="Compact"/>
              <w:jc w:val="left"/>
            </w:pPr>
            <w:r>
              <w:t xml:space="preserve">Deputy Vice-Chancellor, Administration &amp; Finance — Dr. Abdullah Turki</w:t>
            </w:r>
          </w:p>
        </w:tc>
        <w:tc>
          <w:tcPr/>
          <w:p>
            <w:pPr>
              <w:pStyle w:val="Compact"/>
              <w:jc w:val="left"/>
            </w:pPr>
            <w:r>
              <w:t xml:space="preserve">Endorses financial, staffing, and budgetary content</w:t>
            </w:r>
          </w:p>
        </w:tc>
        <w:tc>
          <w:tcPr/>
          <w:p>
            <w:pPr>
              <w:pStyle w:val="Compact"/>
              <w:jc w:val="left"/>
            </w:pPr>
            <w:r>
              <w:t xml:space="preserve">_________________________</w:t>
            </w:r>
          </w:p>
        </w:tc>
      </w:tr>
      <w:tr>
        <w:trPr>
          <w:cantSplit/>
        </w:trPr>
        <w:tc>
          <w:tcPr/>
          <w:p>
            <w:pPr>
              <w:pStyle w:val="Compact"/>
              <w:jc w:val="left"/>
            </w:pPr>
            <w:r>
              <w:t xml:space="preserve">Secretary, University Senate</w:t>
            </w:r>
          </w:p>
        </w:tc>
        <w:tc>
          <w:tcPr/>
          <w:p>
            <w:pPr>
              <w:pStyle w:val="Compact"/>
              <w:jc w:val="left"/>
            </w:pPr>
            <w:r>
              <w:t xml:space="preserve">Certifies Senate review of all academic-authority provisions</w:t>
            </w:r>
          </w:p>
        </w:tc>
        <w:tc>
          <w:tcPr/>
          <w:p>
            <w:pPr>
              <w:pStyle w:val="Compact"/>
              <w:jc w:val="left"/>
            </w:pPr>
            <w:r>
              <w:t xml:space="preserve">_________________________</w:t>
            </w:r>
          </w:p>
        </w:tc>
      </w:tr>
      <w:tr>
        <w:trPr>
          <w:cantSplit/>
        </w:trPr>
        <w:tc>
          <w:tcPr/>
          <w:p>
            <w:pPr>
              <w:pStyle w:val="Compact"/>
              <w:jc w:val="left"/>
            </w:pPr>
            <w:r>
              <w:t xml:space="preserve">Chair, Waqf &amp; Endowment Board</w:t>
            </w:r>
          </w:p>
        </w:tc>
        <w:tc>
          <w:tcPr/>
          <w:p>
            <w:pPr>
              <w:pStyle w:val="Compact"/>
              <w:jc w:val="left"/>
            </w:pPr>
            <w:r>
              <w:t xml:space="preserve">Endorses all Waqf allocation, scholarship, and endowment content</w:t>
            </w:r>
          </w:p>
        </w:tc>
        <w:tc>
          <w:tcPr/>
          <w:p>
            <w:pPr>
              <w:pStyle w:val="Compact"/>
              <w:jc w:val="left"/>
            </w:pPr>
            <w:r>
              <w:t xml:space="preserve">_________________________</w:t>
            </w:r>
          </w:p>
        </w:tc>
      </w:tr>
    </w:tbl>
    <w:p>
      <w:pPr>
        <w:pStyle w:val="BodyText"/>
      </w:pPr>
      <w:r>
        <w:rPr>
          <w:iCs/>
          <w:i/>
        </w:rPr>
        <w:t xml:space="preserve">Endorsement of this Blueprint does not, by itself, amend any figure, seat, or percentage fixed in AMIU-MP-001. Any such amendment requires the specific governance pathway named in the relevant section.</w:t>
      </w:r>
    </w:p>
    <w:p>
      <w:r>
        <w:br w:type="page"/>
      </w:r>
    </w:p>
    <w:bookmarkEnd w:id="25"/>
    <w:bookmarkStart w:id="26" w:name="foreword"/>
    <w:p>
      <w:pPr>
        <w:pStyle w:val="Heading2"/>
      </w:pPr>
      <w:r>
        <w:t xml:space="preserve">Foreword</w:t>
      </w:r>
    </w:p>
    <w:p>
      <w:pPr>
        <w:pStyle w:val="FirstParagraph"/>
      </w:pPr>
      <w:r>
        <w:rPr>
          <w:iCs/>
          <w:i/>
        </w:rPr>
        <w:t xml:space="preserve">By the Supreme Strategic Planning Council</w:t>
      </w:r>
    </w:p>
    <w:p>
      <w:pPr>
        <w:framePr w:dropCap="drop" w:lines="3" w:wrap="around" w:vAnchor="text" w:hAnchor="text"/>
        <w:spacing w:before="0" w:after="0"/>
      </w:pPr>
      <w:r>
        <w:rPr>
          <w:rFonts w:ascii="Cormorant Garamond" w:hAnsi="Cormorant Garamond"/>
          <w:b/>
          <w:color w:val="B08625"/>
          <w:sz w:val="88"/>
        </w:rPr>
        <w:t>A</w:t>
      </w:r>
    </w:p>
    <w:p>
      <w:pPr>
        <w:pStyle w:val="BodyText"/>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bicameral Senate with eighteen fixed seats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r>
        <w:br w:type="page"/>
      </w:r>
    </w:p>
    <w:bookmarkEnd w:id="26"/>
    <w:bookmarkStart w:id="27" w:name="founders-message"/>
    <w:p>
      <w:pPr>
        <w:pStyle w:val="Heading2"/>
      </w:pPr>
      <w:r>
        <w:t xml:space="preserve">Founder’s Message</w:t>
      </w:r>
    </w:p>
    <w:p>
      <w:pPr>
        <w:framePr w:dropCap="drop" w:lines="3" w:wrap="around" w:vAnchor="text" w:hAnchor="text"/>
        <w:spacing w:before="0" w:after="0"/>
      </w:pPr>
      <w:r>
        <w:rPr>
          <w:rFonts w:ascii="Cormorant Garamond" w:hAnsi="Cormorant Garamond"/>
          <w:b/>
          <w:color w:val="B08625"/>
          <w:sz w:val="88"/>
        </w:rPr>
        <w:t>W</w:t>
      </w:r>
    </w:p>
    <w:p>
      <w:pPr>
        <w:pStyle w:val="FirstParagrap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BodyText"/>
      </w:pPr>
      <w:r>
        <w:rPr>
          <w:iCs/>
          <w:i/>
        </w:rPr>
        <w:t xml:space="preserve">Founder &amp; Vision Architect, Al-Mulk International University</w:t>
      </w:r>
    </w:p>
    <w:p>
      <w:r>
        <w:br w:type="page"/>
      </w:r>
    </w:p>
    <w:bookmarkEnd w:id="27"/>
    <w:bookmarkStart w:id="28" w:name="chairmans-message"/>
    <w:p>
      <w:pPr>
        <w:pStyle w:val="Heading2"/>
      </w:pPr>
      <w:r>
        <w:t xml:space="preserve">Chairman’s Message</w:t>
      </w:r>
    </w:p>
    <w:p>
      <w:pPr>
        <w:pStyle w:val="FirstParagraph"/>
      </w:pPr>
      <w:r>
        <w:rPr>
          <w:iCs/>
          <w:i/>
        </w:rPr>
        <w:t xml:space="preserve">From the Chairman, Board of Trustees</w:t>
      </w:r>
    </w:p>
    <w:p>
      <w:pPr>
        <w:framePr w:dropCap="drop" w:lines="3" w:wrap="around" w:vAnchor="text" w:hAnchor="text"/>
        <w:spacing w:before="0" w:after="0"/>
      </w:pPr>
      <w:r>
        <w:rPr>
          <w:rFonts w:ascii="Cormorant Garamond" w:hAnsi="Cormorant Garamond"/>
          <w:b/>
          <w:color w:val="B08625"/>
          <w:sz w:val="88"/>
        </w:rPr>
        <w:t>T</w:t>
      </w:r>
    </w:p>
    <w:p>
      <w:pPr>
        <w:pStyle w:val="BodyText"/>
      </w:pPr>
      <w:r>
        <w:t xml:space="preserve">he Board of Trustees holds a narrow but consequential mandate under AMIU’s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pPr>
      <w:r>
        <w:t xml:space="preserve">It does. Forty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BodyText"/>
      </w:pPr>
      <w:r>
        <w:rPr>
          <w:iCs/>
          <w:i/>
        </w:rPr>
        <w:t xml:space="preserve">Chairman, Board of Trustees</w:t>
      </w:r>
    </w:p>
    <w:p>
      <w:r>
        <w:br w:type="page"/>
      </w:r>
    </w:p>
    <w:bookmarkEnd w:id="28"/>
    <w:bookmarkStart w:id="29" w:name="presidents-message"/>
    <w:p>
      <w:pPr>
        <w:pStyle w:val="Heading2"/>
      </w:pPr>
      <w:r>
        <w:t xml:space="preserve">President’s Message</w:t>
      </w:r>
    </w:p>
    <w:p>
      <w:pPr>
        <w:pStyle w:val="FirstParagraph"/>
      </w:pPr>
      <w:r>
        <w:rPr>
          <w:iCs/>
          <w:i/>
        </w:rPr>
        <w:t xml:space="preserve">From the President &amp; Vice-Chancellor</w:t>
      </w:r>
    </w:p>
    <w:p>
      <w:pPr>
        <w:framePr w:dropCap="drop" w:lines="3" w:wrap="around" w:vAnchor="text" w:hAnchor="text"/>
        <w:spacing w:before="0" w:after="0"/>
      </w:pPr>
      <w:r>
        <w:rPr>
          <w:rFonts w:ascii="Cormorant Garamond" w:hAnsi="Cormorant Garamond"/>
          <w:b/>
          <w:color w:val="B08625"/>
          <w:sz w:val="88"/>
        </w:rPr>
        <w:t>A</w:t>
      </w:r>
    </w:p>
    <w:p>
      <w:pPr>
        <w:pStyle w:val="BodyText"/>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BodyText"/>
      </w:pPr>
      <w:r>
        <w:rPr>
          <w:iCs/>
          <w:i/>
        </w:rPr>
        <w:t xml:space="preserve">President &amp; Vice-Chancellor, Al-Mulk International University</w:t>
      </w:r>
    </w:p>
    <w:p>
      <w:r>
        <w:br w:type="page"/>
      </w:r>
    </w:p>
    <w:bookmarkEnd w:id="29"/>
    <w:bookmarkStart w:id="30" w:name="executive-summary"/>
    <w:p>
      <w:pPr>
        <w:pStyle w:val="Heading2"/>
      </w:pPr>
      <w:r>
        <w:t xml:space="preserve">Executive Summary</w:t>
      </w:r>
    </w:p>
    <w:p>
      <w:pPr>
        <w:pStyle w:val="FirstParagrap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pPr>
      <w:r>
        <w:rPr>
          <w:bCs/>
          <w:b/>
          <w:color w:val="B08625"/>
          <w:sz w:val="20"/>
          <w:caps/>
          <w:spacing w:val="14"/>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twenty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r>
        <w:br w:type="page"/>
      </w:r>
    </w:p>
    <w:bookmarkEnd w:id="30"/>
    <w:bookmarkStart w:id="31" w:name="amiu-at-a-glance"/>
    <w:p>
      <w:pPr>
        <w:pStyle w:val="Heading2"/>
      </w:pPr>
      <w:r>
        <w:t xml:space="preserve">AMIU at a Glance</w:t>
      </w:r>
    </w:p>
    <w:p>
      <w:pPr>
        <w:pStyle w:val="FirstParagrap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11,021</w:t>
            </w:r>
          </w:p>
          <w:p>
            <w:pPr>
              <w:spacing w:before="0" w:after="0"/>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$16.7M</w:t>
            </w:r>
          </w:p>
          <w:p>
            <w:pPr>
              <w:spacing w:before="0" w:after="0"/>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$0</w:t>
            </w:r>
          </w:p>
          <w:p>
            <w:pPr>
              <w:spacing w:before="0" w:after="0"/>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71</w:t>
            </w:r>
          </w:p>
          <w:p>
            <w:pPr>
              <w:spacing w:before="0" w:after="0"/>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$5.8M</w:t>
            </w:r>
          </w:p>
          <w:p>
            <w:pPr>
              <w:spacing w:before="0" w:after="0"/>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$3.3M</w:t>
            </w:r>
          </w:p>
          <w:p>
            <w:pPr>
              <w:spacing w:before="0" w:after="0"/>
            </w:pPr>
            <w:r>
              <w:rPr>
                <w:rFonts w:ascii="Liberation Sans" w:hAnsi="Liberation Sans"/>
                <w:color w:val="5B6372"/>
                <w:sz w:val="15"/>
                <w:spacing w:val="8"/>
              </w:rPr>
              <w:t>TEN-YEAR WAQF &amp; STAKEHOLDER RESERVE</w:t>
            </w:r>
          </w:p>
        </w:tc>
      </w:tr>
    </w:tbl>
    <w:p>
      <w:pPr>
        <w:pStyle w:val="BodyText"/>
      </w:pPr>
      <w:r>
        <w:rPr>
          <w:iCs/>
          <w:i/>
        </w:rPr>
        <w:t xml:space="preserve">Figures reflect the adopted Growth Scenario. Years 11–20 are explicitly directional planning estimates — see Section 1 and Section 40.</w:t>
      </w:r>
    </w:p>
    <w:p>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Cormorant Garamond" w:hAnsi="Cormorant Garamond"/>
                <w:color w:val="B08625"/>
                <w:sz w:val="64"/>
              </w:rPr>
              <w:t>“</w:t>
            </w:r>
          </w:p>
          <w:p>
            <w:pPr>
              <w:jc w:val="center"/>
              <w:spacing w:before="0" w:after="320"/>
            </w:pPr>
            <w:r>
              <w:rPr>
                <w:rFonts w:ascii="Cormorant Garamond" w:hAnsi="Cormorant Garamond"/>
                <w:i/>
                <w:color w:val="FFFFFF"/>
                <w:sz w:val="34"/>
              </w:rPr>
              <w:t>Financial capacity shall never be a barrier to knowledge.</w:t>
            </w:r>
          </w:p>
          <w:p>
            <w:pPr>
              <w:jc w:val="center"/>
              <w:spacing w:before="0" w:after="0"/>
            </w:pPr>
            <w:r>
              <w:rPr>
                <w:rFonts w:ascii="Liberation Sans" w:hAnsi="Liberation Sans"/>
                <w:b/>
                <w:sz w:val="20"/>
                <w:color w:val="B08625"/>
                <w:spacing w:val="14"/>
                <w:caps/>
              </w:rPr>
              <w:t>AMIU MISSION PRINCIPLE · AMIU-MP-001 § 3</w:t>
            </w:r>
          </w:p>
        </w:tc>
      </w:tr>
    </w:tbl>
    <w:p>
      <w:r>
        <w:br w:type="page"/>
      </w:r>
    </w:p>
    <w:bookmarkEnd w:id="31"/>
    <w:bookmarkStart w:id="3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pPr>
            <w:r>
              <w:rPr>
                <w:bCs/>
                <w:b/>
                <w:color w:val="B08625"/>
                <w:sz w:val="20"/>
                <w:caps/>
                <w:spacing w:val="14"/>
              </w:rPr>
              <w:t xml:space="preserve">Foreword</w:t>
            </w:r>
          </w:p>
        </w:tc>
        <w:tc>
          <w:tcPr/>
          <w:p>
            <w:pPr>
              <w:pStyle w:val="Compact"/>
              <w:jc w:val="right"/>
            </w:pPr>
            <w:r>
              <w:rPr>
                <w:bCs/>
                <w:b/>
              </w:rPr>
              <w:t xml:space="preserve">7</w:t>
            </w:r>
          </w:p>
        </w:tc>
      </w:tr>
      <w:tr>
        <w:trPr>
          <w:cantSplit/>
        </w:trPr>
        <w:tc>
          <w:tcPr/>
          <w:p>
            <w:pPr>
              <w:pStyle w:val="Compact"/>
              <w:jc w:val="left"/>
            </w:pPr>
            <w:r>
              <w:rPr>
                <w:bCs/>
                <w:b/>
                <w:color w:val="B08625"/>
                <w:sz w:val="20"/>
                <w:caps/>
                <w:spacing w:val="14"/>
              </w:rPr>
              <w:t xml:space="preserve">Founder’s Message</w:t>
            </w:r>
          </w:p>
        </w:tc>
        <w:tc>
          <w:tcPr/>
          <w:p>
            <w:pPr>
              <w:pStyle w:val="Compact"/>
              <w:jc w:val="right"/>
            </w:pPr>
            <w:r>
              <w:rPr>
                <w:bCs/>
                <w:b/>
              </w:rPr>
              <w:t xml:space="preserve">8</w:t>
            </w:r>
          </w:p>
        </w:tc>
      </w:tr>
      <w:tr>
        <w:trPr>
          <w:cantSplit/>
        </w:trPr>
        <w:tc>
          <w:tcPr/>
          <w:p>
            <w:pPr>
              <w:pStyle w:val="Compact"/>
              <w:jc w:val="left"/>
            </w:pPr>
            <w:r>
              <w:rPr>
                <w:bCs/>
                <w:b/>
                <w:color w:val="B08625"/>
                <w:sz w:val="20"/>
                <w:caps/>
                <w:spacing w:val="14"/>
              </w:rPr>
              <w:t xml:space="preserve">Chairman’s Message</w:t>
            </w:r>
          </w:p>
        </w:tc>
        <w:tc>
          <w:tcPr/>
          <w:p>
            <w:pPr>
              <w:pStyle w:val="Compact"/>
              <w:jc w:val="right"/>
            </w:pPr>
            <w:r>
              <w:rPr>
                <w:bCs/>
                <w:b/>
              </w:rPr>
              <w:t xml:space="preserve">9</w:t>
            </w:r>
          </w:p>
        </w:tc>
      </w:tr>
      <w:tr>
        <w:trPr>
          <w:cantSplit/>
        </w:trPr>
        <w:tc>
          <w:tcPr/>
          <w:p>
            <w:pPr>
              <w:pStyle w:val="Compact"/>
              <w:jc w:val="left"/>
            </w:pPr>
            <w:r>
              <w:rPr>
                <w:bCs/>
                <w:b/>
                <w:color w:val="B08625"/>
                <w:sz w:val="20"/>
                <w:caps/>
                <w:spacing w:val="14"/>
              </w:rPr>
              <w:t xml:space="preserve">President’s Message</w:t>
            </w:r>
          </w:p>
        </w:tc>
        <w:tc>
          <w:tcPr/>
          <w:p>
            <w:pPr>
              <w:pStyle w:val="Compact"/>
              <w:jc w:val="right"/>
            </w:pPr>
            <w:r>
              <w:rPr>
                <w:bCs/>
                <w:b/>
                <w:color w:val="B08625"/>
                <w:sz w:val="20"/>
                <w:caps/>
                <w:spacing w:val="14"/>
              </w:rPr>
              <w:t xml:space="preserve">10</w:t>
            </w:r>
          </w:p>
        </w:tc>
      </w:tr>
      <w:tr>
        <w:trPr>
          <w:cantSplit/>
        </w:trPr>
        <w:tc>
          <w:tcPr/>
          <w:p>
            <w:pPr>
              <w:pStyle w:val="Compact"/>
              <w:jc w:val="left"/>
            </w:pPr>
            <w:r>
              <w:rPr>
                <w:bCs/>
                <w:b/>
                <w:color w:val="B08625"/>
                <w:sz w:val="20"/>
                <w:caps/>
                <w:spacing w:val="14"/>
              </w:rPr>
              <w:t xml:space="preserve">Executive Summary</w:t>
            </w:r>
          </w:p>
        </w:tc>
        <w:tc>
          <w:tcPr/>
          <w:p>
            <w:pPr>
              <w:pStyle w:val="Compact"/>
              <w:jc w:val="right"/>
            </w:pPr>
            <w:r>
              <w:rPr>
                <w:bCs/>
                <w:b/>
                <w:color w:val="B08625"/>
                <w:sz w:val="20"/>
                <w:caps/>
                <w:spacing w:val="14"/>
              </w:rPr>
              <w:t xml:space="preserve">11</w:t>
            </w:r>
          </w:p>
        </w:tc>
      </w:tr>
      <w:tr>
        <w:trPr>
          <w:cantSplit/>
        </w:trPr>
        <w:tc>
          <w:tcPr/>
          <w:p>
            <w:pPr>
              <w:pStyle w:val="Compact"/>
              <w:jc w:val="left"/>
            </w:pPr>
            <w:r>
              <w:rPr>
                <w:bCs/>
                <w:b/>
                <w:color w:val="B08625"/>
                <w:sz w:val="20"/>
                <w:caps/>
                <w:spacing w:val="14"/>
              </w:rPr>
              <w:t xml:space="preserve">AMIU at a Glance</w:t>
            </w:r>
          </w:p>
        </w:tc>
        <w:tc>
          <w:tcPr/>
          <w:p>
            <w:pPr>
              <w:pStyle w:val="Compact"/>
              <w:jc w:val="right"/>
            </w:pPr>
            <w:r>
              <w:rPr>
                <w:bCs/>
                <w:b/>
                <w:color w:val="B08625"/>
                <w:sz w:val="20"/>
                <w:caps/>
                <w:spacing w:val="14"/>
              </w:rPr>
              <w:t xml:space="preserve">13</w:t>
            </w:r>
          </w:p>
        </w:tc>
      </w:tr>
      <w:tr>
        <w:trPr>
          <w:cantSplit/>
        </w:trPr>
        <w:tc>
          <w:tcPr/>
          <w:p>
            <w:pPr>
              <w:pStyle w:val="Compact"/>
              <w:jc w:val="left"/>
            </w:pPr>
            <w:r>
              <w:rPr>
                <w:bCs/>
                <w:b/>
                <w:color w:val="B08625"/>
                <w:sz w:val="20"/>
                <w:caps/>
                <w:spacing w:val="14"/>
              </w:rPr>
              <w:t xml:space="preserve">List of Figures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Charts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Diagrams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Flowcharts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Tables</w:t>
            </w:r>
          </w:p>
        </w:tc>
        <w:tc>
          <w:tcPr/>
          <w:p>
            <w:pPr>
              <w:pStyle w:val="Compact"/>
              <w:jc w:val="right"/>
            </w:pPr>
            <w:r>
              <w:rPr>
                <w:bCs/>
                <w:b/>
                <w:color w:val="B08625"/>
                <w:sz w:val="20"/>
                <w:caps/>
                <w:spacing w:val="14"/>
              </w:rPr>
              <w:t xml:space="preserve">21</w:t>
            </w:r>
          </w:p>
        </w:tc>
      </w:tr>
      <w:tr>
        <w:trPr>
          <w:cantSplit/>
        </w:trPr>
        <w:tc>
          <w:tcPr/>
          <w:p>
            <w:pPr>
              <w:pStyle w:val="Compact"/>
              <w:jc w:val="left"/>
            </w:pPr>
            <w:r>
              <w:rPr>
                <w:bCs/>
                <w:b/>
                <w:color w:val="B08625"/>
                <w:sz w:val="20"/>
                <w:caps/>
                <w:spacing w:val="14"/>
              </w:rPr>
              <w:t xml:space="preserve">List of Abbreviations</w:t>
            </w:r>
          </w:p>
        </w:tc>
        <w:tc>
          <w:tcPr/>
          <w:p>
            <w:pPr>
              <w:pStyle w:val="Compact"/>
              <w:jc w:val="right"/>
            </w:pPr>
            <w:r>
              <w:rPr>
                <w:bCs/>
                <w:b/>
                <w:color w:val="B08625"/>
                <w:sz w:val="20"/>
                <w:caps/>
                <w:spacing w:val="14"/>
              </w:rPr>
              <w:t xml:space="preserve">24</w:t>
            </w:r>
          </w:p>
        </w:tc>
      </w:tr>
      <w:tr>
        <w:trPr>
          <w:cantSplit/>
        </w:trPr>
        <w:tc>
          <w:tcPr/>
          <w:p>
            <w:pPr>
              <w:pStyle w:val="Compact"/>
              <w:jc w:val="left"/>
            </w:pPr>
            <w:r>
              <w:rPr>
                <w:bCs/>
                <w:b/>
                <w:color w:val="B08625"/>
                <w:sz w:val="20"/>
                <w:caps/>
                <w:spacing w:val="14"/>
              </w:rPr>
              <w:t xml:space="preserve">Glossary</w:t>
            </w:r>
          </w:p>
        </w:tc>
        <w:tc>
          <w:tcPr/>
          <w:p>
            <w:pPr>
              <w:pStyle w:val="Compact"/>
              <w:jc w:val="right"/>
            </w:pPr>
            <w:r>
              <w:rPr>
                <w:bCs/>
                <w:b/>
                <w:color w:val="B08625"/>
                <w:sz w:val="20"/>
                <w:caps/>
                <w:spacing w:val="14"/>
              </w:rPr>
              <w:t xml:space="preserve">27</w:t>
            </w:r>
          </w:p>
        </w:tc>
      </w:tr>
      <w:tr>
        <w:trPr>
          <w:cantSplit/>
        </w:trPr>
        <w:tc>
          <w:tcPr/>
          <w:p>
            <w:pPr>
              <w:pStyle w:val="Compact"/>
              <w:jc w:val="left"/>
            </w:pPr>
            <w:r>
              <w:rPr>
                <w:bCs/>
                <w:b/>
                <w:color w:val="B08625"/>
                <w:sz w:val="20"/>
                <w:caps/>
                <w:spacing w:val="14"/>
              </w:rPr>
              <w:t xml:space="preserve">Part I — Governance &amp; Institutional Foundations</w:t>
            </w:r>
          </w:p>
        </w:tc>
        <w:tc>
          <w:tcPr/>
          <w:p>
            <w:pPr>
              <w:pStyle w:val="Compact"/>
              <w:jc w:val="right"/>
            </w:pPr>
            <w:r>
              <w:rPr>
                <w:bCs/>
                <w:b/>
                <w:color w:val="B08625"/>
                <w:sz w:val="20"/>
                <w:caps/>
                <w:spacing w:val="14"/>
              </w:rPr>
              <w:t xml:space="preserve">32</w:t>
            </w:r>
          </w:p>
        </w:tc>
      </w:tr>
      <w:tr>
        <w:trPr>
          <w:cantSplit/>
        </w:trPr>
        <w:tc>
          <w:tcPr/>
          <w:p>
            <w:pPr>
              <w:pStyle w:val="Compact"/>
              <w:jc w:val="left"/>
            </w:pPr>
            <w:r>
              <w:t xml:space="preserve">    Section 1: Institutional Vision 2028–2050</w:t>
            </w:r>
          </w:p>
        </w:tc>
        <w:tc>
          <w:tcPr/>
          <w:p>
            <w:pPr>
              <w:pStyle w:val="Compact"/>
              <w:jc w:val="right"/>
            </w:pPr>
            <w:r>
              <w:t xml:space="preserve">33</w:t>
            </w:r>
          </w:p>
        </w:tc>
      </w:tr>
      <w:tr>
        <w:trPr>
          <w:cantSplit/>
        </w:trPr>
        <w:tc>
          <w:tcPr/>
          <w:p>
            <w:pPr>
              <w:pStyle w:val="Compact"/>
              <w:jc w:val="left"/>
            </w:pPr>
            <w:r>
              <w:t xml:space="preserve">    Section 2: Mission, Values, and Identity</w:t>
            </w:r>
          </w:p>
        </w:tc>
        <w:tc>
          <w:tcPr/>
          <w:p>
            <w:pPr>
              <w:pStyle w:val="Compact"/>
              <w:jc w:val="right"/>
            </w:pPr>
            <w:r>
              <w:t xml:space="preserve">37</w:t>
            </w:r>
          </w:p>
        </w:tc>
      </w:tr>
      <w:tr>
        <w:trPr>
          <w:cantSplit/>
        </w:trPr>
        <w:tc>
          <w:tcPr/>
          <w:p>
            <w:pPr>
              <w:pStyle w:val="Compact"/>
              <w:jc w:val="left"/>
            </w:pPr>
            <w:r>
              <w:t xml:space="preserve">    Section 3: Governance Framework</w:t>
            </w:r>
          </w:p>
        </w:tc>
        <w:tc>
          <w:tcPr/>
          <w:p>
            <w:pPr>
              <w:pStyle w:val="Compact"/>
              <w:jc w:val="right"/>
            </w:pPr>
            <w:r>
              <w:t xml:space="preserve">39</w:t>
            </w:r>
          </w:p>
        </w:tc>
      </w:tr>
      <w:tr>
        <w:trPr>
          <w:cantSplit/>
        </w:trPr>
        <w:tc>
          <w:tcPr/>
          <w:p>
            <w:pPr>
              <w:pStyle w:val="Compact"/>
              <w:jc w:val="left"/>
            </w:pPr>
            <w:r>
              <w:t xml:space="preserve">    Section 4: Senate Structure</w:t>
            </w:r>
          </w:p>
        </w:tc>
        <w:tc>
          <w:tcPr/>
          <w:p>
            <w:pPr>
              <w:pStyle w:val="Compact"/>
              <w:jc w:val="right"/>
            </w:pPr>
            <w:r>
              <w:t xml:space="preserve">42</w:t>
            </w:r>
          </w:p>
        </w:tc>
      </w:tr>
      <w:tr>
        <w:trPr>
          <w:cantSplit/>
        </w:trPr>
        <w:tc>
          <w:tcPr/>
          <w:p>
            <w:pPr>
              <w:pStyle w:val="Compact"/>
              <w:jc w:val="left"/>
            </w:pPr>
            <w:r>
              <w:t xml:space="preserve">    Section 5: Board Structure</w:t>
            </w:r>
          </w:p>
        </w:tc>
        <w:tc>
          <w:tcPr/>
          <w:p>
            <w:pPr>
              <w:pStyle w:val="Compact"/>
              <w:jc w:val="right"/>
            </w:pPr>
            <w:r>
              <w:t xml:space="preserve">45</w:t>
            </w:r>
          </w:p>
        </w:tc>
      </w:tr>
      <w:tr>
        <w:trPr>
          <w:cantSplit/>
        </w:trPr>
        <w:tc>
          <w:tcPr/>
          <w:p>
            <w:pPr>
              <w:pStyle w:val="Compact"/>
              <w:jc w:val="left"/>
            </w:pPr>
            <w:r>
              <w:rPr>
                <w:bCs/>
                <w:b/>
                <w:color w:val="B08625"/>
                <w:sz w:val="20"/>
                <w:caps/>
                <w:spacing w:val="14"/>
              </w:rPr>
              <w:t xml:space="preserve">Part II — Organizational &amp; Academic Structure</w:t>
            </w:r>
          </w:p>
        </w:tc>
        <w:tc>
          <w:tcPr/>
          <w:p>
            <w:pPr>
              <w:pStyle w:val="Compact"/>
              <w:jc w:val="right"/>
            </w:pPr>
            <w:r>
              <w:rPr>
                <w:bCs/>
                <w:b/>
                <w:color w:val="B08625"/>
                <w:sz w:val="20"/>
                <w:caps/>
                <w:spacing w:val="14"/>
              </w:rPr>
              <w:t xml:space="preserve">49</w:t>
            </w:r>
          </w:p>
        </w:tc>
      </w:tr>
      <w:tr>
        <w:trPr>
          <w:cantSplit/>
        </w:trPr>
        <w:tc>
          <w:tcPr/>
          <w:p>
            <w:pPr>
              <w:pStyle w:val="Compact"/>
              <w:jc w:val="left"/>
            </w:pPr>
            <w:r>
              <w:t xml:space="preserve">    Section 6: Organizational Chart</w:t>
            </w:r>
          </w:p>
        </w:tc>
        <w:tc>
          <w:tcPr/>
          <w:p>
            <w:pPr>
              <w:pStyle w:val="Compact"/>
              <w:jc w:val="right"/>
            </w:pPr>
            <w:r>
              <w:t xml:space="preserve">50</w:t>
            </w:r>
          </w:p>
        </w:tc>
      </w:tr>
      <w:tr>
        <w:trPr>
          <w:cantSplit/>
        </w:trPr>
        <w:tc>
          <w:tcPr/>
          <w:p>
            <w:pPr>
              <w:pStyle w:val="Compact"/>
              <w:jc w:val="left"/>
            </w:pPr>
            <w:r>
              <w:t xml:space="preserve">    Section 7: Academic Master Plan</w:t>
            </w:r>
          </w:p>
        </w:tc>
        <w:tc>
          <w:tcPr/>
          <w:p>
            <w:pPr>
              <w:pStyle w:val="Compact"/>
              <w:jc w:val="right"/>
            </w:pPr>
            <w:r>
              <w:t xml:space="preserve">54</w:t>
            </w:r>
          </w:p>
        </w:tc>
      </w:tr>
      <w:tr>
        <w:trPr>
          <w:cantSplit/>
        </w:trPr>
        <w:tc>
          <w:tcPr/>
          <w:p>
            <w:pPr>
              <w:pStyle w:val="Compact"/>
              <w:jc w:val="left"/>
            </w:pPr>
            <w:r>
              <w:t xml:space="preserve">    Section 8: College Structure</w:t>
            </w:r>
          </w:p>
        </w:tc>
        <w:tc>
          <w:tcPr/>
          <w:p>
            <w:pPr>
              <w:pStyle w:val="Compact"/>
              <w:jc w:val="right"/>
            </w:pPr>
            <w:r>
              <w:t xml:space="preserve">57</w:t>
            </w:r>
          </w:p>
        </w:tc>
      </w:tr>
      <w:tr>
        <w:trPr>
          <w:cantSplit/>
        </w:trPr>
        <w:tc>
          <w:tcPr/>
          <w:p>
            <w:pPr>
              <w:pStyle w:val="Compact"/>
              <w:jc w:val="left"/>
            </w:pPr>
            <w:r>
              <w:t xml:space="preserve">    Section 9: Faculty Structure</w:t>
            </w:r>
          </w:p>
        </w:tc>
        <w:tc>
          <w:tcPr/>
          <w:p>
            <w:pPr>
              <w:pStyle w:val="Compact"/>
              <w:jc w:val="right"/>
            </w:pPr>
            <w:r>
              <w:t xml:space="preserve">60</w:t>
            </w:r>
          </w:p>
        </w:tc>
      </w:tr>
      <w:tr>
        <w:trPr>
          <w:cantSplit/>
        </w:trPr>
        <w:tc>
          <w:tcPr/>
          <w:p>
            <w:pPr>
              <w:pStyle w:val="Compact"/>
              <w:jc w:val="left"/>
            </w:pPr>
            <w:r>
              <w:t xml:space="preserve">    Section 10: Department Structure</w:t>
            </w:r>
          </w:p>
        </w:tc>
        <w:tc>
          <w:tcPr/>
          <w:p>
            <w:pPr>
              <w:pStyle w:val="Compact"/>
              <w:jc w:val="right"/>
            </w:pPr>
            <w:r>
              <w:t xml:space="preserve">62</w:t>
            </w:r>
          </w:p>
        </w:tc>
      </w:tr>
      <w:tr>
        <w:trPr>
          <w:cantSplit/>
        </w:trPr>
        <w:tc>
          <w:tcPr/>
          <w:p>
            <w:pPr>
              <w:pStyle w:val="Compact"/>
              <w:jc w:val="left"/>
            </w:pPr>
            <w:r>
              <w:rPr>
                <w:bCs/>
                <w:b/>
                <w:color w:val="B08625"/>
                <w:sz w:val="20"/>
                <w:caps/>
                <w:spacing w:val="14"/>
              </w:rPr>
              <w:t xml:space="preserve">Part III — Curriculum &amp; Student Journey</w:t>
            </w:r>
          </w:p>
        </w:tc>
        <w:tc>
          <w:tcPr/>
          <w:p>
            <w:pPr>
              <w:pStyle w:val="Compact"/>
              <w:jc w:val="right"/>
            </w:pPr>
            <w:r>
              <w:rPr>
                <w:bCs/>
                <w:b/>
                <w:color w:val="B08625"/>
                <w:sz w:val="20"/>
                <w:caps/>
                <w:spacing w:val="14"/>
              </w:rPr>
              <w:t xml:space="preserve">66</w:t>
            </w:r>
          </w:p>
        </w:tc>
      </w:tr>
      <w:tr>
        <w:trPr>
          <w:cantSplit/>
        </w:trPr>
        <w:tc>
          <w:tcPr/>
          <w:p>
            <w:pPr>
              <w:pStyle w:val="Compact"/>
              <w:jc w:val="left"/>
            </w:pPr>
            <w:r>
              <w:t xml:space="preserve">    Section 11: Programme Portfolio</w:t>
            </w:r>
          </w:p>
        </w:tc>
        <w:tc>
          <w:tcPr/>
          <w:p>
            <w:pPr>
              <w:pStyle w:val="Compact"/>
              <w:jc w:val="right"/>
            </w:pPr>
            <w:r>
              <w:t xml:space="preserve">67</w:t>
            </w:r>
          </w:p>
        </w:tc>
      </w:tr>
      <w:tr>
        <w:trPr>
          <w:cantSplit/>
        </w:trPr>
        <w:tc>
          <w:tcPr/>
          <w:p>
            <w:pPr>
              <w:pStyle w:val="Compact"/>
              <w:jc w:val="left"/>
            </w:pPr>
            <w:r>
              <w:t xml:space="preserve">    Section 12: Curriculum Architecture</w:t>
            </w:r>
          </w:p>
        </w:tc>
        <w:tc>
          <w:tcPr/>
          <w:p>
            <w:pPr>
              <w:pStyle w:val="Compact"/>
              <w:jc w:val="right"/>
            </w:pPr>
            <w:r>
              <w:t xml:space="preserve">70</w:t>
            </w:r>
          </w:p>
        </w:tc>
      </w:tr>
      <w:tr>
        <w:trPr>
          <w:cantSplit/>
        </w:trPr>
        <w:tc>
          <w:tcPr/>
          <w:p>
            <w:pPr>
              <w:pStyle w:val="Compact"/>
              <w:jc w:val="left"/>
            </w:pPr>
            <w:r>
              <w:t xml:space="preserve">    Section 13: Student Journey Map</w:t>
            </w:r>
          </w:p>
        </w:tc>
        <w:tc>
          <w:tcPr/>
          <w:p>
            <w:pPr>
              <w:pStyle w:val="Compact"/>
              <w:jc w:val="right"/>
            </w:pPr>
            <w:r>
              <w:t xml:space="preserve">73</w:t>
            </w:r>
          </w:p>
        </w:tc>
      </w:tr>
      <w:tr>
        <w:trPr>
          <w:cantSplit/>
        </w:trPr>
        <w:tc>
          <w:tcPr/>
          <w:p>
            <w:pPr>
              <w:pStyle w:val="Compact"/>
              <w:jc w:val="left"/>
            </w:pPr>
            <w:r>
              <w:t xml:space="preserve">    Section 14: Admission Policies</w:t>
            </w:r>
          </w:p>
        </w:tc>
        <w:tc>
          <w:tcPr/>
          <w:p>
            <w:pPr>
              <w:pStyle w:val="Compact"/>
              <w:jc w:val="right"/>
            </w:pPr>
            <w:r>
              <w:t xml:space="preserve">76</w:t>
            </w:r>
          </w:p>
        </w:tc>
      </w:tr>
      <w:tr>
        <w:trPr>
          <w:cantSplit/>
        </w:trPr>
        <w:tc>
          <w:tcPr/>
          <w:p>
            <w:pPr>
              <w:pStyle w:val="Compact"/>
              <w:jc w:val="left"/>
            </w:pPr>
            <w:r>
              <w:t xml:space="preserve">    Section 15: Faculty Recruitment Strategy</w:t>
            </w:r>
          </w:p>
        </w:tc>
        <w:tc>
          <w:tcPr/>
          <w:p>
            <w:pPr>
              <w:pStyle w:val="Compact"/>
              <w:jc w:val="right"/>
            </w:pPr>
            <w:r>
              <w:t xml:space="preserve">79</w:t>
            </w:r>
          </w:p>
        </w:tc>
      </w:tr>
      <w:tr>
        <w:trPr>
          <w:cantSplit/>
        </w:trPr>
        <w:tc>
          <w:tcPr/>
          <w:p>
            <w:pPr>
              <w:pStyle w:val="Compact"/>
              <w:jc w:val="left"/>
            </w:pPr>
            <w:r>
              <w:rPr>
                <w:bCs/>
                <w:b/>
              </w:rPr>
              <w:t xml:space="preserve">Part IV — Research, Publishing, Partnerships &amp; Accreditation</w:t>
            </w:r>
          </w:p>
        </w:tc>
        <w:tc>
          <w:tcPr/>
          <w:p>
            <w:pPr>
              <w:pStyle w:val="Compact"/>
              <w:jc w:val="right"/>
            </w:pPr>
            <w:r>
              <w:rPr>
                <w:bCs/>
                <w:b/>
                <w:color w:val="B08625"/>
                <w:sz w:val="20"/>
                <w:caps/>
                <w:spacing w:val="14"/>
              </w:rPr>
              <w:t xml:space="preserve">83</w:t>
            </w:r>
          </w:p>
        </w:tc>
      </w:tr>
      <w:tr>
        <w:trPr>
          <w:cantSplit/>
        </w:trPr>
        <w:tc>
          <w:tcPr/>
          <w:p>
            <w:pPr>
              <w:pStyle w:val="Compact"/>
              <w:jc w:val="left"/>
            </w:pPr>
            <w:r>
              <w:t xml:space="preserve">    Section 16: Research Strategy</w:t>
            </w:r>
          </w:p>
        </w:tc>
        <w:tc>
          <w:tcPr/>
          <w:p>
            <w:pPr>
              <w:pStyle w:val="Compact"/>
              <w:jc w:val="right"/>
            </w:pPr>
            <w:r>
              <w:t xml:space="preserve">84</w:t>
            </w:r>
          </w:p>
        </w:tc>
      </w:tr>
      <w:tr>
        <w:trPr>
          <w:cantSplit/>
        </w:trPr>
        <w:tc>
          <w:tcPr/>
          <w:p>
            <w:pPr>
              <w:pStyle w:val="Compact"/>
              <w:jc w:val="left"/>
            </w:pPr>
            <w:r>
              <w:t xml:space="preserve">    Section 17: Publishing Strategy</w:t>
            </w:r>
          </w:p>
        </w:tc>
        <w:tc>
          <w:tcPr/>
          <w:p>
            <w:pPr>
              <w:pStyle w:val="Compact"/>
              <w:jc w:val="right"/>
            </w:pPr>
            <w:r>
              <w:t xml:space="preserve">86</w:t>
            </w:r>
          </w:p>
        </w:tc>
      </w:tr>
      <w:tr>
        <w:trPr>
          <w:cantSplit/>
        </w:trPr>
        <w:tc>
          <w:tcPr/>
          <w:p>
            <w:pPr>
              <w:pStyle w:val="Compact"/>
              <w:jc w:val="left"/>
            </w:pPr>
            <w:r>
              <w:t xml:space="preserve">    Section 18: Global Partnerships Strategy</w:t>
            </w:r>
          </w:p>
        </w:tc>
        <w:tc>
          <w:tcPr/>
          <w:p>
            <w:pPr>
              <w:pStyle w:val="Compact"/>
              <w:jc w:val="right"/>
            </w:pPr>
            <w:r>
              <w:t xml:space="preserve">89</w:t>
            </w:r>
          </w:p>
        </w:tc>
      </w:tr>
      <w:tr>
        <w:trPr>
          <w:cantSplit/>
        </w:trPr>
        <w:tc>
          <w:tcPr/>
          <w:p>
            <w:pPr>
              <w:pStyle w:val="Compact"/>
              <w:jc w:val="left"/>
            </w:pPr>
            <w:r>
              <w:t xml:space="preserve">    Section 19: Accreditation Roadmap</w:t>
            </w:r>
          </w:p>
        </w:tc>
        <w:tc>
          <w:tcPr/>
          <w:p>
            <w:pPr>
              <w:pStyle w:val="Compact"/>
              <w:jc w:val="right"/>
            </w:pPr>
            <w:r>
              <w:t xml:space="preserve">92</w:t>
            </w:r>
          </w:p>
        </w:tc>
      </w:tr>
      <w:tr>
        <w:trPr>
          <w:cantSplit/>
        </w:trPr>
        <w:tc>
          <w:tcPr/>
          <w:p>
            <w:pPr>
              <w:pStyle w:val="Compact"/>
              <w:jc w:val="left"/>
            </w:pPr>
            <w:r>
              <w:t xml:space="preserve">    Section 20: ISO 21001 Roadmap</w:t>
            </w:r>
          </w:p>
        </w:tc>
        <w:tc>
          <w:tcPr/>
          <w:p>
            <w:pPr>
              <w:pStyle w:val="Compact"/>
              <w:jc w:val="right"/>
            </w:pPr>
            <w:r>
              <w:t xml:space="preserve">94</w:t>
            </w:r>
          </w:p>
        </w:tc>
      </w:tr>
      <w:tr>
        <w:trPr>
          <w:cantSplit/>
        </w:trPr>
        <w:tc>
          <w:tcPr/>
          <w:p>
            <w:pPr>
              <w:pStyle w:val="Compact"/>
              <w:jc w:val="left"/>
            </w:pPr>
            <w:r>
              <w:rPr>
                <w:bCs/>
                <w:b/>
                <w:color w:val="B08625"/>
                <w:sz w:val="20"/>
                <w:caps/>
                <w:spacing w:val="14"/>
              </w:rPr>
              <w:t xml:space="preserve">Part V — Digital Infrastructure, AI &amp; Waqf Development</w:t>
            </w:r>
          </w:p>
        </w:tc>
        <w:tc>
          <w:tcPr/>
          <w:p>
            <w:pPr>
              <w:pStyle w:val="Compact"/>
              <w:jc w:val="right"/>
            </w:pPr>
            <w:r>
              <w:rPr>
                <w:bCs/>
                <w:b/>
                <w:color w:val="B08625"/>
                <w:sz w:val="20"/>
                <w:caps/>
                <w:spacing w:val="14"/>
              </w:rPr>
              <w:t xml:space="preserve">99</w:t>
            </w:r>
          </w:p>
        </w:tc>
      </w:tr>
      <w:tr>
        <w:trPr>
          <w:cantSplit/>
        </w:trPr>
        <w:tc>
          <w:tcPr/>
          <w:p>
            <w:pPr>
              <w:pStyle w:val="Compact"/>
              <w:jc w:val="left"/>
            </w:pPr>
            <w:r>
              <w:t xml:space="preserve">    Section 21: LMS Ecosystem</w:t>
            </w:r>
          </w:p>
        </w:tc>
        <w:tc>
          <w:tcPr/>
          <w:p>
            <w:pPr>
              <w:pStyle w:val="Compact"/>
              <w:jc w:val="right"/>
            </w:pPr>
            <w:r>
              <w:t xml:space="preserve">100</w:t>
            </w:r>
          </w:p>
        </w:tc>
      </w:tr>
      <w:tr>
        <w:trPr>
          <w:cantSplit/>
        </w:trPr>
        <w:tc>
          <w:tcPr/>
          <w:p>
            <w:pPr>
              <w:pStyle w:val="Compact"/>
              <w:jc w:val="left"/>
            </w:pPr>
            <w:r>
              <w:t xml:space="preserve">    Section 22: AI Strategy</w:t>
            </w:r>
          </w:p>
        </w:tc>
        <w:tc>
          <w:tcPr/>
          <w:p>
            <w:pPr>
              <w:pStyle w:val="Compact"/>
              <w:jc w:val="right"/>
            </w:pPr>
            <w:r>
              <w:t xml:space="preserve">102</w:t>
            </w:r>
          </w:p>
        </w:tc>
      </w:tr>
      <w:tr>
        <w:trPr>
          <w:cantSplit/>
        </w:trPr>
        <w:tc>
          <w:tcPr/>
          <w:p>
            <w:pPr>
              <w:pStyle w:val="Compact"/>
              <w:jc w:val="left"/>
            </w:pPr>
            <w:r>
              <w:t xml:space="preserve">    Section 23: Digital Transformation Strategy</w:t>
            </w:r>
          </w:p>
        </w:tc>
        <w:tc>
          <w:tcPr/>
          <w:p>
            <w:pPr>
              <w:pStyle w:val="Compact"/>
              <w:jc w:val="right"/>
            </w:pPr>
            <w:r>
              <w:t xml:space="preserve">105</w:t>
            </w:r>
          </w:p>
        </w:tc>
      </w:tr>
      <w:tr>
        <w:trPr>
          <w:cantSplit/>
        </w:trPr>
        <w:tc>
          <w:tcPr/>
          <w:p>
            <w:pPr>
              <w:pStyle w:val="Compact"/>
              <w:jc w:val="left"/>
            </w:pPr>
            <w:r>
              <w:t xml:space="preserve">    Section 24: Library Strategy</w:t>
            </w:r>
          </w:p>
        </w:tc>
        <w:tc>
          <w:tcPr/>
          <w:p>
            <w:pPr>
              <w:pStyle w:val="Compact"/>
              <w:jc w:val="right"/>
            </w:pPr>
            <w:r>
              <w:t xml:space="preserve">107</w:t>
            </w:r>
          </w:p>
        </w:tc>
      </w:tr>
      <w:tr>
        <w:trPr>
          <w:cantSplit/>
        </w:trPr>
        <w:tc>
          <w:tcPr/>
          <w:p>
            <w:pPr>
              <w:pStyle w:val="Compact"/>
              <w:jc w:val="left"/>
            </w:pPr>
            <w:r>
              <w:t xml:space="preserve">    Section 25: Waqf Development Strategy</w:t>
            </w:r>
          </w:p>
        </w:tc>
        <w:tc>
          <w:tcPr/>
          <w:p>
            <w:pPr>
              <w:pStyle w:val="Compact"/>
              <w:jc w:val="right"/>
            </w:pPr>
            <w:r>
              <w:t xml:space="preserve">110</w:t>
            </w:r>
          </w:p>
        </w:tc>
      </w:tr>
      <w:tr>
        <w:trPr>
          <w:cantSplit/>
        </w:trPr>
        <w:tc>
          <w:tcPr/>
          <w:p>
            <w:pPr>
              <w:pStyle w:val="Compact"/>
              <w:jc w:val="left"/>
            </w:pPr>
            <w:r>
              <w:rPr>
                <w:bCs/>
                <w:b/>
                <w:color w:val="B08625"/>
                <w:sz w:val="20"/>
                <w:caps/>
                <w:spacing w:val="14"/>
              </w:rPr>
              <w:t xml:space="preserve">Part VI — Financial Growth, Marketing &amp; Branding</w:t>
            </w:r>
          </w:p>
        </w:tc>
        <w:tc>
          <w:tcPr/>
          <w:p>
            <w:pPr>
              <w:pStyle w:val="Compact"/>
              <w:jc w:val="right"/>
            </w:pPr>
            <w:r>
              <w:rPr>
                <w:bCs/>
                <w:b/>
                <w:color w:val="B08625"/>
                <w:sz w:val="20"/>
                <w:caps/>
                <w:spacing w:val="14"/>
              </w:rPr>
              <w:t xml:space="preserve">115</w:t>
            </w:r>
          </w:p>
        </w:tc>
      </w:tr>
      <w:tr>
        <w:trPr>
          <w:cantSplit/>
        </w:trPr>
        <w:tc>
          <w:tcPr/>
          <w:p>
            <w:pPr>
              <w:pStyle w:val="Compact"/>
              <w:jc w:val="left"/>
            </w:pPr>
            <w:r>
              <w:t xml:space="preserve">    Section 26: Scholarship Strategy</w:t>
            </w:r>
          </w:p>
        </w:tc>
        <w:tc>
          <w:tcPr/>
          <w:p>
            <w:pPr>
              <w:pStyle w:val="Compact"/>
              <w:jc w:val="right"/>
            </w:pPr>
            <w:r>
              <w:t xml:space="preserve">116</w:t>
            </w:r>
          </w:p>
        </w:tc>
      </w:tr>
      <w:tr>
        <w:trPr>
          <w:cantSplit/>
        </w:trPr>
        <w:tc>
          <w:tcPr/>
          <w:p>
            <w:pPr>
              <w:pStyle w:val="Compact"/>
              <w:jc w:val="left"/>
            </w:pPr>
            <w:r>
              <w:t xml:space="preserve">    Section 27: Revenue Diversification Strategy</w:t>
            </w:r>
          </w:p>
        </w:tc>
        <w:tc>
          <w:tcPr/>
          <w:p>
            <w:pPr>
              <w:pStyle w:val="Compact"/>
              <w:jc w:val="right"/>
            </w:pPr>
            <w:r>
              <w:t xml:space="preserve">118</w:t>
            </w:r>
          </w:p>
        </w:tc>
      </w:tr>
      <w:tr>
        <w:trPr>
          <w:cantSplit/>
        </w:trPr>
        <w:tc>
          <w:tcPr/>
          <w:p>
            <w:pPr>
              <w:pStyle w:val="Compact"/>
              <w:jc w:val="left"/>
            </w:pPr>
            <w:r>
              <w:t xml:space="preserve">    Section 28: Marketing Strategy</w:t>
            </w:r>
          </w:p>
        </w:tc>
        <w:tc>
          <w:tcPr/>
          <w:p>
            <w:pPr>
              <w:pStyle w:val="Compact"/>
              <w:jc w:val="right"/>
            </w:pPr>
            <w:r>
              <w:t xml:space="preserve">121</w:t>
            </w:r>
          </w:p>
        </w:tc>
      </w:tr>
      <w:tr>
        <w:trPr>
          <w:cantSplit/>
        </w:trPr>
        <w:tc>
          <w:tcPr/>
          <w:p>
            <w:pPr>
              <w:pStyle w:val="Compact"/>
              <w:jc w:val="left"/>
            </w:pPr>
            <w:r>
              <w:t xml:space="preserve">    Section 29: Branding Strategy</w:t>
            </w:r>
          </w:p>
        </w:tc>
        <w:tc>
          <w:tcPr/>
          <w:p>
            <w:pPr>
              <w:pStyle w:val="Compact"/>
              <w:jc w:val="right"/>
            </w:pPr>
            <w:r>
              <w:t xml:space="preserve">123</w:t>
            </w:r>
          </w:p>
        </w:tc>
      </w:tr>
      <w:tr>
        <w:trPr>
          <w:cantSplit/>
        </w:trPr>
        <w:tc>
          <w:tcPr/>
          <w:p>
            <w:pPr>
              <w:pStyle w:val="Compact"/>
              <w:jc w:val="left"/>
            </w:pPr>
            <w:r>
              <w:t xml:space="preserve">    Section 30: International Expansion Strategy</w:t>
            </w:r>
          </w:p>
        </w:tc>
        <w:tc>
          <w:tcPr/>
          <w:p>
            <w:pPr>
              <w:pStyle w:val="Compact"/>
              <w:jc w:val="right"/>
            </w:pPr>
            <w:r>
              <w:t xml:space="preserve">126</w:t>
            </w:r>
          </w:p>
        </w:tc>
      </w:tr>
      <w:tr>
        <w:trPr>
          <w:cantSplit/>
        </w:trPr>
        <w:tc>
          <w:tcPr/>
          <w:p>
            <w:pPr>
              <w:pStyle w:val="Compact"/>
              <w:jc w:val="left"/>
            </w:pPr>
            <w:r>
              <w:rPr>
                <w:bCs/>
                <w:b/>
                <w:color w:val="B08625"/>
                <w:sz w:val="20"/>
                <w:caps/>
                <w:spacing w:val="14"/>
              </w:rPr>
              <w:t xml:space="preserve">Part VII — Regional Campuses &amp; Student Lifecycle</w:t>
            </w:r>
          </w:p>
        </w:tc>
        <w:tc>
          <w:tcPr/>
          <w:p>
            <w:pPr>
              <w:pStyle w:val="Compact"/>
              <w:jc w:val="right"/>
            </w:pPr>
            <w:r>
              <w:rPr>
                <w:bCs/>
                <w:b/>
                <w:color w:val="B08625"/>
                <w:sz w:val="20"/>
                <w:caps/>
                <w:spacing w:val="14"/>
              </w:rPr>
              <w:t xml:space="preserve">129</w:t>
            </w:r>
          </w:p>
        </w:tc>
      </w:tr>
      <w:tr>
        <w:trPr>
          <w:cantSplit/>
        </w:trPr>
        <w:tc>
          <w:tcPr/>
          <w:p>
            <w:pPr>
              <w:pStyle w:val="Compact"/>
              <w:jc w:val="left"/>
            </w:pPr>
            <w:r>
              <w:t xml:space="preserve">    Section 31: Nigeria Campus Strategy</w:t>
            </w:r>
          </w:p>
        </w:tc>
        <w:tc>
          <w:tcPr/>
          <w:p>
            <w:pPr>
              <w:pStyle w:val="Compact"/>
              <w:jc w:val="right"/>
            </w:pPr>
            <w:r>
              <w:t xml:space="preserve">130</w:t>
            </w:r>
          </w:p>
        </w:tc>
      </w:tr>
      <w:tr>
        <w:trPr>
          <w:cantSplit/>
        </w:trPr>
        <w:tc>
          <w:tcPr/>
          <w:p>
            <w:pPr>
              <w:pStyle w:val="Compact"/>
              <w:jc w:val="left"/>
            </w:pPr>
            <w:r>
              <w:t xml:space="preserve">    Section 32: Gulf Cooperation Strategy</w:t>
            </w:r>
          </w:p>
        </w:tc>
        <w:tc>
          <w:tcPr/>
          <w:p>
            <w:pPr>
              <w:pStyle w:val="Compact"/>
              <w:jc w:val="right"/>
            </w:pPr>
            <w:r>
              <w:t xml:space="preserve">132</w:t>
            </w:r>
          </w:p>
        </w:tc>
      </w:tr>
      <w:tr>
        <w:trPr>
          <w:cantSplit/>
        </w:trPr>
        <w:tc>
          <w:tcPr/>
          <w:p>
            <w:pPr>
              <w:pStyle w:val="Compact"/>
              <w:jc w:val="left"/>
            </w:pPr>
            <w:r>
              <w:t xml:space="preserve">    Section 33: Student Support Framework</w:t>
            </w:r>
          </w:p>
        </w:tc>
        <w:tc>
          <w:tcPr/>
          <w:p>
            <w:pPr>
              <w:pStyle w:val="Compact"/>
              <w:jc w:val="right"/>
            </w:pPr>
            <w:r>
              <w:t xml:space="preserve">135</w:t>
            </w:r>
          </w:p>
        </w:tc>
      </w:tr>
      <w:tr>
        <w:trPr>
          <w:cantSplit/>
        </w:trPr>
        <w:tc>
          <w:tcPr/>
          <w:p>
            <w:pPr>
              <w:pStyle w:val="Compact"/>
              <w:jc w:val="left"/>
            </w:pPr>
            <w:r>
              <w:t xml:space="preserve">    Section 34: Alumni Framework</w:t>
            </w:r>
          </w:p>
        </w:tc>
        <w:tc>
          <w:tcPr/>
          <w:p>
            <w:pPr>
              <w:pStyle w:val="Compact"/>
              <w:jc w:val="right"/>
            </w:pPr>
            <w:r>
              <w:t xml:space="preserve">137</w:t>
            </w:r>
          </w:p>
        </w:tc>
      </w:tr>
      <w:tr>
        <w:trPr>
          <w:cantSplit/>
        </w:trPr>
        <w:tc>
          <w:tcPr/>
          <w:p>
            <w:pPr>
              <w:pStyle w:val="Compact"/>
              <w:jc w:val="left"/>
            </w:pPr>
            <w:r>
              <w:t xml:space="preserve">    Section 35: Career Development Framework</w:t>
            </w:r>
          </w:p>
        </w:tc>
        <w:tc>
          <w:tcPr/>
          <w:p>
            <w:pPr>
              <w:pStyle w:val="Compact"/>
              <w:jc w:val="right"/>
            </w:pPr>
            <w:r>
              <w:t xml:space="preserve">139</w:t>
            </w:r>
          </w:p>
        </w:tc>
      </w:tr>
      <w:tr>
        <w:trPr>
          <w:cantSplit/>
        </w:trPr>
        <w:tc>
          <w:tcPr/>
          <w:p>
            <w:pPr>
              <w:pStyle w:val="Compact"/>
              <w:jc w:val="left"/>
            </w:pPr>
            <w:r>
              <w:rPr>
                <w:bCs/>
                <w:b/>
              </w:rPr>
              <w:t xml:space="preserve">Part VIII — Risk, Compliance, Sustainability &amp; the 20-Year Roadmap</w:t>
            </w:r>
          </w:p>
        </w:tc>
        <w:tc>
          <w:tcPr/>
          <w:p>
            <w:pPr>
              <w:pStyle w:val="Compact"/>
              <w:jc w:val="right"/>
            </w:pPr>
            <w:r>
              <w:rPr>
                <w:bCs/>
                <w:b/>
                <w:color w:val="B08625"/>
                <w:sz w:val="20"/>
                <w:caps/>
                <w:spacing w:val="14"/>
              </w:rPr>
              <w:t xml:space="preserve">143</w:t>
            </w:r>
          </w:p>
        </w:tc>
      </w:tr>
      <w:tr>
        <w:trPr>
          <w:cantSplit/>
        </w:trPr>
        <w:tc>
          <w:tcPr/>
          <w:p>
            <w:pPr>
              <w:pStyle w:val="Compact"/>
              <w:jc w:val="left"/>
            </w:pPr>
            <w:r>
              <w:t xml:space="preserve">    Section 36: Risk Management Framework</w:t>
            </w:r>
          </w:p>
        </w:tc>
        <w:tc>
          <w:tcPr/>
          <w:p>
            <w:pPr>
              <w:pStyle w:val="Compact"/>
              <w:jc w:val="right"/>
            </w:pPr>
            <w:r>
              <w:t xml:space="preserve">144</w:t>
            </w:r>
          </w:p>
        </w:tc>
      </w:tr>
      <w:tr>
        <w:trPr>
          <w:cantSplit/>
        </w:trPr>
        <w:tc>
          <w:tcPr/>
          <w:p>
            <w:pPr>
              <w:pStyle w:val="Compact"/>
              <w:jc w:val="left"/>
            </w:pPr>
            <w:r>
              <w:t xml:space="preserve">    Section 37: Compliance Framework</w:t>
            </w:r>
          </w:p>
        </w:tc>
        <w:tc>
          <w:tcPr/>
          <w:p>
            <w:pPr>
              <w:pStyle w:val="Compact"/>
              <w:jc w:val="right"/>
            </w:pPr>
            <w:r>
              <w:t xml:space="preserve">149</w:t>
            </w:r>
          </w:p>
        </w:tc>
      </w:tr>
      <w:tr>
        <w:trPr>
          <w:cantSplit/>
        </w:trPr>
        <w:tc>
          <w:tcPr/>
          <w:p>
            <w:pPr>
              <w:pStyle w:val="Compact"/>
              <w:jc w:val="left"/>
            </w:pPr>
            <w:r>
              <w:t xml:space="preserve">    Section 38: Financial Sustainability Framework</w:t>
            </w:r>
          </w:p>
        </w:tc>
        <w:tc>
          <w:tcPr/>
          <w:p>
            <w:pPr>
              <w:pStyle w:val="Compact"/>
              <w:jc w:val="right"/>
            </w:pPr>
            <w:r>
              <w:t xml:space="preserve">153</w:t>
            </w:r>
          </w:p>
        </w:tc>
      </w:tr>
      <w:tr>
        <w:trPr>
          <w:cantSplit/>
        </w:trPr>
        <w:tc>
          <w:tcPr/>
          <w:p>
            <w:pPr>
              <w:pStyle w:val="Compact"/>
              <w:jc w:val="left"/>
            </w:pPr>
            <w:r>
              <w:t xml:space="preserve">    Section 39: Capital Development Framework</w:t>
            </w:r>
          </w:p>
        </w:tc>
        <w:tc>
          <w:tcPr/>
          <w:p>
            <w:pPr>
              <w:pStyle w:val="Compact"/>
              <w:jc w:val="right"/>
            </w:pPr>
            <w:r>
              <w:t xml:space="preserve">158</w:t>
            </w:r>
          </w:p>
        </w:tc>
      </w:tr>
      <w:tr>
        <w:trPr>
          <w:cantSplit/>
        </w:trPr>
        <w:tc>
          <w:tcPr/>
          <w:p>
            <w:pPr>
              <w:pStyle w:val="Compact"/>
              <w:jc w:val="left"/>
            </w:pPr>
            <w:r>
              <w:t xml:space="preserve">    Section 40: Twenty-Year Strategic Roadmap</w:t>
            </w:r>
          </w:p>
        </w:tc>
        <w:tc>
          <w:tcPr/>
          <w:p>
            <w:pPr>
              <w:pStyle w:val="Compact"/>
              <w:jc w:val="right"/>
            </w:pPr>
            <w:r>
              <w:t xml:space="preserve">163</w:t>
            </w:r>
          </w:p>
        </w:tc>
      </w:tr>
      <w:tr>
        <w:trPr>
          <w:cantSplit/>
        </w:trPr>
        <w:tc>
          <w:tcPr/>
          <w:p>
            <w:pPr>
              <w:pStyle w:val="Compact"/>
              <w:jc w:val="left"/>
            </w:pPr>
            <w:r>
              <w:t xml:space="preserve">    Section 41: Founding Access &amp; Waqf-First Strategy</w:t>
            </w:r>
          </w:p>
        </w:tc>
        <w:tc>
          <w:tcPr/>
          <w:p>
            <w:pPr>
              <w:pStyle w:val="Compact"/>
              <w:jc w:val="right"/>
            </w:pPr>
            <w:r>
              <w:t xml:space="preserve">168</w:t>
            </w:r>
          </w:p>
        </w:tc>
      </w:tr>
      <w:tr>
        <w:trPr>
          <w:cantSplit/>
        </w:trPr>
        <w:tc>
          <w:tcPr/>
          <w:p>
            <w:pPr>
              <w:pStyle w:val="Compact"/>
              <w:jc w:val="left"/>
            </w:pPr>
            <w:r>
              <w:rPr>
                <w:bCs/>
                <w:b/>
              </w:rPr>
              <w:t xml:space="preserve">Appendix A — Cross-Reference to the Ten-Year Master Plan (AMIU-MP-001)</w:t>
            </w:r>
          </w:p>
        </w:tc>
        <w:tc>
          <w:tcPr/>
          <w:p>
            <w:pPr>
              <w:pStyle w:val="Compact"/>
              <w:jc w:val="right"/>
            </w:pPr>
            <w:r>
              <w:rPr>
                <w:bCs/>
                <w:b/>
                <w:color w:val="B08625"/>
                <w:sz w:val="20"/>
                <w:caps/>
                <w:spacing w:val="14"/>
              </w:rPr>
              <w:t xml:space="preserve">179</w:t>
            </w:r>
          </w:p>
        </w:tc>
      </w:tr>
      <w:tr>
        <w:trPr>
          <w:cantSplit/>
        </w:trPr>
        <w:tc>
          <w:tcPr/>
          <w:p>
            <w:pPr>
              <w:pStyle w:val="Compact"/>
              <w:jc w:val="left"/>
            </w:pPr>
            <w:r>
              <w:rPr>
                <w:bCs/>
                <w:b/>
                <w:color w:val="B08625"/>
                <w:sz w:val="20"/>
                <w:caps/>
                <w:spacing w:val="14"/>
              </w:rPr>
              <w:t xml:space="preserve">Appendix B — Master Plan Exhibit Checklist</w:t>
            </w:r>
          </w:p>
        </w:tc>
        <w:tc>
          <w:tcPr/>
          <w:p>
            <w:pPr>
              <w:pStyle w:val="Compact"/>
              <w:jc w:val="right"/>
            </w:pPr>
            <w:r>
              <w:rPr>
                <w:bCs/>
                <w:b/>
                <w:color w:val="B08625"/>
                <w:sz w:val="20"/>
                <w:caps/>
                <w:spacing w:val="14"/>
              </w:rPr>
              <w:t xml:space="preserve">180</w:t>
            </w:r>
          </w:p>
        </w:tc>
      </w:tr>
      <w:tr>
        <w:trPr>
          <w:cantSplit/>
        </w:trPr>
        <w:tc>
          <w:tcPr/>
          <w:p>
            <w:pPr>
              <w:pStyle w:val="Compact"/>
              <w:jc w:val="left"/>
            </w:pPr>
            <w:r>
              <w:rPr>
                <w:bCs/>
                <w:b/>
              </w:rPr>
              <w:t xml:space="preserve">Appendix C — Fixed Revenue Allocation Framework: Quick Reference</w:t>
            </w:r>
          </w:p>
        </w:tc>
        <w:tc>
          <w:tcPr/>
          <w:p>
            <w:pPr>
              <w:pStyle w:val="Compact"/>
              <w:jc w:val="right"/>
            </w:pPr>
            <w:r>
              <w:rPr>
                <w:bCs/>
                <w:b/>
                <w:color w:val="B08625"/>
                <w:sz w:val="20"/>
                <w:caps/>
                <w:spacing w:val="14"/>
              </w:rPr>
              <w:t xml:space="preserve">181</w:t>
            </w:r>
          </w:p>
        </w:tc>
      </w:tr>
      <w:tr>
        <w:trPr>
          <w:cantSplit/>
        </w:trPr>
        <w:tc>
          <w:tcPr/>
          <w:p>
            <w:pPr>
              <w:pStyle w:val="Compact"/>
              <w:jc w:val="left"/>
            </w:pPr>
            <w:r>
              <w:rPr>
                <w:bCs/>
                <w:b/>
                <w:color w:val="B08625"/>
                <w:sz w:val="20"/>
                <w:caps/>
                <w:spacing w:val="14"/>
              </w:rPr>
              <w:t xml:space="preserve">Appendix D — Programme Catalog Reference</w:t>
            </w:r>
          </w:p>
        </w:tc>
        <w:tc>
          <w:tcPr/>
          <w:p>
            <w:pPr>
              <w:pStyle w:val="Compact"/>
              <w:jc w:val="right"/>
            </w:pPr>
            <w:r>
              <w:rPr>
                <w:bCs/>
                <w:b/>
                <w:color w:val="B08625"/>
                <w:sz w:val="20"/>
                <w:caps/>
                <w:spacing w:val="14"/>
              </w:rPr>
              <w:t xml:space="preserve">182</w:t>
            </w:r>
          </w:p>
        </w:tc>
      </w:tr>
      <w:tr>
        <w:trPr>
          <w:cantSplit/>
        </w:trPr>
        <w:tc>
          <w:tcPr/>
          <w:p>
            <w:pPr>
              <w:pStyle w:val="Compact"/>
              <w:jc w:val="left"/>
            </w:pPr>
            <w:r>
              <w:rPr>
                <w:bCs/>
                <w:b/>
                <w:color w:val="B08625"/>
                <w:sz w:val="20"/>
                <w:caps/>
                <w:spacing w:val="14"/>
              </w:rPr>
              <w:t xml:space="preserve">References</w:t>
            </w:r>
          </w:p>
        </w:tc>
        <w:tc>
          <w:tcPr/>
          <w:p>
            <w:pPr>
              <w:pStyle w:val="Compact"/>
              <w:jc w:val="right"/>
            </w:pPr>
            <w:r>
              <w:rPr>
                <w:bCs/>
                <w:b/>
                <w:color w:val="B08625"/>
                <w:sz w:val="20"/>
                <w:caps/>
                <w:spacing w:val="14"/>
              </w:rPr>
              <w:t xml:space="preserve">183</w:t>
            </w:r>
          </w:p>
        </w:tc>
      </w:tr>
      <w:tr>
        <w:trPr>
          <w:cantSplit/>
        </w:trPr>
        <w:tc>
          <w:tcPr/>
          <w:p>
            <w:pPr>
              <w:pStyle w:val="Compact"/>
              <w:jc w:val="left"/>
            </w:pPr>
            <w:r>
              <w:rPr>
                <w:bCs/>
                <w:b/>
                <w:color w:val="B08625"/>
                <w:sz w:val="20"/>
                <w:caps/>
                <w:spacing w:val="14"/>
              </w:rPr>
              <w:t xml:space="preserve">Index</w:t>
            </w:r>
          </w:p>
        </w:tc>
        <w:tc>
          <w:tcPr/>
          <w:p>
            <w:pPr>
              <w:pStyle w:val="Compact"/>
              <w:jc w:val="right"/>
            </w:pPr>
            <w:r>
              <w:rPr>
                <w:bCs/>
                <w:b/>
                <w:color w:val="B08625"/>
                <w:sz w:val="20"/>
                <w:caps/>
                <w:spacing w:val="14"/>
              </w:rPr>
              <w:t xml:space="preserve">185</w:t>
            </w:r>
          </w:p>
        </w:tc>
      </w:tr>
    </w:tbl>
    <w:p>
      <w:r>
        <w:br w:type="page"/>
      </w:r>
    </w:p>
    <w:bookmarkEnd w:id="32"/>
    <w:bookmarkStart w:id="33"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3"/>
    <w:bookmarkStart w:id="34" w:name="list-of-charts"/>
    <w:p>
      <w:pPr>
        <w:pStyle w:val="Heading2"/>
      </w:pPr>
      <w:r>
        <w:t xml:space="preserve">List of Charts</w:t>
      </w:r>
    </w:p>
    <w:p>
      <w:pPr>
        <w:pStyle w:val="FirstParagraph"/>
      </w:pPr>
      <w:r>
        <w:rPr>
          <w:iCs/>
          <w:i/>
        </w:rPr>
        <w:t xml:space="preserve">Data visualisations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4"/>
    <w:bookmarkStart w:id="35" w:name="list-of-diagrams"/>
    <w:p>
      <w:pPr>
        <w:pStyle w:val="Heading2"/>
      </w:pPr>
      <w:r>
        <w:t xml:space="preserve">List of Diagrams</w:t>
      </w:r>
    </w:p>
    <w:p>
      <w:pPr>
        <w:pStyle w:val="FirstParagrap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bl>
    <w:bookmarkEnd w:id="35"/>
    <w:bookmarkStart w:id="36" w:name="list-of-flowcharts"/>
    <w:p>
      <w:pPr>
        <w:pStyle w:val="Heading2"/>
      </w:pPr>
      <w:r>
        <w:t xml:space="preserve">List of Flowcharts</w:t>
      </w:r>
    </w:p>
    <w:p>
      <w:pPr>
        <w:pStyle w:val="FirstParagrap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bl>
    <w:bookmarkEnd w:id="36"/>
    <w:bookmarkStart w:id="37" w:name="list-of-tables"/>
    <w:p>
      <w:pPr>
        <w:pStyle w:val="Heading2"/>
      </w:pPr>
      <w:r>
        <w:t xml:space="preserve">List of Tables</w:t>
      </w:r>
    </w:p>
    <w:p>
      <w:pPr>
        <w:pStyle w:val="FirstParagraph"/>
      </w:pPr>
      <w:r>
        <w:t xml:space="preserve">This Blueprint contains 89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Table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Table 1</w:t>
            </w:r>
          </w:p>
        </w:tc>
        <w:tc>
          <w:tcPr/>
          <w:p>
            <w:pPr>
              <w:pStyle w:val="Compact"/>
              <w:jc w:val="left"/>
            </w:pPr>
            <w:r>
              <w:t xml:space="preserve">Values-to-Practice Mapping</w:t>
            </w:r>
          </w:p>
        </w:tc>
        <w:tc>
          <w:tcPr/>
          <w:p>
            <w:pPr>
              <w:pStyle w:val="Compact"/>
              <w:jc w:val="left"/>
            </w:pPr>
            <w:r>
              <w:t xml:space="preserve">Section 2</w:t>
            </w:r>
          </w:p>
        </w:tc>
      </w:tr>
      <w:tr>
        <w:trPr>
          <w:cantSplit/>
        </w:trPr>
        <w:tc>
          <w:tcPr/>
          <w:p>
            <w:pPr>
              <w:pStyle w:val="Compact"/>
              <w:jc w:val="left"/>
            </w:pPr>
            <w:r>
              <w:t xml:space="preserve">Table 2</w:t>
            </w:r>
          </w:p>
        </w:tc>
        <w:tc>
          <w:tcPr/>
          <w:p>
            <w:pPr>
              <w:pStyle w:val="Compact"/>
              <w:jc w:val="left"/>
            </w:pPr>
            <w:r>
              <w:t xml:space="preserve">Committee Structure Beneath the Two Chambers</w:t>
            </w:r>
          </w:p>
        </w:tc>
        <w:tc>
          <w:tcPr/>
          <w:p>
            <w:pPr>
              <w:pStyle w:val="Compact"/>
              <w:jc w:val="left"/>
            </w:pPr>
            <w:r>
              <w:t xml:space="preserve">Section 3</w:t>
            </w:r>
          </w:p>
        </w:tc>
      </w:tr>
      <w:tr>
        <w:trPr>
          <w:cantSplit/>
        </w:trPr>
        <w:tc>
          <w:tcPr/>
          <w:p>
            <w:pPr>
              <w:pStyle w:val="Compact"/>
              <w:jc w:val="left"/>
            </w:pPr>
            <w:r>
              <w:t xml:space="preserve">Table 3</w:t>
            </w:r>
          </w:p>
        </w:tc>
        <w:tc>
          <w:tcPr/>
          <w:p>
            <w:pPr>
              <w:pStyle w:val="Compact"/>
              <w:jc w:val="left"/>
            </w:pPr>
            <w:r>
              <w:t xml:space="preserve">Annual Governance Calendar</w:t>
            </w:r>
          </w:p>
        </w:tc>
        <w:tc>
          <w:tcPr/>
          <w:p>
            <w:pPr>
              <w:pStyle w:val="Compact"/>
              <w:jc w:val="left"/>
            </w:pPr>
            <w:r>
              <w:t xml:space="preserve">Section 3</w:t>
            </w:r>
          </w:p>
        </w:tc>
      </w:tr>
      <w:tr>
        <w:trPr>
          <w:cantSplit/>
        </w:trPr>
        <w:tc>
          <w:tcPr/>
          <w:p>
            <w:pPr>
              <w:pStyle w:val="Compact"/>
              <w:jc w:val="left"/>
            </w:pPr>
            <w:r>
              <w:t xml:space="preserve">Table 4</w:t>
            </w:r>
          </w:p>
        </w:tc>
        <w:tc>
          <w:tcPr/>
          <w:p>
            <w:pPr>
              <w:pStyle w:val="Compact"/>
              <w:jc w:val="left"/>
            </w:pPr>
            <w:r>
              <w:t xml:space="preserve">The 18-Seat Structure (Canon, Unaltered)</w:t>
            </w:r>
          </w:p>
        </w:tc>
        <w:tc>
          <w:tcPr/>
          <w:p>
            <w:pPr>
              <w:pStyle w:val="Compact"/>
              <w:jc w:val="left"/>
            </w:pPr>
            <w:r>
              <w:t xml:space="preserve">Section 4</w:t>
            </w:r>
          </w:p>
        </w:tc>
      </w:tr>
      <w:tr>
        <w:trPr>
          <w:cantSplit/>
        </w:trPr>
        <w:tc>
          <w:tcPr/>
          <w:p>
            <w:pPr>
              <w:pStyle w:val="Compact"/>
              <w:jc w:val="left"/>
            </w:pPr>
            <w:r>
              <w:t xml:space="preserve">Table 5</w:t>
            </w:r>
          </w:p>
        </w:tc>
        <w:tc>
          <w:tcPr/>
          <w:p>
            <w:pPr>
              <w:pStyle w:val="Compact"/>
              <w:jc w:val="left"/>
            </w:pPr>
            <w:r>
              <w:t xml:space="preserve">Quorum and Voting Thresholds</w:t>
            </w:r>
          </w:p>
        </w:tc>
        <w:tc>
          <w:tcPr/>
          <w:p>
            <w:pPr>
              <w:pStyle w:val="Compact"/>
              <w:jc w:val="left"/>
            </w:pPr>
            <w:r>
              <w:t xml:space="preserve">Section 4</w:t>
            </w:r>
          </w:p>
        </w:tc>
      </w:tr>
      <w:tr>
        <w:trPr>
          <w:cantSplit/>
        </w:trPr>
        <w:tc>
          <w:tcPr/>
          <w:p>
            <w:pPr>
              <w:pStyle w:val="Compact"/>
              <w:jc w:val="left"/>
            </w:pPr>
            <w:r>
              <w:t xml:space="preserve">Table 6</w:t>
            </w:r>
          </w:p>
        </w:tc>
        <w:tc>
          <w:tcPr/>
          <w:p>
            <w:pPr>
              <w:pStyle w:val="Compact"/>
              <w:jc w:val="left"/>
            </w:pPr>
            <w:r>
              <w:t xml:space="preserve">Board Composition (Advisory/Committee Roles Under the Board)</w:t>
            </w:r>
          </w:p>
        </w:tc>
        <w:tc>
          <w:tcPr/>
          <w:p>
            <w:pPr>
              <w:pStyle w:val="Compact"/>
              <w:jc w:val="left"/>
            </w:pPr>
            <w:r>
              <w:t xml:space="preserve">Section 5</w:t>
            </w:r>
          </w:p>
        </w:tc>
      </w:tr>
      <w:tr>
        <w:trPr>
          <w:cantSplit/>
        </w:trPr>
        <w:tc>
          <w:tcPr/>
          <w:p>
            <w:pPr>
              <w:pStyle w:val="Compact"/>
              <w:jc w:val="left"/>
            </w:pPr>
            <w:r>
              <w:t xml:space="preserve">Table 7</w:t>
            </w:r>
          </w:p>
        </w:tc>
        <w:tc>
          <w:tcPr/>
          <w:p>
            <w:pPr>
              <w:pStyle w:val="Compact"/>
              <w:jc w:val="left"/>
            </w:pPr>
            <w:r>
              <w:t xml:space="preserve">Staffing, Budget, KPIs</w:t>
            </w:r>
          </w:p>
        </w:tc>
        <w:tc>
          <w:tcPr/>
          <w:p>
            <w:pPr>
              <w:pStyle w:val="Compact"/>
              <w:jc w:val="left"/>
            </w:pPr>
            <w:r>
              <w:t xml:space="preserve">Section 6</w:t>
            </w:r>
          </w:p>
        </w:tc>
      </w:tr>
      <w:tr>
        <w:trPr>
          <w:cantSplit/>
        </w:trPr>
        <w:tc>
          <w:tcPr/>
          <w:p>
            <w:pPr>
              <w:pStyle w:val="Compact"/>
              <w:jc w:val="left"/>
            </w:pPr>
            <w:r>
              <w:t xml:space="preserve">Table 8</w:t>
            </w:r>
          </w:p>
        </w:tc>
        <w:tc>
          <w:tcPr/>
          <w:p>
            <w:pPr>
              <w:pStyle w:val="Compact"/>
              <w:jc w:val="left"/>
            </w:pPr>
            <w:r>
              <w:t xml:space="preserve">Rollout Phases (Target Years)</w:t>
            </w:r>
          </w:p>
        </w:tc>
        <w:tc>
          <w:tcPr/>
          <w:p>
            <w:pPr>
              <w:pStyle w:val="Compact"/>
              <w:jc w:val="left"/>
            </w:pPr>
            <w:r>
              <w:t xml:space="preserve">Section 7</w:t>
            </w:r>
          </w:p>
        </w:tc>
      </w:tr>
      <w:tr>
        <w:trPr>
          <w:cantSplit/>
        </w:trPr>
        <w:tc>
          <w:tcPr/>
          <w:p>
            <w:pPr>
              <w:pStyle w:val="Compact"/>
              <w:jc w:val="left"/>
            </w:pPr>
            <w:r>
              <w:t xml:space="preserve">Table 9</w:t>
            </w:r>
          </w:p>
        </w:tc>
        <w:tc>
          <w:tcPr/>
          <w:p>
            <w:pPr>
              <w:pStyle w:val="Compact"/>
              <w:jc w:val="left"/>
            </w:pPr>
            <w:r>
              <w:t xml:space="preserve">The Six Founding Colleges (Year 1 Leadership, per Senate Group II)</w:t>
            </w:r>
          </w:p>
        </w:tc>
        <w:tc>
          <w:tcPr/>
          <w:p>
            <w:pPr>
              <w:pStyle w:val="Compact"/>
              <w:jc w:val="left"/>
            </w:pPr>
            <w:r>
              <w:t xml:space="preserve">Section 8</w:t>
            </w:r>
          </w:p>
        </w:tc>
      </w:tr>
      <w:tr>
        <w:trPr>
          <w:cantSplit/>
        </w:trPr>
        <w:tc>
          <w:tcPr/>
          <w:p>
            <w:pPr>
              <w:pStyle w:val="Compact"/>
              <w:jc w:val="left"/>
            </w:pPr>
            <w:r>
              <w:t xml:space="preserve">Table 10</w:t>
            </w:r>
          </w:p>
        </w:tc>
        <w:tc>
          <w:tcPr/>
          <w:p>
            <w:pPr>
              <w:pStyle w:val="Compact"/>
              <w:jc w:val="left"/>
            </w:pPr>
            <w:r>
              <w:t xml:space="preserve">Year-11+ Secular Schools</w:t>
            </w:r>
          </w:p>
        </w:tc>
        <w:tc>
          <w:tcPr/>
          <w:p>
            <w:pPr>
              <w:pStyle w:val="Compact"/>
              <w:jc w:val="left"/>
            </w:pPr>
            <w:r>
              <w:t xml:space="preserve">Section 8</w:t>
            </w:r>
          </w:p>
        </w:tc>
      </w:tr>
      <w:tr>
        <w:trPr>
          <w:cantSplit/>
        </w:trPr>
        <w:tc>
          <w:tcPr/>
          <w:p>
            <w:pPr>
              <w:pStyle w:val="Compact"/>
              <w:jc w:val="left"/>
            </w:pPr>
            <w:r>
              <w:t xml:space="preserve">Table 11</w:t>
            </w:r>
          </w:p>
        </w:tc>
        <w:tc>
          <w:tcPr/>
          <w:p>
            <w:pPr>
              <w:pStyle w:val="Compact"/>
              <w:jc w:val="left"/>
            </w:pPr>
            <w:r>
              <w:t xml:space="preserve">Ranks &amp; Titles</w:t>
            </w:r>
          </w:p>
        </w:tc>
        <w:tc>
          <w:tcPr/>
          <w:p>
            <w:pPr>
              <w:pStyle w:val="Compact"/>
              <w:jc w:val="left"/>
            </w:pPr>
            <w:r>
              <w:t xml:space="preserve">Section 9</w:t>
            </w:r>
          </w:p>
        </w:tc>
      </w:tr>
      <w:tr>
        <w:trPr>
          <w:cantSplit/>
        </w:trPr>
        <w:tc>
          <w:tcPr/>
          <w:p>
            <w:pPr>
              <w:pStyle w:val="Compact"/>
              <w:jc w:val="left"/>
            </w:pPr>
            <w:r>
              <w:t xml:space="preserve">Table 12</w:t>
            </w:r>
          </w:p>
        </w:tc>
        <w:tc>
          <w:tcPr/>
          <w:p>
            <w:pPr>
              <w:pStyle w:val="Compact"/>
              <w:jc w:val="left"/>
            </w:pPr>
            <w:r>
              <w:t xml:space="preserve">The Six Founding Departments (Group III, Year 1)</w:t>
            </w:r>
          </w:p>
        </w:tc>
        <w:tc>
          <w:tcPr/>
          <w:p>
            <w:pPr>
              <w:pStyle w:val="Compact"/>
              <w:jc w:val="left"/>
            </w:pPr>
            <w:r>
              <w:t xml:space="preserve">Section 10</w:t>
            </w:r>
          </w:p>
        </w:tc>
      </w:tr>
      <w:tr>
        <w:trPr>
          <w:cantSplit/>
        </w:trPr>
        <w:tc>
          <w:tcPr/>
          <w:p>
            <w:pPr>
              <w:pStyle w:val="Compact"/>
              <w:jc w:val="left"/>
            </w:pPr>
            <w:r>
              <w:t xml:space="preserve">Table 13</w:t>
            </w:r>
          </w:p>
        </w:tc>
        <w:tc>
          <w:tcPr/>
          <w:p>
            <w:pPr>
              <w:pStyle w:val="Compact"/>
              <w:jc w:val="left"/>
            </w:pPr>
            <w:r>
              <w:t xml:space="preserve">Department-Level Budget &amp; Staffing by Phase</w:t>
            </w:r>
          </w:p>
        </w:tc>
        <w:tc>
          <w:tcPr/>
          <w:p>
            <w:pPr>
              <w:pStyle w:val="Compact"/>
              <w:jc w:val="left"/>
            </w:pPr>
            <w:r>
              <w:t xml:space="preserve">Section 10</w:t>
            </w:r>
          </w:p>
        </w:tc>
      </w:tr>
      <w:tr>
        <w:trPr>
          <w:cantSplit/>
        </w:trPr>
        <w:tc>
          <w:tcPr/>
          <w:p>
            <w:pPr>
              <w:pStyle w:val="Compact"/>
              <w:jc w:val="left"/>
            </w:pPr>
            <w:r>
              <w:t xml:space="preserve">Table 14</w:t>
            </w:r>
          </w:p>
        </w:tc>
        <w:tc>
          <w:tcPr/>
          <w:p>
            <w:pPr>
              <w:pStyle w:val="Compact"/>
              <w:jc w:val="left"/>
            </w:pPr>
            <w:r>
              <w:t xml:space="preserve">Curriculum Composition by Tier</w:t>
            </w:r>
          </w:p>
        </w:tc>
        <w:tc>
          <w:tcPr/>
          <w:p>
            <w:pPr>
              <w:pStyle w:val="Compact"/>
              <w:jc w:val="left"/>
            </w:pPr>
            <w:r>
              <w:t xml:space="preserve">Section 12</w:t>
            </w:r>
          </w:p>
        </w:tc>
      </w:tr>
      <w:tr>
        <w:trPr>
          <w:cantSplit/>
        </w:trPr>
        <w:tc>
          <w:tcPr/>
          <w:p>
            <w:pPr>
              <w:pStyle w:val="Compact"/>
              <w:jc w:val="left"/>
            </w:pPr>
            <w:r>
              <w:t xml:space="preserve">Table 15</w:t>
            </w:r>
          </w:p>
        </w:tc>
        <w:tc>
          <w:tcPr/>
          <w:p>
            <w:pPr>
              <w:pStyle w:val="Compact"/>
              <w:jc w:val="left"/>
            </w:pPr>
            <w:r>
              <w:t xml:space="preserve">Journey Stages &amp; Touchpoints</w:t>
            </w:r>
          </w:p>
        </w:tc>
        <w:tc>
          <w:tcPr/>
          <w:p>
            <w:pPr>
              <w:pStyle w:val="Compact"/>
              <w:jc w:val="left"/>
            </w:pPr>
            <w:r>
              <w:t xml:space="preserve">Section 13</w:t>
            </w:r>
          </w:p>
        </w:tc>
      </w:tr>
      <w:tr>
        <w:trPr>
          <w:cantSplit/>
        </w:trPr>
        <w:tc>
          <w:tcPr/>
          <w:p>
            <w:pPr>
              <w:pStyle w:val="Compact"/>
              <w:jc w:val="left"/>
            </w:pPr>
            <w:r>
              <w:t xml:space="preserve">Table 16</w:t>
            </w:r>
          </w:p>
        </w:tc>
        <w:tc>
          <w:tcPr/>
          <w:p>
            <w:pPr>
              <w:pStyle w:val="Compact"/>
              <w:jc w:val="left"/>
            </w:pPr>
            <w:r>
              <w:t xml:space="preserve">Eligibility by Tier</w:t>
            </w:r>
          </w:p>
        </w:tc>
        <w:tc>
          <w:tcPr/>
          <w:p>
            <w:pPr>
              <w:pStyle w:val="Compact"/>
              <w:jc w:val="left"/>
            </w:pPr>
            <w:r>
              <w:t xml:space="preserve">Section 14</w:t>
            </w:r>
          </w:p>
        </w:tc>
      </w:tr>
      <w:tr>
        <w:trPr>
          <w:cantSplit/>
        </w:trPr>
        <w:tc>
          <w:tcPr/>
          <w:p>
            <w:pPr>
              <w:pStyle w:val="Compact"/>
              <w:jc w:val="left"/>
            </w:pPr>
            <w:r>
              <w:t xml:space="preserve">Table 17</w:t>
            </w:r>
          </w:p>
        </w:tc>
        <w:tc>
          <w:tcPr/>
          <w:p>
            <w:pPr>
              <w:pStyle w:val="Compact"/>
              <w:jc w:val="left"/>
            </w:pPr>
            <w:r>
              <w:t xml:space="preserve">Admission Cycles</w:t>
            </w:r>
          </w:p>
        </w:tc>
        <w:tc>
          <w:tcPr/>
          <w:p>
            <w:pPr>
              <w:pStyle w:val="Compact"/>
              <w:jc w:val="left"/>
            </w:pPr>
            <w:r>
              <w:t xml:space="preserve">Section 14</w:t>
            </w:r>
          </w:p>
        </w:tc>
      </w:tr>
      <w:tr>
        <w:trPr>
          <w:cantSplit/>
        </w:trPr>
        <w:tc>
          <w:tcPr/>
          <w:p>
            <w:pPr>
              <w:pStyle w:val="Compact"/>
              <w:jc w:val="left"/>
            </w:pPr>
            <w:r>
              <w:t xml:space="preserve">Table 18</w:t>
            </w:r>
          </w:p>
        </w:tc>
        <w:tc>
          <w:tcPr/>
          <w:p>
            <w:pPr>
              <w:pStyle w:val="Compact"/>
              <w:jc w:val="left"/>
            </w:pPr>
            <w:r>
              <w:t xml:space="preserve">Sourcing (Faculty Recruitment Channels)</w:t>
            </w:r>
          </w:p>
        </w:tc>
        <w:tc>
          <w:tcPr/>
          <w:p>
            <w:pPr>
              <w:pStyle w:val="Compact"/>
              <w:jc w:val="left"/>
            </w:pPr>
            <w:r>
              <w:t xml:space="preserve">Section 15</w:t>
            </w:r>
          </w:p>
        </w:tc>
      </w:tr>
      <w:tr>
        <w:trPr>
          <w:cantSplit/>
        </w:trPr>
        <w:tc>
          <w:tcPr/>
          <w:p>
            <w:pPr>
              <w:pStyle w:val="Compact"/>
              <w:jc w:val="left"/>
            </w:pPr>
            <w:r>
              <w:t xml:space="preserve">Table 19</w:t>
            </w:r>
          </w:p>
        </w:tc>
        <w:tc>
          <w:tcPr/>
          <w:p>
            <w:pPr>
              <w:pStyle w:val="Compact"/>
              <w:jc w:val="left"/>
            </w:pPr>
            <w:r>
              <w:t xml:space="preserve">Full Accreditation Timeline</w:t>
            </w:r>
          </w:p>
        </w:tc>
        <w:tc>
          <w:tcPr/>
          <w:p>
            <w:pPr>
              <w:pStyle w:val="Compact"/>
              <w:jc w:val="left"/>
            </w:pPr>
            <w:r>
              <w:t xml:space="preserve">Section 19</w:t>
            </w:r>
          </w:p>
        </w:tc>
      </w:tr>
      <w:tr>
        <w:trPr>
          <w:cantSplit/>
        </w:trPr>
        <w:tc>
          <w:tcPr/>
          <w:p>
            <w:pPr>
              <w:pStyle w:val="Compact"/>
              <w:jc w:val="left"/>
            </w:pPr>
            <w:r>
              <w:t xml:space="preserve">Table 20</w:t>
            </w:r>
          </w:p>
        </w:tc>
        <w:tc>
          <w:tcPr/>
          <w:p>
            <w:pPr>
              <w:pStyle w:val="Compact"/>
              <w:jc w:val="left"/>
            </w:pPr>
            <w:r>
              <w:t xml:space="preserve">AI Use Cases &amp; Sharī’ah Gate</w:t>
            </w:r>
          </w:p>
        </w:tc>
        <w:tc>
          <w:tcPr/>
          <w:p>
            <w:pPr>
              <w:pStyle w:val="Compact"/>
              <w:jc w:val="left"/>
            </w:pPr>
            <w:r>
              <w:t xml:space="preserve">Section 22</w:t>
            </w:r>
          </w:p>
        </w:tc>
      </w:tr>
      <w:tr>
        <w:trPr>
          <w:cantSplit/>
        </w:trPr>
        <w:tc>
          <w:tcPr/>
          <w:p>
            <w:pPr>
              <w:pStyle w:val="Compact"/>
              <w:jc w:val="left"/>
            </w:pPr>
            <w:r>
              <w:t xml:space="preserve">Table 21</w:t>
            </w:r>
          </w:p>
        </w:tc>
        <w:tc>
          <w:tcPr/>
          <w:p>
            <w:pPr>
              <w:pStyle w:val="Compact"/>
              <w:jc w:val="left"/>
            </w:pPr>
            <w:r>
              <w:t xml:space="preserve">Core Digital Stack Components &amp; Phasing</w:t>
            </w:r>
          </w:p>
        </w:tc>
        <w:tc>
          <w:tcPr/>
          <w:p>
            <w:pPr>
              <w:pStyle w:val="Compact"/>
              <w:jc w:val="left"/>
            </w:pPr>
            <w:r>
              <w:t xml:space="preserve">Section 23</w:t>
            </w:r>
          </w:p>
        </w:tc>
      </w:tr>
      <w:tr>
        <w:trPr>
          <w:cantSplit/>
        </w:trPr>
        <w:tc>
          <w:tcPr/>
          <w:p>
            <w:pPr>
              <w:pStyle w:val="Compact"/>
              <w:jc w:val="left"/>
            </w:pPr>
            <w:r>
              <w:t xml:space="preserve">Table 22</w:t>
            </w:r>
          </w:p>
        </w:tc>
        <w:tc>
          <w:tcPr/>
          <w:p>
            <w:pPr>
              <w:pStyle w:val="Compact"/>
              <w:jc w:val="left"/>
            </w:pPr>
            <w:r>
              <w:t xml:space="preserve">Waqf &amp; Stakeholder Reserve — Fixed Mechanics</w:t>
            </w:r>
          </w:p>
        </w:tc>
        <w:tc>
          <w:tcPr/>
          <w:p>
            <w:pPr>
              <w:pStyle w:val="Compact"/>
              <w:jc w:val="left"/>
            </w:pPr>
            <w:r>
              <w:t xml:space="preserve">Section 25</w:t>
            </w:r>
          </w:p>
        </w:tc>
      </w:tr>
      <w:tr>
        <w:trPr>
          <w:cantSplit/>
        </w:trPr>
        <w:tc>
          <w:tcPr/>
          <w:p>
            <w:pPr>
              <w:pStyle w:val="Compact"/>
              <w:jc w:val="left"/>
            </w:pPr>
            <w:r>
              <w:t xml:space="preserve">Table 23</w:t>
            </w:r>
          </w:p>
        </w:tc>
        <w:tc>
          <w:tcPr/>
          <w:p>
            <w:pPr>
              <w:pStyle w:val="Compact"/>
              <w:jc w:val="left"/>
            </w:pPr>
            <w:r>
              <w:t xml:space="preserve">Scholarship Architecture (Five Standing Instruments)</w:t>
            </w:r>
          </w:p>
        </w:tc>
        <w:tc>
          <w:tcPr/>
          <w:p>
            <w:pPr>
              <w:pStyle w:val="Compact"/>
              <w:jc w:val="left"/>
            </w:pPr>
            <w:r>
              <w:t xml:space="preserve">Section 26</w:t>
            </w:r>
          </w:p>
        </w:tc>
      </w:tr>
      <w:tr>
        <w:trPr>
          <w:cantSplit/>
        </w:trPr>
        <w:tc>
          <w:tcPr/>
          <w:p>
            <w:pPr>
              <w:pStyle w:val="Compact"/>
              <w:jc w:val="left"/>
            </w:pPr>
            <w:r>
              <w:t xml:space="preserve">Table 24</w:t>
            </w:r>
          </w:p>
        </w:tc>
        <w:tc>
          <w:tcPr/>
          <w:p>
            <w:pPr>
              <w:pStyle w:val="Compact"/>
              <w:jc w:val="left"/>
            </w:pPr>
            <w:r>
              <w:t xml:space="preserve">Legitimate Revenue Diversification Avenues</w:t>
            </w:r>
          </w:p>
        </w:tc>
        <w:tc>
          <w:tcPr/>
          <w:p>
            <w:pPr>
              <w:pStyle w:val="Compact"/>
              <w:jc w:val="left"/>
            </w:pPr>
            <w:r>
              <w:t xml:space="preserve">Section 27</w:t>
            </w:r>
          </w:p>
        </w:tc>
      </w:tr>
      <w:tr>
        <w:trPr>
          <w:cantSplit/>
        </w:trPr>
        <w:tc>
          <w:tcPr/>
          <w:p>
            <w:pPr>
              <w:pStyle w:val="Compact"/>
              <w:jc w:val="left"/>
            </w:pPr>
            <w:r>
              <w:t xml:space="preserve">Table 25</w:t>
            </w:r>
          </w:p>
        </w:tc>
        <w:tc>
          <w:tcPr/>
          <w:p>
            <w:pPr>
              <w:pStyle w:val="Compact"/>
              <w:jc w:val="left"/>
            </w:pPr>
            <w:r>
              <w:t xml:space="preserve">Country-Tier Messaging &amp; Channels</w:t>
            </w:r>
          </w:p>
        </w:tc>
        <w:tc>
          <w:tcPr/>
          <w:p>
            <w:pPr>
              <w:pStyle w:val="Compact"/>
              <w:jc w:val="left"/>
            </w:pPr>
            <w:r>
              <w:t xml:space="preserve">Section 28</w:t>
            </w:r>
          </w:p>
        </w:tc>
      </w:tr>
      <w:tr>
        <w:trPr>
          <w:cantSplit/>
        </w:trPr>
        <w:tc>
          <w:tcPr/>
          <w:p>
            <w:pPr>
              <w:pStyle w:val="Compact"/>
              <w:jc w:val="left"/>
            </w:pPr>
            <w:r>
              <w:t xml:space="preserve">Table 26</w:t>
            </w:r>
          </w:p>
        </w:tc>
        <w:tc>
          <w:tcPr/>
          <w:p>
            <w:pPr>
              <w:pStyle w:val="Compact"/>
              <w:jc w:val="left"/>
            </w:pPr>
            <w:r>
              <w:t xml:space="preserve">Sequenced Geography (Exact Canon Sequence)</w:t>
            </w:r>
          </w:p>
        </w:tc>
        <w:tc>
          <w:tcPr/>
          <w:p>
            <w:pPr>
              <w:pStyle w:val="Compact"/>
              <w:jc w:val="left"/>
            </w:pPr>
            <w:r>
              <w:t xml:space="preserve">Section 30</w:t>
            </w:r>
          </w:p>
        </w:tc>
      </w:tr>
      <w:tr>
        <w:trPr>
          <w:cantSplit/>
        </w:trPr>
        <w:tc>
          <w:tcPr/>
          <w:p>
            <w:pPr>
              <w:pStyle w:val="Compact"/>
              <w:jc w:val="left"/>
            </w:pPr>
            <w:r>
              <w:t xml:space="preserve">Table 27</w:t>
            </w:r>
          </w:p>
        </w:tc>
        <w:tc>
          <w:tcPr/>
          <w:p>
            <w:pPr>
              <w:pStyle w:val="Compact"/>
              <w:jc w:val="left"/>
            </w:pPr>
            <w:r>
              <w:t xml:space="preserve">Risk Register — 14 Adopted Risks (from AMIU-MP-001)</w:t>
            </w:r>
          </w:p>
        </w:tc>
        <w:tc>
          <w:tcPr/>
          <w:p>
            <w:pPr>
              <w:pStyle w:val="Compact"/>
              <w:jc w:val="left"/>
            </w:pPr>
            <w:r>
              <w:t xml:space="preserve">Section 36</w:t>
            </w:r>
          </w:p>
        </w:tc>
      </w:tr>
      <w:tr>
        <w:trPr>
          <w:cantSplit/>
        </w:trPr>
        <w:tc>
          <w:tcPr/>
          <w:p>
            <w:pPr>
              <w:pStyle w:val="Compact"/>
              <w:jc w:val="left"/>
            </w:pPr>
            <w:r>
              <w:t xml:space="preserve">Table 28</w:t>
            </w:r>
          </w:p>
        </w:tc>
        <w:tc>
          <w:tcPr/>
          <w:p>
            <w:pPr>
              <w:pStyle w:val="Compact"/>
              <w:jc w:val="left"/>
            </w:pPr>
            <w:r>
              <w:t xml:space="preserve">Annual Compliance Calendar (Steady-State, Recurring)</w:t>
            </w:r>
          </w:p>
        </w:tc>
        <w:tc>
          <w:tcPr/>
          <w:p>
            <w:pPr>
              <w:pStyle w:val="Compact"/>
              <w:jc w:val="left"/>
            </w:pPr>
            <w:r>
              <w:t xml:space="preserve">Section 37</w:t>
            </w:r>
          </w:p>
        </w:tc>
      </w:tr>
      <w:tr>
        <w:trPr>
          <w:cantSplit/>
        </w:trPr>
        <w:tc>
          <w:tcPr/>
          <w:p>
            <w:pPr>
              <w:pStyle w:val="Compact"/>
              <w:jc w:val="left"/>
            </w:pPr>
            <w:r>
              <w:t xml:space="preserve">Table 29</w:t>
            </w:r>
          </w:p>
        </w:tc>
        <w:tc>
          <w:tcPr/>
          <w:p>
            <w:pPr>
              <w:pStyle w:val="Compact"/>
              <w:jc w:val="left"/>
            </w:pPr>
            <w:r>
              <w:t xml:space="preserve">Capital Projects and Their Funding Sources</w:t>
            </w:r>
          </w:p>
        </w:tc>
        <w:tc>
          <w:tcPr/>
          <w:p>
            <w:pPr>
              <w:pStyle w:val="Compact"/>
              <w:jc w:val="left"/>
            </w:pPr>
            <w:r>
              <w:t xml:space="preserve">Section 39</w:t>
            </w:r>
          </w:p>
        </w:tc>
      </w:tr>
      <w:tr>
        <w:trPr>
          <w:cantSplit/>
        </w:trPr>
        <w:tc>
          <w:tcPr/>
          <w:p>
            <w:pPr>
              <w:pStyle w:val="Compact"/>
              <w:jc w:val="left"/>
            </w:pPr>
            <w:r>
              <w:t xml:space="preserve">Table 30</w:t>
            </w:r>
          </w:p>
        </w:tc>
        <w:tc>
          <w:tcPr/>
          <w:p>
            <w:pPr>
              <w:pStyle w:val="Compact"/>
              <w:jc w:val="left"/>
            </w:pPr>
            <w:r>
              <w:t xml:space="preserve">Consolidated Milestone Table, 2028–2050</w:t>
            </w:r>
          </w:p>
        </w:tc>
        <w:tc>
          <w:tcPr/>
          <w:p>
            <w:pPr>
              <w:pStyle w:val="Compact"/>
              <w:jc w:val="left"/>
            </w:pPr>
            <w:r>
              <w:t xml:space="preserve">Section 40</w:t>
            </w:r>
          </w:p>
        </w:tc>
      </w:tr>
    </w:tbl>
    <w:p>
      <w:r>
        <w:br w:type="page"/>
      </w:r>
    </w:p>
    <w:bookmarkEnd w:id="37"/>
    <w:bookmarkStart w:id="38"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Abbreviation</w:t>
            </w:r>
          </w:p>
        </w:tc>
        <w:tc>
          <w:tcPr/>
          <w:p>
            <w:pPr>
              <w:pStyle w:val="Compact"/>
              <w:jc w:val="left"/>
            </w:pPr>
            <w:r>
              <w:t xml:space="preserve">Meaning</w:t>
            </w:r>
          </w:p>
        </w:tc>
      </w:tr>
      <w:tr>
        <w:trPr>
          <w:cantSplit/>
        </w:trPr>
        <w:tc>
          <w:tcPr/>
          <w:p>
            <w:pPr>
              <w:pStyle w:val="Compact"/>
              <w:jc w:val="left"/>
            </w:pPr>
            <w:r>
              <w:t xml:space="preserve">AMIU</w:t>
            </w:r>
          </w:p>
        </w:tc>
        <w:tc>
          <w:tcPr/>
          <w:p>
            <w:pPr>
              <w:pStyle w:val="Compact"/>
              <w:jc w:val="left"/>
            </w:pPr>
            <w:r>
              <w:t xml:space="preserve">Al-Mulk International University</w:t>
            </w:r>
          </w:p>
        </w:tc>
      </w:tr>
      <w:tr>
        <w:trPr>
          <w:cantSplit/>
        </w:trPr>
        <w:tc>
          <w:tcPr/>
          <w:p>
            <w:pPr>
              <w:pStyle w:val="Compact"/>
              <w:jc w:val="left"/>
            </w:pPr>
            <w:r>
              <w:t xml:space="preserve">AGB</w:t>
            </w:r>
          </w:p>
        </w:tc>
        <w:tc>
          <w:tcPr/>
          <w:p>
            <w:pPr>
              <w:pStyle w:val="Compact"/>
              <w:jc w:val="left"/>
            </w:pPr>
            <w:r>
              <w:t xml:space="preserve">Association of Governing Boards (nonprofit/university governance standards)</w:t>
            </w:r>
          </w:p>
        </w:tc>
      </w:tr>
      <w:tr>
        <w:trPr>
          <w:cantSplit/>
        </w:trPr>
        <w:tc>
          <w:tcPr/>
          <w:p>
            <w:pPr>
              <w:pStyle w:val="Compact"/>
              <w:jc w:val="left"/>
            </w:pPr>
            <w:r>
              <w:t xml:space="preserve">AI</w:t>
            </w:r>
          </w:p>
        </w:tc>
        <w:tc>
          <w:tcPr/>
          <w:p>
            <w:pPr>
              <w:pStyle w:val="Compact"/>
              <w:jc w:val="left"/>
            </w:pPr>
            <w:r>
              <w:t xml:space="preserve">Artificial Intelligence</w:t>
            </w:r>
          </w:p>
        </w:tc>
      </w:tr>
      <w:tr>
        <w:trPr>
          <w:cantSplit/>
        </w:trPr>
        <w:tc>
          <w:tcPr/>
          <w:p>
            <w:pPr>
              <w:pStyle w:val="Compact"/>
              <w:jc w:val="left"/>
            </w:pPr>
            <w:r>
              <w:t xml:space="preserve">API</w:t>
            </w:r>
          </w:p>
        </w:tc>
        <w:tc>
          <w:tcPr/>
          <w:p>
            <w:pPr>
              <w:pStyle w:val="Compact"/>
              <w:jc w:val="left"/>
            </w:pPr>
            <w:r>
              <w:t xml:space="preserve">Application Programming Interface</w:t>
            </w:r>
          </w:p>
        </w:tc>
      </w:tr>
      <w:tr>
        <w:trPr>
          <w:cantSplit/>
        </w:trPr>
        <w:tc>
          <w:tcPr/>
          <w:p>
            <w:pPr>
              <w:pStyle w:val="Compact"/>
              <w:jc w:val="left"/>
            </w:pPr>
            <w:r>
              <w:t xml:space="preserve">ASSC</w:t>
            </w:r>
          </w:p>
        </w:tc>
        <w:tc>
          <w:tcPr/>
          <w:p>
            <w:pPr>
              <w:pStyle w:val="Compact"/>
              <w:jc w:val="left"/>
            </w:pPr>
            <w:r>
              <w:t xml:space="preserve">Admissions &amp; Student Success Committee</w:t>
            </w:r>
          </w:p>
        </w:tc>
      </w:tr>
      <w:tr>
        <w:trPr>
          <w:cantSplit/>
        </w:trPr>
        <w:tc>
          <w:tcPr/>
          <w:p>
            <w:pPr>
              <w:pStyle w:val="Compact"/>
              <w:jc w:val="left"/>
            </w:pPr>
            <w:r>
              <w:t xml:space="preserve">BA</w:t>
            </w:r>
          </w:p>
        </w:tc>
        <w:tc>
          <w:tcPr/>
          <w:p>
            <w:pPr>
              <w:pStyle w:val="Compact"/>
              <w:jc w:val="left"/>
            </w:pPr>
            <w:r>
              <w:t xml:space="preserve">Bachelor of Arts</w:t>
            </w:r>
          </w:p>
        </w:tc>
      </w:tr>
      <w:tr>
        <w:trPr>
          <w:cantSplit/>
        </w:trPr>
        <w:tc>
          <w:tcPr/>
          <w:p>
            <w:pPr>
              <w:pStyle w:val="Compact"/>
              <w:jc w:val="left"/>
            </w:pPr>
            <w:r>
              <w:t xml:space="preserve">CAC</w:t>
            </w:r>
          </w:p>
        </w:tc>
        <w:tc>
          <w:tcPr/>
          <w:p>
            <w:pPr>
              <w:pStyle w:val="Compact"/>
              <w:jc w:val="left"/>
            </w:pPr>
            <w:r>
              <w:t xml:space="preserve">Curriculum &amp; Assessment Committee (AMIU); also Corporate Affairs Commission (Nigeria, Section 31 context)</w:t>
            </w:r>
          </w:p>
        </w:tc>
      </w:tr>
      <w:tr>
        <w:trPr>
          <w:cantSplit/>
        </w:trPr>
        <w:tc>
          <w:tcPr/>
          <w:p>
            <w:pPr>
              <w:pStyle w:val="Compact"/>
              <w:jc w:val="left"/>
            </w:pPr>
            <w:r>
              <w:t xml:space="preserve">CEFR</w:t>
            </w:r>
          </w:p>
        </w:tc>
        <w:tc>
          <w:tcPr/>
          <w:p>
            <w:pPr>
              <w:pStyle w:val="Compact"/>
              <w:jc w:val="left"/>
            </w:pPr>
            <w:r>
              <w:t xml:space="preserve">Common European Framework of Reference for Languages</w:t>
            </w:r>
          </w:p>
        </w:tc>
      </w:tr>
      <w:tr>
        <w:trPr>
          <w:cantSplit/>
        </w:trPr>
        <w:tc>
          <w:tcPr/>
          <w:p>
            <w:pPr>
              <w:pStyle w:val="Compact"/>
              <w:jc w:val="left"/>
            </w:pPr>
            <w:r>
              <w:t xml:space="preserve">CH</w:t>
            </w:r>
          </w:p>
        </w:tc>
        <w:tc>
          <w:tcPr/>
          <w:p>
            <w:pPr>
              <w:pStyle w:val="Compact"/>
              <w:jc w:val="left"/>
            </w:pPr>
            <w:r>
              <w:t xml:space="preserve">Credit Hour(s)</w:t>
            </w:r>
          </w:p>
        </w:tc>
      </w:tr>
      <w:tr>
        <w:trPr>
          <w:cantSplit/>
        </w:trPr>
        <w:tc>
          <w:tcPr/>
          <w:p>
            <w:pPr>
              <w:pStyle w:val="Compact"/>
              <w:jc w:val="left"/>
            </w:pPr>
            <w:r>
              <w:t xml:space="preserve">COSO</w:t>
            </w:r>
          </w:p>
        </w:tc>
        <w:tc>
          <w:tcPr/>
          <w:p>
            <w:pPr>
              <w:pStyle w:val="Compact"/>
              <w:jc w:val="left"/>
            </w:pPr>
            <w:r>
              <w:t xml:space="preserve">Committee of Sponsoring Organizations of the Treadway Commission (Enterprise Risk Management framework)</w:t>
            </w:r>
          </w:p>
        </w:tc>
      </w:tr>
      <w:tr>
        <w:trPr>
          <w:cantSplit/>
        </w:trPr>
        <w:tc>
          <w:tcPr/>
          <w:p>
            <w:pPr>
              <w:pStyle w:val="Compact"/>
              <w:jc w:val="left"/>
            </w:pPr>
            <w:r>
              <w:t xml:space="preserve">CPD</w:t>
            </w:r>
          </w:p>
        </w:tc>
        <w:tc>
          <w:tcPr/>
          <w:p>
            <w:pPr>
              <w:pStyle w:val="Compact"/>
              <w:jc w:val="left"/>
            </w:pPr>
            <w:r>
              <w:t xml:space="preserve">Continuing Professional Development (accreditation)</w:t>
            </w:r>
          </w:p>
        </w:tc>
      </w:tr>
      <w:tr>
        <w:trPr>
          <w:cantSplit/>
        </w:trPr>
        <w:tc>
          <w:tcPr/>
          <w:p>
            <w:pPr>
              <w:pStyle w:val="Compact"/>
              <w:jc w:val="left"/>
            </w:pPr>
            <w:r>
              <w:t xml:space="preserve">CRM</w:t>
            </w:r>
          </w:p>
        </w:tc>
        <w:tc>
          <w:tcPr/>
          <w:p>
            <w:pPr>
              <w:pStyle w:val="Compact"/>
              <w:jc w:val="left"/>
            </w:pPr>
            <w:r>
              <w:t xml:space="preserve">Customer/Constituent Relationship Management</w:t>
            </w:r>
          </w:p>
        </w:tc>
      </w:tr>
      <w:tr>
        <w:trPr>
          <w:cantSplit/>
        </w:trPr>
        <w:tc>
          <w:tcPr/>
          <w:p>
            <w:pPr>
              <w:pStyle w:val="Compact"/>
              <w:jc w:val="left"/>
            </w:pPr>
            <w:r>
              <w:t xml:space="preserve">DOAJ</w:t>
            </w:r>
          </w:p>
        </w:tc>
        <w:tc>
          <w:tcPr/>
          <w:p>
            <w:pPr>
              <w:pStyle w:val="Compact"/>
              <w:jc w:val="left"/>
            </w:pPr>
            <w:r>
              <w:t xml:space="preserve">Directory of Open Access Journals</w:t>
            </w:r>
          </w:p>
        </w:tc>
      </w:tr>
      <w:tr>
        <w:trPr>
          <w:cantSplit/>
        </w:trPr>
        <w:tc>
          <w:tcPr/>
          <w:p>
            <w:pPr>
              <w:pStyle w:val="Compact"/>
              <w:jc w:val="left"/>
            </w:pPr>
            <w:r>
              <w:t xml:space="preserve">DOI</w:t>
            </w:r>
          </w:p>
        </w:tc>
        <w:tc>
          <w:tcPr/>
          <w:p>
            <w:pPr>
              <w:pStyle w:val="Compact"/>
              <w:jc w:val="left"/>
            </w:pPr>
            <w:r>
              <w:t xml:space="preserve">Digital Object Identifier</w:t>
            </w:r>
          </w:p>
        </w:tc>
      </w:tr>
      <w:tr>
        <w:trPr>
          <w:cantSplit/>
        </w:trPr>
        <w:tc>
          <w:tcPr/>
          <w:p>
            <w:pPr>
              <w:pStyle w:val="Compact"/>
              <w:jc w:val="left"/>
            </w:pPr>
            <w:r>
              <w:t xml:space="preserve">DVC</w:t>
            </w:r>
          </w:p>
        </w:tc>
        <w:tc>
          <w:tcPr/>
          <w:p>
            <w:pPr>
              <w:pStyle w:val="Compact"/>
              <w:jc w:val="left"/>
            </w:pPr>
            <w:r>
              <w:t xml:space="preserve">Deputy Vice-Chancellor</w:t>
            </w:r>
          </w:p>
        </w:tc>
      </w:tr>
      <w:tr>
        <w:trPr>
          <w:cantSplit/>
        </w:trPr>
        <w:tc>
          <w:tcPr/>
          <w:p>
            <w:pPr>
              <w:pStyle w:val="Compact"/>
              <w:jc w:val="left"/>
            </w:pPr>
            <w:r>
              <w:t xml:space="preserve">EIN</w:t>
            </w:r>
          </w:p>
        </w:tc>
        <w:tc>
          <w:tcPr/>
          <w:p>
            <w:pPr>
              <w:pStyle w:val="Compact"/>
              <w:jc w:val="left"/>
            </w:pPr>
            <w:r>
              <w:t xml:space="preserve">Employer Identification Number (US)</w:t>
            </w:r>
          </w:p>
        </w:tc>
      </w:tr>
      <w:tr>
        <w:trPr>
          <w:cantSplit/>
        </w:trPr>
        <w:tc>
          <w:tcPr/>
          <w:p>
            <w:pPr>
              <w:pStyle w:val="Compact"/>
              <w:jc w:val="left"/>
            </w:pPr>
            <w:r>
              <w:t xml:space="preserve">EMI</w:t>
            </w:r>
          </w:p>
        </w:tc>
        <w:tc>
          <w:tcPr/>
          <w:p>
            <w:pPr>
              <w:pStyle w:val="Compact"/>
              <w:jc w:val="left"/>
            </w:pPr>
            <w:r>
              <w:t xml:space="preserve">English-Medium Instruction</w:t>
            </w:r>
          </w:p>
        </w:tc>
      </w:tr>
      <w:tr>
        <w:trPr>
          <w:cantSplit/>
        </w:trPr>
        <w:tc>
          <w:tcPr/>
          <w:p>
            <w:pPr>
              <w:pStyle w:val="Compact"/>
              <w:jc w:val="left"/>
            </w:pPr>
            <w:r>
              <w:t xml:space="preserve">EOMS</w:t>
            </w:r>
          </w:p>
        </w:tc>
        <w:tc>
          <w:tcPr/>
          <w:p>
            <w:pPr>
              <w:pStyle w:val="Compact"/>
              <w:jc w:val="left"/>
            </w:pPr>
            <w:r>
              <w:t xml:space="preserve">Educational Organizations Management System(s) (ISO 21001 scope)</w:t>
            </w:r>
          </w:p>
        </w:tc>
      </w:tr>
      <w:tr>
        <w:trPr>
          <w:cantSplit/>
        </w:trPr>
        <w:tc>
          <w:tcPr/>
          <w:p>
            <w:pPr>
              <w:pStyle w:val="Compact"/>
              <w:jc w:val="left"/>
            </w:pPr>
            <w:r>
              <w:t xml:space="preserve">ERM</w:t>
            </w:r>
          </w:p>
        </w:tc>
        <w:tc>
          <w:tcPr/>
          <w:p>
            <w:pPr>
              <w:pStyle w:val="Compact"/>
              <w:jc w:val="left"/>
            </w:pPr>
            <w:r>
              <w:t xml:space="preserve">Enterprise Risk Management</w:t>
            </w:r>
          </w:p>
        </w:tc>
      </w:tr>
      <w:tr>
        <w:trPr>
          <w:cantSplit/>
        </w:trPr>
        <w:tc>
          <w:tcPr/>
          <w:p>
            <w:pPr>
              <w:pStyle w:val="Compact"/>
              <w:jc w:val="left"/>
            </w:pPr>
            <w:r>
              <w:t xml:space="preserve">FACC</w:t>
            </w:r>
          </w:p>
        </w:tc>
        <w:tc>
          <w:tcPr/>
          <w:p>
            <w:pPr>
              <w:pStyle w:val="Compact"/>
              <w:jc w:val="left"/>
            </w:pPr>
            <w:r>
              <w:t xml:space="preserve">Faculty Affairs &amp; Credentialing Committee</w:t>
            </w:r>
          </w:p>
        </w:tc>
      </w:tr>
      <w:tr>
        <w:trPr>
          <w:cantSplit/>
        </w:trPr>
        <w:tc>
          <w:tcPr/>
          <w:p>
            <w:pPr>
              <w:pStyle w:val="Compact"/>
              <w:jc w:val="left"/>
            </w:pPr>
            <w:r>
              <w:t xml:space="preserve">FTE</w:t>
            </w:r>
          </w:p>
        </w:tc>
        <w:tc>
          <w:tcPr/>
          <w:p>
            <w:pPr>
              <w:pStyle w:val="Compact"/>
              <w:jc w:val="left"/>
            </w:pPr>
            <w:r>
              <w:t xml:space="preserve">Full-Time Equivalent (staffing measure)</w:t>
            </w:r>
          </w:p>
        </w:tc>
      </w:tr>
      <w:tr>
        <w:trPr>
          <w:cantSplit/>
        </w:trPr>
        <w:tc>
          <w:tcPr/>
          <w:p>
            <w:pPr>
              <w:pStyle w:val="Compact"/>
              <w:jc w:val="left"/>
            </w:pPr>
            <w:r>
              <w:t xml:space="preserve">FX</w:t>
            </w:r>
          </w:p>
        </w:tc>
        <w:tc>
          <w:tcPr/>
          <w:p>
            <w:pPr>
              <w:pStyle w:val="Compact"/>
              <w:jc w:val="left"/>
            </w:pPr>
            <w:r>
              <w:t xml:space="preserve">Foreign Exchange (currency)</w:t>
            </w:r>
          </w:p>
        </w:tc>
      </w:tr>
      <w:tr>
        <w:trPr>
          <w:cantSplit/>
        </w:trPr>
        <w:tc>
          <w:tcPr/>
          <w:p>
            <w:pPr>
              <w:pStyle w:val="Compact"/>
              <w:jc w:val="left"/>
            </w:pPr>
            <w:r>
              <w:t xml:space="preserve">GCC</w:t>
            </w:r>
          </w:p>
        </w:tc>
        <w:tc>
          <w:tcPr/>
          <w:p>
            <w:pPr>
              <w:pStyle w:val="Compact"/>
              <w:jc w:val="left"/>
            </w:pPr>
            <w:r>
              <w:t xml:space="preserve">Gulf Cooperation Council</w:t>
            </w:r>
          </w:p>
        </w:tc>
      </w:tr>
      <w:tr>
        <w:trPr>
          <w:cantSplit/>
        </w:trPr>
        <w:tc>
          <w:tcPr/>
          <w:p>
            <w:pPr>
              <w:pStyle w:val="Compact"/>
              <w:jc w:val="left"/>
            </w:pPr>
            <w:r>
              <w:t xml:space="preserve">GDPR</w:t>
            </w:r>
          </w:p>
        </w:tc>
        <w:tc>
          <w:tcPr/>
          <w:p>
            <w:pPr>
              <w:pStyle w:val="Compact"/>
              <w:jc w:val="left"/>
            </w:pPr>
            <w:r>
              <w:t xml:space="preserve">General Data Protection Regulation (EU; used here as a compliance benchmark)</w:t>
            </w:r>
          </w:p>
        </w:tc>
      </w:tr>
      <w:tr>
        <w:trPr>
          <w:cantSplit/>
        </w:trPr>
        <w:tc>
          <w:tcPr/>
          <w:p>
            <w:pPr>
              <w:pStyle w:val="Compact"/>
              <w:jc w:val="left"/>
            </w:pPr>
            <w:r>
              <w:t xml:space="preserve">HoD</w:t>
            </w:r>
          </w:p>
        </w:tc>
        <w:tc>
          <w:tcPr/>
          <w:p>
            <w:pPr>
              <w:pStyle w:val="Compact"/>
              <w:jc w:val="left"/>
            </w:pPr>
            <w:r>
              <w:t xml:space="preserve">Head of Department</w:t>
            </w:r>
          </w:p>
        </w:tc>
      </w:tr>
      <w:tr>
        <w:trPr>
          <w:cantSplit/>
        </w:trPr>
        <w:tc>
          <w:tcPr/>
          <w:p>
            <w:pPr>
              <w:pStyle w:val="Compact"/>
              <w:jc w:val="left"/>
            </w:pPr>
            <w:r>
              <w:t xml:space="preserve">IAF</w:t>
            </w:r>
          </w:p>
        </w:tc>
        <w:tc>
          <w:tcPr/>
          <w:p>
            <w:pPr>
              <w:pStyle w:val="Compact"/>
              <w:jc w:val="left"/>
            </w:pPr>
            <w:r>
              <w:t xml:space="preserve">International Accreditation Forum</w:t>
            </w:r>
          </w:p>
        </w:tc>
      </w:tr>
      <w:tr>
        <w:trPr>
          <w:cantSplit/>
        </w:trPr>
        <w:tc>
          <w:tcPr/>
          <w:p>
            <w:pPr>
              <w:pStyle w:val="Compact"/>
              <w:jc w:val="left"/>
            </w:pPr>
            <w:r>
              <w:t xml:space="preserve">ILO</w:t>
            </w:r>
          </w:p>
        </w:tc>
        <w:tc>
          <w:tcPr/>
          <w:p>
            <w:pPr>
              <w:pStyle w:val="Compact"/>
              <w:jc w:val="left"/>
            </w:pPr>
            <w:r>
              <w:t xml:space="preserve">Institutional Learning Outcome</w:t>
            </w:r>
          </w:p>
        </w:tc>
      </w:tr>
      <w:tr>
        <w:trPr>
          <w:cantSplit/>
        </w:trPr>
        <w:tc>
          <w:tcPr/>
          <w:p>
            <w:pPr>
              <w:pStyle w:val="Compact"/>
              <w:jc w:val="left"/>
            </w:pPr>
            <w:r>
              <w:t xml:space="preserve">INQAAHE</w:t>
            </w:r>
          </w:p>
        </w:tc>
        <w:tc>
          <w:tcPr/>
          <w:p>
            <w:pPr>
              <w:pStyle w:val="Compact"/>
              <w:jc w:val="left"/>
            </w:pPr>
            <w:r>
              <w:t xml:space="preserve">International Network for Quality Assurance Agencies in Higher Education</w:t>
            </w:r>
          </w:p>
        </w:tc>
      </w:tr>
      <w:tr>
        <w:trPr>
          <w:cantSplit/>
        </w:trPr>
        <w:tc>
          <w:tcPr/>
          <w:p>
            <w:pPr>
              <w:pStyle w:val="Compact"/>
              <w:jc w:val="left"/>
            </w:pPr>
            <w:r>
              <w:t xml:space="preserve">IRS</w:t>
            </w:r>
          </w:p>
        </w:tc>
        <w:tc>
          <w:tcPr/>
          <w:p>
            <w:pPr>
              <w:pStyle w:val="Compact"/>
              <w:jc w:val="left"/>
            </w:pPr>
            <w:r>
              <w:t xml:space="preserve">Internal Revenue Service (United States)</w:t>
            </w:r>
          </w:p>
        </w:tc>
      </w:tr>
      <w:tr>
        <w:trPr>
          <w:cantSplit/>
        </w:trPr>
        <w:tc>
          <w:tcPr/>
          <w:p>
            <w:pPr>
              <w:pStyle w:val="Compact"/>
              <w:jc w:val="left"/>
            </w:pPr>
            <w:r>
              <w:t xml:space="preserve">ISO</w:t>
            </w:r>
          </w:p>
        </w:tc>
        <w:tc>
          <w:tcPr/>
          <w:p>
            <w:pPr>
              <w:pStyle w:val="Compact"/>
              <w:jc w:val="left"/>
            </w:pPr>
            <w:r>
              <w:t xml:space="preserve">International Organization for Standardization</w:t>
            </w:r>
          </w:p>
        </w:tc>
      </w:tr>
      <w:tr>
        <w:trPr>
          <w:cantSplit/>
        </w:trPr>
        <w:tc>
          <w:tcPr/>
          <w:p>
            <w:pPr>
              <w:pStyle w:val="Compact"/>
              <w:jc w:val="left"/>
            </w:pPr>
            <w:r>
              <w:t xml:space="preserve">KOR</w:t>
            </w:r>
          </w:p>
        </w:tc>
        <w:tc>
          <w:tcPr/>
          <w:p>
            <w:pPr>
              <w:pStyle w:val="Compact"/>
              <w:jc w:val="left"/>
            </w:pPr>
            <w:r>
              <w:t xml:space="preserve">Kernel Outturn Ratio (cashew-export quality metric, Commercial Engine Gate A)</w:t>
            </w:r>
          </w:p>
        </w:tc>
      </w:tr>
      <w:tr>
        <w:trPr>
          <w:cantSplit/>
        </w:trPr>
        <w:tc>
          <w:tcPr/>
          <w:p>
            <w:pPr>
              <w:pStyle w:val="Compact"/>
              <w:jc w:val="left"/>
            </w:pPr>
            <w:r>
              <w:t xml:space="preserve">KPI</w:t>
            </w:r>
          </w:p>
        </w:tc>
        <w:tc>
          <w:tcPr/>
          <w:p>
            <w:pPr>
              <w:pStyle w:val="Compact"/>
              <w:jc w:val="left"/>
            </w:pPr>
            <w:r>
              <w:t xml:space="preserve">Key Performance Indicator</w:t>
            </w:r>
          </w:p>
        </w:tc>
      </w:tr>
      <w:tr>
        <w:trPr>
          <w:cantSplit/>
        </w:trPr>
        <w:tc>
          <w:tcPr/>
          <w:p>
            <w:pPr>
              <w:pStyle w:val="Compact"/>
              <w:jc w:val="left"/>
            </w:pPr>
            <w:r>
              <w:t xml:space="preserve">LLB</w:t>
            </w:r>
          </w:p>
        </w:tc>
        <w:tc>
          <w:tcPr/>
          <w:p>
            <w:pPr>
              <w:pStyle w:val="Compact"/>
              <w:jc w:val="left"/>
            </w:pPr>
            <w:r>
              <w:t xml:space="preserve">Bachelor of Laws</w:t>
            </w:r>
          </w:p>
        </w:tc>
      </w:tr>
      <w:tr>
        <w:trPr>
          <w:cantSplit/>
        </w:trPr>
        <w:tc>
          <w:tcPr/>
          <w:p>
            <w:pPr>
              <w:pStyle w:val="Compact"/>
              <w:jc w:val="left"/>
            </w:pPr>
            <w:r>
              <w:t xml:space="preserve">LLC</w:t>
            </w:r>
          </w:p>
        </w:tc>
        <w:tc>
          <w:tcPr/>
          <w:p>
            <w:pPr>
              <w:pStyle w:val="Compact"/>
              <w:jc w:val="left"/>
            </w:pPr>
            <w:r>
              <w:t xml:space="preserve">Limited Liability Company</w:t>
            </w:r>
          </w:p>
        </w:tc>
      </w:tr>
      <w:tr>
        <w:trPr>
          <w:cantSplit/>
        </w:trPr>
        <w:tc>
          <w:tcPr/>
          <w:p>
            <w:pPr>
              <w:pStyle w:val="Compact"/>
              <w:jc w:val="left"/>
            </w:pPr>
            <w:r>
              <w:t xml:space="preserve">LLM</w:t>
            </w:r>
          </w:p>
        </w:tc>
        <w:tc>
          <w:tcPr/>
          <w:p>
            <w:pPr>
              <w:pStyle w:val="Compact"/>
              <w:jc w:val="left"/>
            </w:pPr>
            <w:r>
              <w:t xml:space="preserve">Master of Laws</w:t>
            </w:r>
          </w:p>
        </w:tc>
      </w:tr>
      <w:tr>
        <w:trPr>
          <w:cantSplit/>
        </w:trPr>
        <w:tc>
          <w:tcPr/>
          <w:p>
            <w:pPr>
              <w:pStyle w:val="Compact"/>
              <w:jc w:val="left"/>
            </w:pPr>
            <w:r>
              <w:t xml:space="preserve">LMS</w:t>
            </w:r>
          </w:p>
        </w:tc>
        <w:tc>
          <w:tcPr/>
          <w:p>
            <w:pPr>
              <w:pStyle w:val="Compact"/>
              <w:jc w:val="left"/>
            </w:pPr>
            <w:r>
              <w:t xml:space="preserve">Learning Management System</w:t>
            </w:r>
          </w:p>
        </w:tc>
      </w:tr>
      <w:tr>
        <w:trPr>
          <w:cantSplit/>
        </w:trPr>
        <w:tc>
          <w:tcPr/>
          <w:p>
            <w:pPr>
              <w:pStyle w:val="Compact"/>
              <w:jc w:val="left"/>
            </w:pPr>
            <w:r>
              <w:t xml:space="preserve">LTI</w:t>
            </w:r>
          </w:p>
        </w:tc>
        <w:tc>
          <w:tcPr/>
          <w:p>
            <w:pPr>
              <w:pStyle w:val="Compact"/>
              <w:jc w:val="left"/>
            </w:pPr>
            <w:r>
              <w:t xml:space="preserve">Learning Tools Interoperability (LMS integration standard)</w:t>
            </w:r>
          </w:p>
        </w:tc>
      </w:tr>
      <w:tr>
        <w:trPr>
          <w:cantSplit/>
        </w:trPr>
        <w:tc>
          <w:tcPr/>
          <w:p>
            <w:pPr>
              <w:pStyle w:val="Compact"/>
              <w:jc w:val="left"/>
            </w:pPr>
            <w:r>
              <w:t xml:space="preserve">MA</w:t>
            </w:r>
          </w:p>
        </w:tc>
        <w:tc>
          <w:tcPr/>
          <w:p>
            <w:pPr>
              <w:pStyle w:val="Compact"/>
              <w:jc w:val="left"/>
            </w:pPr>
            <w:r>
              <w:t xml:space="preserve">Master of Arts</w:t>
            </w:r>
          </w:p>
        </w:tc>
      </w:tr>
      <w:tr>
        <w:trPr>
          <w:cantSplit/>
        </w:trPr>
        <w:tc>
          <w:tcPr/>
          <w:p>
            <w:pPr>
              <w:pStyle w:val="Compact"/>
              <w:jc w:val="left"/>
            </w:pPr>
            <w:r>
              <w:t xml:space="preserve">MBA</w:t>
            </w:r>
          </w:p>
        </w:tc>
        <w:tc>
          <w:tcPr/>
          <w:p>
            <w:pPr>
              <w:pStyle w:val="Compact"/>
              <w:jc w:val="left"/>
            </w:pPr>
            <w:r>
              <w:t xml:space="preserve">Master of Business Administration</w:t>
            </w:r>
          </w:p>
        </w:tc>
      </w:tr>
      <w:tr>
        <w:trPr>
          <w:cantSplit/>
        </w:trPr>
        <w:tc>
          <w:tcPr/>
          <w:p>
            <w:pPr>
              <w:pStyle w:val="Compact"/>
              <w:jc w:val="left"/>
            </w:pPr>
            <w:r>
              <w:t xml:space="preserve">MFA</w:t>
            </w:r>
          </w:p>
        </w:tc>
        <w:tc>
          <w:tcPr/>
          <w:p>
            <w:pPr>
              <w:pStyle w:val="Compact"/>
              <w:jc w:val="left"/>
            </w:pPr>
            <w:r>
              <w:t xml:space="preserve">Multi-Factor Authentication</w:t>
            </w:r>
          </w:p>
        </w:tc>
      </w:tr>
      <w:tr>
        <w:trPr>
          <w:cantSplit/>
        </w:trPr>
        <w:tc>
          <w:tcPr/>
          <w:p>
            <w:pPr>
              <w:pStyle w:val="Compact"/>
              <w:jc w:val="left"/>
            </w:pPr>
            <w:r>
              <w:t xml:space="preserve">MOU</w:t>
            </w:r>
          </w:p>
        </w:tc>
        <w:tc>
          <w:tcPr/>
          <w:p>
            <w:pPr>
              <w:pStyle w:val="Compact"/>
              <w:jc w:val="left"/>
            </w:pPr>
            <w:r>
              <w:t xml:space="preserve">Memorandum of Understanding</w:t>
            </w:r>
          </w:p>
        </w:tc>
      </w:tr>
      <w:tr>
        <w:trPr>
          <w:cantSplit/>
        </w:trPr>
        <w:tc>
          <w:tcPr/>
          <w:p>
            <w:pPr>
              <w:pStyle w:val="Compact"/>
              <w:jc w:val="left"/>
            </w:pPr>
            <w:r>
              <w:t xml:space="preserve">MPH</w:t>
            </w:r>
          </w:p>
        </w:tc>
        <w:tc>
          <w:tcPr/>
          <w:p>
            <w:pPr>
              <w:pStyle w:val="Compact"/>
              <w:jc w:val="left"/>
            </w:pPr>
            <w:r>
              <w:t xml:space="preserve">Master of Public Health</w:t>
            </w:r>
          </w:p>
        </w:tc>
      </w:tr>
      <w:tr>
        <w:trPr>
          <w:cantSplit/>
        </w:trPr>
        <w:tc>
          <w:tcPr/>
          <w:p>
            <w:pPr>
              <w:pStyle w:val="Compact"/>
              <w:jc w:val="left"/>
            </w:pPr>
            <w:r>
              <w:t xml:space="preserve">NAQAA</w:t>
            </w:r>
          </w:p>
        </w:tc>
        <w:tc>
          <w:tcPr/>
          <w:p>
            <w:pPr>
              <w:pStyle w:val="Compact"/>
              <w:jc w:val="left"/>
            </w:pPr>
            <w:r>
              <w:t xml:space="preserve">National Accreditation and Quality Assurance Authority (The Gambia)</w:t>
            </w:r>
          </w:p>
        </w:tc>
      </w:tr>
      <w:tr>
        <w:trPr>
          <w:cantSplit/>
        </w:trPr>
        <w:tc>
          <w:tcPr/>
          <w:p>
            <w:pPr>
              <w:pStyle w:val="Compact"/>
              <w:jc w:val="left"/>
            </w:pPr>
            <w:r>
              <w:t xml:space="preserve">NUC</w:t>
            </w:r>
          </w:p>
        </w:tc>
        <w:tc>
          <w:tcPr/>
          <w:p>
            <w:pPr>
              <w:pStyle w:val="Compact"/>
              <w:jc w:val="left"/>
            </w:pPr>
            <w:r>
              <w:t xml:space="preserve">National Universities Commission (Nigeria)</w:t>
            </w:r>
          </w:p>
        </w:tc>
      </w:tr>
      <w:tr>
        <w:trPr>
          <w:cantSplit/>
        </w:trPr>
        <w:tc>
          <w:tcPr/>
          <w:p>
            <w:pPr>
              <w:pStyle w:val="Compact"/>
              <w:jc w:val="left"/>
            </w:pPr>
            <w:r>
              <w:t xml:space="preserve">OCR</w:t>
            </w:r>
          </w:p>
        </w:tc>
        <w:tc>
          <w:tcPr/>
          <w:p>
            <w:pPr>
              <w:pStyle w:val="Compact"/>
              <w:jc w:val="left"/>
            </w:pPr>
            <w:r>
              <w:t xml:space="preserve">Optical Character Recognition</w:t>
            </w:r>
          </w:p>
        </w:tc>
      </w:tr>
      <w:tr>
        <w:trPr>
          <w:cantSplit/>
        </w:trPr>
        <w:tc>
          <w:tcPr/>
          <w:p>
            <w:pPr>
              <w:pStyle w:val="Compact"/>
              <w:jc w:val="left"/>
            </w:pPr>
            <w:r>
              <w:t xml:space="preserve">OJS</w:t>
            </w:r>
          </w:p>
        </w:tc>
        <w:tc>
          <w:tcPr/>
          <w:p>
            <w:pPr>
              <w:pStyle w:val="Compact"/>
              <w:jc w:val="left"/>
            </w:pPr>
            <w:r>
              <w:t xml:space="preserve">Open Journal Systems (open-access publishing platform)</w:t>
            </w:r>
          </w:p>
        </w:tc>
      </w:tr>
      <w:tr>
        <w:trPr>
          <w:cantSplit/>
        </w:trPr>
        <w:tc>
          <w:tcPr/>
          <w:p>
            <w:pPr>
              <w:pStyle w:val="Compact"/>
              <w:jc w:val="left"/>
            </w:pPr>
            <w:r>
              <w:t xml:space="preserve">OpEx</w:t>
            </w:r>
          </w:p>
        </w:tc>
        <w:tc>
          <w:tcPr/>
          <w:p>
            <w:pPr>
              <w:pStyle w:val="Compact"/>
              <w:jc w:val="left"/>
            </w:pPr>
            <w:r>
              <w:t xml:space="preserve">Operating Expenses</w:t>
            </w:r>
          </w:p>
        </w:tc>
      </w:tr>
      <w:tr>
        <w:trPr>
          <w:cantSplit/>
        </w:trPr>
        <w:tc>
          <w:tcPr/>
          <w:p>
            <w:pPr>
              <w:pStyle w:val="Compact"/>
              <w:jc w:val="left"/>
            </w:pPr>
            <w:r>
              <w:t xml:space="preserve">PCI-DSS</w:t>
            </w:r>
          </w:p>
        </w:tc>
        <w:tc>
          <w:tcPr/>
          <w:p>
            <w:pPr>
              <w:pStyle w:val="Compact"/>
              <w:jc w:val="left"/>
            </w:pPr>
            <w:r>
              <w:t xml:space="preserve">Payment Card Industry Data Security Standard</w:t>
            </w:r>
          </w:p>
        </w:tc>
      </w:tr>
      <w:tr>
        <w:trPr>
          <w:cantSplit/>
        </w:trPr>
        <w:tc>
          <w:tcPr/>
          <w:p>
            <w:pPr>
              <w:pStyle w:val="Compact"/>
              <w:jc w:val="left"/>
            </w:pPr>
            <w:r>
              <w:t xml:space="preserve">Ph.D.</w:t>
            </w:r>
          </w:p>
        </w:tc>
        <w:tc>
          <w:tcPr/>
          <w:p>
            <w:pPr>
              <w:pStyle w:val="Compact"/>
              <w:jc w:val="left"/>
            </w:pPr>
            <w:r>
              <w:t xml:space="preserve">Doctor of Philosophy</w:t>
            </w:r>
          </w:p>
        </w:tc>
      </w:tr>
      <w:tr>
        <w:trPr>
          <w:cantSplit/>
        </w:trPr>
        <w:tc>
          <w:tcPr/>
          <w:p>
            <w:pPr>
              <w:pStyle w:val="Compact"/>
              <w:jc w:val="left"/>
            </w:pPr>
            <w:r>
              <w:t xml:space="preserve">PGD</w:t>
            </w:r>
          </w:p>
        </w:tc>
        <w:tc>
          <w:tcPr/>
          <w:p>
            <w:pPr>
              <w:pStyle w:val="Compact"/>
              <w:jc w:val="left"/>
            </w:pPr>
            <w:r>
              <w:t xml:space="preserve">Postgraduate Diploma</w:t>
            </w:r>
          </w:p>
        </w:tc>
      </w:tr>
      <w:tr>
        <w:trPr>
          <w:cantSplit/>
        </w:trPr>
        <w:tc>
          <w:tcPr/>
          <w:p>
            <w:pPr>
              <w:pStyle w:val="Compact"/>
              <w:jc w:val="left"/>
            </w:pPr>
            <w:r>
              <w:t xml:space="preserve">PLO</w:t>
            </w:r>
          </w:p>
        </w:tc>
        <w:tc>
          <w:tcPr/>
          <w:p>
            <w:pPr>
              <w:pStyle w:val="Compact"/>
              <w:jc w:val="left"/>
            </w:pPr>
            <w:r>
              <w:t xml:space="preserve">Program Learning Outcome</w:t>
            </w:r>
          </w:p>
        </w:tc>
      </w:tr>
      <w:tr>
        <w:trPr>
          <w:cantSplit/>
        </w:trPr>
        <w:tc>
          <w:tcPr/>
          <w:p>
            <w:pPr>
              <w:pStyle w:val="Compact"/>
              <w:jc w:val="left"/>
            </w:pPr>
            <w:r>
              <w:t xml:space="preserve">PPC</w:t>
            </w:r>
          </w:p>
        </w:tc>
        <w:tc>
          <w:tcPr/>
          <w:p>
            <w:pPr>
              <w:pStyle w:val="Compact"/>
              <w:jc w:val="left"/>
            </w:pPr>
            <w:r>
              <w:t xml:space="preserve">Programme Portfolio Committee</w:t>
            </w:r>
          </w:p>
        </w:tc>
      </w:tr>
      <w:tr>
        <w:trPr>
          <w:cantSplit/>
        </w:trPr>
        <w:tc>
          <w:tcPr/>
          <w:p>
            <w:pPr>
              <w:pStyle w:val="Compact"/>
              <w:jc w:val="left"/>
            </w:pPr>
            <w:r>
              <w:t xml:space="preserve">PWA</w:t>
            </w:r>
          </w:p>
        </w:tc>
        <w:tc>
          <w:tcPr/>
          <w:p>
            <w:pPr>
              <w:pStyle w:val="Compact"/>
              <w:jc w:val="left"/>
            </w:pPr>
            <w:r>
              <w:t xml:space="preserve">Progressive Web Application</w:t>
            </w:r>
          </w:p>
        </w:tc>
      </w:tr>
      <w:tr>
        <w:trPr>
          <w:cantSplit/>
        </w:trPr>
        <w:tc>
          <w:tcPr/>
          <w:p>
            <w:pPr>
              <w:pStyle w:val="Compact"/>
              <w:jc w:val="left"/>
            </w:pPr>
            <w:r>
              <w:t xml:space="preserve">RAG</w:t>
            </w:r>
          </w:p>
        </w:tc>
        <w:tc>
          <w:tcPr/>
          <w:p>
            <w:pPr>
              <w:pStyle w:val="Compact"/>
              <w:jc w:val="left"/>
            </w:pPr>
            <w:r>
              <w:t xml:space="preserve">Retrieval-Augmented Generation (AI architecture)</w:t>
            </w:r>
          </w:p>
        </w:tc>
      </w:tr>
      <w:tr>
        <w:trPr>
          <w:cantSplit/>
        </w:trPr>
        <w:tc>
          <w:tcPr/>
          <w:p>
            <w:pPr>
              <w:pStyle w:val="Compact"/>
              <w:jc w:val="left"/>
            </w:pPr>
            <w:r>
              <w:t xml:space="preserve">SACSCOC</w:t>
            </w:r>
          </w:p>
        </w:tc>
        <w:tc>
          <w:tcPr/>
          <w:p>
            <w:pPr>
              <w:pStyle w:val="Compact"/>
              <w:jc w:val="left"/>
            </w:pPr>
            <w:r>
              <w:t xml:space="preserve">Southern Association of Colleges and Schools Commission on Colleges (illustrative US regional accreditor reference)</w:t>
            </w:r>
          </w:p>
        </w:tc>
      </w:tr>
      <w:tr>
        <w:trPr>
          <w:cantSplit/>
        </w:trPr>
        <w:tc>
          <w:tcPr/>
          <w:p>
            <w:pPr>
              <w:pStyle w:val="Compact"/>
              <w:jc w:val="left"/>
            </w:pPr>
            <w:r>
              <w:t xml:space="preserve">SCORM</w:t>
            </w:r>
          </w:p>
        </w:tc>
        <w:tc>
          <w:tcPr/>
          <w:p>
            <w:pPr>
              <w:pStyle w:val="Compact"/>
              <w:jc w:val="left"/>
            </w:pPr>
            <w:r>
              <w:t xml:space="preserve">Sharable Content Object Reference Model (e-learning content standard)</w:t>
            </w:r>
          </w:p>
        </w:tc>
      </w:tr>
      <w:tr>
        <w:trPr>
          <w:cantSplit/>
        </w:trPr>
        <w:tc>
          <w:tcPr/>
          <w:p>
            <w:pPr>
              <w:pStyle w:val="Compact"/>
              <w:jc w:val="left"/>
            </w:pPr>
            <w:r>
              <w:t xml:space="preserve">SIS</w:t>
            </w:r>
          </w:p>
        </w:tc>
        <w:tc>
          <w:tcPr/>
          <w:p>
            <w:pPr>
              <w:pStyle w:val="Compact"/>
              <w:jc w:val="left"/>
            </w:pPr>
            <w:r>
              <w:t xml:space="preserve">Student Information System</w:t>
            </w:r>
          </w:p>
        </w:tc>
      </w:tr>
      <w:tr>
        <w:trPr>
          <w:cantSplit/>
        </w:trPr>
        <w:tc>
          <w:tcPr/>
          <w:p>
            <w:pPr>
              <w:pStyle w:val="Compact"/>
              <w:jc w:val="left"/>
            </w:pPr>
            <w:r>
              <w:t xml:space="preserve">SOP</w:t>
            </w:r>
          </w:p>
        </w:tc>
        <w:tc>
          <w:tcPr/>
          <w:p>
            <w:pPr>
              <w:pStyle w:val="Compact"/>
              <w:jc w:val="left"/>
            </w:pPr>
            <w:r>
              <w:t xml:space="preserve">Standard Operating Procedure</w:t>
            </w:r>
          </w:p>
        </w:tc>
      </w:tr>
      <w:tr>
        <w:trPr>
          <w:cantSplit/>
        </w:trPr>
        <w:tc>
          <w:tcPr/>
          <w:p>
            <w:pPr>
              <w:pStyle w:val="Compact"/>
              <w:jc w:val="left"/>
            </w:pPr>
            <w:r>
              <w:t xml:space="preserve">SSL</w:t>
            </w:r>
          </w:p>
        </w:tc>
        <w:tc>
          <w:tcPr/>
          <w:p>
            <w:pPr>
              <w:pStyle w:val="Compact"/>
              <w:jc w:val="left"/>
            </w:pPr>
            <w:r>
              <w:t xml:space="preserve">Secure Sockets Layer</w:t>
            </w:r>
          </w:p>
        </w:tc>
      </w:tr>
      <w:tr>
        <w:trPr>
          <w:cantSplit/>
        </w:trPr>
        <w:tc>
          <w:tcPr/>
          <w:p>
            <w:pPr>
              <w:pStyle w:val="Compact"/>
              <w:jc w:val="left"/>
            </w:pPr>
            <w:r>
              <w:t xml:space="preserve">TOC</w:t>
            </w:r>
          </w:p>
        </w:tc>
        <w:tc>
          <w:tcPr/>
          <w:p>
            <w:pPr>
              <w:pStyle w:val="Compact"/>
              <w:jc w:val="left"/>
            </w:pPr>
            <w:r>
              <w:t xml:space="preserve">Table of Contents</w:t>
            </w:r>
          </w:p>
        </w:tc>
      </w:tr>
      <w:tr>
        <w:trPr>
          <w:cantSplit/>
        </w:trPr>
        <w:tc>
          <w:tcPr/>
          <w:p>
            <w:pPr>
              <w:pStyle w:val="Compact"/>
              <w:jc w:val="left"/>
            </w:pPr>
            <w:r>
              <w:t xml:space="preserve">TWC</w:t>
            </w:r>
          </w:p>
        </w:tc>
        <w:tc>
          <w:tcPr/>
          <w:p>
            <w:pPr>
              <w:pStyle w:val="Compact"/>
              <w:jc w:val="left"/>
            </w:pPr>
            <w:r>
              <w:t xml:space="preserve">Texas Workforce Commission</w:t>
            </w:r>
          </w:p>
        </w:tc>
      </w:tr>
      <w:tr>
        <w:trPr>
          <w:cantSplit/>
        </w:trPr>
        <w:tc>
          <w:tcPr/>
          <w:p>
            <w:pPr>
              <w:pStyle w:val="Compact"/>
              <w:jc w:val="left"/>
            </w:pPr>
            <w:r>
              <w:t xml:space="preserve">USPTO</w:t>
            </w:r>
          </w:p>
        </w:tc>
        <w:tc>
          <w:tcPr/>
          <w:p>
            <w:pPr>
              <w:pStyle w:val="Compact"/>
              <w:jc w:val="left"/>
            </w:pPr>
            <w:r>
              <w:t xml:space="preserve">United States Patent and Trademark Office</w:t>
            </w:r>
          </w:p>
        </w:tc>
      </w:tr>
      <w:tr>
        <w:trPr>
          <w:cantSplit/>
        </w:trPr>
        <w:tc>
          <w:tcPr/>
          <w:p>
            <w:pPr>
              <w:pStyle w:val="Compact"/>
              <w:jc w:val="left"/>
            </w:pPr>
            <w:r>
              <w:t xml:space="preserve">xAPI</w:t>
            </w:r>
          </w:p>
        </w:tc>
        <w:tc>
          <w:tcPr/>
          <w:p>
            <w:pPr>
              <w:pStyle w:val="Compact"/>
              <w:jc w:val="left"/>
            </w:pPr>
            <w:r>
              <w:t xml:space="preserve">Experience API (e-learning data-tracking standard)</w:t>
            </w:r>
          </w:p>
        </w:tc>
      </w:tr>
    </w:tbl>
    <w:bookmarkEnd w:id="38"/>
    <w:bookmarkStart w:id="39" w:name="glossary"/>
    <w:p>
      <w:pPr>
        <w:pStyle w:val="Heading2"/>
      </w:pPr>
      <w:r>
        <w:t xml:space="preserve">Glossary</w:t>
      </w:r>
    </w:p>
    <w:p>
      <w:pPr>
        <w:pStyle w:val="FirstParagrap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Term</w:t>
            </w:r>
          </w:p>
        </w:tc>
        <w:tc>
          <w:tcPr/>
          <w:p>
            <w:pPr>
              <w:pStyle w:val="Compact"/>
              <w:jc w:val="left"/>
            </w:pPr>
            <w:r>
              <w:t xml:space="preserve">Definition</w:t>
            </w:r>
          </w:p>
        </w:tc>
      </w:tr>
      <w:tr>
        <w:trPr>
          <w:cantSplit/>
        </w:trPr>
        <w:tc>
          <w:tcPr/>
          <w:p>
            <w:pPr>
              <w:pStyle w:val="Compact"/>
              <w:jc w:val="left"/>
            </w:pPr>
            <w:r>
              <w:t xml:space="preserve">Aqeedah</w:t>
            </w:r>
          </w:p>
        </w:tc>
        <w:tc>
          <w:tcPr/>
          <w:p>
            <w:pPr>
              <w:pStyle w:val="Compact"/>
              <w:jc w:val="left"/>
            </w:pPr>
            <w:r>
              <w:t xml:space="preserve">Islamic theology and creed; the study of foundational Islamic belief.</w:t>
            </w:r>
          </w:p>
        </w:tc>
      </w:tr>
      <w:tr>
        <w:trPr>
          <w:cantSplit/>
        </w:trPr>
        <w:tc>
          <w:tcPr/>
          <w:p>
            <w:pPr>
              <w:pStyle w:val="Compact"/>
              <w:jc w:val="left"/>
            </w:pPr>
            <w:r>
              <w:t xml:space="preserve">Waqf</w:t>
            </w:r>
          </w:p>
        </w:tc>
        <w:tc>
          <w:tcPr/>
          <w:p>
            <w:pPr>
              <w:pStyle w:val="Compact"/>
              <w:jc w:val="left"/>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pPr>
            <w:r>
              <w:t xml:space="preserve">Sadaqah Jāriyah</w:t>
            </w:r>
          </w:p>
        </w:tc>
        <w:tc>
          <w:tcPr/>
          <w:p>
            <w:pPr>
              <w:pStyle w:val="Compact"/>
              <w:jc w:val="left"/>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pPr>
            <w:r>
              <w:t xml:space="preserve">Isnād</w:t>
            </w:r>
          </w:p>
        </w:tc>
        <w:tc>
          <w:tcPr/>
          <w:p>
            <w:pPr>
              <w:pStyle w:val="Compact"/>
              <w:jc w:val="left"/>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pPr>
            <w:r>
              <w:t xml:space="preserve">Ijāza</w:t>
            </w:r>
          </w:p>
        </w:tc>
        <w:tc>
          <w:tcPr/>
          <w:p>
            <w:pPr>
              <w:pStyle w:val="Compact"/>
              <w:jc w:val="left"/>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pPr>
            <w:r>
              <w:t xml:space="preserve">Sanad</w:t>
            </w:r>
          </w:p>
        </w:tc>
        <w:tc>
          <w:tcPr/>
          <w:p>
            <w:pPr>
              <w:pStyle w:val="Compact"/>
              <w:jc w:val="left"/>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pPr>
            <w:r>
              <w:t xml:space="preserve">Fiqh</w:t>
            </w:r>
          </w:p>
        </w:tc>
        <w:tc>
          <w:tcPr/>
          <w:p>
            <w:pPr>
              <w:pStyle w:val="Compact"/>
              <w:jc w:val="left"/>
            </w:pPr>
            <w:r>
              <w:t xml:space="preserve">Islamic jurisprudence — the human scholarly effort to derive practical legal rulings from the Qur’ān and Sunnah.</w:t>
            </w:r>
          </w:p>
        </w:tc>
      </w:tr>
      <w:tr>
        <w:trPr>
          <w:cantSplit/>
        </w:trPr>
        <w:tc>
          <w:tcPr/>
          <w:p>
            <w:pPr>
              <w:pStyle w:val="Compact"/>
              <w:jc w:val="left"/>
            </w:pPr>
            <w:r>
              <w:t xml:space="preserve">Uṣūl al-Fiqh</w:t>
            </w:r>
          </w:p>
        </w:tc>
        <w:tc>
          <w:tcPr/>
          <w:p>
            <w:pPr>
              <w:pStyle w:val="Compact"/>
              <w:jc w:val="left"/>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pPr>
            <w:r>
              <w:t xml:space="preserve">Sharī’ah</w:t>
            </w:r>
          </w:p>
        </w:tc>
        <w:tc>
          <w:tcPr/>
          <w:p>
            <w:pPr>
              <w:pStyle w:val="Compact"/>
              <w:jc w:val="left"/>
            </w:pPr>
            <w:r>
              <w:t xml:space="preserve">The body of Islamic religious law derived from the Qur’ān and the Sunnah (Prophetic tradition).</w:t>
            </w:r>
          </w:p>
        </w:tc>
      </w:tr>
      <w:tr>
        <w:trPr>
          <w:cantSplit/>
        </w:trPr>
        <w:tc>
          <w:tcPr/>
          <w:p>
            <w:pPr>
              <w:pStyle w:val="Compact"/>
              <w:jc w:val="left"/>
            </w:pPr>
            <w:r>
              <w:t xml:space="preserve">Tafsīr</w:t>
            </w:r>
          </w:p>
        </w:tc>
        <w:tc>
          <w:tcPr/>
          <w:p>
            <w:pPr>
              <w:pStyle w:val="Compact"/>
              <w:jc w:val="left"/>
            </w:pPr>
            <w:r>
              <w:t xml:space="preserve">The scholarly discipline of Qur’ānic exegesis and interpretation.</w:t>
            </w:r>
          </w:p>
        </w:tc>
      </w:tr>
      <w:tr>
        <w:trPr>
          <w:cantSplit/>
        </w:trPr>
        <w:tc>
          <w:tcPr/>
          <w:p>
            <w:pPr>
              <w:pStyle w:val="Compact"/>
              <w:jc w:val="left"/>
            </w:pPr>
            <w:r>
              <w:t xml:space="preserve">Tajweed</w:t>
            </w:r>
          </w:p>
        </w:tc>
        <w:tc>
          <w:tcPr/>
          <w:p>
            <w:pPr>
              <w:pStyle w:val="Compact"/>
              <w:jc w:val="left"/>
            </w:pPr>
            <w:r>
              <w:t xml:space="preserve">The set of rules governing the correct phonetic pronunciation and recitation of the Qur’ān.</w:t>
            </w:r>
          </w:p>
        </w:tc>
      </w:tr>
      <w:tr>
        <w:trPr>
          <w:cantSplit/>
        </w:trPr>
        <w:tc>
          <w:tcPr/>
          <w:p>
            <w:pPr>
              <w:pStyle w:val="Compact"/>
              <w:jc w:val="left"/>
            </w:pPr>
            <w:r>
              <w:t xml:space="preserve">Qirā’āt</w:t>
            </w:r>
          </w:p>
        </w:tc>
        <w:tc>
          <w:tcPr/>
          <w:p>
            <w:pPr>
              <w:pStyle w:val="Compact"/>
              <w:jc w:val="left"/>
            </w:pPr>
            <w:r>
              <w:t xml:space="preserve">The canonical variant modes/readings of Qur’ānic recitation.</w:t>
            </w:r>
          </w:p>
        </w:tc>
      </w:tr>
      <w:tr>
        <w:trPr>
          <w:cantSplit/>
        </w:trPr>
        <w:tc>
          <w:tcPr/>
          <w:p>
            <w:pPr>
              <w:pStyle w:val="Compact"/>
              <w:jc w:val="left"/>
            </w:pPr>
            <w:r>
              <w:t xml:space="preserve">Hifz</w:t>
            </w:r>
          </w:p>
        </w:tc>
        <w:tc>
          <w:tcPr/>
          <w:p>
            <w:pPr>
              <w:pStyle w:val="Compact"/>
              <w:jc w:val="left"/>
            </w:pPr>
            <w:r>
              <w:t xml:space="preserve">The memorization of the Qur’ān in its entirety.</w:t>
            </w:r>
          </w:p>
        </w:tc>
      </w:tr>
      <w:tr>
        <w:trPr>
          <w:cantSplit/>
        </w:trPr>
        <w:tc>
          <w:tcPr/>
          <w:p>
            <w:pPr>
              <w:pStyle w:val="Compact"/>
              <w:jc w:val="left"/>
            </w:pPr>
            <w:r>
              <w:t xml:space="preserve">Hadith</w:t>
            </w:r>
          </w:p>
        </w:tc>
        <w:tc>
          <w:tcPr/>
          <w:p>
            <w:pPr>
              <w:pStyle w:val="Compact"/>
              <w:jc w:val="left"/>
            </w:pPr>
            <w:r>
              <w:t xml:space="preserve">A recorded saying, action, or approval attributed to the Prophet Muhammad ﷺ, transmitted via an isnād.</w:t>
            </w:r>
          </w:p>
        </w:tc>
      </w:tr>
      <w:tr>
        <w:trPr>
          <w:cantSplit/>
        </w:trPr>
        <w:tc>
          <w:tcPr/>
          <w:p>
            <w:pPr>
              <w:pStyle w:val="Compact"/>
              <w:jc w:val="left"/>
            </w:pPr>
            <w:r>
              <w:t xml:space="preserve">Da’wah</w:t>
            </w:r>
          </w:p>
        </w:tc>
        <w:tc>
          <w:tcPr/>
          <w:p>
            <w:pPr>
              <w:pStyle w:val="Compact"/>
              <w:jc w:val="left"/>
            </w:pPr>
            <w:r>
              <w:t xml:space="preserve">The act of inviting or calling others to Islam, or to a deeper practice of it, through education, communication, and example.</w:t>
            </w:r>
          </w:p>
        </w:tc>
      </w:tr>
      <w:tr>
        <w:trPr>
          <w:cantSplit/>
        </w:trPr>
        <w:tc>
          <w:tcPr/>
          <w:p>
            <w:pPr>
              <w:pStyle w:val="Compact"/>
              <w:jc w:val="left"/>
            </w:pPr>
            <w:r>
              <w:t xml:space="preserve">Madhhab (pl. madhāhib)</w:t>
            </w:r>
          </w:p>
        </w:tc>
        <w:tc>
          <w:tcPr/>
          <w:p>
            <w:pPr>
              <w:pStyle w:val="Compact"/>
              <w:jc w:val="left"/>
            </w:pPr>
            <w:r>
              <w:t xml:space="preserve">A school of Islamic jurisprudence; AMIU recruits faculty across the four major Sunni madhāhib (Ḥanafī, Mālikī, Shāfiʿī, Ḥanbalī).</w:t>
            </w:r>
          </w:p>
        </w:tc>
      </w:tr>
      <w:tr>
        <w:trPr>
          <w:cantSplit/>
        </w:trPr>
        <w:tc>
          <w:tcPr/>
          <w:p>
            <w:pPr>
              <w:pStyle w:val="Compact"/>
              <w:jc w:val="left"/>
            </w:pPr>
            <w:r>
              <w:t xml:space="preserve">Zakāt</w:t>
            </w:r>
          </w:p>
        </w:tc>
        <w:tc>
          <w:tcPr/>
          <w:p>
            <w:pPr>
              <w:pStyle w:val="Compact"/>
              <w:jc w:val="left"/>
            </w:pPr>
            <w:r>
              <w:t xml:space="preserve">The obligatory Islamic almsgiving levied on qualifying wealth, distinct from but administratively related to Waqf and Sadaqah in Islamic finance.</w:t>
            </w:r>
          </w:p>
        </w:tc>
      </w:tr>
      <w:tr>
        <w:trPr>
          <w:cantSplit/>
        </w:trPr>
        <w:tc>
          <w:tcPr/>
          <w:p>
            <w:pPr>
              <w:pStyle w:val="Compact"/>
              <w:jc w:val="left"/>
            </w:pPr>
            <w:r>
              <w:t xml:space="preserve">Seerah</w:t>
            </w:r>
          </w:p>
        </w:tc>
        <w:tc>
          <w:tcPr/>
          <w:p>
            <w:pPr>
              <w:pStyle w:val="Compact"/>
              <w:jc w:val="left"/>
            </w:pPr>
            <w:r>
              <w:t xml:space="preserve">The biographical study of the life of the Prophet Muhammad ﷺ.</w:t>
            </w:r>
          </w:p>
        </w:tc>
      </w:tr>
      <w:tr>
        <w:trPr>
          <w:cantSplit/>
        </w:trPr>
        <w:tc>
          <w:tcPr/>
          <w:p>
            <w:pPr>
              <w:pStyle w:val="Compact"/>
              <w:jc w:val="left"/>
            </w:pPr>
            <w:r>
              <w:t xml:space="preserve">Akhlāq</w:t>
            </w:r>
          </w:p>
        </w:tc>
        <w:tc>
          <w:tcPr/>
          <w:p>
            <w:pPr>
              <w:pStyle w:val="Compact"/>
              <w:jc w:val="left"/>
            </w:pPr>
            <w:r>
              <w:t xml:space="preserve">Islamic ethics; the study and cultivation of moral character.</w:t>
            </w:r>
          </w:p>
        </w:tc>
      </w:tr>
      <w:tr>
        <w:trPr>
          <w:cantSplit/>
        </w:trPr>
        <w:tc>
          <w:tcPr/>
          <w:p>
            <w:pPr>
              <w:pStyle w:val="Compact"/>
              <w:jc w:val="left"/>
            </w:pPr>
            <w:r>
              <w:t xml:space="preserve">ISLAMIC Framework</w:t>
            </w:r>
          </w:p>
        </w:tc>
        <w:tc>
          <w:tcPr/>
          <w:p>
            <w:pPr>
              <w:pStyle w:val="Compact"/>
              <w:jc w:val="left"/>
            </w:pPr>
            <w:r>
              <w:t xml:space="preserve">AMIU’s seven-value institutional framework: Illumination, Sanad, Love, Access, Morality, Inquiry, Calling — see Section 2.</w:t>
            </w:r>
          </w:p>
        </w:tc>
      </w:tr>
      <w:tr>
        <w:trPr>
          <w:cantSplit/>
        </w:trPr>
        <w:tc>
          <w:tcPr/>
          <w:p>
            <w:pPr>
              <w:pStyle w:val="Compact"/>
              <w:jc w:val="left"/>
            </w:pPr>
            <w:r>
              <w:t xml:space="preserve">Waqf &amp; Stakeholder Reserve</w:t>
            </w:r>
          </w:p>
        </w:tc>
        <w:tc>
          <w:tcPr/>
          <w:p>
            <w:pPr>
              <w:pStyle w:val="Compact"/>
              <w:jc w:val="left"/>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pPr>
            <w:r>
              <w:t xml:space="preserve">Liquidity Reserve</w:t>
            </w:r>
          </w:p>
        </w:tc>
        <w:tc>
          <w:tcPr/>
          <w:p>
            <w:pPr>
              <w:pStyle w:val="Compact"/>
              <w:jc w:val="left"/>
            </w:pPr>
            <w:r>
              <w:t xml:space="preserve">The fixed 35%-of-Gross-Revenue allocation category funding institutional resilience, expansion, and accreditation costs (AMIU-MP-001 §5.7).</w:t>
            </w:r>
          </w:p>
        </w:tc>
      </w:tr>
      <w:tr>
        <w:trPr>
          <w:cantSplit/>
        </w:trPr>
        <w:tc>
          <w:tcPr/>
          <w:p>
            <w:pPr>
              <w:pStyle w:val="Compact"/>
              <w:jc w:val="left"/>
            </w:pPr>
            <w:r>
              <w:t xml:space="preserve">AMIU Strategic Business Reserve</w:t>
            </w:r>
          </w:p>
        </w:tc>
        <w:tc>
          <w:tcPr/>
          <w:p>
            <w:pPr>
              <w:pStyle w:val="Compact"/>
              <w:jc w:val="left"/>
            </w:pPr>
            <w:r>
              <w:t xml:space="preserve">The retained (non-distributed) half of the Waqf &amp; Stakeholder Reserve, held in Sharī’ah-compliant investment instruments only.</w:t>
            </w:r>
          </w:p>
        </w:tc>
      </w:tr>
      <w:tr>
        <w:trPr>
          <w:cantSplit/>
        </w:trPr>
        <w:tc>
          <w:tcPr/>
          <w:p>
            <w:pPr>
              <w:pStyle w:val="Compact"/>
              <w:jc w:val="left"/>
            </w:pPr>
            <w:r>
              <w:t xml:space="preserve">Capital Firewall</w:t>
            </w:r>
          </w:p>
        </w:tc>
        <w:tc>
          <w:tcPr/>
          <w:p>
            <w:pPr>
              <w:pStyle w:val="Compact"/>
              <w:jc w:val="left"/>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pPr>
            <w:r>
              <w:t xml:space="preserve">Commercial Engine</w:t>
            </w:r>
          </w:p>
        </w:tc>
        <w:tc>
          <w:tcPr/>
          <w:p>
            <w:pPr>
              <w:pStyle w:val="Compact"/>
              <w:jc w:val="left"/>
            </w:pPr>
            <w:r>
              <w:t xml:space="preserve">AMIU Global Services LLC — the University’s legally and financially separate, investor-capitalized commercial affiliate.</w:t>
            </w:r>
          </w:p>
        </w:tc>
      </w:tr>
      <w:tr>
        <w:trPr>
          <w:cantSplit/>
        </w:trPr>
        <w:tc>
          <w:tcPr/>
          <w:p>
            <w:pPr>
              <w:pStyle w:val="Compact"/>
              <w:jc w:val="left"/>
            </w:pPr>
            <w:r>
              <w:t xml:space="preserve">Fast-Track</w:t>
            </w:r>
          </w:p>
        </w:tc>
        <w:tc>
          <w:tcPr/>
          <w:p>
            <w:pPr>
              <w:pStyle w:val="Compact"/>
              <w:jc w:val="left"/>
            </w:pPr>
            <w:r>
              <w:t xml:space="preserve">AMIU’s institution-wide, no-additional-fee right allowing any student who demonstrates mastery to accelerate through the credential ladder.</w:t>
            </w:r>
          </w:p>
        </w:tc>
      </w:tr>
      <w:tr>
        <w:trPr>
          <w:cantSplit/>
        </w:trPr>
        <w:tc>
          <w:tcPr/>
          <w:p>
            <w:pPr>
              <w:pStyle w:val="Compact"/>
              <w:jc w:val="left"/>
            </w:pPr>
            <w:r>
              <w:t xml:space="preserve">Tier 1–4 (Tuition Tiers)</w:t>
            </w:r>
          </w:p>
        </w:tc>
        <w:tc>
          <w:tcPr/>
          <w:p>
            <w:pPr>
              <w:pStyle w:val="Compact"/>
              <w:jc w:val="left"/>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pPr>
            <w:r>
              <w:t xml:space="preserve">Stackable Credential</w:t>
            </w:r>
          </w:p>
        </w:tc>
        <w:tc>
          <w:tcPr/>
          <w:p>
            <w:pPr>
              <w:pStyle w:val="Compact"/>
              <w:jc w:val="left"/>
            </w:pPr>
            <w:r>
              <w:t xml:space="preserve">A credential explicitly designed so its completed credit hours carry forward with zero loss into the next tier of the seven-tier academic ladder.</w:t>
            </w:r>
          </w:p>
        </w:tc>
      </w:tr>
    </w:tbl>
    <w:p>
      <w:r>
        <w:br w:type="page"/>
      </w:r>
    </w:p>
    <w:bookmarkEnd w:id="39"/>
    <w:bookmarkEnd w:id="40"/>
    <w:bookmarkStart w:id="112" w:name="main-contents"/>
    <w:p>
      <w:pPr>
        <w:pStyle w:val="Heading1"/>
      </w:pPr>
      <w:r>
        <w:t xml:space="preserve">Main Contents</w: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ONE OF EIGHT</w:t>
            </w:r>
          </w:p>
          <w:p>
            <w:pPr>
              <w:spacing w:before="0" w:after="60"/>
            </w:pPr>
            <w:r>
              <w:rPr>
                <w:rFonts w:ascii="Cinzel" w:hAnsi="Cinzel"/>
                <w:color w:val="B08625"/>
                <w:b/>
                <w:sz w:val="108"/>
              </w:rPr>
              <w:t>I</w:t>
            </w:r>
          </w:p>
          <w:p>
            <w:pPr>
              <w:spacing w:before="120" w:after="80"/>
            </w:pPr>
            <w:r>
              <w:rPr>
                <w:rFonts w:ascii="Cormorant Garamond" w:hAnsi="Cormorant Garamond"/>
                <w:b/>
                <w:color w:val="B08625"/>
                <w:sz w:val="20"/>
                <w:caps/>
                <w:spacing w:val="14"/>
              </w:rPr>
              <w:t>Governance &amp; Institutional Foundations</w:t>
            </w:r>
          </w:p>
          <w:p>
            <w:pPr>
              <w:spacing w:before="0" w:after="260"/>
              <w:pBdr>
                <w:bottom w:val="single" w:sz="10" w:space="8" w:color="B08625"/>
              </w:pBdr>
            </w:pPr>
            <w:r>
              <w:rPr>
                <w:rFonts w:ascii="Liberation Sans" w:hAnsi="Liberation Sans"/>
                <w:color w:val="8C97AB"/>
                <w:sz w:val="17"/>
                <w:spacing w:val="14"/>
              </w:rPr>
              <w:t>SECTIONS 1–5</w:t>
            </w:r>
          </w:p>
          <w:p>
            <w:pPr>
              <w:spacing w:before="0" w:after="360"/>
              <w:ind w:right="700"/>
            </w:pPr>
            <w:r>
              <w:rPr>
                <w:rFonts w:ascii="Cormorant Garamond" w:hAnsi="Cormorant Garamond"/>
                <w:i/>
                <w:color w:val="DCE3F0"/>
                <w:sz w:val="25"/>
              </w:rPr>
              <w:t>“The bicameral architecture — Board of Trustees and University Senate — that lets AMIU govern honestly at $224,747 in Year-1 revenue and still govern honestly at $93.9M in Year 20.”</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01 </w:t>
            </w:r>
            <w:r>
              <w:rPr>
                <w:rFonts w:ascii="Liberation Sans" w:hAnsi="Liberation Sans"/>
                <w:color w:val="FFFFFF"/>
                <w:sz w:val="20"/>
              </w:rPr>
              <w:t>Institutional Vision 2028–2050</w:t>
            </w:r>
          </w:p>
          <w:p>
            <w:pPr>
              <w:spacing w:before="0" w:after="130"/>
            </w:pPr>
            <w:r>
              <w:rPr>
                <w:rFonts w:ascii="Cinzel" w:hAnsi="Cinzel"/>
                <w:b/>
                <w:color w:val="B08625"/>
                <w:sz w:val="20"/>
                <w:caps/>
                <w:spacing w:val="14"/>
              </w:rPr>
              <w:t>02 </w:t>
            </w:r>
            <w:r>
              <w:rPr>
                <w:rFonts w:ascii="Liberation Sans" w:hAnsi="Liberation Sans"/>
                <w:color w:val="FFFFFF"/>
                <w:sz w:val="20"/>
              </w:rPr>
              <w:t>Mission, Values, and Identity</w:t>
            </w:r>
          </w:p>
          <w:p>
            <w:pPr>
              <w:spacing w:before="0" w:after="130"/>
            </w:pPr>
            <w:r>
              <w:rPr>
                <w:rFonts w:ascii="Cinzel" w:hAnsi="Cinzel"/>
                <w:b/>
                <w:color w:val="B08625"/>
                <w:sz w:val="20"/>
                <w:caps/>
                <w:spacing w:val="14"/>
              </w:rPr>
              <w:t>03 </w:t>
            </w:r>
            <w:r>
              <w:rPr>
                <w:rFonts w:ascii="Liberation Sans" w:hAnsi="Liberation Sans"/>
                <w:color w:val="FFFFFF"/>
                <w:sz w:val="20"/>
              </w:rPr>
              <w:t>Governance Framework</w:t>
            </w:r>
          </w:p>
          <w:p>
            <w:pPr>
              <w:spacing w:before="0" w:after="130"/>
            </w:pPr>
            <w:r>
              <w:rPr>
                <w:rFonts w:ascii="Cinzel" w:hAnsi="Cinzel"/>
                <w:b/>
                <w:color w:val="B08625"/>
                <w:sz w:val="20"/>
                <w:caps/>
                <w:spacing w:val="14"/>
              </w:rPr>
              <w:t>04 </w:t>
            </w:r>
            <w:r>
              <w:rPr>
                <w:rFonts w:ascii="Liberation Sans" w:hAnsi="Liberation Sans"/>
                <w:color w:val="FFFFFF"/>
                <w:sz w:val="20"/>
              </w:rPr>
              <w:t>Senate Structure</w:t>
            </w:r>
          </w:p>
          <w:p>
            <w:pPr>
              <w:spacing w:before="0" w:after="130"/>
            </w:pPr>
            <w:r>
              <w:rPr>
                <w:rFonts w:ascii="Cinzel" w:hAnsi="Cinzel"/>
                <w:b/>
                <w:color w:val="B08625"/>
                <w:sz w:val="20"/>
                <w:caps/>
                <w:spacing w:val="14"/>
              </w:rPr>
              <w:t>05 </w:t>
            </w:r>
            <w:r>
              <w:rPr>
                <w:rFonts w:ascii="Liberation Sans" w:hAnsi="Liberation Sans"/>
                <w:color w:val="FFFFFF"/>
                <w:sz w:val="20"/>
              </w:rPr>
              <w:t>Board Structure</w:t>
            </w:r>
          </w:p>
        </w:tc>
      </w:tr>
    </w:tbl>
    <w:p>
      <w:r>
        <w:br w:type="page"/>
      </w:r>
    </w:p>
    <w:p>
      <w:pPr>
        <w:pStyle w:val="SectionKicker"/>
      </w:pPr>
      <w:r>
        <w:t xml:space="preserve">PART I · SECTION 01</w:t>
      </w:r>
    </w:p>
    <w:bookmarkStart w:id="47" w:name="section-1-institutional-vision-20282050"/>
    <w:p>
      <w:pPr>
        <w:pStyle w:val="Heading2"/>
      </w:pPr>
      <w:r>
        <w:t xml:space="preserve">Section 1: Institutional Vision 2028–2050</w:t>
      </w:r>
    </w:p>
    <w:p>
      <w:pPr>
        <w:pStyle w:val="CaptionedFigure"/>
      </w:pPr>
      <w:r>
        <w:drawing>
          <wp:inline>
            <wp:extent cx="5292852" cy="3085199"/>
            <wp:effectExtent b="0" l="0" r="0" t="0"/>
            <wp:docPr descr="Figure 1. Ten-Year Enrollment Growth, Founding Decade (Adopted Growth Scenario)" title="" id="42" name="Picture"/>
            <a:graphic>
              <a:graphicData uri="http://schemas.openxmlformats.org/drawingml/2006/picture">
                <pic:pic>
                  <pic:nvPicPr>
                    <pic:cNvPr descr="assets/figures/fig02_enrollment_growth.png" id="43" name="Picture"/>
                    <pic:cNvPicPr>
                      <a:picLocks noChangeArrowheads="1" noChangeAspect="1"/>
                    </pic:cNvPicPr>
                  </pic:nvPicPr>
                  <pic:blipFill>
                    <a:blip r:embed="rId41"/>
                    <a:stretch>
                      <a:fillRect/>
                    </a:stretch>
                  </pic:blipFill>
                  <pic:spPr bwMode="auto">
                    <a:xfrm>
                      <a:off x="0" y="0"/>
                      <a:ext cx="5292852" cy="30851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pPr>
      <w:r>
        <w:rPr>
          <w:iCs/>
          <w:i/>
        </w:rPr>
        <w:t xml:space="preserve">Source: AMIU-MP-001 §5.1, adopted Growth Scenario.</w:t>
      </w:r>
    </w:p>
    <w:p>
      <w:pPr>
        <w:pStyle w:val="CaptionedFigure"/>
      </w:pPr>
      <w:r>
        <w:drawing>
          <wp:inline>
            <wp:extent cx="5292852" cy="3181684"/>
            <wp:effectExtent b="0" l="0" r="0" t="0"/>
            <wp:docPr descr="Figure 2. Ten-Year Gross Revenue Trajectory, Founding Decade (2028–2037)" title="" id="45" name="Picture"/>
            <a:graphic>
              <a:graphicData uri="http://schemas.openxmlformats.org/drawingml/2006/picture">
                <pic:pic>
                  <pic:nvPicPr>
                    <pic:cNvPr descr="assets/figures/fig03_revenue_growth.png" id="46" name="Picture"/>
                    <pic:cNvPicPr>
                      <a:picLocks noChangeArrowheads="1" noChangeAspect="1"/>
                    </pic:cNvPicPr>
                  </pic:nvPicPr>
                  <pic:blipFill>
                    <a:blip r:embed="rId44"/>
                    <a:stretch>
                      <a:fillRect/>
                    </a:stretch>
                  </pic:blipFill>
                  <pic:spPr bwMode="auto">
                    <a:xfrm>
                      <a:off x="0" y="0"/>
                      <a:ext cx="5292852" cy="31816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pPr>
      <w:r>
        <w:rPr>
          <w:iCs/>
          <w:i/>
        </w:rPr>
        <w:t xml:space="preserve">Source: AMIU-MP-001 §5.1/§5.8, adopted Growth Scenario.</w:t>
      </w:r>
    </w:p>
    <w:p>
      <w:pPr>
        <w:pStyle w:val="BodyText"/>
      </w:pPr>
      <w:r>
        <w:rPr>
          <w:bCs/>
          <w:b/>
          <w:color w:val="B08625"/>
          <w:sz w:val="20"/>
          <w:caps/>
          <w:spacing w:val="14"/>
        </w:rPr>
        <w:t xml:space="preserve">Rationale</w:t>
      </w:r>
    </w:p>
    <w:p>
      <w:pPr>
        <w:pStyle w:val="BodyText"/>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labelled illustrative and contingent, consistent with the Master Plan’s own framing of its 20-year trajectory.</w:t>
      </w:r>
    </w:p>
    <w:p>
      <w:pPr>
        <w:pStyle w:val="BodyText"/>
      </w:pPr>
      <w:r>
        <w:rPr>
          <w:bCs/>
          <w:b/>
          <w:color w:val="B08625"/>
          <w:sz w:val="20"/>
          <w:caps/>
          <w:spacing w:val="14"/>
        </w:rPr>
        <w:t xml:space="preserve">Global Best Practices</w:t>
      </w:r>
    </w:p>
    <w:p>
      <w:pPr>
        <w:pStyle w:val="BodyText"/>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internationalisation — one branch campus proven before a second is attempted. AMIU’s Gambia-first, Nigeria-later pipeline mirrors this.</w:t>
      </w:r>
    </w:p>
    <w:p>
      <w:pPr>
        <w:pStyle w:val="BodyText"/>
      </w:pPr>
      <w:r>
        <w:rPr>
          <w:bCs/>
          <w:b/>
          <w:color w:val="B08625"/>
          <w:sz w:val="20"/>
          <w:caps/>
          <w:spacing w:val="14"/>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Core Thrust</w:t>
            </w:r>
          </w:p>
        </w:tc>
      </w:tr>
      <w:tr>
        <w:trPr>
          <w:cantSplit/>
        </w:trPr>
        <w:tc>
          <w:tcPr/>
          <w:p>
            <w:pPr>
              <w:pStyle w:val="Compact"/>
              <w:jc w:val="left"/>
            </w:pPr>
            <w:r>
              <w:t xml:space="preserve">I — Founding Decade</w:t>
            </w:r>
          </w:p>
        </w:tc>
        <w:tc>
          <w:tcPr/>
          <w:p>
            <w:pPr>
              <w:pStyle w:val="Compact"/>
              <w:jc w:val="left"/>
            </w:pPr>
            <w:r>
              <w:t xml:space="preserve">2028–2037</w:t>
            </w:r>
          </w:p>
        </w:tc>
        <w:tc>
          <w:tcPr/>
          <w:p>
            <w:pPr>
              <w:pStyle w:val="Compact"/>
              <w:jc w:val="left"/>
            </w:pPr>
            <w:r>
              <w:t xml:space="preserve">Six founding colleges, 71 programs, Texas + Gambia footprint, $224,747 → $3,830,549 annual revenue, 347 → 11,021 active students (all per adopted Master Plan)</w:t>
            </w:r>
          </w:p>
        </w:tc>
      </w:tr>
      <w:tr>
        <w:trPr>
          <w:cantSplit/>
        </w:trPr>
        <w:tc>
          <w:tcPr/>
          <w:p>
            <w:pPr>
              <w:pStyle w:val="Compact"/>
              <w:jc w:val="left"/>
            </w:pPr>
            <w:r>
              <w:t xml:space="preserve">II — Secular Expansion &amp; Global Accreditation</w:t>
            </w:r>
          </w:p>
        </w:tc>
        <w:tc>
          <w:tcPr/>
          <w:p>
            <w:pPr>
              <w:pStyle w:val="Compact"/>
              <w:jc w:val="left"/>
            </w:pPr>
            <w:r>
              <w:t xml:space="preserve">2038–2047</w:t>
            </w:r>
          </w:p>
        </w:tc>
        <w:tc>
          <w:tcPr/>
          <w:p>
            <w:pPr>
              <w:pStyle w:val="Compact"/>
              <w:jc w:val="left"/>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pPr>
            <w:r>
              <w:t xml:space="preserve">III — Global Maturity &amp; Legacy</w:t>
            </w:r>
          </w:p>
        </w:tc>
        <w:tc>
          <w:tcPr/>
          <w:p>
            <w:pPr>
              <w:pStyle w:val="Compact"/>
              <w:jc w:val="left"/>
            </w:pPr>
            <w:r>
              <w:t xml:space="preserve">2048–2050</w:t>
            </w:r>
          </w:p>
        </w:tc>
        <w:tc>
          <w:tcPr/>
          <w:p>
            <w:pPr>
              <w:pStyle w:val="Compact"/>
              <w:jc w:val="left"/>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pPr>
      <w:r>
        <w:rPr>
          <w:bCs/>
          <w:b/>
          <w:color w:val="B08625"/>
          <w:sz w:val="20"/>
          <w:caps/>
          <w:spacing w:val="14"/>
        </w:rPr>
        <w:t xml:space="preserve">Staffing Requirements</w:t>
      </w:r>
    </w:p>
    <w:p>
      <w:pPr>
        <w:pStyle w:val="BodyText"/>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pPr>
      <w:r>
        <w:rPr>
          <w:bCs/>
          <w:b/>
          <w:color w:val="B08625"/>
          <w:sz w:val="20"/>
          <w:caps/>
          <w:spacing w:val="14"/>
        </w:rPr>
        <w:t xml:space="preserve">Annual Budget</w:t>
      </w:r>
    </w:p>
    <w:p>
      <w:pPr>
        <w:pStyle w:val="BodyText"/>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numPr>
          <w:ilvl w:val="0"/>
          <w:numId w:val="1001"/>
        </w:numPr>
        <w:pStyle w:val="Compact"/>
        <w:shd w:val="clear" w:color="auto" w:fill="F7F3E8"/>
        <w:pBdr>
          <w:left w:val="single" w:sz="24" w:space="10" w:color="B08625"/>
        </w:pBdr>
        <w:ind w:left="300"/>
        <w:spacing w:before="0" w:after="0"/>
      </w:pPr>
      <w:r>
        <w:t xml:space="preserve">Active enrolment vs. Master Plan targets (347 / 3,493 / 11,021 at Years 1/5/10)</w:t>
      </w:r>
    </w:p>
    <w:p>
      <w:pPr>
        <w:numPr>
          <w:ilvl w:val="0"/>
          <w:numId w:val="1001"/>
        </w:numPr>
        <w:pStyle w:val="Compact"/>
        <w:shd w:val="clear" w:color="auto" w:fill="F7F3E8"/>
        <w:pBdr>
          <w:left w:val="single" w:sz="24" w:space="10" w:color="B08625"/>
        </w:pBdr>
        <w:ind w:left="300"/>
        <w:spacing w:before="0" w:after="0"/>
      </w:pPr>
      <w:r>
        <w:t xml:space="preserve">Number of jurisdictions holding active accreditation or recognition</w:t>
      </w:r>
    </w:p>
    <w:p>
      <w:pPr>
        <w:numPr>
          <w:ilvl w:val="0"/>
          <w:numId w:val="1001"/>
        </w:numPr>
        <w:pStyle w:val="Compact"/>
        <w:shd w:val="clear" w:color="auto" w:fill="F7F3E8"/>
        <w:pBdr>
          <w:left w:val="single" w:sz="24" w:space="10" w:color="B08625"/>
        </w:pBdr>
        <w:ind w:left="300"/>
        <w:spacing w:before="0" w:after="0"/>
      </w:pPr>
      <w:r>
        <w:t xml:space="preserve">Ratio of secular-program revenue to religious-program revenue post-2038 (monitor for mission-drift)</w:t>
      </w:r>
    </w:p>
    <w:p>
      <w:pPr>
        <w:numPr>
          <w:ilvl w:val="0"/>
          <w:numId w:val="1001"/>
        </w:numPr>
        <w:pStyle w:val="Compact"/>
        <w:shd w:val="clear" w:color="auto" w:fill="F7F3E8"/>
        <w:pBdr>
          <w:left w:val="single" w:sz="24" w:space="10" w:color="B08625"/>
        </w:pBdr>
        <w:ind w:left="300"/>
        <w:spacing w:before="0"/>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pPr>
      <w:r>
        <w:rPr>
          <w:bCs/>
          <w:b/>
          <w:color w:val="B08625"/>
          <w:sz w:val="20"/>
          <w:caps/>
          <w:spacing w:val="14"/>
        </w:rPr>
        <w:t xml:space="preserve">Timeline</w:t>
      </w:r>
    </w:p>
    <w:p>
      <w:pPr>
        <w:pStyle w:val="BodyText"/>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pPr>
      <w:r>
        <w:rPr>
          <w:bCs/>
          <w:b/>
          <w:color w:val="B08625"/>
          <w:sz w:val="20"/>
          <w:caps/>
          <w:spacing w:val="14"/>
        </w:rPr>
        <w:t xml:space="preserve">Governance Responsibilities</w:t>
      </w:r>
    </w:p>
    <w:p>
      <w:pPr>
        <w:pStyle w:val="BodyText"/>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pPr>
      <w:r>
        <w:rPr>
          <w:bCs/>
          <w:b/>
          <w:color w:val="B08625"/>
          <w:sz w:val="20"/>
          <w:caps/>
          <w:spacing w:val="14"/>
        </w:rPr>
        <w:t xml:space="preserve">Measurable Success Indicators</w:t>
      </w:r>
    </w:p>
    <w:p>
      <w:pPr>
        <w:pStyle w:val="BodyText"/>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7"/>
    <w:bookmarkStart w:id="48" w:name="section-2-mission-values-and-identity"/>
    <w:p>
      <w:pPr>
        <w:pStyle w:val="Heading2"/>
      </w:pPr>
      <w:r>
        <w:t xml:space="preserve">Section 2: Mission, Values, and Identity</w:t>
      </w:r>
    </w:p>
    <w:p>
      <w:pPr>
        <w:pStyle w:val="FirstParagraph"/>
      </w:pPr>
      <w:r>
        <w:rPr>
          <w:bCs/>
          <w:b/>
          <w:color w:val="B08625"/>
          <w:sz w:val="20"/>
          <w:caps/>
          <w:spacing w:val="14"/>
        </w:rPr>
        <w:t xml:space="preserve">Rationale</w:t>
      </w:r>
    </w:p>
    <w:p>
      <w:pPr>
        <w:pStyle w:val="BodyText"/>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pPr>
      <w:r>
        <w:rPr>
          <w:bCs/>
          <w:b/>
          <w:color w:val="B08625"/>
          <w:sz w:val="20"/>
          <w:caps/>
          <w:spacing w:val="14"/>
        </w:rPr>
        <w:t xml:space="preserve">Global Best Practices</w:t>
      </w:r>
    </w:p>
    <w:p>
      <w:pPr>
        <w:pStyle w:val="BodyText"/>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pPr>
      <w:r>
        <w:rPr>
          <w:bCs/>
          <w:b/>
          <w:color w:val="B08625"/>
          <w:sz w:val="20"/>
          <w:caps/>
          <w:spacing w:val="14"/>
        </w:rPr>
        <w:t xml:space="preserve">Implementation Phases (Target Years)</w:t>
      </w:r>
    </w:p>
    <w:p>
      <w:pPr>
        <w:pStyle w:val="BodyText"/>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pPr>
      <w:r>
        <w:rPr>
          <w:bCs/>
          <w:b/>
          <w:color w:val="B08625"/>
          <w:sz w:val="20"/>
          <w:caps/>
          <w:spacing w:val="14"/>
        </w:rPr>
        <w:t xml:space="preserve">Staffing Requirements</w:t>
      </w:r>
    </w:p>
    <w:p>
      <w:pPr>
        <w:pStyle w:val="BodyText"/>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pPr>
      <w:r>
        <w:rPr>
          <w:bCs/>
          <w:b/>
          <w:color w:val="B08625"/>
          <w:sz w:val="20"/>
          <w:caps/>
          <w:spacing w:val="14"/>
        </w:rPr>
        <w:t xml:space="preserve">Annual Budget</w:t>
      </w:r>
    </w:p>
    <w:p>
      <w:pPr>
        <w:pStyle w:val="BodyText"/>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pPr>
      <w:r>
        <w:rPr>
          <w:bCs/>
          <w:b/>
          <w:color w:val="B08625"/>
          <w:sz w:val="20"/>
          <w:caps/>
          <w:spacing w:val="14"/>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Value</w:t>
            </w:r>
          </w:p>
        </w:tc>
        <w:tc>
          <w:tcPr/>
          <w:p>
            <w:pPr>
              <w:pStyle w:val="Compact"/>
              <w:jc w:val="left"/>
            </w:pPr>
            <w:r>
              <w:t xml:space="preserve">Operational Home</w:t>
            </w:r>
          </w:p>
        </w:tc>
        <w:tc>
          <w:tcPr/>
          <w:p>
            <w:pPr>
              <w:pStyle w:val="Compact"/>
              <w:jc w:val="left"/>
            </w:pPr>
            <w:r>
              <w:t xml:space="preserve">Audit Mechanism</w:t>
            </w:r>
          </w:p>
        </w:tc>
      </w:tr>
      <w:tr>
        <w:trPr>
          <w:cantSplit/>
        </w:trPr>
        <w:tc>
          <w:tcPr/>
          <w:p>
            <w:pPr>
              <w:pStyle w:val="Compact"/>
              <w:jc w:val="left"/>
            </w:pPr>
            <w:r>
              <w:t xml:space="preserve">Illumination</w:t>
            </w:r>
          </w:p>
        </w:tc>
        <w:tc>
          <w:tcPr/>
          <w:p>
            <w:pPr>
              <w:pStyle w:val="Compact"/>
              <w:jc w:val="left"/>
            </w:pPr>
            <w:r>
              <w:t xml:space="preserve">Curriculum design, DVC Academic Affairs</w:t>
            </w:r>
          </w:p>
        </w:tc>
        <w:tc>
          <w:tcPr/>
          <w:p>
            <w:pPr>
              <w:pStyle w:val="Compact"/>
              <w:jc w:val="left"/>
            </w:pPr>
            <w:r>
              <w:t xml:space="preserve">Senate Group II annual curriculum review</w:t>
            </w:r>
          </w:p>
        </w:tc>
      </w:tr>
      <w:tr>
        <w:trPr>
          <w:cantSplit/>
        </w:trPr>
        <w:tc>
          <w:tcPr/>
          <w:p>
            <w:pPr>
              <w:pStyle w:val="Compact"/>
              <w:jc w:val="left"/>
            </w:pPr>
            <w:r>
              <w:t xml:space="preserve">Sanad</w:t>
            </w:r>
          </w:p>
        </w:tc>
        <w:tc>
          <w:tcPr/>
          <w:p>
            <w:pPr>
              <w:pStyle w:val="Compact"/>
              <w:jc w:val="left"/>
            </w:pPr>
            <w:r>
              <w:t xml:space="preserve">Faculty credentialing, ijāzah/chain verification</w:t>
            </w:r>
          </w:p>
        </w:tc>
        <w:tc>
          <w:tcPr/>
          <w:p>
            <w:pPr>
              <w:pStyle w:val="Compact"/>
              <w:jc w:val="left"/>
            </w:pPr>
            <w:r>
              <w:t xml:space="preserve">Independent Sharī’ah Advisory Board sign-off before program approval</w:t>
            </w:r>
          </w:p>
        </w:tc>
      </w:tr>
      <w:tr>
        <w:trPr>
          <w:cantSplit/>
        </w:trPr>
        <w:tc>
          <w:tcPr/>
          <w:p>
            <w:pPr>
              <w:pStyle w:val="Compact"/>
              <w:jc w:val="left"/>
            </w:pPr>
            <w:r>
              <w:t xml:space="preserve">Love</w:t>
            </w:r>
          </w:p>
        </w:tc>
        <w:tc>
          <w:tcPr/>
          <w:p>
            <w:pPr>
              <w:pStyle w:val="Compact"/>
              <w:jc w:val="left"/>
            </w:pPr>
            <w:r>
              <w:t xml:space="preserve">Waqf Scholarship Block, community outreach</w:t>
            </w:r>
          </w:p>
        </w:tc>
        <w:tc>
          <w:tcPr/>
          <w:p>
            <w:pPr>
              <w:pStyle w:val="Compact"/>
              <w:jc w:val="left"/>
            </w:pPr>
            <w:r>
              <w:t xml:space="preserve">Waqf &amp; Endowment Board quarterly disbursement report</w:t>
            </w:r>
          </w:p>
        </w:tc>
      </w:tr>
      <w:tr>
        <w:trPr>
          <w:cantSplit/>
        </w:trPr>
        <w:tc>
          <w:tcPr/>
          <w:p>
            <w:pPr>
              <w:pStyle w:val="Compact"/>
              <w:jc w:val="left"/>
            </w:pPr>
            <w:r>
              <w:t xml:space="preserve">Access</w:t>
            </w:r>
          </w:p>
        </w:tc>
        <w:tc>
          <w:tcPr/>
          <w:p>
            <w:pPr>
              <w:pStyle w:val="Compact"/>
              <w:jc w:val="left"/>
            </w:pPr>
            <w:r>
              <w:t xml:space="preserve">Four-tier tuition, 15% upfront discount, Tier-4 built-in waivers</w:t>
            </w:r>
          </w:p>
        </w:tc>
        <w:tc>
          <w:tcPr/>
          <w:p>
            <w:pPr>
              <w:pStyle w:val="Compact"/>
              <w:jc w:val="left"/>
            </w:pPr>
            <w:r>
              <w:t xml:space="preserve">Board of Trustees tuition-tier review (exclusive authority)</w:t>
            </w:r>
          </w:p>
        </w:tc>
      </w:tr>
      <w:tr>
        <w:trPr>
          <w:cantSplit/>
        </w:trPr>
        <w:tc>
          <w:tcPr/>
          <w:p>
            <w:pPr>
              <w:pStyle w:val="Compact"/>
              <w:jc w:val="left"/>
            </w:pPr>
            <w:r>
              <w:t xml:space="preserve">Morality</w:t>
            </w:r>
          </w:p>
        </w:tc>
        <w:tc>
          <w:tcPr/>
          <w:p>
            <w:pPr>
              <w:pStyle w:val="Compact"/>
              <w:jc w:val="left"/>
            </w:pPr>
            <w:r>
              <w:t xml:space="preserve">Sharī’ah-compliance screening of all revenue/investment activity</w:t>
            </w:r>
          </w:p>
        </w:tc>
        <w:tc>
          <w:tcPr/>
          <w:p>
            <w:pPr>
              <w:pStyle w:val="Compact"/>
              <w:jc w:val="left"/>
            </w:pPr>
            <w:r>
              <w:t xml:space="preserve">Independent Sharī’ah Advisory Board + Audit &amp; Risk Committee joint review</w:t>
            </w:r>
          </w:p>
        </w:tc>
      </w:tr>
      <w:tr>
        <w:trPr>
          <w:cantSplit/>
        </w:trPr>
        <w:tc>
          <w:tcPr/>
          <w:p>
            <w:pPr>
              <w:pStyle w:val="Compact"/>
              <w:jc w:val="left"/>
            </w:pPr>
            <w:r>
              <w:t xml:space="preserve">Inquiry</w:t>
            </w:r>
          </w:p>
        </w:tc>
        <w:tc>
          <w:tcPr/>
          <w:p>
            <w:pPr>
              <w:pStyle w:val="Compact"/>
              <w:jc w:val="left"/>
            </w:pPr>
            <w:r>
              <w:t xml:space="preserve">Research tracks, Post-Doctoral Fellowship (Tier VII, Year 6)</w:t>
            </w:r>
          </w:p>
        </w:tc>
        <w:tc>
          <w:tcPr/>
          <w:p>
            <w:pPr>
              <w:pStyle w:val="Compact"/>
              <w:jc w:val="left"/>
            </w:pPr>
            <w:r>
              <w:t xml:space="preserve">Senate degree-conferral and academic-standards process</w:t>
            </w:r>
          </w:p>
        </w:tc>
      </w:tr>
      <w:tr>
        <w:trPr>
          <w:cantSplit/>
        </w:trPr>
        <w:tc>
          <w:tcPr/>
          <w:p>
            <w:pPr>
              <w:pStyle w:val="Compact"/>
              <w:jc w:val="left"/>
            </w:pPr>
            <w:r>
              <w:t xml:space="preserve">Calling</w:t>
            </w:r>
          </w:p>
        </w:tc>
        <w:tc>
          <w:tcPr/>
          <w:p>
            <w:pPr>
              <w:pStyle w:val="Compact"/>
              <w:jc w:val="left"/>
            </w:pPr>
            <w:r>
              <w:t xml:space="preserve">Financial self-sufficiency discipline, $0-deficit rule</w:t>
            </w:r>
          </w:p>
        </w:tc>
        <w:tc>
          <w:tcPr/>
          <w:p>
            <w:pPr>
              <w:pStyle w:val="Compact"/>
              <w:jc w:val="left"/>
            </w:pPr>
            <w:r>
              <w:t xml:space="preserve">Board annual budget approval; DVC Admin &amp; Finance reporting</w:t>
            </w:r>
          </w:p>
        </w:tc>
      </w:tr>
    </w:tbl>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pPr>
      <w:r>
        <w:rPr>
          <w:bCs/>
          <w:b/>
          <w:color w:val="B08625"/>
          <w:sz w:val="20"/>
          <w:caps/>
          <w:spacing w:val="14"/>
        </w:rPr>
        <w:t xml:space="preserve">Timeline</w:t>
      </w:r>
    </w:p>
    <w:p>
      <w:pPr>
        <w:pStyle w:val="BodyText"/>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pPr>
      <w:r>
        <w:rPr>
          <w:bCs/>
          <w:b/>
          <w:color w:val="B08625"/>
          <w:sz w:val="20"/>
          <w:caps/>
          <w:spacing w:val="14"/>
        </w:rPr>
        <w:t xml:space="preserve">Governance Responsibilities</w:t>
      </w:r>
    </w:p>
    <w:p>
      <w:pPr>
        <w:pStyle w:val="BodyText"/>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pPr>
      <w:r>
        <w:rPr>
          <w:bCs/>
          <w:b/>
          <w:color w:val="B08625"/>
          <w:sz w:val="20"/>
          <w:caps/>
          <w:spacing w:val="14"/>
        </w:rPr>
        <w:t xml:space="preserve">Measurable Success Indicators</w:t>
      </w:r>
    </w:p>
    <w:p>
      <w:pPr>
        <w:pStyle w:val="BodyText"/>
      </w:pPr>
      <w:r>
        <w:t xml:space="preserve">By Year 5: documented mission-audit with no unresolved Sharī’ah-compliance exceptions. By Year 10: Tier-4/sponsored enrolment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8"/>
    <w:bookmarkStart w:id="49" w:name="section-3-governance-framework"/>
    <w:p>
      <w:pPr>
        <w:pStyle w:val="Heading2"/>
      </w:pPr>
      <w:r>
        <w:t xml:space="preserve">Section 3: Governance Framework</w:t>
      </w:r>
    </w:p>
    <w:p>
      <w:pPr>
        <w:pStyle w:val="FirstParagraph"/>
      </w:pPr>
      <w:r>
        <w:rPr>
          <w:bCs/>
          <w:b/>
          <w:color w:val="B08625"/>
          <w:sz w:val="20"/>
          <w:caps/>
          <w:spacing w:val="14"/>
        </w:rPr>
        <w:t xml:space="preserve">Rationale</w:t>
      </w:r>
    </w:p>
    <w:p>
      <w:pPr>
        <w:pStyle w:val="BodyText"/>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pPr>
      <w:r>
        <w:rPr>
          <w:bCs/>
          <w:b/>
          <w:color w:val="B08625"/>
          <w:sz w:val="20"/>
          <w:caps/>
          <w:spacing w:val="14"/>
        </w:rPr>
        <w:t xml:space="preserve">Global Best Practices</w:t>
      </w:r>
    </w:p>
    <w:p>
      <w:pPr>
        <w:pStyle w:val="BodyText"/>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pPr>
      <w:r>
        <w:rPr>
          <w:bCs/>
          <w:b/>
          <w:color w:val="B08625"/>
          <w:sz w:val="20"/>
          <w:caps/>
          <w:spacing w:val="14"/>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Committee</w:t>
            </w:r>
          </w:p>
        </w:tc>
        <w:tc>
          <w:tcPr/>
          <w:p>
            <w:pPr>
              <w:pStyle w:val="Compact"/>
              <w:jc w:val="left"/>
            </w:pPr>
            <w:r>
              <w:t xml:space="preserve">Reports To</w:t>
            </w:r>
          </w:p>
        </w:tc>
        <w:tc>
          <w:tcPr/>
          <w:p>
            <w:pPr>
              <w:pStyle w:val="Compact"/>
              <w:jc w:val="left"/>
            </w:pPr>
            <w:r>
              <w:t xml:space="preserve">Core Mandate</w:t>
            </w:r>
          </w:p>
        </w:tc>
      </w:tr>
      <w:tr>
        <w:trPr>
          <w:cantSplit/>
        </w:trPr>
        <w:tc>
          <w:tcPr/>
          <w:p>
            <w:pPr>
              <w:pStyle w:val="Compact"/>
              <w:jc w:val="left"/>
            </w:pPr>
            <w:r>
              <w:t xml:space="preserve">Audit &amp; Risk Committee</w:t>
            </w:r>
          </w:p>
        </w:tc>
        <w:tc>
          <w:tcPr/>
          <w:p>
            <w:pPr>
              <w:pStyle w:val="Compact"/>
              <w:jc w:val="left"/>
            </w:pPr>
            <w:r>
              <w:t xml:space="preserve">Board of Trustees</w:t>
            </w:r>
          </w:p>
        </w:tc>
        <w:tc>
          <w:tcPr/>
          <w:p>
            <w:pPr>
              <w:pStyle w:val="Compact"/>
              <w:jc w:val="left"/>
            </w:pPr>
            <w:r>
              <w:t xml:space="preserve">Internal Audit oversight, Risk Register (14 items) monitoring, IRS nonprofit-compliance review</w:t>
            </w:r>
          </w:p>
        </w:tc>
      </w:tr>
      <w:tr>
        <w:trPr>
          <w:cantSplit/>
        </w:trPr>
        <w:tc>
          <w:tcPr/>
          <w:p>
            <w:pPr>
              <w:pStyle w:val="Compact"/>
              <w:jc w:val="left"/>
            </w:pPr>
            <w:r>
              <w:t xml:space="preserve">Waqf &amp; Endowment Board</w:t>
            </w:r>
          </w:p>
        </w:tc>
        <w:tc>
          <w:tcPr/>
          <w:p>
            <w:pPr>
              <w:pStyle w:val="Compact"/>
              <w:jc w:val="left"/>
            </w:pPr>
            <w:r>
              <w:t xml:space="preserve">Board (fiduciary) + Senate (2/3+2-independent vote on &gt;$250k/yr deployment)</w:t>
            </w:r>
          </w:p>
        </w:tc>
        <w:tc>
          <w:tcPr/>
          <w:p>
            <w:pPr>
              <w:pStyle w:val="Compact"/>
              <w:jc w:val="left"/>
            </w:pPr>
            <w:r>
              <w:t xml:space="preserve">Administers 20% Waqf allocation and five sub-categories; 14-day adjudication on Scholarship Block awards</w:t>
            </w:r>
          </w:p>
        </w:tc>
      </w:tr>
      <w:tr>
        <w:trPr>
          <w:cantSplit/>
        </w:trPr>
        <w:tc>
          <w:tcPr/>
          <w:p>
            <w:pPr>
              <w:pStyle w:val="Compact"/>
              <w:jc w:val="left"/>
            </w:pPr>
            <w:r>
              <w:t xml:space="preserve">Independent Sharī’ah Advisory Board</w:t>
            </w:r>
          </w:p>
        </w:tc>
        <w:tc>
          <w:tcPr/>
          <w:p>
            <w:pPr>
              <w:pStyle w:val="Compact"/>
              <w:jc w:val="left"/>
            </w:pPr>
            <w:r>
              <w:t xml:space="preserve">Senate (academic) with Board notification rights</w:t>
            </w:r>
          </w:p>
        </w:tc>
        <w:tc>
          <w:tcPr/>
          <w:p>
            <w:pPr>
              <w:pStyle w:val="Compact"/>
              <w:jc w:val="left"/>
            </w:pPr>
            <w:r>
              <w:t xml:space="preserve">Sharī’ah-compliance sign-off on curriculum, finance products, Commercial Engine ventures</w:t>
            </w:r>
          </w:p>
        </w:tc>
      </w:tr>
      <w:tr>
        <w:trPr>
          <w:cantSplit/>
        </w:trPr>
        <w:tc>
          <w:tcPr/>
          <w:p>
            <w:pPr>
              <w:pStyle w:val="Compact"/>
              <w:jc w:val="left"/>
            </w:pPr>
            <w:r>
              <w:t xml:space="preserve">Faculty Affairs Committee</w:t>
            </w:r>
          </w:p>
        </w:tc>
        <w:tc>
          <w:tcPr/>
          <w:p>
            <w:pPr>
              <w:pStyle w:val="Compact"/>
              <w:jc w:val="left"/>
            </w:pPr>
            <w:r>
              <w:t xml:space="preserve">Senate Group III (Heads of Department)</w:t>
            </w:r>
          </w:p>
        </w:tc>
        <w:tc>
          <w:tcPr/>
          <w:p>
            <w:pPr>
              <w:pStyle w:val="Compact"/>
              <w:jc w:val="left"/>
            </w:pPr>
            <w:r>
              <w:t xml:space="preserve">Faculty grievances, appointment due process, attrition/burnout monitoring (Risk Register item)</w:t>
            </w:r>
          </w:p>
        </w:tc>
      </w:tr>
    </w:tbl>
    <w:p>
      <w:pPr>
        <w:pStyle w:val="BodyText"/>
      </w:pPr>
      <w:r>
        <w:rPr>
          <w:bCs/>
          <w:b/>
          <w:color w:val="B08625"/>
          <w:sz w:val="20"/>
          <w:caps/>
          <w:spacing w:val="14"/>
        </w:rPr>
        <w:t xml:space="preserve">Implementation Phases (Target Years)</w:t>
      </w:r>
    </w:p>
    <w:p>
      <w:pPr>
        <w:pStyle w:val="BodyText"/>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pPr>
      <w:r>
        <w:rPr>
          <w:bCs/>
          <w:b/>
          <w:color w:val="B08625"/>
          <w:sz w:val="20"/>
          <w:caps/>
          <w:spacing w:val="14"/>
        </w:rPr>
        <w:t xml:space="preserve">Staffing Requirements</w:t>
      </w:r>
    </w:p>
    <w:p>
      <w:pPr>
        <w:pStyle w:val="BodyText"/>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pPr>
      <w:r>
        <w:rPr>
          <w:bCs/>
          <w:b/>
          <w:color w:val="B08625"/>
          <w:sz w:val="20"/>
          <w:caps/>
          <w:spacing w:val="14"/>
        </w:rPr>
        <w:t xml:space="preserve">Annual Budget</w:t>
      </w:r>
    </w:p>
    <w:p>
      <w:pPr>
        <w:pStyle w:val="BodyText"/>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pPr>
      <w:r>
        <w:rPr>
          <w:bCs/>
          <w:b/>
          <w:color w:val="B08625"/>
          <w:sz w:val="20"/>
          <w:caps/>
          <w:spacing w:val="14"/>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Quarter</w:t>
            </w:r>
          </w:p>
        </w:tc>
        <w:tc>
          <w:tcPr/>
          <w:p>
            <w:pPr>
              <w:pStyle w:val="Compact"/>
              <w:jc w:val="left"/>
            </w:pPr>
            <w:r>
              <w:t xml:space="preserve">Board Activity</w:t>
            </w:r>
          </w:p>
        </w:tc>
        <w:tc>
          <w:tcPr/>
          <w:p>
            <w:pPr>
              <w:pStyle w:val="Compact"/>
              <w:jc w:val="left"/>
            </w:pPr>
            <w:r>
              <w:t xml:space="preserve">Senate/Committee Activity</w:t>
            </w:r>
          </w:p>
        </w:tc>
      </w:tr>
      <w:tr>
        <w:trPr>
          <w:cantSplit/>
        </w:trPr>
        <w:tc>
          <w:tcPr/>
          <w:p>
            <w:pPr>
              <w:pStyle w:val="Compact"/>
              <w:jc w:val="left"/>
            </w:pPr>
            <w:r>
              <w:t xml:space="preserve">Q1</w:t>
            </w:r>
          </w:p>
        </w:tc>
        <w:tc>
          <w:tcPr/>
          <w:p>
            <w:pPr>
              <w:pStyle w:val="Compact"/>
              <w:jc w:val="left"/>
            </w:pPr>
            <w:r>
              <w:t xml:space="preserve">Prior-year audited financials review</w:t>
            </w:r>
          </w:p>
        </w:tc>
        <w:tc>
          <w:tcPr/>
          <w:p>
            <w:pPr>
              <w:pStyle w:val="Compact"/>
              <w:jc w:val="left"/>
            </w:pPr>
            <w:r>
              <w:t xml:space="preserve">Waqf &amp; Endowment Board annual disbursement report</w:t>
            </w:r>
          </w:p>
        </w:tc>
      </w:tr>
      <w:tr>
        <w:trPr>
          <w:cantSplit/>
        </w:trPr>
        <w:tc>
          <w:tcPr/>
          <w:p>
            <w:pPr>
              <w:pStyle w:val="Compact"/>
              <w:jc w:val="left"/>
            </w:pPr>
            <w:r>
              <w:t xml:space="preserve">Q2</w:t>
            </w:r>
          </w:p>
        </w:tc>
        <w:tc>
          <w:tcPr/>
          <w:p>
            <w:pPr>
              <w:pStyle w:val="Compact"/>
              <w:jc w:val="left"/>
            </w:pPr>
            <w:r>
              <w:t xml:space="preserve">Tuition-tier review (exclusive authority)</w:t>
            </w:r>
          </w:p>
        </w:tc>
        <w:tc>
          <w:tcPr/>
          <w:p>
            <w:pPr>
              <w:pStyle w:val="Compact"/>
              <w:jc w:val="left"/>
            </w:pPr>
            <w:r>
              <w:t xml:space="preserve">Faculty Affairs annual review; Sharī’ah Advisory curriculum sign-off</w:t>
            </w:r>
          </w:p>
        </w:tc>
      </w:tr>
      <w:tr>
        <w:trPr>
          <w:cantSplit/>
        </w:trPr>
        <w:tc>
          <w:tcPr/>
          <w:p>
            <w:pPr>
              <w:pStyle w:val="Compact"/>
              <w:jc w:val="left"/>
            </w:pPr>
            <w:r>
              <w:t xml:space="preserve">Q3</w:t>
            </w:r>
          </w:p>
        </w:tc>
        <w:tc>
          <w:tcPr/>
          <w:p>
            <w:pPr>
              <w:pStyle w:val="Compact"/>
              <w:jc w:val="left"/>
            </w:pPr>
            <w:r>
              <w:t xml:space="preserve">Commercial Engine oversight review (firewall compliance)</w:t>
            </w:r>
          </w:p>
        </w:tc>
        <w:tc>
          <w:tcPr/>
          <w:p>
            <w:pPr>
              <w:pStyle w:val="Compact"/>
              <w:jc w:val="left"/>
            </w:pPr>
            <w:r>
              <w:t xml:space="preserve">Academic program review, degree-conferral cycle</w:t>
            </w:r>
          </w:p>
        </w:tc>
      </w:tr>
      <w:tr>
        <w:trPr>
          <w:cantSplit/>
        </w:trPr>
        <w:tc>
          <w:tcPr/>
          <w:p>
            <w:pPr>
              <w:pStyle w:val="Compact"/>
              <w:jc w:val="left"/>
            </w:pPr>
            <w:r>
              <w:t xml:space="preserve">Q4</w:t>
            </w:r>
          </w:p>
        </w:tc>
        <w:tc>
          <w:tcPr/>
          <w:p>
            <w:pPr>
              <w:pStyle w:val="Compact"/>
              <w:jc w:val="left"/>
            </w:pPr>
            <w:r>
              <w:t xml:space="preserve">Annual budget approval for coming fiscal year</w:t>
            </w:r>
          </w:p>
        </w:tc>
        <w:tc>
          <w:tcPr/>
          <w:p>
            <w:pPr>
              <w:pStyle w:val="Compact"/>
              <w:jc w:val="left"/>
            </w:pPr>
            <w:r>
              <w:t xml:space="preserve">Risk Register full review; succession-plan status check</w:t>
            </w:r>
          </w:p>
        </w:tc>
      </w:tr>
    </w:tbl>
    <w:p>
      <w:pPr>
        <w:pStyle w:val="BodyText"/>
      </w:pPr>
      <w:r>
        <w:rPr>
          <w:bCs/>
          <w:b/>
          <w:color w:val="B08625"/>
          <w:sz w:val="20"/>
          <w:caps/>
          <w:spacing w:val="14"/>
        </w:rPr>
        <w:t xml:space="preserve">Governance Responsibilities</w:t>
      </w:r>
    </w:p>
    <w:p>
      <w:pPr>
        <w:pStyle w:val="BodyText"/>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pPr>
      <w:r>
        <w:rPr>
          <w:bCs/>
          <w:b/>
          <w:color w:val="B08625"/>
          <w:sz w:val="20"/>
          <w:caps/>
          <w:spacing w:val="14"/>
        </w:rPr>
        <w:t xml:space="preserve">Measurable Success Indicators</w:t>
      </w:r>
    </w:p>
    <w:p>
      <w:pPr>
        <w:pStyle w:val="BodyText"/>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49"/>
    <w:bookmarkStart w:id="50" w:name="section-4-senate-structure"/>
    <w:p>
      <w:pPr>
        <w:pStyle w:val="Heading2"/>
      </w:pPr>
      <w:r>
        <w:t xml:space="preserve">Section 4: Senate Structure</w:t>
      </w:r>
    </w:p>
    <w:p>
      <w:pPr>
        <w:pStyle w:val="FirstParagraph"/>
      </w:pPr>
      <w:r>
        <w:rPr>
          <w:bCs/>
          <w:b/>
          <w:color w:val="B08625"/>
          <w:sz w:val="20"/>
          <w:caps/>
          <w:spacing w:val="14"/>
        </w:rPr>
        <w:t xml:space="preserve">Rationale</w:t>
      </w:r>
    </w:p>
    <w:p>
      <w:pPr>
        <w:pStyle w:val="BodyText"/>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pPr>
      <w:r>
        <w:rPr>
          <w:bCs/>
          <w:b/>
          <w:color w:val="B08625"/>
          <w:sz w:val="20"/>
          <w:caps/>
          <w:spacing w:val="14"/>
        </w:rPr>
        <w:t xml:space="preserve">Global Best Practices</w:t>
      </w:r>
    </w:p>
    <w:p>
      <w:pPr>
        <w:pStyle w:val="BodyText"/>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pPr>
      <w:r>
        <w:rPr>
          <w:bCs/>
          <w:b/>
          <w:color w:val="B08625"/>
          <w:sz w:val="20"/>
          <w:caps/>
          <w:spacing w:val="14"/>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Seats</w:t>
            </w:r>
          </w:p>
        </w:tc>
        <w:tc>
          <w:tcPr/>
          <w:p>
            <w:pPr>
              <w:pStyle w:val="Compact"/>
              <w:jc w:val="left"/>
            </w:pPr>
            <w:r>
              <w:t xml:space="preserve">Composition</w:t>
            </w:r>
          </w:p>
        </w:tc>
      </w:tr>
      <w:tr>
        <w:trPr>
          <w:cantSplit/>
        </w:trPr>
        <w:tc>
          <w:tcPr/>
          <w:p>
            <w:pPr>
              <w:pStyle w:val="Compact"/>
              <w:jc w:val="left"/>
            </w:pPr>
            <w:r>
              <w:t xml:space="preserve">I — Executive Leadership</w:t>
            </w:r>
          </w:p>
        </w:tc>
        <w:tc>
          <w:tcPr/>
          <w:p>
            <w:pPr>
              <w:pStyle w:val="Compact"/>
              <w:jc w:val="left"/>
            </w:pPr>
            <w:r>
              <w:t xml:space="preserve">3</w:t>
            </w:r>
          </w:p>
        </w:tc>
        <w:tc>
          <w:tcPr/>
          <w:p>
            <w:pPr>
              <w:pStyle w:val="Compact"/>
              <w:jc w:val="left"/>
            </w:pPr>
            <w:r>
              <w:t xml:space="preserve">President &amp; VC (Chair); DVC Academic Affairs, Muhammad Al-Qumash PhD (Vice-Chair); DVC Admin &amp; Finance, Abdullah Turki PhD (Secretary)</w:t>
            </w:r>
          </w:p>
        </w:tc>
      </w:tr>
      <w:tr>
        <w:trPr>
          <w:cantSplit/>
        </w:trPr>
        <w:tc>
          <w:tcPr/>
          <w:p>
            <w:pPr>
              <w:pStyle w:val="Compact"/>
              <w:jc w:val="left"/>
            </w:pPr>
            <w:r>
              <w:t xml:space="preserve">II — Academic Operations</w:t>
            </w:r>
          </w:p>
        </w:tc>
        <w:tc>
          <w:tcPr/>
          <w:p>
            <w:pPr>
              <w:pStyle w:val="Compact"/>
              <w:jc w:val="left"/>
            </w:pPr>
            <w:r>
              <w:t xml:space="preserve">5</w:t>
            </w:r>
          </w:p>
        </w:tc>
        <w:tc>
          <w:tcPr/>
          <w:p>
            <w:pPr>
              <w:pStyle w:val="Compact"/>
              <w:jc w:val="left"/>
            </w:pPr>
            <w:r>
              <w:t xml:space="preserve">4 College Deans (covering 6 colleges in paired/single assignments) + University Librarian (independent seat)</w:t>
            </w:r>
          </w:p>
        </w:tc>
      </w:tr>
      <w:tr>
        <w:trPr>
          <w:cantSplit/>
        </w:trPr>
        <w:tc>
          <w:tcPr/>
          <w:p>
            <w:pPr>
              <w:pStyle w:val="Compact"/>
              <w:jc w:val="left"/>
            </w:pPr>
            <w:r>
              <w:t xml:space="preserve">III — Frontline Instructional Management</w:t>
            </w:r>
          </w:p>
        </w:tc>
        <w:tc>
          <w:tcPr/>
          <w:p>
            <w:pPr>
              <w:pStyle w:val="Compact"/>
              <w:jc w:val="left"/>
            </w:pPr>
            <w:r>
              <w:t xml:space="preserve">6</w:t>
            </w:r>
          </w:p>
        </w:tc>
        <w:tc>
          <w:tcPr/>
          <w:p>
            <w:pPr>
              <w:pStyle w:val="Compact"/>
              <w:jc w:val="left"/>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pPr>
            <w:r>
              <w:t xml:space="preserve">IV — Institutional &amp; Digital Strategy</w:t>
            </w:r>
          </w:p>
        </w:tc>
        <w:tc>
          <w:tcPr/>
          <w:p>
            <w:pPr>
              <w:pStyle w:val="Compact"/>
              <w:jc w:val="left"/>
            </w:pPr>
            <w:r>
              <w:t xml:space="preserve">4</w:t>
            </w:r>
          </w:p>
        </w:tc>
        <w:tc>
          <w:tcPr/>
          <w:p>
            <w:pPr>
              <w:pStyle w:val="Compact"/>
              <w:jc w:val="left"/>
            </w:pPr>
            <w:r>
              <w:t xml:space="preserve">Director of Academic Planning &amp; LMS Infrastructure + 3 fully independent elected faculty representatives (no founder/executive role)</w:t>
            </w:r>
          </w:p>
        </w:tc>
      </w:tr>
    </w:tbl>
    <w:p>
      <w:pPr>
        <w:pStyle w:val="BodyText"/>
      </w:pPr>
      <w:r>
        <w:rPr>
          <w:bCs/>
          <w:b/>
          <w:color w:val="B08625"/>
          <w:sz w:val="20"/>
          <w:caps/>
          <w:spacing w:val="14"/>
        </w:rPr>
        <w:t xml:space="preserve">Election/Appointment Procedures</w:t>
      </w:r>
    </w:p>
    <w:p>
      <w:pPr>
        <w:pStyle w:val="BodyText"/>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pPr>
      <w:r>
        <w:rPr>
          <w:bCs/>
          <w:b/>
          <w:color w:val="B08625"/>
          <w:sz w:val="20"/>
          <w:caps/>
          <w:spacing w:val="14"/>
        </w:rPr>
        <w:t xml:space="preserve">Terms</w:t>
      </w:r>
    </w:p>
    <w:p>
      <w:pPr>
        <w:pStyle w:val="BodyText"/>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pPr>
      <w:r>
        <w:rPr>
          <w:bCs/>
          <w:b/>
          <w:color w:val="B08625"/>
          <w:sz w:val="20"/>
          <w:caps/>
          <w:spacing w:val="14"/>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Decision Type</w:t>
            </w:r>
          </w:p>
        </w:tc>
        <w:tc>
          <w:tcPr/>
          <w:p>
            <w:pPr>
              <w:pStyle w:val="Compact"/>
              <w:jc w:val="left"/>
            </w:pPr>
            <w:r>
              <w:t xml:space="preserve">Threshold</w:t>
            </w:r>
          </w:p>
        </w:tc>
      </w:tr>
      <w:tr>
        <w:trPr>
          <w:cantSplit/>
        </w:trPr>
        <w:tc>
          <w:tcPr/>
          <w:p>
            <w:pPr>
              <w:pStyle w:val="Compact"/>
              <w:jc w:val="left"/>
            </w:pPr>
            <w:r>
              <w:t xml:space="preserve">Ordinary business (curriculum, standard academic matters)</w:t>
            </w:r>
          </w:p>
        </w:tc>
        <w:tc>
          <w:tcPr/>
          <w:p>
            <w:pPr>
              <w:pStyle w:val="Compact"/>
              <w:jc w:val="left"/>
            </w:pPr>
            <w:r>
              <w:t xml:space="preserve">Simple majority of seated members, quorum = 10 of 18</w:t>
            </w:r>
          </w:p>
        </w:tc>
      </w:tr>
      <w:tr>
        <w:trPr>
          <w:cantSplit/>
        </w:trPr>
        <w:tc>
          <w:tcPr/>
          <w:p>
            <w:pPr>
              <w:pStyle w:val="Compact"/>
              <w:jc w:val="left"/>
            </w:pPr>
            <w:r>
              <w:t xml:space="preserve">Waqf deployment above $250,000/yr</w:t>
            </w:r>
          </w:p>
        </w:tc>
        <w:tc>
          <w:tcPr/>
          <w:p>
            <w:pPr>
              <w:pStyle w:val="Compact"/>
              <w:jc w:val="left"/>
            </w:pPr>
            <w:r>
              <w:t xml:space="preserve">2/3 Senate vote (12 of 18) including ≥2 of the 4 independent seats</w:t>
            </w:r>
          </w:p>
        </w:tc>
      </w:tr>
      <w:tr>
        <w:trPr>
          <w:cantSplit/>
        </w:trPr>
        <w:tc>
          <w:tcPr/>
          <w:p>
            <w:pPr>
              <w:pStyle w:val="Compact"/>
              <w:jc w:val="left"/>
            </w:pPr>
            <w:r>
              <w:t xml:space="preserve">Founders’ compensation</w:t>
            </w:r>
          </w:p>
        </w:tc>
        <w:tc>
          <w:tcPr/>
          <w:p>
            <w:pPr>
              <w:pStyle w:val="Compact"/>
              <w:jc w:val="left"/>
            </w:pPr>
            <w:r>
              <w:t xml:space="preserve">Unanimous affirmative approval from all 4 independent seats (8, 16, 17, 18) — no exceptions, no proxy override</w:t>
            </w:r>
          </w:p>
        </w:tc>
      </w:tr>
      <w:tr>
        <w:trPr>
          <w:cantSplit/>
        </w:trPr>
        <w:tc>
          <w:tcPr/>
          <w:p>
            <w:pPr>
              <w:pStyle w:val="Compact"/>
              <w:jc w:val="left"/>
            </w:pPr>
            <w:r>
              <w:t xml:space="preserve">Degree conferral / new program approval</w:t>
            </w:r>
          </w:p>
        </w:tc>
        <w:tc>
          <w:tcPr/>
          <w:p>
            <w:pPr>
              <w:pStyle w:val="Compact"/>
              <w:jc w:val="left"/>
            </w:pPr>
            <w:r>
              <w:t xml:space="preserve">Simple majority with mandatory Independent Sharī’ah Advisory Board sign-off precondition</w:t>
            </w:r>
          </w:p>
        </w:tc>
      </w:tr>
    </w:tbl>
    <w:p>
      <w:pPr>
        <w:pStyle w:val="BodyText"/>
      </w:pPr>
      <w:r>
        <w:rPr>
          <w:bCs/>
          <w:b/>
          <w:color w:val="B08625"/>
          <w:sz w:val="20"/>
          <w:caps/>
          <w:spacing w:val="14"/>
        </w:rPr>
        <w:t xml:space="preserve">Implementation Phases (Target Years)</w:t>
      </w:r>
    </w:p>
    <w:p>
      <w:pPr>
        <w:pStyle w:val="BodyText"/>
      </w:pPr>
      <w:r>
        <w:t xml:space="preserve">Year 1 (2028): full 18-seat Senate seated at launch, all Group I-III positions filled given the university cannot operate academically without them. Year 2-3 (2029-2030): first independent-seat elections held once faculty body reaches sufficient size to hold a genuine election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pPr>
      <w:r>
        <w:rPr>
          <w:bCs/>
          <w:b/>
          <w:color w:val="B08625"/>
          <w:sz w:val="20"/>
          <w:caps/>
          <w:spacing w:val="14"/>
        </w:rPr>
        <w:t xml:space="preserve">Staffing Requirements</w:t>
      </w:r>
    </w:p>
    <w:p>
      <w:pPr>
        <w:pStyle w:val="BodyText"/>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pPr>
      <w:r>
        <w:rPr>
          <w:bCs/>
          <w:b/>
          <w:color w:val="B08625"/>
          <w:sz w:val="20"/>
          <w:caps/>
          <w:spacing w:val="14"/>
        </w:rPr>
        <w:t xml:space="preserve">Annual Budget</w:t>
      </w:r>
    </w:p>
    <w:p>
      <w:pPr>
        <w:pStyle w:val="BodyText"/>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pPr>
      <w:r>
        <w:rPr>
          <w:bCs/>
          <w:b/>
          <w:color w:val="B08625"/>
          <w:sz w:val="20"/>
          <w:caps/>
          <w:spacing w:val="14"/>
        </w:rPr>
        <w:t xml:space="preserve">Timeline</w:t>
      </w:r>
    </w:p>
    <w:p>
      <w:pPr>
        <w:pStyle w:val="BodyText"/>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pPr>
      <w:r>
        <w:rPr>
          <w:bCs/>
          <w:b/>
          <w:color w:val="B08625"/>
          <w:sz w:val="20"/>
          <w:caps/>
          <w:spacing w:val="14"/>
        </w:rPr>
        <w:t xml:space="preserve">Governance Responsibilities</w:t>
      </w:r>
    </w:p>
    <w:p>
      <w:pPr>
        <w:pStyle w:val="BodyText"/>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pPr>
      <w:r>
        <w:rPr>
          <w:bCs/>
          <w:b/>
          <w:color w:val="B08625"/>
          <w:sz w:val="20"/>
          <w:caps/>
          <w:spacing w:val="14"/>
        </w:rPr>
        <w:t xml:space="preserve">Measurable Success Indicators</w:t>
      </w:r>
    </w:p>
    <w:p>
      <w:pPr>
        <w:pStyle w:val="BodyText"/>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0"/>
    <w:bookmarkStart w:id="51" w:name="section-5-board-structure"/>
    <w:p>
      <w:pPr>
        <w:pStyle w:val="Heading2"/>
      </w:pPr>
      <w:r>
        <w:t xml:space="preserve">Section 5: Board Structure</w:t>
      </w:r>
    </w:p>
    <w:p>
      <w:pPr>
        <w:pStyle w:val="FirstParagraph"/>
      </w:pPr>
      <w:r>
        <w:rPr>
          <w:bCs/>
          <w:b/>
          <w:color w:val="B08625"/>
          <w:sz w:val="20"/>
          <w:caps/>
          <w:spacing w:val="14"/>
        </w:rPr>
        <w:t xml:space="preserve">Rationale</w:t>
      </w:r>
    </w:p>
    <w:p>
      <w:pPr>
        <w:pStyle w:val="BodyText"/>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pPr>
      <w:r>
        <w:rPr>
          <w:bCs/>
          <w:b/>
          <w:color w:val="B08625"/>
          <w:sz w:val="20"/>
          <w:caps/>
          <w:spacing w:val="14"/>
        </w:rPr>
        <w:t xml:space="preserve">Global Best Practices</w:t>
      </w:r>
    </w:p>
    <w:p>
      <w:pPr>
        <w:pStyle w:val="BodyText"/>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Role</w:t>
            </w:r>
          </w:p>
        </w:tc>
        <w:tc>
          <w:tcPr/>
          <w:p>
            <w:pPr>
              <w:pStyle w:val="Compact"/>
              <w:jc w:val="left"/>
            </w:pPr>
            <w:r>
              <w:t xml:space="preserve">Function</w:t>
            </w:r>
          </w:p>
        </w:tc>
      </w:tr>
      <w:tr>
        <w:trPr>
          <w:cantSplit/>
        </w:trPr>
        <w:tc>
          <w:tcPr/>
          <w:p>
            <w:pPr>
              <w:pStyle w:val="Compact"/>
              <w:jc w:val="left"/>
            </w:pPr>
            <w:r>
              <w:t xml:space="preserve">Chairman</w:t>
            </w:r>
          </w:p>
        </w:tc>
        <w:tc>
          <w:tcPr/>
          <w:p>
            <w:pPr>
              <w:pStyle w:val="Compact"/>
              <w:jc w:val="left"/>
            </w:pPr>
            <w:r>
              <w:t xml:space="preserve">Presides over Board meetings, tie-breaking authority, primary liaison to the Senate Chair (President &amp; VC)</w:t>
            </w:r>
          </w:p>
        </w:tc>
      </w:tr>
      <w:tr>
        <w:trPr>
          <w:cantSplit/>
        </w:trPr>
        <w:tc>
          <w:tcPr/>
          <w:p>
            <w:pPr>
              <w:pStyle w:val="Compact"/>
              <w:jc w:val="left"/>
            </w:pPr>
            <w:r>
              <w:t xml:space="preserve">Vision Architect / Founder</w:t>
            </w:r>
          </w:p>
        </w:tc>
        <w:tc>
          <w:tcPr/>
          <w:p>
            <w:pPr>
              <w:pStyle w:val="Compact"/>
              <w:jc w:val="left"/>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pPr>
            <w:r>
              <w:t xml:space="preserve">Governance Specialist</w:t>
            </w:r>
          </w:p>
        </w:tc>
        <w:tc>
          <w:tcPr/>
          <w:p>
            <w:pPr>
              <w:pStyle w:val="Compact"/>
              <w:jc w:val="left"/>
            </w:pPr>
            <w:r>
              <w:t xml:space="preserve">Board policy, bylaws maintenance, committee-charter oversight</w:t>
            </w:r>
          </w:p>
        </w:tc>
      </w:tr>
      <w:tr>
        <w:trPr>
          <w:cantSplit/>
        </w:trPr>
        <w:tc>
          <w:tcPr/>
          <w:p>
            <w:pPr>
              <w:pStyle w:val="Compact"/>
              <w:jc w:val="left"/>
            </w:pPr>
            <w:r>
              <w:t xml:space="preserve">Accreditation Consultant</w:t>
            </w:r>
          </w:p>
        </w:tc>
        <w:tc>
          <w:tcPr/>
          <w:p>
            <w:pPr>
              <w:pStyle w:val="Compact"/>
              <w:jc w:val="left"/>
            </w:pPr>
            <w:r>
              <w:t xml:space="preserve">Guides the multi-jurisdiction accreditation pipeline (Texas → Gambia/NAQAA → ISO 21001 → CPD → future Gulf/Nigeria)</w:t>
            </w:r>
          </w:p>
        </w:tc>
      </w:tr>
      <w:tr>
        <w:trPr>
          <w:cantSplit/>
        </w:trPr>
        <w:tc>
          <w:tcPr/>
          <w:p>
            <w:pPr>
              <w:pStyle w:val="Compact"/>
              <w:jc w:val="left"/>
            </w:pPr>
            <w:r>
              <w:t xml:space="preserve">Legal Affairs Director</w:t>
            </w:r>
          </w:p>
        </w:tc>
        <w:tc>
          <w:tcPr/>
          <w:p>
            <w:pPr>
              <w:pStyle w:val="Compact"/>
              <w:jc w:val="left"/>
            </w:pPr>
            <w:r>
              <w:t xml:space="preserve">Texas nonprofit compliance, IRS 501(c)(3) religious-exemption maintenance, Commercial Engine firewall legal enforcement</w:t>
            </w:r>
          </w:p>
        </w:tc>
      </w:tr>
      <w:tr>
        <w:trPr>
          <w:cantSplit/>
        </w:trPr>
        <w:tc>
          <w:tcPr/>
          <w:p>
            <w:pPr>
              <w:pStyle w:val="Compact"/>
              <w:jc w:val="left"/>
            </w:pPr>
            <w:r>
              <w:t xml:space="preserve">Nonprofit/Endowment Governance Expert</w:t>
            </w:r>
          </w:p>
        </w:tc>
        <w:tc>
          <w:tcPr/>
          <w:p>
            <w:pPr>
              <w:pStyle w:val="Compact"/>
              <w:jc w:val="left"/>
            </w:pPr>
            <w:r>
              <w:t xml:space="preserve">Waqf &amp; Endowment Board liaison, fiduciary best-practice oversight</w:t>
            </w:r>
          </w:p>
        </w:tc>
      </w:tr>
    </w:tbl>
    <w:p>
      <w:pPr>
        <w:pStyle w:val="BodyText"/>
      </w:pPr>
      <w:r>
        <w:rPr>
          <w:bCs/>
          <w:b/>
          <w:color w:val="B08625"/>
          <w:sz w:val="20"/>
          <w:caps/>
          <w:spacing w:val="14"/>
        </w:rPr>
        <w:t xml:space="preserve">Exclusive Board Powers</w:t>
      </w:r>
    </w:p>
    <w:p>
      <w:pPr>
        <w:pStyle w:val="BodyText"/>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pPr>
      <w:r>
        <w:rPr>
          <w:bCs/>
          <w:b/>
          <w:color w:val="B08625"/>
          <w:sz w:val="20"/>
          <w:caps/>
          <w:spacing w:val="14"/>
        </w:rPr>
        <w:t xml:space="preserve">Implementation Phases (Target Years)</w:t>
      </w:r>
    </w:p>
    <w:p>
      <w:pPr>
        <w:pStyle w:val="BodyText"/>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pPr>
      <w:r>
        <w:rPr>
          <w:bCs/>
          <w:b/>
          <w:color w:val="B08625"/>
          <w:sz w:val="20"/>
          <w:caps/>
          <w:spacing w:val="14"/>
        </w:rPr>
        <w:t xml:space="preserve">Staffing Requirements</w:t>
      </w:r>
    </w:p>
    <w:p>
      <w:pPr>
        <w:pStyle w:val="BodyText"/>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pPr>
      <w:r>
        <w:rPr>
          <w:bCs/>
          <w:b/>
          <w:color w:val="B08625"/>
          <w:sz w:val="20"/>
          <w:caps/>
          <w:spacing w:val="14"/>
        </w:rPr>
        <w:t xml:space="preserve">Annual Budget</w:t>
      </w:r>
    </w:p>
    <w:p>
      <w:pPr>
        <w:pStyle w:val="BodyText"/>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after="0"/>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pPr>
      <w:r>
        <w:rPr>
          <w:bCs/>
          <w:b/>
        </w:rPr>
        <w:t xml:space="preserve">Trustee Recruitment, Term Limits, and Conflict-of-Interest Policy</w:t>
      </w:r>
    </w:p>
    <w:p>
      <w:pPr>
        <w:pStyle w:val="BodyText"/>
        <w:shd w:val="clear" w:color="auto" w:fill="F7F3E8"/>
        <w:pBdr>
          <w:left w:val="single" w:sz="24" w:space="10" w:color="B08625"/>
        </w:pBdr>
        <w:ind w:left="300"/>
        <w:spacing w:before="0"/>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pPr>
      <w:r>
        <w:rPr>
          <w:bCs/>
          <w:b/>
          <w:color w:val="B08625"/>
          <w:sz w:val="20"/>
          <w:caps/>
          <w:spacing w:val="14"/>
        </w:rPr>
        <w:t xml:space="preserve">Timeline</w:t>
      </w:r>
    </w:p>
    <w:p>
      <w:pPr>
        <w:pStyle w:val="BodyText"/>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pPr>
      <w:r>
        <w:rPr>
          <w:bCs/>
          <w:b/>
          <w:color w:val="B08625"/>
          <w:sz w:val="20"/>
          <w:caps/>
          <w:spacing w:val="14"/>
        </w:rPr>
        <w:t xml:space="preserve">Governance Responsibilities</w:t>
      </w:r>
    </w:p>
    <w:p>
      <w:pPr>
        <w:pStyle w:val="BodyText"/>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pPr>
      <w:r>
        <w:rPr>
          <w:bCs/>
          <w:b/>
          <w:color w:val="B08625"/>
          <w:sz w:val="20"/>
          <w:caps/>
          <w:spacing w:val="14"/>
        </w:rPr>
        <w:t xml:space="preserve">Measurable Success Indicators</w:t>
      </w:r>
    </w:p>
    <w:p>
      <w:pPr>
        <w:pStyle w:val="BodyText"/>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TWO OF EIGHT</w:t>
            </w:r>
          </w:p>
          <w:p>
            <w:pPr>
              <w:spacing w:before="0" w:after="60"/>
            </w:pPr>
            <w:r>
              <w:rPr>
                <w:rFonts w:ascii="Cinzel" w:hAnsi="Cinzel"/>
                <w:b/>
                <w:color w:val="B08625"/>
                <w:sz w:val="20"/>
                <w:caps/>
                <w:spacing w:val="14"/>
              </w:rPr>
              <w:t>II</w:t>
            </w:r>
          </w:p>
          <w:p>
            <w:pPr>
              <w:spacing w:before="120" w:after="80"/>
            </w:pPr>
            <w:r>
              <w:rPr>
                <w:rFonts w:ascii="Cormorant Garamond" w:hAnsi="Cormorant Garamond"/>
                <w:b/>
                <w:color w:val="B08625"/>
                <w:sz w:val="20"/>
                <w:caps/>
                <w:spacing w:val="14"/>
              </w:rPr>
              <w:t>Organizational &amp; Academic Structure</w:t>
            </w:r>
          </w:p>
          <w:p>
            <w:pPr>
              <w:spacing w:before="0" w:after="260"/>
              <w:pBdr>
                <w:bottom w:val="single" w:sz="10" w:space="8" w:color="B08625"/>
              </w:pBdr>
            </w:pPr>
            <w:r>
              <w:rPr>
                <w:rFonts w:ascii="Liberation Sans" w:hAnsi="Liberation Sans"/>
                <w:color w:val="8C97AB"/>
                <w:sz w:val="17"/>
                <w:spacing w:val="14"/>
              </w:rPr>
              <w:t>SECTIONS 6–10</w:t>
            </w:r>
          </w:p>
          <w:p>
            <w:pPr>
              <w:spacing w:before="0" w:after="360"/>
              <w:ind w:right="700"/>
            </w:pPr>
            <w:r>
              <w:rPr>
                <w:rFonts w:ascii="Cormorant Garamond" w:hAnsi="Cormorant Garamond"/>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06 </w:t>
            </w:r>
            <w:r>
              <w:rPr>
                <w:rFonts w:ascii="Liberation Sans" w:hAnsi="Liberation Sans"/>
                <w:color w:val="FFFFFF"/>
                <w:sz w:val="20"/>
              </w:rPr>
              <w:t>Organizational Chart</w:t>
            </w:r>
          </w:p>
          <w:p>
            <w:pPr>
              <w:spacing w:before="0" w:after="130"/>
            </w:pPr>
            <w:r>
              <w:rPr>
                <w:rFonts w:ascii="Cinzel" w:hAnsi="Cinzel"/>
                <w:b/>
                <w:color w:val="B08625"/>
                <w:sz w:val="20"/>
                <w:caps/>
                <w:spacing w:val="14"/>
              </w:rPr>
              <w:t>07 </w:t>
            </w:r>
            <w:r>
              <w:rPr>
                <w:rFonts w:ascii="Liberation Sans" w:hAnsi="Liberation Sans"/>
                <w:color w:val="FFFFFF"/>
                <w:sz w:val="20"/>
              </w:rPr>
              <w:t>Academic Master Plan</w:t>
            </w:r>
          </w:p>
          <w:p>
            <w:pPr>
              <w:spacing w:before="0" w:after="130"/>
            </w:pPr>
            <w:r>
              <w:rPr>
                <w:rFonts w:ascii="Cinzel" w:hAnsi="Cinzel"/>
                <w:b/>
                <w:color w:val="B08625"/>
                <w:sz w:val="20"/>
                <w:caps/>
                <w:spacing w:val="14"/>
              </w:rPr>
              <w:t>08 </w:t>
            </w:r>
            <w:r>
              <w:rPr>
                <w:rFonts w:ascii="Liberation Sans" w:hAnsi="Liberation Sans"/>
                <w:color w:val="FFFFFF"/>
                <w:sz w:val="20"/>
              </w:rPr>
              <w:t>College Structure</w:t>
            </w:r>
          </w:p>
          <w:p>
            <w:pPr>
              <w:spacing w:before="0" w:after="130"/>
            </w:pPr>
            <w:r>
              <w:rPr>
                <w:rFonts w:ascii="Cinzel" w:hAnsi="Cinzel"/>
                <w:b/>
                <w:color w:val="B08625"/>
                <w:sz w:val="20"/>
                <w:caps/>
                <w:spacing w:val="14"/>
              </w:rPr>
              <w:t>09 </w:t>
            </w:r>
            <w:r>
              <w:rPr>
                <w:rFonts w:ascii="Liberation Sans" w:hAnsi="Liberation Sans"/>
                <w:color w:val="FFFFFF"/>
                <w:sz w:val="20"/>
              </w:rPr>
              <w:t>Faculty Structure</w:t>
            </w:r>
          </w:p>
          <w:p>
            <w:pPr>
              <w:spacing w:before="0" w:after="130"/>
            </w:pPr>
            <w:r>
              <w:rPr>
                <w:rFonts w:ascii="Cinzel" w:hAnsi="Cinzel"/>
                <w:b/>
                <w:color w:val="B08625"/>
                <w:sz w:val="20"/>
                <w:caps/>
                <w:spacing w:val="14"/>
              </w:rPr>
              <w:t>10 </w:t>
            </w:r>
            <w:r>
              <w:rPr>
                <w:rFonts w:ascii="Liberation Sans" w:hAnsi="Liberation Sans"/>
                <w:color w:val="FFFFFF"/>
                <w:sz w:val="20"/>
              </w:rPr>
              <w:t>Department Structure</w:t>
            </w:r>
          </w:p>
        </w:tc>
      </w:tr>
    </w:tbl>
    <w:p>
      <w:r>
        <w:br w:type="page"/>
      </w:r>
    </w:p>
    <w:p>
      <w:pPr>
        <w:pStyle w:val="SectionKicker"/>
      </w:pPr>
      <w:r>
        <w:t xml:space="preserve">PART II · SECTION 06</w:t>
      </w:r>
    </w:p>
    <w:bookmarkEnd w:id="51"/>
    <w:bookmarkStart w:id="55" w:name="section-6-organizational-chart"/>
    <w:p>
      <w:pPr>
        <w:pStyle w:val="Heading2"/>
      </w:pPr>
      <w:r>
        <w:t xml:space="preserve">Section 6: Organizational Chart</w:t>
      </w:r>
    </w:p>
    <w:p>
      <w:pPr>
        <w:pStyle w:val="CaptionedFigure"/>
      </w:pPr>
      <w:r>
        <w:drawing>
          <wp:inline>
            <wp:extent cx="5292852" cy="4349279"/>
            <wp:effectExtent b="0" l="0" r="0" t="0"/>
            <wp:docPr descr="Figure 3. AMIU Governance &amp; Organisational Structure" title="" id="53" name="Picture"/>
            <a:graphic>
              <a:graphicData uri="http://schemas.openxmlformats.org/drawingml/2006/picture">
                <pic:pic>
                  <pic:nvPicPr>
                    <pic:cNvPr descr="assets/figures/fig06_governance_orgchart.png" id="54" name="Picture"/>
                    <pic:cNvPicPr>
                      <a:picLocks noChangeArrowheads="1" noChangeAspect="1"/>
                    </pic:cNvPicPr>
                  </pic:nvPicPr>
                  <pic:blipFill>
                    <a:blip r:embed="rId52"/>
                    <a:stretch>
                      <a:fillRect/>
                    </a:stretch>
                  </pic:blipFill>
                  <pic:spPr bwMode="auto">
                    <a:xfrm>
                      <a:off x="0" y="0"/>
                      <a:ext cx="5292852" cy="434927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Organisational Structure</w:t>
      </w:r>
    </w:p>
    <w:p>
      <w:pPr>
        <w:pStyle w:val="BodyText"/>
      </w:pPr>
      <w:r>
        <w:rPr>
          <w:iCs/>
          <w:i/>
        </w:rPr>
        <w:t xml:space="preserve">Bicameral authority: Board of Trustees and University Senate, founding-decade configuration.</w:t>
      </w:r>
    </w:p>
    <w:p>
      <w:pPr>
        <w:pStyle w:val="BodyText"/>
      </w:pPr>
      <w:r>
        <w:rPr>
          <w:bCs/>
          <w:b/>
          <w:color w:val="B08625"/>
          <w:sz w:val="20"/>
          <w:caps/>
          <w:spacing w:val="14"/>
        </w:rPr>
        <w:t xml:space="preserve">Rationale</w:t>
      </w:r>
    </w:p>
    <w:p>
      <w:pPr>
        <w:pStyle w:val="BodyText"/>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pPr>
      <w:r>
        <w:rPr>
          <w:bCs/>
          <w:b/>
          <w:color w:val="B08625"/>
          <w:sz w:val="20"/>
          <w:caps/>
          <w:spacing w:val="14"/>
        </w:rPr>
        <w:t xml:space="preserve">Global Best Practices</w:t>
      </w:r>
    </w:p>
    <w:p>
      <w:pPr>
        <w:pStyle w:val="BodyText"/>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pPr>
      <w:r>
        <w:rPr>
          <w:bCs/>
          <w:b/>
        </w:rPr>
        <w:t xml:space="preserve">Year 5 (2032) — Snapshot: 3,493 students, Total Payroll $258,157</w:t>
      </w:r>
    </w:p>
    <w:p>
      <w:pPr>
        <w:pStyle w:val="BodyText"/>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receive internal</w:t>
      </w:r>
      <w:r>
        <w:t xml:space="preserve"> </w:t>
      </w:r>
      <w:r>
        <w:t xml:space="preserve">“</w:t>
      </w:r>
      <w:r>
        <w:t xml:space="preserve">Senior Instructor</w:t>
      </w:r>
      <w:r>
        <w:t xml:space="preserve">”</w:t>
      </w:r>
      <w:r>
        <w:t xml:space="preserve"> </w:t>
      </w:r>
      <w:r>
        <w:t xml:space="preserve">pay differentiation as a precursor to formal ranks (see Section 9).</w:t>
      </w:r>
    </w:p>
    <w:p>
      <w:pPr>
        <w:pStyle w:val="BodyText"/>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pPr>
      <w:r>
        <w:rPr>
          <w:bCs/>
          <w:b/>
          <w:color w:val="B08625"/>
          <w:sz w:val="20"/>
          <w:caps/>
          <w:spacing w:val="14"/>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Phase</w:t>
            </w:r>
          </w:p>
        </w:tc>
        <w:tc>
          <w:tcPr/>
          <w:p>
            <w:pPr>
              <w:pStyle w:val="Compact"/>
              <w:jc w:val="left"/>
            </w:pPr>
            <w:r>
              <w:t xml:space="preserve">Payroll (20% of Gross Rev)</w:t>
            </w:r>
          </w:p>
        </w:tc>
        <w:tc>
          <w:tcPr/>
          <w:p>
            <w:pPr>
              <w:pStyle w:val="Compact"/>
              <w:jc w:val="left"/>
            </w:pPr>
            <w:r>
              <w:t xml:space="preserve">Admin/Ops FTE</w:t>
            </w:r>
          </w:p>
        </w:tc>
        <w:tc>
          <w:tcPr/>
          <w:p>
            <w:pPr>
              <w:pStyle w:val="Compact"/>
              <w:jc w:val="left"/>
            </w:pPr>
            <w:r>
              <w:t xml:space="preserve">Registrar staff</w:t>
            </w:r>
          </w:p>
        </w:tc>
        <w:tc>
          <w:tcPr/>
          <w:p>
            <w:pPr>
              <w:pStyle w:val="Compact"/>
              <w:jc w:val="left"/>
            </w:pPr>
            <w:r>
              <w:t xml:space="preserve">Key cost driver</w:t>
            </w:r>
          </w:p>
        </w:tc>
      </w:tr>
      <w:tr>
        <w:trPr>
          <w:cantSplit/>
        </w:trPr>
        <w:tc>
          <w:tcPr/>
          <w:p>
            <w:pPr>
              <w:pStyle w:val="Compact"/>
              <w:jc w:val="left"/>
            </w:pPr>
            <w:r>
              <w:t xml:space="preserve">Yr1</w:t>
            </w:r>
          </w:p>
        </w:tc>
        <w:tc>
          <w:tcPr/>
          <w:p>
            <w:pPr>
              <w:pStyle w:val="Compact"/>
              <w:jc w:val="left"/>
            </w:pPr>
            <w:r>
              <w:t xml:space="preserve">$44,949</w:t>
            </w:r>
          </w:p>
        </w:tc>
        <w:tc>
          <w:tcPr/>
          <w:p>
            <w:pPr>
              <w:pStyle w:val="Compact"/>
              <w:jc w:val="left"/>
            </w:pPr>
            <w:r>
              <w:t xml:space="preserve">1 (shared)</w:t>
            </w:r>
          </w:p>
        </w:tc>
        <w:tc>
          <w:tcPr/>
          <w:p>
            <w:pPr>
              <w:pStyle w:val="Compact"/>
              <w:jc w:val="left"/>
            </w:pPr>
            <w:r>
              <w:t xml:space="preserve">1</w:t>
            </w:r>
          </w:p>
        </w:tc>
        <w:tc>
          <w:tcPr/>
          <w:p>
            <w:pPr>
              <w:pStyle w:val="Compact"/>
              <w:jc w:val="left"/>
            </w:pPr>
            <w:r>
              <w:t xml:space="preserve">Core Admin sub-split 18% = $8,091</w:t>
            </w:r>
          </w:p>
        </w:tc>
      </w:tr>
      <w:tr>
        <w:trPr>
          <w:cantSplit/>
        </w:trPr>
        <w:tc>
          <w:tcPr/>
          <w:p>
            <w:pPr>
              <w:pStyle w:val="Compact"/>
              <w:jc w:val="left"/>
            </w:pPr>
            <w:r>
              <w:t xml:space="preserve">Yr5</w:t>
            </w:r>
          </w:p>
        </w:tc>
        <w:tc>
          <w:tcPr/>
          <w:p>
            <w:pPr>
              <w:pStyle w:val="Compact"/>
              <w:jc w:val="left"/>
            </w:pPr>
            <w:r>
              <w:t xml:space="preserve">$258,157</w:t>
            </w:r>
          </w:p>
        </w:tc>
        <w:tc>
          <w:tcPr/>
          <w:p>
            <w:pPr>
              <w:pStyle w:val="Compact"/>
              <w:jc w:val="left"/>
            </w:pPr>
            <w:r>
              <w:t xml:space="preserve">3–4</w:t>
            </w:r>
          </w:p>
        </w:tc>
        <w:tc>
          <w:tcPr/>
          <w:p>
            <w:pPr>
              <w:pStyle w:val="Compact"/>
              <w:jc w:val="left"/>
            </w:pPr>
            <w:r>
              <w:t xml:space="preserve">2–3</w:t>
            </w:r>
          </w:p>
        </w:tc>
        <w:tc>
          <w:tcPr/>
          <w:p>
            <w:pPr>
              <w:pStyle w:val="Compact"/>
              <w:jc w:val="left"/>
            </w:pPr>
            <w:r>
              <w:t xml:space="preserve">Core Admin = $46,468</w:t>
            </w:r>
          </w:p>
        </w:tc>
      </w:tr>
      <w:tr>
        <w:trPr>
          <w:cantSplit/>
        </w:trPr>
        <w:tc>
          <w:tcPr/>
          <w:p>
            <w:pPr>
              <w:pStyle w:val="Compact"/>
              <w:jc w:val="left"/>
            </w:pPr>
            <w:r>
              <w:t xml:space="preserve">Yr15 (illustrative)</w:t>
            </w:r>
          </w:p>
        </w:tc>
        <w:tc>
          <w:tcPr/>
          <w:p>
            <w:pPr>
              <w:pStyle w:val="Compact"/>
              <w:jc w:val="left"/>
            </w:pPr>
            <w:r>
              <w:t xml:space="preserve">≈$8.62M</w:t>
            </w:r>
          </w:p>
        </w:tc>
        <w:tc>
          <w:tcPr/>
          <w:p>
            <w:pPr>
              <w:pStyle w:val="Compact"/>
              <w:jc w:val="left"/>
            </w:pPr>
            <w:r>
              <w:t xml:space="preserve">20–30</w:t>
            </w:r>
          </w:p>
        </w:tc>
        <w:tc>
          <w:tcPr/>
          <w:p>
            <w:pPr>
              <w:pStyle w:val="Compact"/>
              <w:jc w:val="left"/>
            </w:pPr>
            <w:r>
              <w:t xml:space="preserve">6–8</w:t>
            </w:r>
          </w:p>
        </w:tc>
        <w:tc>
          <w:tcPr/>
          <w:p>
            <w:pPr>
              <w:pStyle w:val="Compact"/>
              <w:jc w:val="left"/>
            </w:pPr>
            <w:r>
              <w:t xml:space="preserve">Core Admin ≈$1.55M (18% of payroll)</w:t>
            </w:r>
          </w:p>
        </w:tc>
      </w:tr>
    </w:tbl>
    <w:p>
      <w:pPr>
        <w:pStyle w:val="BodyText"/>
        <w:shd w:val="clear" w:color="auto" w:fill="F7F3E8"/>
        <w:pBdr>
          <w:left w:val="single" w:sz="24" w:space="10" w:color="B08625"/>
        </w:pBdr>
        <w:ind w:left="300"/>
        <w:spacing/>
      </w:pPr>
      <w:r>
        <w:rPr>
          <w:bCs/>
          <w:b/>
          <w:color w:val="B08625"/>
          <w:sz w:val="20"/>
          <w:caps/>
          <w:spacing w:val="14"/>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pPr>
      <w:r>
        <w:rPr>
          <w:bCs/>
          <w:b/>
          <w:color w:val="B08625"/>
          <w:sz w:val="20"/>
          <w:caps/>
          <w:spacing w:val="14"/>
        </w:rPr>
        <w:t xml:space="preserve">Risks &amp; Mitigation</w:t>
      </w:r>
    </w:p>
    <w:p>
      <w:pPr>
        <w:numPr>
          <w:ilvl w:val="0"/>
          <w:numId w:val="1002"/>
        </w:numPr>
        <w:pStyle w:val="Compact"/>
      </w:pPr>
      <w:r>
        <w:rPr>
          <w:bCs/>
          <w:b/>
          <w:color w:val="B08625"/>
          <w:sz w:val="20"/>
          <w:caps/>
          <w:spacing w:val="14"/>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pPr>
      <w:r>
        <w:rPr>
          <w:bCs/>
          <w:b/>
          <w:color w:val="B08625"/>
          <w:sz w:val="20"/>
          <w:caps/>
          <w:spacing w:val="14"/>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pPr>
      <w:r>
        <w:rPr>
          <w:bCs/>
          <w:b/>
          <w:color w:val="B08625"/>
          <w:sz w:val="20"/>
          <w:caps/>
          <w:spacing w:val="14"/>
        </w:rPr>
        <w:t xml:space="preserve">Secular-school authority ambiguity</w:t>
      </w:r>
      <w:r>
        <w:t xml:space="preserve"> </w:t>
      </w:r>
      <w:r>
        <w:t xml:space="preserve">→ resolved explicitly: academic authority stays with Senate; Schools are administrative, not governance, units.</w:t>
      </w:r>
    </w:p>
    <w:p>
      <w:pPr>
        <w:pStyle w:val="FirstParagraph"/>
      </w:pPr>
      <w:r>
        <w:rPr>
          <w:bCs/>
          <w:b/>
          <w:color w:val="B08625"/>
          <w:sz w:val="20"/>
          <w:caps/>
          <w:spacing w:val="14"/>
        </w:rPr>
        <w:t xml:space="preserve">Timeline &amp; Governance Mapping</w:t>
      </w:r>
    </w:p>
    <w:p>
      <w:pPr>
        <w:pStyle w:val="BodyText"/>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pPr>
      <w:r>
        <w:rPr>
          <w:bCs/>
          <w:b/>
          <w:color w:val="B08625"/>
          <w:sz w:val="20"/>
          <w:caps/>
          <w:spacing w:val="14"/>
        </w:rPr>
        <w:t xml:space="preserve">Measurable Success Indicators</w:t>
      </w:r>
    </w:p>
    <w:p>
      <w:pPr>
        <w:pStyle w:val="BodyText"/>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5"/>
    <w:bookmarkStart w:id="59" w:name="section-7-academic-master-plan"/>
    <w:p>
      <w:pPr>
        <w:pStyle w:val="Heading2"/>
      </w:pPr>
      <w:r>
        <w:t xml:space="preserve">Section 7: Academic Master Plan</w:t>
      </w:r>
    </w:p>
    <w:p>
      <w:pPr>
        <w:pStyle w:val="CaptionedFigure"/>
      </w:pPr>
      <w:r>
        <w:drawing>
          <wp:inline>
            <wp:extent cx="5292852" cy="4350289"/>
            <wp:effectExtent b="0" l="0" r="0" t="0"/>
            <wp:docPr descr="Figure 4. The Seven-Tier Stackable Academic Ladder" title="" id="57" name="Picture"/>
            <a:graphic>
              <a:graphicData uri="http://schemas.openxmlformats.org/drawingml/2006/picture">
                <pic:pic>
                  <pic:nvPicPr>
                    <pic:cNvPr descr="assets/figures/fig07_seven_tier_ladder.png" id="58" name="Picture"/>
                    <pic:cNvPicPr>
                      <a:picLocks noChangeArrowheads="1" noChangeAspect="1"/>
                    </pic:cNvPicPr>
                  </pic:nvPicPr>
                  <pic:blipFill>
                    <a:blip r:embed="rId56"/>
                    <a:stretch>
                      <a:fillRect/>
                    </a:stretch>
                  </pic:blipFill>
                  <pic:spPr bwMode="auto">
                    <a:xfrm>
                      <a:off x="0" y="0"/>
                      <a:ext cx="5292852" cy="435028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pPr>
      <w:r>
        <w:rPr>
          <w:iCs/>
          <w:i/>
        </w:rPr>
        <w:t xml:space="preserve">71 named programs, founding decade; every credential stacks into the next with zero credit loss.</w:t>
      </w:r>
    </w:p>
    <w:p>
      <w:pPr>
        <w:pStyle w:val="BodyText"/>
      </w:pPr>
      <w:r>
        <w:rPr>
          <w:bCs/>
          <w:b/>
          <w:color w:val="B08625"/>
          <w:sz w:val="20"/>
          <w:caps/>
          <w:spacing w:val="14"/>
        </w:rPr>
        <w:t xml:space="preserve">Rationale</w:t>
      </w:r>
    </w:p>
    <w:p>
      <w:pPr>
        <w:pStyle w:val="BodyText"/>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pPr>
      <w:r>
        <w:rPr>
          <w:bCs/>
          <w:b/>
          <w:color w:val="B08625"/>
          <w:sz w:val="20"/>
          <w:caps/>
          <w:spacing w:val="14"/>
        </w:rPr>
        <w:t xml:space="preserve">Global Best Practices</w:t>
      </w:r>
    </w:p>
    <w:p>
      <w:pPr>
        <w:pStyle w:val="BodyText"/>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pPr>
      <w:r>
        <w:rPr>
          <w:bCs/>
          <w:b/>
          <w:color w:val="B08625"/>
          <w:sz w:val="20"/>
          <w:caps/>
          <w:spacing w:val="14"/>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Tier(s) launched</w:t>
            </w:r>
          </w:p>
        </w:tc>
        <w:tc>
          <w:tcPr/>
          <w:p>
            <w:pPr>
              <w:pStyle w:val="Compact"/>
              <w:jc w:val="left"/>
            </w:pPr>
            <w:r>
              <w:t xml:space="preserve">Programs</w:t>
            </w:r>
          </w:p>
        </w:tc>
      </w:tr>
      <w:tr>
        <w:trPr>
          <w:cantSplit/>
        </w:trPr>
        <w:tc>
          <w:tcPr/>
          <w:p>
            <w:pPr>
              <w:pStyle w:val="Compact"/>
              <w:jc w:val="left"/>
            </w:pPr>
            <w:r>
              <w:t xml:space="preserve">1</w:t>
            </w:r>
          </w:p>
        </w:tc>
        <w:tc>
          <w:tcPr/>
          <w:p>
            <w:pPr>
              <w:pStyle w:val="Compact"/>
              <w:jc w:val="left"/>
            </w:pPr>
            <w:r>
              <w:t xml:space="preserve">Yr1 (2028)</w:t>
            </w:r>
          </w:p>
        </w:tc>
        <w:tc>
          <w:tcPr/>
          <w:p>
            <w:pPr>
              <w:pStyle w:val="Compact"/>
              <w:jc w:val="left"/>
            </w:pPr>
            <w:r>
              <w:t xml:space="preserve">I Diploma, II Associate, III BA</w:t>
            </w:r>
          </w:p>
        </w:tc>
        <w:tc>
          <w:tcPr/>
          <w:p>
            <w:pPr>
              <w:pStyle w:val="Compact"/>
              <w:jc w:val="left"/>
            </w:pPr>
            <w:r>
              <w:t xml:space="preserve">#1–47 (47 programs)</w:t>
            </w:r>
          </w:p>
        </w:tc>
      </w:tr>
      <w:tr>
        <w:trPr>
          <w:cantSplit/>
        </w:trPr>
        <w:tc>
          <w:tcPr/>
          <w:p>
            <w:pPr>
              <w:pStyle w:val="Compact"/>
              <w:jc w:val="left"/>
            </w:pPr>
            <w:r>
              <w:t xml:space="preserve">2</w:t>
            </w:r>
          </w:p>
        </w:tc>
        <w:tc>
          <w:tcPr/>
          <w:p>
            <w:pPr>
              <w:pStyle w:val="Compact"/>
              <w:jc w:val="left"/>
            </w:pPr>
            <w:r>
              <w:t xml:space="preserve">Yr2 (2029)</w:t>
            </w:r>
          </w:p>
        </w:tc>
        <w:tc>
          <w:tcPr/>
          <w:p>
            <w:pPr>
              <w:pStyle w:val="Compact"/>
              <w:jc w:val="left"/>
            </w:pPr>
            <w:r>
              <w:t xml:space="preserve">IV Higher PG Diploma, V MA</w:t>
            </w:r>
          </w:p>
        </w:tc>
        <w:tc>
          <w:tcPr/>
          <w:p>
            <w:pPr>
              <w:pStyle w:val="Compact"/>
              <w:jc w:val="left"/>
            </w:pPr>
            <w:r>
              <w:t xml:space="preserve">#48–61 (14 programs)</w:t>
            </w:r>
          </w:p>
        </w:tc>
      </w:tr>
      <w:tr>
        <w:trPr>
          <w:cantSplit/>
        </w:trPr>
        <w:tc>
          <w:tcPr/>
          <w:p>
            <w:pPr>
              <w:pStyle w:val="Compact"/>
              <w:jc w:val="left"/>
            </w:pPr>
            <w:r>
              <w:t xml:space="preserve">3</w:t>
            </w:r>
          </w:p>
        </w:tc>
        <w:tc>
          <w:tcPr/>
          <w:p>
            <w:pPr>
              <w:pStyle w:val="Compact"/>
              <w:jc w:val="left"/>
            </w:pPr>
            <w:r>
              <w:t xml:space="preserve">Yr3 (2030)</w:t>
            </w:r>
          </w:p>
        </w:tc>
        <w:tc>
          <w:tcPr/>
          <w:p>
            <w:pPr>
              <w:pStyle w:val="Compact"/>
              <w:jc w:val="left"/>
            </w:pPr>
            <w:r>
              <w:t xml:space="preserve">VI PhD</w:t>
            </w:r>
          </w:p>
        </w:tc>
        <w:tc>
          <w:tcPr/>
          <w:p>
            <w:pPr>
              <w:pStyle w:val="Compact"/>
              <w:jc w:val="left"/>
            </w:pPr>
            <w:r>
              <w:t xml:space="preserve">#62–67 (6 programs)</w:t>
            </w:r>
          </w:p>
        </w:tc>
      </w:tr>
      <w:tr>
        <w:trPr>
          <w:cantSplit/>
        </w:trPr>
        <w:tc>
          <w:tcPr/>
          <w:p>
            <w:pPr>
              <w:pStyle w:val="Compact"/>
              <w:jc w:val="left"/>
            </w:pPr>
            <w:r>
              <w:t xml:space="preserve">4</w:t>
            </w:r>
          </w:p>
        </w:tc>
        <w:tc>
          <w:tcPr/>
          <w:p>
            <w:pPr>
              <w:pStyle w:val="Compact"/>
              <w:jc w:val="left"/>
            </w:pPr>
            <w:r>
              <w:t xml:space="preserve">Yr6 (2033)</w:t>
            </w:r>
          </w:p>
        </w:tc>
        <w:tc>
          <w:tcPr/>
          <w:p>
            <w:pPr>
              <w:pStyle w:val="Compact"/>
              <w:jc w:val="left"/>
            </w:pPr>
            <w:r>
              <w:t xml:space="preserve">VII Post-Doctoral Fellowship (non-credit)</w:t>
            </w:r>
          </w:p>
        </w:tc>
        <w:tc>
          <w:tcPr/>
          <w:p>
            <w:pPr>
              <w:pStyle w:val="Compact"/>
              <w:jc w:val="left"/>
            </w:pPr>
            <w:r>
              <w:t xml:space="preserve">#68–71 (4 tracks)</w:t>
            </w:r>
          </w:p>
        </w:tc>
      </w:tr>
      <w:tr>
        <w:trPr>
          <w:cantSplit/>
        </w:trPr>
        <w:tc>
          <w:tcPr/>
          <w:p>
            <w:pPr>
              <w:pStyle w:val="Compact"/>
              <w:jc w:val="left"/>
            </w:pPr>
            <w:r>
              <w:t xml:space="preserve">5</w:t>
            </w:r>
          </w:p>
        </w:tc>
        <w:tc>
          <w:tcPr/>
          <w:p>
            <w:pPr>
              <w:pStyle w:val="Compact"/>
              <w:jc w:val="left"/>
            </w:pPr>
            <w:r>
              <w:t xml:space="preserve">Yr11 (2038)</w:t>
            </w:r>
          </w:p>
        </w:tc>
        <w:tc>
          <w:tcPr/>
          <w:p>
            <w:pPr>
              <w:pStyle w:val="Compact"/>
              <w:jc w:val="left"/>
            </w:pPr>
            <w:r>
              <w:t xml:space="preserve">7 Secular Schools</w:t>
            </w:r>
          </w:p>
        </w:tc>
        <w:tc>
          <w:tcPr/>
          <w:p>
            <w:pPr>
              <w:pStyle w:val="Compact"/>
              <w:jc w:val="left"/>
            </w:pPr>
            <w:r>
              <w:t xml:space="preserve">#72–99 (28 programs)</w:t>
            </w:r>
          </w:p>
        </w:tc>
      </w:tr>
      <w:tr>
        <w:trPr>
          <w:cantSplit/>
        </w:trPr>
        <w:tc>
          <w:tcPr/>
          <w:p>
            <w:pPr>
              <w:pStyle w:val="Compact"/>
              <w:jc w:val="left"/>
            </w:pPr>
            <w:r>
              <w:t xml:space="preserve">6</w:t>
            </w:r>
          </w:p>
        </w:tc>
        <w:tc>
          <w:tcPr/>
          <w:p>
            <w:pPr>
              <w:pStyle w:val="Compact"/>
              <w:jc w:val="left"/>
            </w:pPr>
            <w:r>
              <w:t xml:space="preserve">Yr12–20 (2039–2047)</w:t>
            </w:r>
          </w:p>
        </w:tc>
        <w:tc>
          <w:tcPr/>
          <w:p>
            <w:pPr>
              <w:pStyle w:val="Compact"/>
              <w:jc w:val="left"/>
            </w:pPr>
            <w:r>
              <w:t xml:space="preserve">Maturation, dual Islamic/secular gen-ed bridges</w:t>
            </w:r>
          </w:p>
        </w:tc>
        <w:tc>
          <w:tcPr/>
          <w:p>
            <w:pPr>
              <w:pStyle w:val="Compact"/>
              <w:jc w:val="left"/>
            </w:pPr>
            <w:r>
              <w:t xml:space="preserve">no new numbered programs w/o Senate</w:t>
            </w:r>
          </w:p>
        </w:tc>
      </w:tr>
      <w:tr>
        <w:trPr>
          <w:cantSplit/>
        </w:trPr>
        <w:tc>
          <w:tcPr/>
          <w:p>
            <w:pPr>
              <w:pStyle w:val="Compact"/>
              <w:jc w:val="left"/>
            </w:pPr>
            <w:r>
              <w:t xml:space="preserve">7</w:t>
            </w:r>
          </w:p>
        </w:tc>
        <w:tc>
          <w:tcPr/>
          <w:p>
            <w:pPr>
              <w:pStyle w:val="Compact"/>
              <w:jc w:val="left"/>
            </w:pPr>
            <w:r>
              <w:t xml:space="preserve">Yr21–23 (2048–2050)</w:t>
            </w:r>
          </w:p>
        </w:tc>
        <w:tc>
          <w:tcPr/>
          <w:p>
            <w:pPr>
              <w:pStyle w:val="Compact"/>
              <w:jc w:val="left"/>
            </w:pPr>
            <w:r>
              <w:t xml:space="preserve">Steady-state consolidation &amp; accreditation deepening</w:t>
            </w:r>
          </w:p>
        </w:tc>
        <w:tc>
          <w:tcPr/>
          <w:p>
            <w:pPr>
              <w:pStyle w:val="Compact"/>
              <w:jc w:val="left"/>
            </w:pPr>
            <w:r>
              <w:t xml:space="preserve">—</w:t>
            </w:r>
          </w:p>
        </w:tc>
      </w:tr>
    </w:tbl>
    <w:p>
      <w:pPr>
        <w:pStyle w:val="BodyText"/>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pPr>
      <w:r>
        <w:rPr>
          <w:bCs/>
          <w:b/>
          <w:color w:val="B08625"/>
          <w:sz w:val="20"/>
          <w:caps/>
          <w:spacing w:val="14"/>
        </w:rPr>
        <w:t xml:space="preserve">Academic Calendar / Semester Model</w:t>
      </w:r>
    </w:p>
    <w:p>
      <w:pPr>
        <w:pStyle w:val="BodyText"/>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Approx. teaching scholars</w:t>
            </w:r>
          </w:p>
        </w:tc>
        <w:tc>
          <w:tcPr/>
          <w:p>
            <w:pPr>
              <w:pStyle w:val="Compact"/>
              <w:jc w:val="left"/>
            </w:pPr>
            <w:r>
              <w:t xml:space="preserve">Notes</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8–12</w:t>
            </w:r>
          </w:p>
        </w:tc>
        <w:tc>
          <w:tcPr/>
          <w:p>
            <w:pPr>
              <w:pStyle w:val="Compact"/>
              <w:jc w:val="left"/>
            </w:pPr>
            <w:r>
              <w:t xml:space="preserve">multi-hat, cover Diploma–BA of one spine each</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30–35</w:t>
            </w:r>
          </w:p>
        </w:tc>
        <w:tc>
          <w:tcPr/>
          <w:p>
            <w:pPr>
              <w:pStyle w:val="Compact"/>
              <w:jc w:val="left"/>
            </w:pPr>
            <w:r>
              <w:t xml:space="preserve">now cover through early PhD</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60–90</w:t>
            </w:r>
          </w:p>
        </w:tc>
        <w:tc>
          <w:tcPr/>
          <w:p>
            <w:pPr>
              <w:pStyle w:val="Compact"/>
              <w:jc w:val="left"/>
            </w:pPr>
            <w:r>
              <w:t xml:space="preserve">full ladder + first Post-Doc fellows as mentors</w:t>
            </w:r>
          </w:p>
        </w:tc>
      </w:tr>
      <w:tr>
        <w:trPr>
          <w:cantSplit/>
        </w:trPr>
        <w:tc>
          <w:tcPr/>
          <w:p>
            <w:pPr>
              <w:pStyle w:val="Compact"/>
              <w:jc w:val="left"/>
            </w:pPr>
            <w:r>
              <w:t xml:space="preserve">Yr11+</w:t>
            </w:r>
          </w:p>
        </w:tc>
        <w:tc>
          <w:tcPr/>
          <w:p>
            <w:pPr>
              <w:pStyle w:val="Compact"/>
              <w:jc w:val="left"/>
            </w:pPr>
            <w:r>
              <w:t xml:space="preserve">scales with secular Payroll</w:t>
            </w:r>
          </w:p>
        </w:tc>
        <w:tc>
          <w:tcPr/>
          <w:p>
            <w:pPr>
              <w:pStyle w:val="Compact"/>
              <w:jc w:val="left"/>
            </w:pPr>
            <w:r>
              <w:t xml:space="preserve">+40–60 secular faculty by Yr12</w:t>
            </w:r>
          </w:p>
        </w:tc>
        <w:tc>
          <w:tcPr/>
          <w:p>
            <w:pPr>
              <w:pStyle w:val="Compact"/>
              <w:jc w:val="left"/>
            </w:pPr>
            <w:r>
              <w:t xml:space="preserve">terminal-degree hires per School</w:t>
            </w:r>
          </w:p>
        </w:tc>
      </w:tr>
    </w:tbl>
    <w:p>
      <w:pPr>
        <w:pStyle w:val="BodyText"/>
      </w:pPr>
      <w:r>
        <w:rPr>
          <w:bCs/>
          <w:b/>
          <w:color w:val="B08625"/>
          <w:sz w:val="20"/>
          <w:caps/>
          <w:spacing w:val="14"/>
        </w:rPr>
        <w:t xml:space="preserve">Annual Budget (fixed allocation ties)</w:t>
      </w:r>
    </w:p>
    <w:p>
      <w:pPr>
        <w:pStyle w:val="BodyText"/>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pPr>
      <w:r>
        <w:rPr>
          <w:bCs/>
          <w:b/>
          <w:color w:val="B08625"/>
          <w:sz w:val="20"/>
          <w:caps/>
          <w:spacing w:val="14"/>
        </w:rPr>
        <w:t xml:space="preserve">Quality Assurance Cycle</w:t>
      </w:r>
    </w:p>
    <w:p>
      <w:pPr>
        <w:pStyle w:val="BodyText"/>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pPr>
      <w:r>
        <w:rPr>
          <w:bCs/>
          <w:b/>
          <w:color w:val="B08625"/>
          <w:sz w:val="20"/>
          <w:caps/>
          <w:spacing w:val="14"/>
        </w:rPr>
        <w:t xml:space="preserve">KPIs &amp; Measurable Success Indicators</w:t>
      </w:r>
    </w:p>
    <w:p>
      <w:pPr>
        <w:pStyle w:val="BodyText"/>
        <w:shd w:val="clear" w:color="auto" w:fill="F7F3E8"/>
        <w:pBdr>
          <w:left w:val="single" w:sz="24" w:space="10" w:color="B08625"/>
        </w:pBdr>
        <w:ind w:left="300"/>
        <w:spacing w:before="0"/>
      </w:pPr>
      <w:r>
        <w:t xml:space="preserve">Program completion rate by track; Fast-Track utilization rate; zero-credit-loss audit pass rate (target 100%); cumulative enrolments vs. 18,333 ten-year target; secular-program enrolment share post-2038; 5-year external review completion rate per college.</w:t>
      </w:r>
    </w:p>
    <w:p>
      <w:pPr>
        <w:pStyle w:val="BodyText"/>
        <w:shd w:val="clear" w:color="auto" w:fill="F7F3E8"/>
        <w:pBdr>
          <w:left w:val="single" w:sz="24" w:space="10" w:color="B08625"/>
        </w:pBdr>
        <w:ind w:left="300"/>
        <w:spacing/>
      </w:pPr>
      <w:r>
        <w:rPr>
          <w:bCs/>
          <w:b/>
          <w:color w:val="B08625"/>
          <w:sz w:val="20"/>
          <w:caps/>
          <w:spacing w:val="14"/>
        </w:rPr>
        <w:t xml:space="preserve">Risks &amp; Mitigation</w:t>
      </w:r>
    </w:p>
    <w:p>
      <w:pPr>
        <w:numPr>
          <w:ilvl w:val="0"/>
          <w:numId w:val="1003"/>
        </w:numPr>
        <w:pStyle w:val="Compact"/>
      </w:pPr>
      <w:r>
        <w:rPr>
          <w:bCs/>
          <w:b/>
          <w:color w:val="B08625"/>
          <w:sz w:val="20"/>
          <w:caps/>
          <w:spacing w:val="14"/>
        </w:rPr>
        <w:t xml:space="preserve">Overexpansion before financial proof</w:t>
      </w:r>
      <w:r>
        <w:t xml:space="preserve"> </w:t>
      </w:r>
      <w:r>
        <w:t xml:space="preserve">→ secular launch hard-gated to Year 11, not accelerated regardless of demand.</w:t>
      </w:r>
    </w:p>
    <w:p>
      <w:pPr>
        <w:numPr>
          <w:ilvl w:val="0"/>
          <w:numId w:val="1003"/>
        </w:numPr>
        <w:pStyle w:val="Compact"/>
      </w:pPr>
      <w:r>
        <w:rPr>
          <w:bCs/>
          <w:b/>
          <w:color w:val="B08625"/>
          <w:sz w:val="20"/>
          <w:caps/>
          <w:spacing w:val="14"/>
        </w:rPr>
        <w:t xml:space="preserve">Credit-loss disputes</w:t>
      </w:r>
      <w:r>
        <w:t xml:space="preserve"> </w:t>
      </w:r>
      <w:r>
        <w:t xml:space="preserve">→ Registrar-held master transcript ledger, audited annually, is the single source of truth.</w:t>
      </w:r>
    </w:p>
    <w:p>
      <w:pPr>
        <w:numPr>
          <w:ilvl w:val="0"/>
          <w:numId w:val="1003"/>
        </w:numPr>
        <w:pStyle w:val="Compact"/>
      </w:pPr>
      <w:r>
        <w:rPr>
          <w:bCs/>
          <w:b/>
          <w:color w:val="B08625"/>
          <w:sz w:val="20"/>
          <w:caps/>
          <w:spacing w:val="14"/>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pPr>
      <w:r>
        <w:rPr>
          <w:bCs/>
          <w:b/>
          <w:color w:val="B08625"/>
          <w:sz w:val="20"/>
          <w:caps/>
          <w:spacing w:val="14"/>
        </w:rPr>
        <w:t xml:space="preserve">Governance Responsibilities</w:t>
      </w:r>
    </w:p>
    <w:p>
      <w:pPr>
        <w:pStyle w:val="BodyText"/>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pPr>
      <w:r>
        <w:rPr>
          <w:bCs/>
          <w:b/>
          <w:color w:val="B08625"/>
          <w:sz w:val="20"/>
          <w:caps/>
          <w:spacing w:val="14"/>
        </w:rPr>
        <w:t xml:space="preserve">Timeline</w:t>
      </w:r>
    </w:p>
    <w:p>
      <w:pPr>
        <w:pStyle w:val="BodyText"/>
      </w:pPr>
      <w:r>
        <w:t xml:space="preserve">2028 Phase 1 → 2029 Phase 2 → 2030 Phase 3 → 2033 Phase 4 → 2038 Phase 5 → 2039–2047 Phase 6 → 2048–2050 Phase 7.</w:t>
      </w:r>
    </w:p>
    <w:p>
      <w:pPr>
        <w:pStyle w:val="SectionKicker"/>
      </w:pPr>
      <w:r>
        <w:t xml:space="preserve">PART II · SECTION 08</w:t>
      </w:r>
    </w:p>
    <w:bookmarkEnd w:id="59"/>
    <w:bookmarkStart w:id="60" w:name="section-8-college-structure"/>
    <w:p>
      <w:pPr>
        <w:pStyle w:val="Heading2"/>
      </w:pPr>
      <w:r>
        <w:t xml:space="preserve">Section 8: College Structure</w:t>
      </w:r>
    </w:p>
    <w:p>
      <w:pPr>
        <w:pStyle w:val="FirstParagraph"/>
      </w:pPr>
      <w:r>
        <w:rPr>
          <w:bCs/>
          <w:b/>
          <w:color w:val="B08625"/>
          <w:sz w:val="20"/>
          <w:caps/>
          <w:spacing w:val="14"/>
        </w:rPr>
        <w:t xml:space="preserve">Rationale</w:t>
      </w:r>
    </w:p>
    <w:p>
      <w:pPr>
        <w:pStyle w:val="BodyText"/>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pPr>
      <w:r>
        <w:rPr>
          <w:bCs/>
          <w:b/>
          <w:color w:val="B08625"/>
          <w:sz w:val="20"/>
          <w:caps/>
          <w:spacing w:val="14"/>
        </w:rPr>
        <w:t xml:space="preserve">Global Best Practices</w:t>
      </w:r>
    </w:p>
    <w:p>
      <w:pPr>
        <w:pStyle w:val="BodyText"/>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College</w:t>
            </w:r>
          </w:p>
        </w:tc>
        <w:tc>
          <w:tcPr/>
          <w:p>
            <w:pPr>
              <w:pStyle w:val="Compact"/>
              <w:jc w:val="left"/>
            </w:pPr>
            <w:r>
              <w:t xml:space="preserve">Dean (Senate seat)</w:t>
            </w:r>
          </w:p>
        </w:tc>
        <w:tc>
          <w:tcPr/>
          <w:p>
            <w:pPr>
              <w:pStyle w:val="Compact"/>
              <w:jc w:val="left"/>
            </w:pPr>
            <w:r>
              <w:t xml:space="preserve">Programs</w:t>
            </w:r>
          </w:p>
        </w:tc>
        <w:tc>
          <w:tcPr/>
          <w:p>
            <w:pPr>
              <w:pStyle w:val="Compact"/>
              <w:jc w:val="left"/>
            </w:pPr>
            <w:r>
              <w:t xml:space="preserve">Core spine</w:t>
            </w:r>
          </w:p>
        </w:tc>
      </w:tr>
      <w:tr>
        <w:trPr>
          <w:cantSplit/>
        </w:trPr>
        <w:tc>
          <w:tcPr/>
          <w:p>
            <w:pPr>
              <w:pStyle w:val="Compact"/>
              <w:jc w:val="left"/>
            </w:pPr>
            <w:r>
              <w:t xml:space="preserve">I. Qur’ānic &amp; Hadith Sciences</w:t>
            </w:r>
          </w:p>
        </w:tc>
        <w:tc>
          <w:tcPr/>
          <w:p>
            <w:pPr>
              <w:pStyle w:val="Compact"/>
              <w:jc w:val="left"/>
            </w:pPr>
            <w:r>
              <w:t xml:space="preserve">paired Dean (with III)</w:t>
            </w:r>
          </w:p>
        </w:tc>
        <w:tc>
          <w:tcPr/>
          <w:p>
            <w:pPr>
              <w:pStyle w:val="Compact"/>
              <w:jc w:val="left"/>
            </w:pPr>
            <w:r>
              <w:t xml:space="preserve">Tafsīr, Qirā’āt, Hadith</w:t>
            </w:r>
          </w:p>
        </w:tc>
        <w:tc>
          <w:tcPr/>
          <w:p>
            <w:pPr>
              <w:pStyle w:val="Compact"/>
              <w:jc w:val="left"/>
            </w:pPr>
            <w:r>
              <w:t xml:space="preserve">shares HoDs w/ Group III</w:t>
            </w:r>
          </w:p>
        </w:tc>
      </w:tr>
      <w:tr>
        <w:trPr>
          <w:cantSplit/>
        </w:trPr>
        <w:tc>
          <w:tcPr/>
          <w:p>
            <w:pPr>
              <w:pStyle w:val="Compact"/>
              <w:jc w:val="left"/>
            </w:pPr>
            <w:r>
              <w:t xml:space="preserve">II. Sharī’ah &amp; Islamic Law</w:t>
            </w:r>
          </w:p>
        </w:tc>
        <w:tc>
          <w:tcPr/>
          <w:p>
            <w:pPr>
              <w:pStyle w:val="Compact"/>
              <w:jc w:val="left"/>
            </w:pPr>
            <w:r>
              <w:t xml:space="preserve">paired Dean (with I)</w:t>
            </w:r>
          </w:p>
        </w:tc>
        <w:tc>
          <w:tcPr/>
          <w:p>
            <w:pPr>
              <w:pStyle w:val="Compact"/>
              <w:jc w:val="left"/>
            </w:pPr>
            <w:r>
              <w:t xml:space="preserve">Fiqh, Uṣūl al-Fiqh</w:t>
            </w:r>
          </w:p>
        </w:tc>
        <w:tc>
          <w:tcPr/>
          <w:p>
            <w:pPr>
              <w:pStyle w:val="Compact"/>
            </w:pPr>
          </w:p>
        </w:tc>
      </w:tr>
      <w:tr>
        <w:trPr>
          <w:cantSplit/>
        </w:trPr>
        <w:tc>
          <w:tcPr/>
          <w:p>
            <w:pPr>
              <w:pStyle w:val="Compact"/>
              <w:jc w:val="left"/>
            </w:pPr>
            <w:r>
              <w:t xml:space="preserve">III. Islamic Theology &amp; Philosophy</w:t>
            </w:r>
          </w:p>
        </w:tc>
        <w:tc>
          <w:tcPr/>
          <w:p>
            <w:pPr>
              <w:pStyle w:val="Compact"/>
              <w:jc w:val="left"/>
            </w:pPr>
            <w:r>
              <w:t xml:space="preserve">paired Dean (with V)</w:t>
            </w:r>
          </w:p>
        </w:tc>
        <w:tc>
          <w:tcPr/>
          <w:p>
            <w:pPr>
              <w:pStyle w:val="Compact"/>
              <w:jc w:val="left"/>
            </w:pPr>
            <w:r>
              <w:t xml:space="preserve">Aqeedah</w:t>
            </w:r>
          </w:p>
        </w:tc>
        <w:tc>
          <w:tcPr/>
          <w:p>
            <w:pPr>
              <w:pStyle w:val="Compact"/>
            </w:pPr>
          </w:p>
        </w:tc>
      </w:tr>
      <w:tr>
        <w:trPr>
          <w:cantSplit/>
        </w:trPr>
        <w:tc>
          <w:tcPr/>
          <w:p>
            <w:pPr>
              <w:pStyle w:val="Compact"/>
              <w:jc w:val="left"/>
            </w:pPr>
            <w:r>
              <w:t xml:space="preserve">V. Da’wah, Communication &amp; Chaplaincy</w:t>
            </w:r>
          </w:p>
        </w:tc>
        <w:tc>
          <w:tcPr/>
          <w:p>
            <w:pPr>
              <w:pStyle w:val="Compact"/>
              <w:jc w:val="left"/>
            </w:pPr>
            <w:r>
              <w:t xml:space="preserve">paired Dean (with III)</w:t>
            </w:r>
          </w:p>
        </w:tc>
        <w:tc>
          <w:tcPr/>
          <w:p>
            <w:pPr>
              <w:pStyle w:val="Compact"/>
              <w:jc w:val="left"/>
            </w:pPr>
            <w:r>
              <w:t xml:space="preserve">Chaplaincy, Communication</w:t>
            </w:r>
          </w:p>
        </w:tc>
        <w:tc>
          <w:tcPr/>
          <w:p>
            <w:pPr>
              <w:pStyle w:val="Compact"/>
            </w:pPr>
          </w:p>
        </w:tc>
      </w:tr>
      <w:tr>
        <w:trPr>
          <w:cantSplit/>
        </w:trPr>
        <w:tc>
          <w:tcPr/>
          <w:p>
            <w:pPr>
              <w:pStyle w:val="Compact"/>
              <w:jc w:val="left"/>
            </w:pPr>
            <w:r>
              <w:t xml:space="preserve">IV. Arabic Language &amp; Linguistics</w:t>
            </w:r>
          </w:p>
        </w:tc>
        <w:tc>
          <w:tcPr/>
          <w:p>
            <w:pPr>
              <w:pStyle w:val="Compact"/>
              <w:jc w:val="left"/>
            </w:pPr>
            <w:r>
              <w:t xml:space="preserve">solo Dean</w:t>
            </w:r>
          </w:p>
        </w:tc>
        <w:tc>
          <w:tcPr/>
          <w:p>
            <w:pPr>
              <w:pStyle w:val="Compact"/>
              <w:jc w:val="left"/>
            </w:pPr>
            <w:r>
              <w:t xml:space="preserve">services all colleges</w:t>
            </w:r>
          </w:p>
        </w:tc>
        <w:tc>
          <w:tcPr/>
          <w:p>
            <w:pPr>
              <w:pStyle w:val="Compact"/>
              <w:jc w:val="left"/>
            </w:pPr>
            <w:r>
              <w:t xml:space="preserve">shared core</w:t>
            </w:r>
          </w:p>
        </w:tc>
      </w:tr>
      <w:tr>
        <w:trPr>
          <w:cantSplit/>
        </w:trPr>
        <w:tc>
          <w:tcPr/>
          <w:p>
            <w:pPr>
              <w:pStyle w:val="Compact"/>
              <w:jc w:val="left"/>
            </w:pPr>
            <w:r>
              <w:t xml:space="preserve">VI. Islamic Finance, Economics &amp; Waqf</w:t>
            </w:r>
          </w:p>
        </w:tc>
        <w:tc>
          <w:tcPr/>
          <w:p>
            <w:pPr>
              <w:pStyle w:val="Compact"/>
              <w:jc w:val="left"/>
            </w:pPr>
            <w:r>
              <w:t xml:space="preserve">solo Dean</w:t>
            </w:r>
          </w:p>
        </w:tc>
        <w:tc>
          <w:tcPr/>
          <w:p>
            <w:pPr>
              <w:pStyle w:val="Compact"/>
              <w:jc w:val="left"/>
            </w:pPr>
            <w:r>
              <w:t xml:space="preserve">Zakāt/Waqf admin</w:t>
            </w:r>
          </w:p>
        </w:tc>
        <w:tc>
          <w:tcPr/>
          <w:p>
            <w:pPr>
              <w:pStyle w:val="Compact"/>
            </w:pPr>
          </w:p>
        </w:tc>
      </w:tr>
    </w:tbl>
    <w:p>
      <w:pPr>
        <w:pStyle w:val="BodyText"/>
      </w:pPr>
      <w:r>
        <w:rPr>
          <w:iCs/>
          <w:i/>
        </w:rPr>
        <w:t xml:space="preserve">(Roman numerals here follow the Master Plan’s six-college numbering; Dean pairing exactly matches AMIU-MP-001.)</w:t>
      </w:r>
    </w:p>
    <w:p>
      <w:pPr>
        <w:pStyle w:val="BodyText"/>
      </w:pPr>
      <w:r>
        <w:rPr>
          <w:bCs/>
          <w:b/>
          <w:color w:val="B08625"/>
          <w:sz w:val="20"/>
          <w:caps/>
          <w:spacing w:val="14"/>
        </w:rPr>
        <w:t xml:space="preserve">Inter-College Shared Services</w:t>
      </w:r>
    </w:p>
    <w:p>
      <w:pPr>
        <w:numPr>
          <w:ilvl w:val="0"/>
          <w:numId w:val="1004"/>
        </w:numPr>
        <w:pStyle w:val="Compact"/>
      </w:pPr>
      <w:r>
        <w:rPr>
          <w:bCs/>
          <w:b/>
          <w:color w:val="B08625"/>
          <w:sz w:val="20"/>
          <w:caps/>
          <w:spacing w:val="14"/>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pPr>
      <w:r>
        <w:rPr>
          <w:bCs/>
          <w:b/>
          <w:color w:val="B08625"/>
          <w:sz w:val="20"/>
          <w:caps/>
          <w:spacing w:val="14"/>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School</w:t>
            </w:r>
          </w:p>
        </w:tc>
        <w:tc>
          <w:tcPr/>
          <w:p>
            <w:pPr>
              <w:pStyle w:val="Compact"/>
              <w:jc w:val="left"/>
            </w:pPr>
            <w:r>
              <w:t xml:space="preserve">Programs</w:t>
            </w:r>
          </w:p>
        </w:tc>
        <w:tc>
          <w:tcPr/>
          <w:p>
            <w:pPr>
              <w:pStyle w:val="Compact"/>
              <w:jc w:val="left"/>
            </w:pPr>
            <w:r>
              <w:t xml:space="preserve">Launch</w:t>
            </w:r>
          </w:p>
        </w:tc>
      </w:tr>
      <w:tr>
        <w:trPr>
          <w:cantSplit/>
        </w:trPr>
        <w:tc>
          <w:tcPr/>
          <w:p>
            <w:pPr>
              <w:pStyle w:val="Compact"/>
              <w:jc w:val="left"/>
            </w:pPr>
            <w:r>
              <w:t xml:space="preserve">Business &amp; Economics</w:t>
            </w:r>
          </w:p>
        </w:tc>
        <w:tc>
          <w:tcPr/>
          <w:p>
            <w:pPr>
              <w:pStyle w:val="Compact"/>
              <w:jc w:val="left"/>
            </w:pPr>
            <w:r>
              <w:t xml:space="preserve">BBA, BSc Acct&amp;Fin, BSc Econ, MBA, MSc Finance</w:t>
            </w:r>
          </w:p>
        </w:tc>
        <w:tc>
          <w:tcPr/>
          <w:p>
            <w:pPr>
              <w:pStyle w:val="Compact"/>
              <w:jc w:val="left"/>
            </w:pPr>
            <w:r>
              <w:t xml:space="preserve">2038</w:t>
            </w:r>
          </w:p>
        </w:tc>
      </w:tr>
      <w:tr>
        <w:trPr>
          <w:cantSplit/>
        </w:trPr>
        <w:tc>
          <w:tcPr/>
          <w:p>
            <w:pPr>
              <w:pStyle w:val="Compact"/>
              <w:jc w:val="left"/>
            </w:pPr>
            <w:r>
              <w:t xml:space="preserve">Computer Science &amp; Technology</w:t>
            </w:r>
          </w:p>
        </w:tc>
        <w:tc>
          <w:tcPr/>
          <w:p>
            <w:pPr>
              <w:pStyle w:val="Compact"/>
              <w:jc w:val="left"/>
            </w:pPr>
            <w:r>
              <w:t xml:space="preserve">BSc CS, Data Science, Cybersecurity, IS, MSc AI/ML</w:t>
            </w:r>
          </w:p>
        </w:tc>
        <w:tc>
          <w:tcPr/>
          <w:p>
            <w:pPr>
              <w:pStyle w:val="Compact"/>
              <w:jc w:val="left"/>
            </w:pPr>
            <w:r>
              <w:t xml:space="preserve">2038</w:t>
            </w:r>
          </w:p>
        </w:tc>
      </w:tr>
      <w:tr>
        <w:trPr>
          <w:cantSplit/>
        </w:trPr>
        <w:tc>
          <w:tcPr/>
          <w:p>
            <w:pPr>
              <w:pStyle w:val="Compact"/>
              <w:jc w:val="left"/>
            </w:pPr>
            <w:r>
              <w:t xml:space="preserve">Law</w:t>
            </w:r>
          </w:p>
        </w:tc>
        <w:tc>
          <w:tcPr/>
          <w:p>
            <w:pPr>
              <w:pStyle w:val="Compact"/>
              <w:jc w:val="left"/>
            </w:pPr>
            <w:r>
              <w:t xml:space="preserve">LLB, LLM Int’l Law, LLM Comparative &amp; Islamic-Civil Law</w:t>
            </w:r>
          </w:p>
        </w:tc>
        <w:tc>
          <w:tcPr/>
          <w:p>
            <w:pPr>
              <w:pStyle w:val="Compact"/>
              <w:jc w:val="left"/>
            </w:pPr>
            <w:r>
              <w:t xml:space="preserve">2038</w:t>
            </w:r>
          </w:p>
        </w:tc>
      </w:tr>
      <w:tr>
        <w:trPr>
          <w:cantSplit/>
        </w:trPr>
        <w:tc>
          <w:tcPr/>
          <w:p>
            <w:pPr>
              <w:pStyle w:val="Compact"/>
              <w:jc w:val="left"/>
            </w:pPr>
            <w:r>
              <w:t xml:space="preserve">Health Sciences</w:t>
            </w:r>
          </w:p>
        </w:tc>
        <w:tc>
          <w:tcPr/>
          <w:p>
            <w:pPr>
              <w:pStyle w:val="Compact"/>
              <w:jc w:val="left"/>
            </w:pPr>
            <w:r>
              <w:t xml:space="preserve">BSc Public Health, Nursing, Health Admin, MPH</w:t>
            </w:r>
          </w:p>
        </w:tc>
        <w:tc>
          <w:tcPr/>
          <w:p>
            <w:pPr>
              <w:pStyle w:val="Compact"/>
              <w:jc w:val="left"/>
            </w:pPr>
            <w:r>
              <w:t xml:space="preserve">2038</w:t>
            </w:r>
          </w:p>
        </w:tc>
      </w:tr>
      <w:tr>
        <w:trPr>
          <w:cantSplit/>
        </w:trPr>
        <w:tc>
          <w:tcPr/>
          <w:p>
            <w:pPr>
              <w:pStyle w:val="Compact"/>
              <w:jc w:val="left"/>
            </w:pPr>
            <w:r>
              <w:t xml:space="preserve">Engineering</w:t>
            </w:r>
          </w:p>
        </w:tc>
        <w:tc>
          <w:tcPr/>
          <w:p>
            <w:pPr>
              <w:pStyle w:val="Compact"/>
              <w:jc w:val="left"/>
            </w:pPr>
            <w:r>
              <w:t xml:space="preserve">BEng Civil, EE, Computer, Mechanical</w:t>
            </w:r>
          </w:p>
        </w:tc>
        <w:tc>
          <w:tcPr/>
          <w:p>
            <w:pPr>
              <w:pStyle w:val="Compact"/>
              <w:jc w:val="left"/>
            </w:pPr>
            <w:r>
              <w:t xml:space="preserve">2038</w:t>
            </w:r>
          </w:p>
        </w:tc>
      </w:tr>
      <w:tr>
        <w:trPr>
          <w:cantSplit/>
        </w:trPr>
        <w:tc>
          <w:tcPr/>
          <w:p>
            <w:pPr>
              <w:pStyle w:val="Compact"/>
              <w:jc w:val="left"/>
            </w:pPr>
            <w:r>
              <w:t xml:space="preserve">Education</w:t>
            </w:r>
          </w:p>
        </w:tc>
        <w:tc>
          <w:tcPr/>
          <w:p>
            <w:pPr>
              <w:pStyle w:val="Compact"/>
              <w:jc w:val="left"/>
            </w:pPr>
            <w:r>
              <w:t xml:space="preserve">BEd, MEd, PhD Ed Leadership</w:t>
            </w:r>
          </w:p>
        </w:tc>
        <w:tc>
          <w:tcPr/>
          <w:p>
            <w:pPr>
              <w:pStyle w:val="Compact"/>
              <w:jc w:val="left"/>
            </w:pPr>
            <w:r>
              <w:t xml:space="preserve">2038</w:t>
            </w:r>
          </w:p>
        </w:tc>
      </w:tr>
      <w:tr>
        <w:trPr>
          <w:cantSplit/>
        </w:trPr>
        <w:tc>
          <w:tcPr/>
          <w:p>
            <w:pPr>
              <w:pStyle w:val="Compact"/>
              <w:jc w:val="left"/>
            </w:pPr>
            <w:r>
              <w:t xml:space="preserve">Social &amp; Political Sciences</w:t>
            </w:r>
          </w:p>
        </w:tc>
        <w:tc>
          <w:tcPr/>
          <w:p>
            <w:pPr>
              <w:pStyle w:val="Compact"/>
              <w:jc w:val="left"/>
            </w:pPr>
            <w:r>
              <w:t xml:space="preserve">Pol Sci, IR &amp; Diplomacy, Psych, Sociology</w:t>
            </w:r>
          </w:p>
        </w:tc>
        <w:tc>
          <w:tcPr/>
          <w:p>
            <w:pPr>
              <w:pStyle w:val="Compact"/>
              <w:jc w:val="left"/>
            </w:pPr>
            <w:r>
              <w:t xml:space="preserve">2038</w:t>
            </w:r>
          </w:p>
        </w:tc>
      </w:tr>
    </w:tbl>
    <w:p>
      <w:pPr>
        <w:pStyle w:val="BodyText"/>
      </w:pPr>
      <w:r>
        <w:rPr>
          <w:bCs/>
          <w:b/>
          <w:color w:val="B08625"/>
          <w:sz w:val="20"/>
          <w:caps/>
          <w:spacing w:val="14"/>
        </w:rPr>
        <w:t xml:space="preserve">Staffing Requirements</w:t>
      </w:r>
    </w:p>
    <w:p>
      <w:pPr>
        <w:pStyle w:val="BodyText"/>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pPr>
      <w:r>
        <w:rPr>
          <w:bCs/>
          <w:b/>
          <w:color w:val="B08625"/>
          <w:sz w:val="20"/>
          <w:caps/>
          <w:spacing w:val="14"/>
        </w:rPr>
        <w:t xml:space="preserve">Annual Budget</w:t>
      </w:r>
    </w:p>
    <w:p>
      <w:pPr>
        <w:pStyle w:val="BodyText"/>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Cost-per-credit-hour by college; shared-core utilization rate (% of eligible students enrolled); secular-school gen-ed completion rate; college-level enrolment share vs. Master Plan targets.</w:t>
      </w:r>
    </w:p>
    <w:p>
      <w:pPr>
        <w:pStyle w:val="BodyText"/>
        <w:shd w:val="clear" w:color="auto" w:fill="F7F3E8"/>
        <w:pBdr>
          <w:left w:val="single" w:sz="24" w:space="10" w:color="B08625"/>
        </w:pBdr>
        <w:ind w:left="300"/>
        <w:spacing/>
      </w:pPr>
      <w:r>
        <w:rPr>
          <w:bCs/>
          <w:b/>
          <w:color w:val="B08625"/>
          <w:sz w:val="20"/>
          <w:caps/>
          <w:spacing w:val="14"/>
        </w:rPr>
        <w:t xml:space="preserve">Risks &amp; Mitigation</w:t>
      </w:r>
    </w:p>
    <w:p>
      <w:pPr>
        <w:numPr>
          <w:ilvl w:val="0"/>
          <w:numId w:val="1005"/>
        </w:numPr>
        <w:pStyle w:val="Compact"/>
      </w:pPr>
      <w:r>
        <w:rPr>
          <w:bCs/>
          <w:b/>
          <w:color w:val="B08625"/>
          <w:sz w:val="20"/>
          <w:caps/>
          <w:spacing w:val="14"/>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pPr>
      <w:r>
        <w:rPr>
          <w:bCs/>
          <w:b/>
          <w:color w:val="B08625"/>
          <w:sz w:val="20"/>
          <w:caps/>
          <w:spacing w:val="14"/>
        </w:rPr>
        <w:t xml:space="preserve">Secular Schools diluting Islamic identity</w:t>
      </w:r>
      <w:r>
        <w:t xml:space="preserve"> </w:t>
      </w:r>
      <w:r>
        <w:t xml:space="preserve">→ gen-ed core is a hard graduation requirement, Senate-enforced, not elective.</w:t>
      </w:r>
    </w:p>
    <w:p>
      <w:pPr>
        <w:pStyle w:val="FirstParagraph"/>
      </w:pPr>
      <w:r>
        <w:rPr>
          <w:bCs/>
          <w:b/>
          <w:color w:val="B08625"/>
          <w:sz w:val="20"/>
          <w:caps/>
          <w:spacing w:val="14"/>
        </w:rPr>
        <w:t xml:space="preserve">Governance Responsibilities</w:t>
      </w:r>
    </w:p>
    <w:p>
      <w:pPr>
        <w:pStyle w:val="BodyText"/>
      </w:pPr>
      <w:r>
        <w:t xml:space="preserve">Each college’s Dean sits in Senate Group II; each School Head (Yr11+) reports administratively to DVC Academic Affairs; program-level curriculum changes still require full Senate approval regardless of college/school.</w:t>
      </w:r>
    </w:p>
    <w:p>
      <w:pPr>
        <w:pStyle w:val="BodyText"/>
      </w:pPr>
      <w:r>
        <w:rPr>
          <w:bCs/>
          <w:b/>
          <w:color w:val="B08625"/>
          <w:sz w:val="20"/>
          <w:caps/>
          <w:spacing w:val="14"/>
        </w:rPr>
        <w:t xml:space="preserve">Timeline &amp; Success Indicators</w:t>
      </w:r>
    </w:p>
    <w:p>
      <w:pPr>
        <w:pStyle w:val="BodyText"/>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enrolment scales.</w:t>
      </w:r>
    </w:p>
    <w:p>
      <w:pPr>
        <w:pStyle w:val="SectionKicker"/>
      </w:pPr>
      <w:r>
        <w:t xml:space="preserve">PART II · SECTION 09</w:t>
      </w:r>
    </w:p>
    <w:bookmarkEnd w:id="60"/>
    <w:bookmarkStart w:id="61" w:name="section-9-faculty-structure"/>
    <w:p>
      <w:pPr>
        <w:pStyle w:val="Heading2"/>
      </w:pPr>
      <w:r>
        <w:t xml:space="preserve">Section 9: Faculty Structure</w:t>
      </w:r>
    </w:p>
    <w:p>
      <w:pPr>
        <w:pStyle w:val="FirstParagraph"/>
      </w:pPr>
      <w:r>
        <w:rPr>
          <w:bCs/>
          <w:b/>
          <w:color w:val="B08625"/>
          <w:sz w:val="20"/>
          <w:caps/>
          <w:spacing w:val="14"/>
        </w:rPr>
        <w:t xml:space="preserve">Rationale</w:t>
      </w:r>
    </w:p>
    <w:p>
      <w:pPr>
        <w:pStyle w:val="BodyText"/>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pPr>
      <w:r>
        <w:rPr>
          <w:bCs/>
          <w:b/>
          <w:color w:val="B08625"/>
          <w:sz w:val="20"/>
          <w:caps/>
          <w:spacing w:val="14"/>
        </w:rPr>
        <w:t xml:space="preserve">Global Best Practices</w:t>
      </w:r>
    </w:p>
    <w:p>
      <w:pPr>
        <w:pStyle w:val="BodyText"/>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pPr>
      <w:r>
        <w:rPr>
          <w:bCs/>
          <w:b/>
          <w:color w:val="B08625"/>
          <w:sz w:val="20"/>
          <w:caps/>
          <w:spacing w:val="14"/>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Rank</w:t>
            </w:r>
          </w:p>
        </w:tc>
        <w:tc>
          <w:tcPr/>
          <w:p>
            <w:pPr>
              <w:pStyle w:val="Compact"/>
              <w:jc w:val="left"/>
            </w:pPr>
            <w:r>
              <w:t xml:space="preserve">Compensation basis</w:t>
            </w:r>
          </w:p>
        </w:tc>
        <w:tc>
          <w:tcPr/>
          <w:p>
            <w:pPr>
              <w:pStyle w:val="Compact"/>
              <w:jc w:val="left"/>
            </w:pPr>
            <w:r>
              <w:t xml:space="preserve">Typical phase</w:t>
            </w:r>
          </w:p>
        </w:tc>
      </w:tr>
      <w:tr>
        <w:trPr>
          <w:cantSplit/>
        </w:trPr>
        <w:tc>
          <w:tcPr/>
          <w:p>
            <w:pPr>
              <w:pStyle w:val="Compact"/>
              <w:jc w:val="left"/>
            </w:pPr>
            <w:r>
              <w:t xml:space="preserve">Honorary/Visiting Scholar</w:t>
            </w:r>
          </w:p>
        </w:tc>
        <w:tc>
          <w:tcPr/>
          <w:p>
            <w:pPr>
              <w:pStyle w:val="Compact"/>
              <w:jc w:val="left"/>
            </w:pPr>
            <w:r>
              <w:t xml:space="preserve">Token/unpaid, guest lectures</w:t>
            </w:r>
          </w:p>
        </w:tc>
        <w:tc>
          <w:tcPr/>
          <w:p>
            <w:pPr>
              <w:pStyle w:val="Compact"/>
              <w:jc w:val="left"/>
            </w:pPr>
            <w:r>
              <w:t xml:space="preserve">Yr1+</w:t>
            </w:r>
          </w:p>
        </w:tc>
      </w:tr>
      <w:tr>
        <w:trPr>
          <w:cantSplit/>
        </w:trPr>
        <w:tc>
          <w:tcPr/>
          <w:p>
            <w:pPr>
              <w:pStyle w:val="Compact"/>
              <w:jc w:val="left"/>
            </w:pPr>
            <w:r>
              <w:t xml:space="preserve">Adjunct Instructor</w:t>
            </w:r>
          </w:p>
        </w:tc>
        <w:tc>
          <w:tcPr/>
          <w:p>
            <w:pPr>
              <w:pStyle w:val="Compact"/>
              <w:jc w:val="left"/>
            </w:pPr>
            <w:r>
              <w:t xml:space="preserve">Per-CH honorarium (Faculty Honoraria pool)</w:t>
            </w:r>
          </w:p>
        </w:tc>
        <w:tc>
          <w:tcPr/>
          <w:p>
            <w:pPr>
              <w:pStyle w:val="Compact"/>
              <w:jc w:val="left"/>
            </w:pPr>
            <w:r>
              <w:t xml:space="preserve">Yr1+ — dominant Yr1–10</w:t>
            </w:r>
          </w:p>
        </w:tc>
      </w:tr>
      <w:tr>
        <w:trPr>
          <w:cantSplit/>
        </w:trPr>
        <w:tc>
          <w:tcPr/>
          <w:p>
            <w:pPr>
              <w:pStyle w:val="Compact"/>
              <w:jc w:val="left"/>
            </w:pPr>
            <w:r>
              <w:t xml:space="preserve">Assistant Professor</w:t>
            </w:r>
          </w:p>
        </w:tc>
        <w:tc>
          <w:tcPr/>
          <w:p>
            <w:pPr>
              <w:pStyle w:val="Compact"/>
              <w:jc w:val="left"/>
            </w:pPr>
            <w:r>
              <w:t xml:space="preserve">Small fixed honorarium premium over adjunct rate</w:t>
            </w:r>
          </w:p>
        </w:tc>
        <w:tc>
          <w:tcPr/>
          <w:p>
            <w:pPr>
              <w:pStyle w:val="Compact"/>
              <w:jc w:val="left"/>
            </w:pPr>
            <w:r>
              <w:t xml:space="preserve">emerges Yr5+ as pool grows</w:t>
            </w:r>
          </w:p>
        </w:tc>
      </w:tr>
      <w:tr>
        <w:trPr>
          <w:cantSplit/>
        </w:trPr>
        <w:tc>
          <w:tcPr/>
          <w:p>
            <w:pPr>
              <w:pStyle w:val="Compact"/>
              <w:jc w:val="left"/>
            </w:pPr>
            <w:r>
              <w:t xml:space="preserve">Associate Professor</w:t>
            </w:r>
          </w:p>
        </w:tc>
        <w:tc>
          <w:tcPr/>
          <w:p>
            <w:pPr>
              <w:pStyle w:val="Compact"/>
              <w:jc w:val="left"/>
            </w:pPr>
            <w:r>
              <w:t xml:space="preserve">Higher fixed premium, tenure-track service recognized</w:t>
            </w:r>
          </w:p>
        </w:tc>
        <w:tc>
          <w:tcPr/>
          <w:p>
            <w:pPr>
              <w:pStyle w:val="Compact"/>
              <w:jc w:val="left"/>
            </w:pPr>
            <w:r>
              <w:t xml:space="preserve">emerges Yr8–10</w:t>
            </w:r>
          </w:p>
        </w:tc>
      </w:tr>
      <w:tr>
        <w:trPr>
          <w:cantSplit/>
        </w:trPr>
        <w:tc>
          <w:tcPr/>
          <w:p>
            <w:pPr>
              <w:pStyle w:val="Compact"/>
              <w:jc w:val="left"/>
            </w:pPr>
            <w:r>
              <w:t xml:space="preserve">Full Professor</w:t>
            </w:r>
          </w:p>
        </w:tc>
        <w:tc>
          <w:tcPr/>
          <w:p>
            <w:pPr>
              <w:pStyle w:val="Compact"/>
              <w:jc w:val="left"/>
            </w:pPr>
            <w:r>
              <w:t xml:space="preserve">Top honorarium/salary band</w:t>
            </w:r>
          </w:p>
        </w:tc>
        <w:tc>
          <w:tcPr/>
          <w:p>
            <w:pPr>
              <w:pStyle w:val="Compact"/>
              <w:jc w:val="left"/>
            </w:pPr>
            <w:r>
              <w:t xml:space="preserve">emerges Yr10+ (secular hires largely salaried Yr11+)</w:t>
            </w:r>
          </w:p>
        </w:tc>
      </w:tr>
      <w:tr>
        <w:trPr>
          <w:cantSplit/>
        </w:trPr>
        <w:tc>
          <w:tcPr/>
          <w:p>
            <w:pPr>
              <w:pStyle w:val="Compact"/>
              <w:jc w:val="left"/>
            </w:pPr>
            <w:r>
              <w:t xml:space="preserve">Senate-Seat Professor</w:t>
            </w:r>
          </w:p>
        </w:tc>
        <w:tc>
          <w:tcPr/>
          <w:p>
            <w:pPr>
              <w:pStyle w:val="Compact"/>
              <w:jc w:val="left"/>
            </w:pPr>
            <w:r>
              <w:t xml:space="preserve">Ex officio via Group II/III seat (Dean/HoD), Senate Stipend sub-split</w:t>
            </w:r>
          </w:p>
        </w:tc>
        <w:tc>
          <w:tcPr/>
          <w:p>
            <w:pPr>
              <w:pStyle w:val="Compact"/>
              <w:jc w:val="left"/>
            </w:pPr>
            <w:r>
              <w:t xml:space="preserve">Yr1 (fixed 18 seats)</w:t>
            </w:r>
          </w:p>
        </w:tc>
      </w:tr>
    </w:tbl>
    <w:p>
      <w:pPr>
        <w:pStyle w:val="BodyText"/>
      </w:pPr>
      <w:r>
        <w:rPr>
          <w:bCs/>
          <w:b/>
          <w:color w:val="B08625"/>
          <w:sz w:val="20"/>
          <w:caps/>
          <w:spacing w:val="14"/>
        </w:rPr>
        <w:t xml:space="preserve">Promotion Pathway</w:t>
      </w:r>
    </w:p>
    <w:p>
      <w:pPr>
        <w:pStyle w:val="BodyText"/>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pPr>
      <w:r>
        <w:rPr>
          <w:bCs/>
          <w:b/>
          <w:color w:val="B08625"/>
          <w:sz w:val="20"/>
          <w:caps/>
          <w:spacing w:val="14"/>
        </w:rPr>
        <w:t xml:space="preserve">Credentialing Standards</w:t>
      </w:r>
    </w:p>
    <w:p>
      <w:pPr>
        <w:numPr>
          <w:ilvl w:val="0"/>
          <w:numId w:val="1006"/>
        </w:numPr>
        <w:pStyle w:val="Compact"/>
      </w:pPr>
      <w:r>
        <w:rPr>
          <w:bCs/>
          <w:b/>
          <w:color w:val="B08625"/>
          <w:sz w:val="20"/>
          <w:caps/>
          <w:spacing w:val="14"/>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pPr>
      <w:r>
        <w:rPr>
          <w:bCs/>
          <w:b/>
          <w:color w:val="B08625"/>
          <w:sz w:val="20"/>
          <w:caps/>
          <w:spacing w:val="14"/>
        </w:rPr>
        <w:t xml:space="preserve">Arabic Language faculty</w:t>
      </w:r>
      <w:r>
        <w:t xml:space="preserve"> </w:t>
      </w:r>
      <w:r>
        <w:t xml:space="preserve">(College IV): native/near-native competency + academic linguistics credential.</w:t>
      </w:r>
    </w:p>
    <w:p>
      <w:pPr>
        <w:numPr>
          <w:ilvl w:val="0"/>
          <w:numId w:val="1006"/>
        </w:numPr>
        <w:pStyle w:val="Compact"/>
      </w:pPr>
      <w:r>
        <w:rPr>
          <w:bCs/>
          <w:b/>
          <w:color w:val="B08625"/>
          <w:sz w:val="20"/>
          <w:caps/>
          <w:spacing w:val="14"/>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pPr>
      <w:r>
        <w:rPr>
          <w:bCs/>
          <w:b/>
          <w:color w:val="B08625"/>
          <w:sz w:val="20"/>
          <w:caps/>
          <w:spacing w:val="14"/>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pPr>
      <w:r>
        <w:rPr>
          <w:bCs/>
          <w:b/>
          <w:color w:val="B08625"/>
          <w:sz w:val="20"/>
          <w:caps/>
          <w:spacing w:val="14"/>
        </w:rPr>
        <w:t xml:space="preserve">Workload Model</w:t>
      </w:r>
    </w:p>
    <w:p>
      <w:pPr>
        <w:pStyle w:val="BodyText"/>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pPr>
      <w:r>
        <w:rPr>
          <w:bCs/>
          <w:b/>
          <w:color w:val="B08625"/>
          <w:sz w:val="20"/>
          <w:caps/>
          <w:spacing w:val="14"/>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Avg. per-scholar honorarium</w:t>
            </w:r>
          </w:p>
        </w:tc>
        <w:tc>
          <w:tcPr/>
          <w:p>
            <w:pPr>
              <w:pStyle w:val="Compact"/>
              <w:jc w:val="left"/>
            </w:pPr>
            <w:r>
              <w:t xml:space="preserve">Rank mix</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~$1,500–2,200 (8–12 scholars)</w:t>
            </w:r>
          </w:p>
        </w:tc>
        <w:tc>
          <w:tcPr/>
          <w:p>
            <w:pPr>
              <w:pStyle w:val="Compact"/>
              <w:jc w:val="left"/>
            </w:pPr>
            <w:r>
              <w:t xml:space="preserve">~100% Adjunct/Honorary</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~$2,900–3,400 (30–35 scholars)</w:t>
            </w:r>
          </w:p>
        </w:tc>
        <w:tc>
          <w:tcPr/>
          <w:p>
            <w:pPr>
              <w:pStyle w:val="Compact"/>
              <w:jc w:val="left"/>
            </w:pPr>
            <w:r>
              <w:t xml:space="preserve">mostly Adjunct, first Assistant Professors</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~$3,400–5,100 (60–90 scholars)</w:t>
            </w:r>
          </w:p>
        </w:tc>
        <w:tc>
          <w:tcPr/>
          <w:p>
            <w:pPr>
              <w:pStyle w:val="Compact"/>
              <w:jc w:val="left"/>
            </w:pPr>
            <w:r>
              <w:t xml:space="preserve">Adjunct–Full Professor spread</w:t>
            </w:r>
          </w:p>
        </w:tc>
      </w:tr>
      <w:tr>
        <w:trPr>
          <w:cantSplit/>
        </w:trPr>
        <w:tc>
          <w:tcPr/>
          <w:p>
            <w:pPr>
              <w:pStyle w:val="Compact"/>
              <w:jc w:val="left"/>
            </w:pPr>
            <w:r>
              <w:t xml:space="preserve">Yr11+ (secular)</w:t>
            </w:r>
          </w:p>
        </w:tc>
        <w:tc>
          <w:tcPr/>
          <w:p>
            <w:pPr>
              <w:pStyle w:val="Compact"/>
              <w:jc w:val="left"/>
            </w:pPr>
            <w:r>
              <w:t xml:space="preserve">scales with new-school Payroll</w:t>
            </w:r>
          </w:p>
        </w:tc>
        <w:tc>
          <w:tcPr/>
          <w:p>
            <w:pPr>
              <w:pStyle w:val="Compact"/>
              <w:jc w:val="left"/>
            </w:pPr>
            <w:r>
              <w:t xml:space="preserve">salaried terminal-degree hires</w:t>
            </w:r>
          </w:p>
        </w:tc>
        <w:tc>
          <w:tcPr/>
          <w:p>
            <w:pPr>
              <w:pStyle w:val="Compact"/>
              <w:jc w:val="left"/>
            </w:pPr>
            <w:r>
              <w:t xml:space="preserve">conventional FT/adjunct mix</w:t>
            </w:r>
          </w:p>
        </w:tc>
      </w:tr>
    </w:tbl>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pPr>
      <w:r>
        <w:rPr>
          <w:bCs/>
          <w:b/>
          <w:color w:val="B08625"/>
          <w:sz w:val="20"/>
          <w:caps/>
          <w:spacing w:val="14"/>
        </w:rPr>
        <w:t xml:space="preserve">Risks &amp; Mitigation</w:t>
      </w:r>
    </w:p>
    <w:p>
      <w:pPr>
        <w:numPr>
          <w:ilvl w:val="0"/>
          <w:numId w:val="1007"/>
        </w:numPr>
        <w:pStyle w:val="Compact"/>
      </w:pPr>
      <w:r>
        <w:rPr>
          <w:bCs/>
          <w:b/>
          <w:color w:val="B08625"/>
          <w:sz w:val="20"/>
          <w:caps/>
          <w:spacing w:val="14"/>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pPr>
      <w:r>
        <w:rPr>
          <w:bCs/>
          <w:b/>
          <w:color w:val="B08625"/>
          <w:sz w:val="20"/>
          <w:caps/>
          <w:spacing w:val="14"/>
        </w:rPr>
        <w:t xml:space="preserve">Governance Responsibilities &amp; Timeline</w:t>
      </w:r>
    </w:p>
    <w:p>
      <w:pPr>
        <w:pStyle w:val="BodyText"/>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pPr>
      <w:r>
        <w:rPr>
          <w:bCs/>
          <w:b/>
          <w:color w:val="B08625"/>
          <w:sz w:val="20"/>
          <w:caps/>
          <w:spacing w:val="14"/>
        </w:rPr>
        <w:t xml:space="preserve">Measurable Success Indicators</w:t>
      </w:r>
    </w:p>
    <w:p>
      <w:pPr>
        <w:pStyle w:val="BodyText"/>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1"/>
    <w:bookmarkStart w:id="62" w:name="section-10-department-structure"/>
    <w:p>
      <w:pPr>
        <w:pStyle w:val="Heading2"/>
      </w:pPr>
      <w:r>
        <w:t xml:space="preserve">Section 10: Department Structure</w:t>
      </w:r>
    </w:p>
    <w:p>
      <w:pPr>
        <w:pStyle w:val="FirstParagraph"/>
      </w:pPr>
      <w:r>
        <w:rPr>
          <w:bCs/>
          <w:b/>
          <w:color w:val="B08625"/>
          <w:sz w:val="20"/>
          <w:caps/>
          <w:spacing w:val="14"/>
        </w:rPr>
        <w:t xml:space="preserve">Rationale</w:t>
      </w:r>
    </w:p>
    <w:p>
      <w:pPr>
        <w:pStyle w:val="BodyText"/>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pPr>
      <w:r>
        <w:rPr>
          <w:bCs/>
          <w:b/>
          <w:color w:val="B08625"/>
          <w:sz w:val="20"/>
          <w:caps/>
          <w:spacing w:val="14"/>
        </w:rPr>
        <w:t xml:space="preserve">Global Best Practices</w:t>
      </w:r>
    </w:p>
    <w:p>
      <w:pPr>
        <w:pStyle w:val="BodyText"/>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pPr>
      <w:r>
        <w:rPr>
          <w:bCs/>
          <w:b/>
          <w:color w:val="B08625"/>
          <w:sz w:val="20"/>
          <w:caps/>
          <w:spacing w:val="14"/>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Department (HoD)</w:t>
            </w:r>
          </w:p>
        </w:tc>
        <w:tc>
          <w:tcPr/>
          <w:p>
            <w:pPr>
              <w:pStyle w:val="Compact"/>
              <w:jc w:val="left"/>
            </w:pPr>
            <w:r>
              <w:t xml:space="preserve">Colleges served</w:t>
            </w:r>
          </w:p>
        </w:tc>
        <w:tc>
          <w:tcPr/>
          <w:p>
            <w:pPr>
              <w:pStyle w:val="Compact"/>
              <w:jc w:val="left"/>
            </w:pPr>
            <w:r>
              <w:t xml:space="preserve">Founding-phase staffing</w:t>
            </w:r>
          </w:p>
        </w:tc>
      </w:tr>
      <w:tr>
        <w:trPr>
          <w:cantSplit/>
        </w:trPr>
        <w:tc>
          <w:tcPr/>
          <w:p>
            <w:pPr>
              <w:pStyle w:val="Compact"/>
              <w:jc w:val="left"/>
            </w:pPr>
            <w:r>
              <w:t xml:space="preserve">Qur’ānic Studies &amp; Tafsīr</w:t>
            </w:r>
          </w:p>
        </w:tc>
        <w:tc>
          <w:tcPr/>
          <w:p>
            <w:pPr>
              <w:pStyle w:val="Compact"/>
              <w:jc w:val="left"/>
            </w:pPr>
            <w:r>
              <w:t xml:space="preserve">College I</w:t>
            </w:r>
          </w:p>
        </w:tc>
        <w:tc>
          <w:tcPr/>
          <w:p>
            <w:pPr>
              <w:pStyle w:val="Compact"/>
              <w:jc w:val="left"/>
            </w:pPr>
            <w:r>
              <w:t xml:space="preserve">HoD + 2–3 adjunct scholars</w:t>
            </w:r>
          </w:p>
        </w:tc>
      </w:tr>
      <w:tr>
        <w:trPr>
          <w:cantSplit/>
        </w:trPr>
        <w:tc>
          <w:tcPr/>
          <w:p>
            <w:pPr>
              <w:pStyle w:val="Compact"/>
              <w:jc w:val="left"/>
            </w:pPr>
            <w:r>
              <w:t xml:space="preserve">Hadith Sciences</w:t>
            </w:r>
          </w:p>
        </w:tc>
        <w:tc>
          <w:tcPr/>
          <w:p>
            <w:pPr>
              <w:pStyle w:val="Compact"/>
              <w:jc w:val="left"/>
            </w:pPr>
            <w:r>
              <w:t xml:space="preserve">College I</w:t>
            </w:r>
          </w:p>
        </w:tc>
        <w:tc>
          <w:tcPr/>
          <w:p>
            <w:pPr>
              <w:pStyle w:val="Compact"/>
              <w:jc w:val="left"/>
            </w:pPr>
            <w:r>
              <w:t xml:space="preserve">HoD + 1–2 adjunct scholars</w:t>
            </w:r>
          </w:p>
        </w:tc>
      </w:tr>
      <w:tr>
        <w:trPr>
          <w:cantSplit/>
        </w:trPr>
        <w:tc>
          <w:tcPr/>
          <w:p>
            <w:pPr>
              <w:pStyle w:val="Compact"/>
              <w:jc w:val="left"/>
            </w:pPr>
            <w:r>
              <w:t xml:space="preserve">Sharī’ah &amp; Fiqh</w:t>
            </w:r>
          </w:p>
        </w:tc>
        <w:tc>
          <w:tcPr/>
          <w:p>
            <w:pPr>
              <w:pStyle w:val="Compact"/>
              <w:jc w:val="left"/>
            </w:pPr>
            <w:r>
              <w:t xml:space="preserve">College II</w:t>
            </w:r>
          </w:p>
        </w:tc>
        <w:tc>
          <w:tcPr/>
          <w:p>
            <w:pPr>
              <w:pStyle w:val="Compact"/>
              <w:jc w:val="left"/>
            </w:pPr>
            <w:r>
              <w:t xml:space="preserve">HoD + 2–3 adjunct scholars</w:t>
            </w:r>
          </w:p>
        </w:tc>
      </w:tr>
      <w:tr>
        <w:trPr>
          <w:cantSplit/>
        </w:trPr>
        <w:tc>
          <w:tcPr/>
          <w:p>
            <w:pPr>
              <w:pStyle w:val="Compact"/>
              <w:jc w:val="left"/>
            </w:pPr>
            <w:r>
              <w:t xml:space="preserve">Aqeedah &amp; Islamic Philosophy</w:t>
            </w:r>
          </w:p>
        </w:tc>
        <w:tc>
          <w:tcPr/>
          <w:p>
            <w:pPr>
              <w:pStyle w:val="Compact"/>
              <w:jc w:val="left"/>
            </w:pPr>
            <w:r>
              <w:t xml:space="preserve">College III</w:t>
            </w:r>
          </w:p>
        </w:tc>
        <w:tc>
          <w:tcPr/>
          <w:p>
            <w:pPr>
              <w:pStyle w:val="Compact"/>
              <w:jc w:val="left"/>
            </w:pPr>
            <w:r>
              <w:t xml:space="preserve">HoD + 1–2 adjunct scholars</w:t>
            </w:r>
          </w:p>
        </w:tc>
      </w:tr>
      <w:tr>
        <w:trPr>
          <w:cantSplit/>
        </w:trPr>
        <w:tc>
          <w:tcPr/>
          <w:p>
            <w:pPr>
              <w:pStyle w:val="Compact"/>
              <w:jc w:val="left"/>
            </w:pPr>
            <w:r>
              <w:t xml:space="preserve">Arabic Language &amp; Linguistics</w:t>
            </w:r>
          </w:p>
        </w:tc>
        <w:tc>
          <w:tcPr/>
          <w:p>
            <w:pPr>
              <w:pStyle w:val="Compact"/>
              <w:jc w:val="left"/>
            </w:pPr>
            <w:r>
              <w:t xml:space="preserve">College IV (+ shared core)</w:t>
            </w:r>
          </w:p>
        </w:tc>
        <w:tc>
          <w:tcPr/>
          <w:p>
            <w:pPr>
              <w:pStyle w:val="Compact"/>
              <w:jc w:val="left"/>
            </w:pPr>
            <w:r>
              <w:t xml:space="preserve">HoD + 2–3 adjunct scholars</w:t>
            </w:r>
          </w:p>
        </w:tc>
      </w:tr>
      <w:tr>
        <w:trPr>
          <w:cantSplit/>
        </w:trPr>
        <w:tc>
          <w:tcPr/>
          <w:p>
            <w:pPr>
              <w:pStyle w:val="Compact"/>
              <w:jc w:val="left"/>
            </w:pPr>
            <w:r>
              <w:t xml:space="preserve">Da’wah &amp; Islamic Communication</w:t>
            </w:r>
          </w:p>
        </w:tc>
        <w:tc>
          <w:tcPr/>
          <w:p>
            <w:pPr>
              <w:pStyle w:val="Compact"/>
              <w:jc w:val="left"/>
            </w:pPr>
            <w:r>
              <w:t xml:space="preserve">College V</w:t>
            </w:r>
          </w:p>
        </w:tc>
        <w:tc>
          <w:tcPr/>
          <w:p>
            <w:pPr>
              <w:pStyle w:val="Compact"/>
              <w:jc w:val="left"/>
            </w:pPr>
            <w:r>
              <w:t xml:space="preserve">HoD + 1–2 adjunct scholars</w:t>
            </w:r>
          </w:p>
        </w:tc>
      </w:tr>
    </w:tbl>
    <w:p>
      <w:pPr>
        <w:pStyle w:val="BodyText"/>
      </w:pPr>
      <w:r>
        <w:t xml:space="preserve">Each HoD is simultaneously a teaching scholar and the department’s sole administrator in Years 1–5 — there is no department office beyond the HoD until enrolment/revenue justifies one.</w:t>
      </w:r>
    </w:p>
    <w:p>
      <w:pPr>
        <w:pStyle w:val="BodyText"/>
      </w:pPr>
      <w:r>
        <w:rPr>
          <w:bCs/>
          <w:b/>
          <w:color w:val="B08625"/>
          <w:sz w:val="20"/>
          <w:caps/>
          <w:spacing w:val="14"/>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Total dept. staffing budget source</w:t>
            </w:r>
          </w:p>
        </w:tc>
        <w:tc>
          <w:tcPr/>
          <w:p>
            <w:pPr>
              <w:pStyle w:val="Compact"/>
              <w:jc w:val="left"/>
            </w:pPr>
            <w:r>
              <w:t xml:space="preserve">Approx. per-department honoraria pool (Yr1/Yr5/Yr10, 6 depts sharing $17,980/$103,263/$306,444)</w:t>
            </w:r>
          </w:p>
        </w:tc>
      </w:tr>
      <w:tr>
        <w:trPr>
          <w:cantSplit/>
        </w:trPr>
        <w:tc>
          <w:tcPr/>
          <w:p>
            <w:pPr>
              <w:pStyle w:val="Compact"/>
              <w:jc w:val="left"/>
            </w:pPr>
            <w:r>
              <w:t xml:space="preserve">Yr1</w:t>
            </w:r>
          </w:p>
        </w:tc>
        <w:tc>
          <w:tcPr/>
          <w:p>
            <w:pPr>
              <w:pStyle w:val="Compact"/>
              <w:jc w:val="left"/>
            </w:pPr>
            <w:r>
              <w:t xml:space="preserve">Faculty Honoraria (40% of $44,949 Payroll)</w:t>
            </w:r>
          </w:p>
        </w:tc>
        <w:tc>
          <w:tcPr/>
          <w:p>
            <w:pPr>
              <w:pStyle w:val="Compact"/>
              <w:jc w:val="left"/>
            </w:pPr>
            <w:r>
              <w:t xml:space="preserve">≈$3,000 avg/dept</w:t>
            </w:r>
          </w:p>
        </w:tc>
      </w:tr>
      <w:tr>
        <w:trPr>
          <w:cantSplit/>
        </w:trPr>
        <w:tc>
          <w:tcPr/>
          <w:p>
            <w:pPr>
              <w:pStyle w:val="Compact"/>
              <w:jc w:val="left"/>
            </w:pPr>
            <w:r>
              <w:t xml:space="preserve">Yr5</w:t>
            </w:r>
          </w:p>
        </w:tc>
        <w:tc>
          <w:tcPr/>
          <w:p>
            <w:pPr>
              <w:pStyle w:val="Compact"/>
              <w:jc w:val="left"/>
            </w:pPr>
            <w:r>
              <w:t xml:space="preserve">Faculty Honoraria (40% of $258,157 Payroll)</w:t>
            </w:r>
          </w:p>
        </w:tc>
        <w:tc>
          <w:tcPr/>
          <w:p>
            <w:pPr>
              <w:pStyle w:val="Compact"/>
              <w:jc w:val="left"/>
            </w:pPr>
            <w:r>
              <w:t xml:space="preserve">≈$17,200 avg/dept</w:t>
            </w:r>
          </w:p>
        </w:tc>
      </w:tr>
      <w:tr>
        <w:trPr>
          <w:cantSplit/>
        </w:trPr>
        <w:tc>
          <w:tcPr/>
          <w:p>
            <w:pPr>
              <w:pStyle w:val="Compact"/>
              <w:jc w:val="left"/>
            </w:pPr>
            <w:r>
              <w:t xml:space="preserve">Yr10</w:t>
            </w:r>
          </w:p>
        </w:tc>
        <w:tc>
          <w:tcPr/>
          <w:p>
            <w:pPr>
              <w:pStyle w:val="Compact"/>
              <w:jc w:val="left"/>
            </w:pPr>
            <w:r>
              <w:t xml:space="preserve">Faculty Honoraria (40% of $766,110 Payroll)</w:t>
            </w:r>
          </w:p>
        </w:tc>
        <w:tc>
          <w:tcPr/>
          <w:p>
            <w:pPr>
              <w:pStyle w:val="Compact"/>
              <w:jc w:val="left"/>
            </w:pPr>
            <w:r>
              <w:t xml:space="preserve">≈$51,000 avg/dept</w:t>
            </w:r>
          </w:p>
        </w:tc>
      </w:tr>
    </w:tbl>
    <w:p>
      <w:pPr>
        <w:pStyle w:val="BodyText"/>
      </w:pPr>
      <w:r>
        <w:t xml:space="preserve">Apportionment is not equal-split in practice — it follows enrolled CH per department’s subject spine (e.g., Sharī’ah &amp; Fiqh and Qur’ānic Studies typically carry higher enrolment share and thus larger pro-rata pools).</w:t>
      </w:r>
    </w:p>
    <w:p>
      <w:pPr>
        <w:pStyle w:val="BodyText"/>
      </w:pPr>
      <w:r>
        <w:rPr>
          <w:bCs/>
          <w:b/>
          <w:color w:val="B08625"/>
          <w:sz w:val="20"/>
          <w:caps/>
          <w:spacing w:val="14"/>
        </w:rPr>
        <w:t xml:space="preserve">New Departments Under the Year-11 Secular Schools</w:t>
      </w:r>
    </w:p>
    <w:p>
      <w:pPr>
        <w:pStyle w:val="BodyText"/>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pPr>
      <w:r>
        <w:rPr>
          <w:bCs/>
          <w:b/>
          <w:color w:val="B08625"/>
          <w:sz w:val="20"/>
          <w:caps/>
          <w:spacing w:val="14"/>
        </w:rPr>
        <w:t xml:space="preserve">Reporting Line</w:t>
      </w:r>
    </w:p>
    <w:p>
      <w:pPr>
        <w:pStyle w:val="BodyText"/>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pPr>
      <w:r>
        <w:rPr>
          <w:bCs/>
          <w:b/>
          <w:color w:val="B08625"/>
          <w:sz w:val="20"/>
          <w:caps/>
          <w:spacing w:val="14"/>
        </w:rPr>
        <w:t xml:space="preserve">Risks &amp; Mitigation</w:t>
      </w:r>
    </w:p>
    <w:p>
      <w:pPr>
        <w:numPr>
          <w:ilvl w:val="0"/>
          <w:numId w:val="1008"/>
        </w:numPr>
        <w:pStyle w:val="Compact"/>
      </w:pPr>
      <w:r>
        <w:rPr>
          <w:bCs/>
          <w:b/>
          <w:color w:val="B08625"/>
          <w:sz w:val="20"/>
          <w:caps/>
          <w:spacing w:val="14"/>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pPr>
      <w:r>
        <w:rPr>
          <w:bCs/>
          <w:b/>
          <w:color w:val="B08625"/>
          <w:sz w:val="20"/>
          <w:caps/>
          <w:spacing w:val="14"/>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pPr>
      <w:r>
        <w:rPr>
          <w:bCs/>
          <w:b/>
          <w:color w:val="B08625"/>
          <w:sz w:val="20"/>
          <w:caps/>
          <w:spacing w:val="14"/>
        </w:rPr>
        <w:t xml:space="preserve">Timeline &amp; Governance Responsibilities</w:t>
      </w:r>
    </w:p>
    <w:p>
      <w:pPr>
        <w:pStyle w:val="BodyText"/>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pPr>
      <w:r>
        <w:rPr>
          <w:bCs/>
          <w:b/>
          <w:color w:val="B08625"/>
          <w:sz w:val="20"/>
          <w:caps/>
          <w:spacing w:val="14"/>
        </w:rPr>
        <w:t xml:space="preserve">Measurable Success Indicators</w:t>
      </w:r>
    </w:p>
    <w:p>
      <w:pPr>
        <w:pStyle w:val="BodyText"/>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THREE OF EIGHT</w:t>
            </w:r>
          </w:p>
          <w:p>
            <w:pPr>
              <w:spacing w:before="0" w:after="60"/>
            </w:pPr>
            <w:r>
              <w:rPr>
                <w:rFonts w:ascii="Cinzel" w:hAnsi="Cinzel"/>
                <w:b/>
                <w:color w:val="B08625"/>
                <w:sz w:val="20"/>
                <w:caps/>
                <w:spacing w:val="14"/>
              </w:rPr>
              <w:t>III</w:t>
            </w:r>
          </w:p>
          <w:p>
            <w:pPr>
              <w:spacing w:before="120" w:after="80"/>
            </w:pPr>
            <w:r>
              <w:rPr>
                <w:rFonts w:ascii="Cormorant Garamond" w:hAnsi="Cormorant Garamond"/>
                <w:b/>
                <w:color w:val="B08625"/>
                <w:sz w:val="20"/>
                <w:caps/>
                <w:spacing w:val="14"/>
              </w:rPr>
              <w:t>Curriculum &amp; Student Journey</w:t>
            </w:r>
          </w:p>
          <w:p>
            <w:pPr>
              <w:spacing w:before="0" w:after="260"/>
              <w:pBdr>
                <w:bottom w:val="single" w:sz="10" w:space="8" w:color="B08625"/>
              </w:pBdr>
            </w:pPr>
            <w:r>
              <w:rPr>
                <w:rFonts w:ascii="Liberation Sans" w:hAnsi="Liberation Sans"/>
                <w:color w:val="8C97AB"/>
                <w:sz w:val="17"/>
                <w:spacing w:val="14"/>
              </w:rPr>
              <w:t>SECTIONS 11–15</w:t>
            </w:r>
          </w:p>
          <w:p>
            <w:pPr>
              <w:spacing w:before="0" w:after="360"/>
              <w:ind w:right="700"/>
            </w:pPr>
            <w:r>
              <w:rPr>
                <w:rFonts w:ascii="Cormorant Garamond" w:hAnsi="Cormorant Garamond"/>
                <w:i/>
                <w:color w:val="DCE3F0"/>
                <w:sz w:val="25"/>
              </w:rPr>
              <w:t>“The seventy-one-program portfolio, its credit-hour architecture, and the digital-first student journey that lets a Tier-4 applicant enroll, learn, and graduate without ever needing a campus.”</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11 </w:t>
            </w:r>
            <w:r>
              <w:rPr>
                <w:rFonts w:ascii="Liberation Sans" w:hAnsi="Liberation Sans"/>
                <w:color w:val="FFFFFF"/>
                <w:sz w:val="20"/>
              </w:rPr>
              <w:t>Programme Portfolio</w:t>
            </w:r>
          </w:p>
          <w:p>
            <w:pPr>
              <w:spacing w:before="0" w:after="130"/>
            </w:pPr>
            <w:r>
              <w:rPr>
                <w:rFonts w:ascii="Cinzel" w:hAnsi="Cinzel"/>
                <w:b/>
                <w:color w:val="B08625"/>
                <w:sz w:val="20"/>
                <w:caps/>
                <w:spacing w:val="14"/>
              </w:rPr>
              <w:t>12 </w:t>
            </w:r>
            <w:r>
              <w:rPr>
                <w:rFonts w:ascii="Liberation Sans" w:hAnsi="Liberation Sans"/>
                <w:color w:val="FFFFFF"/>
                <w:sz w:val="20"/>
              </w:rPr>
              <w:t>Curriculum Architecture</w:t>
            </w:r>
          </w:p>
          <w:p>
            <w:pPr>
              <w:spacing w:before="0" w:after="130"/>
            </w:pPr>
            <w:r>
              <w:rPr>
                <w:rFonts w:ascii="Cinzel" w:hAnsi="Cinzel"/>
                <w:b/>
                <w:color w:val="B08625"/>
                <w:sz w:val="20"/>
                <w:caps/>
                <w:spacing w:val="14"/>
              </w:rPr>
              <w:t>13 </w:t>
            </w:r>
            <w:r>
              <w:rPr>
                <w:rFonts w:ascii="Liberation Sans" w:hAnsi="Liberation Sans"/>
                <w:color w:val="FFFFFF"/>
                <w:sz w:val="20"/>
              </w:rPr>
              <w:t>Student Journey Map</w:t>
            </w:r>
          </w:p>
          <w:p>
            <w:pPr>
              <w:spacing w:before="0" w:after="130"/>
            </w:pPr>
            <w:r>
              <w:rPr>
                <w:rFonts w:ascii="Cinzel" w:hAnsi="Cinzel"/>
                <w:b/>
                <w:color w:val="B08625"/>
                <w:sz w:val="20"/>
                <w:caps/>
                <w:spacing w:val="14"/>
              </w:rPr>
              <w:t>14 </w:t>
            </w:r>
            <w:r>
              <w:rPr>
                <w:rFonts w:ascii="Liberation Sans" w:hAnsi="Liberation Sans"/>
                <w:color w:val="FFFFFF"/>
                <w:sz w:val="20"/>
              </w:rPr>
              <w:t>Admission Policies</w:t>
            </w:r>
          </w:p>
          <w:p>
            <w:pPr>
              <w:spacing w:before="0" w:after="130"/>
            </w:pPr>
            <w:r>
              <w:rPr>
                <w:rFonts w:ascii="Cinzel" w:hAnsi="Cinzel"/>
                <w:b/>
                <w:color w:val="B08625"/>
                <w:sz w:val="20"/>
                <w:caps/>
                <w:spacing w:val="14"/>
              </w:rPr>
              <w:t>15 </w:t>
            </w:r>
            <w:r>
              <w:rPr>
                <w:rFonts w:ascii="Liberation Sans" w:hAnsi="Liberation Sans"/>
                <w:color w:val="FFFFFF"/>
                <w:sz w:val="20"/>
              </w:rPr>
              <w:t>Faculty Recruitment Strategy</w:t>
            </w:r>
          </w:p>
        </w:tc>
      </w:tr>
    </w:tbl>
    <w:p>
      <w:r>
        <w:br w:type="page"/>
      </w:r>
    </w:p>
    <w:p>
      <w:pPr>
        <w:pStyle w:val="SectionKicker"/>
      </w:pPr>
      <w:r>
        <w:t xml:space="preserve">PART III · SECTION 11</w:t>
      </w:r>
    </w:p>
    <w:bookmarkEnd w:id="62"/>
    <w:bookmarkStart w:id="63" w:name="section-11-programme-portfolio"/>
    <w:p>
      <w:pPr>
        <w:pStyle w:val="Heading2"/>
      </w:pPr>
      <w:r>
        <w:t xml:space="preserve">Section 11: Programme Portfolio</w:t>
      </w:r>
    </w:p>
    <w:p>
      <w:pPr>
        <w:pStyle w:val="FirstParagraph"/>
      </w:pPr>
      <w:r>
        <w:rPr>
          <w:bCs/>
          <w:b/>
          <w:color w:val="B08625"/>
          <w:sz w:val="20"/>
          <w:caps/>
          <w:spacing w:val="14"/>
        </w:rPr>
        <w:t xml:space="preserve">Rationale</w:t>
      </w:r>
    </w:p>
    <w:p>
      <w:pPr>
        <w:pStyle w:val="BodyText"/>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pPr>
      <w:r>
        <w:rPr>
          <w:bCs/>
          <w:b/>
          <w:color w:val="B08625"/>
          <w:sz w:val="20"/>
          <w:caps/>
          <w:spacing w:val="14"/>
        </w:rPr>
        <w:t xml:space="preserve">Global Best Practices</w:t>
      </w:r>
    </w:p>
    <w:p>
      <w:pPr>
        <w:pStyle w:val="BodyText"/>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Founding</w:t>
            </w:r>
          </w:p>
        </w:tc>
        <w:tc>
          <w:tcPr/>
          <w:p>
            <w:pPr>
              <w:pStyle w:val="Compact"/>
              <w:jc w:val="left"/>
            </w:pPr>
            <w:r>
              <w:t xml:space="preserve">2027</w:t>
            </w:r>
          </w:p>
        </w:tc>
        <w:tc>
          <w:tcPr/>
          <w:p>
            <w:pPr>
              <w:pStyle w:val="Compact"/>
              <w:jc w:val="left"/>
            </w:pPr>
            <w:r>
              <w:t xml:space="preserve">Senate ratifies the 71-program catalog and permanent numbering (1–71)</w:t>
            </w:r>
          </w:p>
        </w:tc>
      </w:tr>
      <w:tr>
        <w:trPr>
          <w:cantSplit/>
        </w:trPr>
        <w:tc>
          <w:tcPr/>
          <w:p>
            <w:pPr>
              <w:pStyle w:val="Compact"/>
              <w:jc w:val="left"/>
            </w:pPr>
            <w:r>
              <w:t xml:space="preserve">1 – Stabilization</w:t>
            </w:r>
          </w:p>
        </w:tc>
        <w:tc>
          <w:tcPr/>
          <w:p>
            <w:pPr>
              <w:pStyle w:val="Compact"/>
              <w:jc w:val="left"/>
            </w:pPr>
            <w:r>
              <w:t xml:space="preserve">2028–2030</w:t>
            </w:r>
          </w:p>
        </w:tc>
        <w:tc>
          <w:tcPr/>
          <w:p>
            <w:pPr>
              <w:pStyle w:val="Compact"/>
              <w:jc w:val="left"/>
            </w:pPr>
            <w:r>
              <w:t xml:space="preserve">Launch monitoring; no new programs; fix early-cohort defects</w:t>
            </w:r>
          </w:p>
        </w:tc>
      </w:tr>
      <w:tr>
        <w:trPr>
          <w:cantSplit/>
        </w:trPr>
        <w:tc>
          <w:tcPr/>
          <w:p>
            <w:pPr>
              <w:pStyle w:val="Compact"/>
              <w:jc w:val="left"/>
            </w:pPr>
            <w:r>
              <w:t xml:space="preserve">2 – Consolidation</w:t>
            </w:r>
          </w:p>
        </w:tc>
        <w:tc>
          <w:tcPr/>
          <w:p>
            <w:pPr>
              <w:pStyle w:val="Compact"/>
              <w:jc w:val="left"/>
            </w:pPr>
            <w:r>
              <w:t xml:space="preserve">2031–2034</w:t>
            </w:r>
          </w:p>
        </w:tc>
        <w:tc>
          <w:tcPr/>
          <w:p>
            <w:pPr>
              <w:pStyle w:val="Compact"/>
              <w:jc w:val="left"/>
            </w:pPr>
            <w:r>
              <w:t xml:space="preserve">First 3-year reviews; balance checks across tiers/colleges</w:t>
            </w:r>
          </w:p>
        </w:tc>
      </w:tr>
      <w:tr>
        <w:trPr>
          <w:cantSplit/>
        </w:trPr>
        <w:tc>
          <w:tcPr/>
          <w:p>
            <w:pPr>
              <w:pStyle w:val="Compact"/>
              <w:jc w:val="left"/>
            </w:pPr>
            <w:r>
              <w:t xml:space="preserve">3 – Pre-Expansion</w:t>
            </w:r>
          </w:p>
        </w:tc>
        <w:tc>
          <w:tcPr/>
          <w:p>
            <w:pPr>
              <w:pStyle w:val="Compact"/>
              <w:jc w:val="left"/>
            </w:pPr>
            <w:r>
              <w:t xml:space="preserve">2035–2037</w:t>
            </w:r>
          </w:p>
        </w:tc>
        <w:tc>
          <w:tcPr/>
          <w:p>
            <w:pPr>
              <w:pStyle w:val="Compact"/>
              <w:jc w:val="left"/>
            </w:pPr>
            <w:r>
              <w:t xml:space="preserve">Readiness audit for secular expansion; capacity planning</w:t>
            </w:r>
          </w:p>
        </w:tc>
      </w:tr>
      <w:tr>
        <w:trPr>
          <w:cantSplit/>
        </w:trPr>
        <w:tc>
          <w:tcPr/>
          <w:p>
            <w:pPr>
              <w:pStyle w:val="Compact"/>
              <w:jc w:val="left"/>
            </w:pPr>
            <w:r>
              <w:t xml:space="preserve">4 – Secular Launch</w:t>
            </w:r>
          </w:p>
        </w:tc>
        <w:tc>
          <w:tcPr/>
          <w:p>
            <w:pPr>
              <w:pStyle w:val="Compact"/>
              <w:jc w:val="left"/>
            </w:pPr>
            <w:r>
              <w:t xml:space="preserve">2038–2041</w:t>
            </w:r>
          </w:p>
        </w:tc>
        <w:tc>
          <w:tcPr/>
          <w:p>
            <w:pPr>
              <w:pStyle w:val="Compact"/>
              <w:jc w:val="left"/>
            </w:pPr>
            <w:r>
              <w:t xml:space="preserve">Onboard 28 programs (#72–99), 7 new Schools</w:t>
            </w:r>
          </w:p>
        </w:tc>
      </w:tr>
      <w:tr>
        <w:trPr>
          <w:cantSplit/>
        </w:trPr>
        <w:tc>
          <w:tcPr/>
          <w:p>
            <w:pPr>
              <w:pStyle w:val="Compact"/>
              <w:jc w:val="left"/>
            </w:pPr>
            <w:r>
              <w:t xml:space="preserve">5 – Maturity</w:t>
            </w:r>
          </w:p>
        </w:tc>
        <w:tc>
          <w:tcPr/>
          <w:p>
            <w:pPr>
              <w:pStyle w:val="Compact"/>
              <w:jc w:val="left"/>
            </w:pPr>
            <w:r>
              <w:t xml:space="preserve">2042–2050</w:t>
            </w:r>
          </w:p>
        </w:tc>
        <w:tc>
          <w:tcPr/>
          <w:p>
            <w:pPr>
              <w:pStyle w:val="Compact"/>
              <w:jc w:val="left"/>
            </w:pPr>
            <w:r>
              <w:t xml:space="preserve">Steady-state renewal, selective new-program proposals, sunset review cycle</w:t>
            </w:r>
          </w:p>
        </w:tc>
      </w:tr>
    </w:tbl>
    <w:p>
      <w:pPr>
        <w:pStyle w:val="BodyText"/>
      </w:pPr>
      <w:r>
        <w:rPr>
          <w:bCs/>
          <w:b/>
          <w:color w:val="B08625"/>
          <w:sz w:val="20"/>
          <w:caps/>
          <w:spacing w:val="14"/>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Portfolio-related staffing</w:t>
            </w:r>
          </w:p>
        </w:tc>
      </w:tr>
      <w:tr>
        <w:trPr>
          <w:cantSplit/>
        </w:trPr>
        <w:tc>
          <w:tcPr/>
          <w:p>
            <w:pPr>
              <w:pStyle w:val="Compact"/>
              <w:jc w:val="left"/>
            </w:pPr>
            <w:r>
              <w:t xml:space="preserve">1 (Yr1–3)</w:t>
            </w:r>
          </w:p>
        </w:tc>
        <w:tc>
          <w:tcPr/>
          <w:p>
            <w:pPr>
              <w:pStyle w:val="Compact"/>
              <w:jc w:val="left"/>
            </w:pPr>
            <w:r>
              <w:t xml:space="preserve">No dedicated role; Senate Secretary + DVC Academic Affairs track portfolio part-time</w:t>
            </w:r>
          </w:p>
        </w:tc>
      </w:tr>
      <w:tr>
        <w:trPr>
          <w:cantSplit/>
        </w:trPr>
        <w:tc>
          <w:tcPr/>
          <w:p>
            <w:pPr>
              <w:pStyle w:val="Compact"/>
              <w:jc w:val="left"/>
            </w:pPr>
            <w:r>
              <w:t xml:space="preserve">2 (Yr4–7)</w:t>
            </w:r>
          </w:p>
        </w:tc>
        <w:tc>
          <w:tcPr/>
          <w:p>
            <w:pPr>
              <w:pStyle w:val="Compact"/>
              <w:jc w:val="left"/>
            </w:pPr>
            <w:r>
              <w:t xml:space="preserve">Programme Portfolio Analyst, 0.5 FTE</w:t>
            </w:r>
          </w:p>
        </w:tc>
      </w:tr>
      <w:tr>
        <w:trPr>
          <w:cantSplit/>
        </w:trPr>
        <w:tc>
          <w:tcPr/>
          <w:p>
            <w:pPr>
              <w:pStyle w:val="Compact"/>
              <w:jc w:val="left"/>
            </w:pPr>
            <w:r>
              <w:t xml:space="preserve">3 (Yr8–10)</w:t>
            </w:r>
          </w:p>
        </w:tc>
        <w:tc>
          <w:tcPr/>
          <w:p>
            <w:pPr>
              <w:pStyle w:val="Compact"/>
              <w:jc w:val="left"/>
            </w:pPr>
            <w:r>
              <w:t xml:space="preserve">Analyst to 1.0 FTE; College Curriculum Liaisons (volunteer, 1 per college)</w:t>
            </w:r>
          </w:p>
        </w:tc>
      </w:tr>
      <w:tr>
        <w:trPr>
          <w:cantSplit/>
        </w:trPr>
        <w:tc>
          <w:tcPr/>
          <w:p>
            <w:pPr>
              <w:pStyle w:val="Compact"/>
              <w:jc w:val="left"/>
            </w:pPr>
            <w:r>
              <w:t xml:space="preserve">4 (Yr11–14)</w:t>
            </w:r>
          </w:p>
        </w:tc>
        <w:tc>
          <w:tcPr/>
          <w:p>
            <w:pPr>
              <w:pStyle w:val="Compact"/>
              <w:jc w:val="left"/>
            </w:pPr>
            <w:r>
              <w:t xml:space="preserve">Programme Portfolio Office, 2 FTE, incl. secular-schools liaison</w:t>
            </w:r>
          </w:p>
        </w:tc>
      </w:tr>
      <w:tr>
        <w:trPr>
          <w:cantSplit/>
        </w:trPr>
        <w:tc>
          <w:tcPr/>
          <w:p>
            <w:pPr>
              <w:pStyle w:val="Compact"/>
              <w:jc w:val="left"/>
            </w:pPr>
            <w:r>
              <w:t xml:space="preserve">5 (Yr15–23)</w:t>
            </w:r>
          </w:p>
        </w:tc>
        <w:tc>
          <w:tcPr/>
          <w:p>
            <w:pPr>
              <w:pStyle w:val="Compact"/>
              <w:jc w:val="left"/>
            </w:pPr>
            <w:r>
              <w:t xml:space="preserve">2–3 FTE, steady-state, succession-planned</w:t>
            </w:r>
          </w:p>
        </w:tc>
      </w:tr>
    </w:tbl>
    <w:p>
      <w:pPr>
        <w:pStyle w:val="BodyText"/>
      </w:pPr>
      <w:r>
        <w:rPr>
          <w:bCs/>
          <w:b/>
          <w:color w:val="B08625"/>
          <w:sz w:val="20"/>
          <w:caps/>
          <w:spacing w:val="14"/>
        </w:rPr>
        <w:t xml:space="preserve">Annual Budget</w:t>
      </w:r>
    </w:p>
    <w:p>
      <w:pPr>
        <w:pStyle w:val="BodyText"/>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numPr>
          <w:ilvl w:val="0"/>
          <w:numId w:val="1009"/>
        </w:numPr>
        <w:pStyle w:val="Compact"/>
        <w:shd w:val="clear" w:color="auto" w:fill="F7F3E8"/>
        <w:pBdr>
          <w:left w:val="single" w:sz="24" w:space="10" w:color="B08625"/>
        </w:pBdr>
        <w:ind w:left="300"/>
        <w:spacing w:before="0" w:after="0"/>
      </w:pPr>
      <w:r>
        <w:t xml:space="preserve">No single tier exceeds ~45% of total enrolled headcount (ladder-balance guardrail)</w:t>
      </w:r>
    </w:p>
    <w:p>
      <w:pPr>
        <w:numPr>
          <w:ilvl w:val="0"/>
          <w:numId w:val="1009"/>
        </w:numPr>
        <w:pStyle w:val="Compact"/>
        <w:shd w:val="clear" w:color="auto" w:fill="F7F3E8"/>
        <w:pBdr>
          <w:left w:val="single" w:sz="24" w:space="10" w:color="B08625"/>
        </w:pBdr>
        <w:ind w:left="300"/>
        <w:spacing w:before="0" w:after="0"/>
      </w:pPr>
      <w:r>
        <w:t xml:space="preserve">100% of active programs reviewed on a rolling 3–5-year cycle</w:t>
      </w:r>
    </w:p>
    <w:p>
      <w:pPr>
        <w:numPr>
          <w:ilvl w:val="0"/>
          <w:numId w:val="1009"/>
        </w:numPr>
        <w:pStyle w:val="Compact"/>
        <w:shd w:val="clear" w:color="auto" w:fill="F7F3E8"/>
        <w:pBdr>
          <w:left w:val="single" w:sz="24" w:space="10" w:color="B08625"/>
        </w:pBdr>
        <w:ind w:left="300"/>
        <w:spacing w:before="0" w:after="0"/>
      </w:pPr>
      <w:r>
        <w:t xml:space="preserve">Median Senate turnaround on new-program proposals &lt; 180 days</w:t>
      </w:r>
    </w:p>
    <w:p>
      <w:pPr>
        <w:numPr>
          <w:ilvl w:val="0"/>
          <w:numId w:val="1009"/>
        </w:numPr>
        <w:pStyle w:val="Compact"/>
        <w:shd w:val="clear" w:color="auto" w:fill="F7F3E8"/>
        <w:pBdr>
          <w:left w:val="single" w:sz="24" w:space="10" w:color="B08625"/>
        </w:pBdr>
        <w:ind w:left="300"/>
        <w:spacing w:before="0"/>
      </w:pPr>
      <w:r>
        <w:t xml:space="preserve">≤5% of programs below minimum-viable-cohort threshold for 2 consecutive years without a corrective plan</w:t>
      </w:r>
    </w:p>
    <w:p>
      <w:pPr>
        <w:pStyle w:val="FirstParagrap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Program proliferation dilutes faculty/marketing capacity</w:t>
            </w:r>
          </w:p>
        </w:tc>
        <w:tc>
          <w:tcPr/>
          <w:p>
            <w:pPr>
              <w:pStyle w:val="Compact"/>
              <w:jc w:val="left"/>
            </w:pPr>
            <w:r>
              <w:t xml:space="preserve">Minimum-viable-cohort gate before Senate approval; sunset trigger after 3 sub-threshold years</w:t>
            </w:r>
          </w:p>
        </w:tc>
      </w:tr>
      <w:tr>
        <w:trPr>
          <w:cantSplit/>
        </w:trPr>
        <w:tc>
          <w:tcPr/>
          <w:p>
            <w:pPr>
              <w:pStyle w:val="Compact"/>
              <w:jc w:val="left"/>
            </w:pPr>
            <w:r>
              <w:t xml:space="preserve">Secular Schools (Yr11) cannibalize religious-college enrollment/marketing share</w:t>
            </w:r>
          </w:p>
        </w:tc>
        <w:tc>
          <w:tcPr/>
          <w:p>
            <w:pPr>
              <w:pStyle w:val="Compact"/>
              <w:jc w:val="left"/>
            </w:pPr>
            <w:r>
              <w:t xml:space="preserve">Separate marketing sub-budgets and KPIs per college/school within the 10% Marketing allocation</w:t>
            </w:r>
          </w:p>
        </w:tc>
      </w:tr>
      <w:tr>
        <w:trPr>
          <w:cantSplit/>
        </w:trPr>
        <w:tc>
          <w:tcPr/>
          <w:p>
            <w:pPr>
              <w:pStyle w:val="Compact"/>
              <w:jc w:val="left"/>
            </w:pPr>
            <w:r>
              <w:t xml:space="preserve">Senate becomes a bottleneck as catalog grows to 99 programs</w:t>
            </w:r>
          </w:p>
        </w:tc>
        <w:tc>
          <w:tcPr/>
          <w:p>
            <w:pPr>
              <w:pStyle w:val="Compact"/>
              <w:jc w:val="left"/>
            </w:pPr>
            <w:r>
              <w:t xml:space="preserve">Programme Portfolio Committee pre-screens and batches routine reviews; only substantive changes go to full Senate</w:t>
            </w:r>
          </w:p>
        </w:tc>
      </w:tr>
      <w:tr>
        <w:trPr>
          <w:cantSplit/>
        </w:trPr>
        <w:tc>
          <w:tcPr/>
          <w:p>
            <w:pPr>
              <w:pStyle w:val="Compact"/>
              <w:jc w:val="left"/>
            </w:pPr>
            <w:r>
              <w:t xml:space="preserve">Permanent numbering (1–71) creates confusion when a program is sunset</w:t>
            </w:r>
          </w:p>
        </w:tc>
        <w:tc>
          <w:tcPr/>
          <w:p>
            <w:pPr>
              <w:pStyle w:val="Compact"/>
              <w:jc w:val="left"/>
            </w:pPr>
            <w:r>
              <w:t xml:space="preserve">Sunset = status flag (</w:t>
            </w:r>
            <w:r>
              <w:t xml:space="preserve">“</w:t>
            </w:r>
            <w:r>
              <w:t xml:space="preserve">inactive/teach-out</w:t>
            </w:r>
            <w:r>
              <w:t xml:space="preserve">”</w:t>
            </w:r>
            <w:r>
              <w:t xml:space="preserve">), never renumbering or reuse</w:t>
            </w:r>
          </w:p>
        </w:tc>
      </w:tr>
    </w:tbl>
    <w:p>
      <w:pPr>
        <w:pStyle w:val="BodyText"/>
      </w:pPr>
      <w:r>
        <w:rPr>
          <w:bCs/>
          <w:b/>
          <w:color w:val="B08625"/>
          <w:sz w:val="20"/>
          <w:caps/>
          <w:spacing w:val="14"/>
        </w:rPr>
        <w:t xml:space="preserve">Timeline</w:t>
      </w:r>
    </w:p>
    <w:p>
      <w:pPr>
        <w:pStyle w:val="BodyText"/>
      </w:pPr>
      <w:r>
        <w:t xml:space="preserve">2028 catalog live → 2031 first triennial review → 2034 balance audit → 2037 expansion readiness certified → 2038 Schools 72–99 launch → 2041 secular-portfolio first review → 2050 full-catalog maturity review.</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creation of new Colleges/Schools (capital &amp; fiduciary dimension)</w:t>
            </w:r>
          </w:p>
        </w:tc>
      </w:tr>
      <w:tr>
        <w:trPr>
          <w:cantSplit/>
        </w:trPr>
        <w:tc>
          <w:tcPr/>
          <w:p>
            <w:pPr>
              <w:pStyle w:val="Compact"/>
              <w:jc w:val="left"/>
            </w:pPr>
            <w:r>
              <w:t xml:space="preserve">University Senate</w:t>
            </w:r>
          </w:p>
        </w:tc>
        <w:tc>
          <w:tcPr/>
          <w:p>
            <w:pPr>
              <w:pStyle w:val="Compact"/>
              <w:jc w:val="left"/>
            </w:pPr>
            <w:r>
              <w:t xml:space="preserve">Supreme authority: approves every program addition, modification, discontinuation</w:t>
            </w:r>
          </w:p>
        </w:tc>
      </w:tr>
      <w:tr>
        <w:trPr>
          <w:cantSplit/>
        </w:trPr>
        <w:tc>
          <w:tcPr/>
          <w:p>
            <w:pPr>
              <w:pStyle w:val="Compact"/>
              <w:jc w:val="left"/>
            </w:pPr>
            <w:r>
              <w:t xml:space="preserve">Programme Portfolio Committee (PPC, Senate subcommittee)</w:t>
            </w:r>
          </w:p>
        </w:tc>
        <w:tc>
          <w:tcPr/>
          <w:p>
            <w:pPr>
              <w:pStyle w:val="Compact"/>
              <w:jc w:val="left"/>
            </w:pPr>
            <w:r>
              <w:t xml:space="preserve">Conducts reviews, recommends sunset/launch, monitors tier/college balance</w:t>
            </w:r>
          </w:p>
        </w:tc>
      </w:tr>
      <w:tr>
        <w:trPr>
          <w:cantSplit/>
        </w:trPr>
        <w:tc>
          <w:tcPr/>
          <w:p>
            <w:pPr>
              <w:pStyle w:val="Compact"/>
              <w:jc w:val="left"/>
            </w:pPr>
            <w:r>
              <w:t xml:space="preserve">DVC Academic Affairs (Al-Qumash)</w:t>
            </w:r>
          </w:p>
        </w:tc>
        <w:tc>
          <w:tcPr/>
          <w:p>
            <w:pPr>
              <w:pStyle w:val="Compact"/>
              <w:jc w:val="left"/>
            </w:pPr>
            <w:r>
              <w:t xml:space="preserve">Implements Senate decisions, chairs PPC coordination</w:t>
            </w:r>
          </w:p>
        </w:tc>
      </w:tr>
      <w:tr>
        <w:trPr>
          <w:cantSplit/>
        </w:trPr>
        <w:tc>
          <w:tcPr/>
          <w:p>
            <w:pPr>
              <w:pStyle w:val="Compact"/>
              <w:jc w:val="left"/>
            </w:pPr>
            <w:r>
              <w:t xml:space="preserve">University Registrar</w:t>
            </w:r>
          </w:p>
        </w:tc>
        <w:tc>
          <w:tcPr/>
          <w:p>
            <w:pPr>
              <w:pStyle w:val="Compact"/>
              <w:jc w:val="left"/>
            </w:pPr>
            <w:r>
              <w:t xml:space="preserve">Maintains authoritative program catalog and permanent numbering</w:t>
            </w:r>
          </w:p>
        </w:tc>
      </w:tr>
    </w:tbl>
    <w:p>
      <w:pPr>
        <w:pStyle w:val="BodyText"/>
      </w:pPr>
      <w:r>
        <w:rPr>
          <w:bCs/>
          <w:b/>
          <w:color w:val="B08625"/>
          <w:sz w:val="20"/>
          <w:caps/>
          <w:spacing w:val="14"/>
        </w:rPr>
        <w:t xml:space="preserve">Measurable Success Indicators</w:t>
      </w:r>
    </w:p>
    <w:p>
      <w:pPr>
        <w:pStyle w:val="BodyText"/>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3"/>
    <w:bookmarkStart w:id="64" w:name="section-12-curriculum-architecture"/>
    <w:p>
      <w:pPr>
        <w:pStyle w:val="Heading2"/>
      </w:pPr>
      <w:r>
        <w:t xml:space="preserve">Section 12: Curriculum Architecture</w:t>
      </w:r>
    </w:p>
    <w:p>
      <w:pPr>
        <w:pStyle w:val="FirstParagraph"/>
      </w:pPr>
      <w:r>
        <w:rPr>
          <w:bCs/>
          <w:b/>
          <w:color w:val="B08625"/>
          <w:sz w:val="20"/>
          <w:caps/>
          <w:spacing w:val="14"/>
        </w:rPr>
        <w:t xml:space="preserve">Rationale</w:t>
      </w:r>
    </w:p>
    <w:p>
      <w:pPr>
        <w:pStyle w:val="BodyText"/>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pPr>
      <w:r>
        <w:rPr>
          <w:bCs/>
          <w:b/>
          <w:color w:val="B08625"/>
          <w:sz w:val="20"/>
          <w:caps/>
          <w:spacing w:val="14"/>
        </w:rPr>
        <w:t xml:space="preserve">Global Best Practices</w:t>
      </w:r>
    </w:p>
    <w:p>
      <w:pPr>
        <w:pStyle w:val="BodyText"/>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Tier</w:t>
            </w:r>
          </w:p>
        </w:tc>
        <w:tc>
          <w:tcPr/>
          <w:p>
            <w:pPr>
              <w:pStyle w:val="Compact"/>
              <w:jc w:val="left"/>
            </w:pPr>
            <w:r>
              <w:t xml:space="preserve">Total CH</w:t>
            </w:r>
          </w:p>
        </w:tc>
        <w:tc>
          <w:tcPr/>
          <w:p>
            <w:pPr>
              <w:pStyle w:val="Compact"/>
              <w:jc w:val="left"/>
            </w:pPr>
            <w:r>
              <w:t xml:space="preserve">Gen-Ed</w:t>
            </w:r>
          </w:p>
        </w:tc>
        <w:tc>
          <w:tcPr/>
          <w:p>
            <w:pPr>
              <w:pStyle w:val="Compact"/>
              <w:jc w:val="left"/>
            </w:pPr>
            <w:r>
              <w:t xml:space="preserve">Core/Major</w:t>
            </w:r>
          </w:p>
        </w:tc>
        <w:tc>
          <w:tcPr/>
          <w:p>
            <w:pPr>
              <w:pStyle w:val="Compact"/>
              <w:jc w:val="left"/>
            </w:pPr>
            <w:r>
              <w:t xml:space="preserve">Elective/Research</w:t>
            </w:r>
          </w:p>
        </w:tc>
      </w:tr>
      <w:tr>
        <w:trPr>
          <w:cantSplit/>
        </w:trPr>
        <w:tc>
          <w:tcPr/>
          <w:p>
            <w:pPr>
              <w:pStyle w:val="Compact"/>
              <w:jc w:val="left"/>
            </w:pPr>
            <w:r>
              <w:t xml:space="preserve">I Diploma</w:t>
            </w:r>
          </w:p>
        </w:tc>
        <w:tc>
          <w:tcPr/>
          <w:p>
            <w:pPr>
              <w:pStyle w:val="Compact"/>
              <w:jc w:val="left"/>
            </w:pPr>
            <w:r>
              <w:t xml:space="preserve">45</w:t>
            </w:r>
          </w:p>
        </w:tc>
        <w:tc>
          <w:tcPr/>
          <w:p>
            <w:pPr>
              <w:pStyle w:val="Compact"/>
              <w:jc w:val="left"/>
            </w:pPr>
            <w:r>
              <w:t xml:space="preserve">9 (20%)</w:t>
            </w:r>
          </w:p>
        </w:tc>
        <w:tc>
          <w:tcPr/>
          <w:p>
            <w:pPr>
              <w:pStyle w:val="Compact"/>
              <w:jc w:val="left"/>
            </w:pPr>
            <w:r>
              <w:t xml:space="preserve">36 (80%)</w:t>
            </w:r>
          </w:p>
        </w:tc>
        <w:tc>
          <w:tcPr/>
          <w:p>
            <w:pPr>
              <w:pStyle w:val="Compact"/>
              <w:jc w:val="left"/>
            </w:pPr>
            <w:r>
              <w:t xml:space="preserve">—</w:t>
            </w:r>
          </w:p>
        </w:tc>
      </w:tr>
      <w:tr>
        <w:trPr>
          <w:cantSplit/>
        </w:trPr>
        <w:tc>
          <w:tcPr/>
          <w:p>
            <w:pPr>
              <w:pStyle w:val="Compact"/>
              <w:jc w:val="left"/>
            </w:pPr>
            <w:r>
              <w:t xml:space="preserve">II Associate</w:t>
            </w:r>
          </w:p>
        </w:tc>
        <w:tc>
          <w:tcPr/>
          <w:p>
            <w:pPr>
              <w:pStyle w:val="Compact"/>
              <w:jc w:val="left"/>
            </w:pPr>
            <w:r>
              <w:t xml:space="preserve">60</w:t>
            </w:r>
          </w:p>
        </w:tc>
        <w:tc>
          <w:tcPr/>
          <w:p>
            <w:pPr>
              <w:pStyle w:val="Compact"/>
              <w:jc w:val="left"/>
            </w:pPr>
            <w:r>
              <w:t xml:space="preserve">12 (20%)</w:t>
            </w:r>
          </w:p>
        </w:tc>
        <w:tc>
          <w:tcPr/>
          <w:p>
            <w:pPr>
              <w:pStyle w:val="Compact"/>
              <w:jc w:val="left"/>
            </w:pPr>
            <w:r>
              <w:t xml:space="preserve">42 (70%)</w:t>
            </w:r>
          </w:p>
        </w:tc>
        <w:tc>
          <w:tcPr/>
          <w:p>
            <w:pPr>
              <w:pStyle w:val="Compact"/>
              <w:jc w:val="left"/>
            </w:pPr>
            <w:r>
              <w:t xml:space="preserve">6 (10%)</w:t>
            </w:r>
          </w:p>
        </w:tc>
      </w:tr>
      <w:tr>
        <w:trPr>
          <w:cantSplit/>
        </w:trPr>
        <w:tc>
          <w:tcPr/>
          <w:p>
            <w:pPr>
              <w:pStyle w:val="Compact"/>
              <w:jc w:val="left"/>
            </w:pPr>
            <w:r>
              <w:t xml:space="preserve">III BA</w:t>
            </w:r>
          </w:p>
        </w:tc>
        <w:tc>
          <w:tcPr/>
          <w:p>
            <w:pPr>
              <w:pStyle w:val="Compact"/>
              <w:jc w:val="left"/>
            </w:pPr>
            <w:r>
              <w:t xml:space="preserve">120</w:t>
            </w:r>
          </w:p>
        </w:tc>
        <w:tc>
          <w:tcPr/>
          <w:p>
            <w:pPr>
              <w:pStyle w:val="Compact"/>
              <w:jc w:val="left"/>
            </w:pPr>
            <w:r>
              <w:t xml:space="preserve">24 (20%)</w:t>
            </w:r>
          </w:p>
        </w:tc>
        <w:tc>
          <w:tcPr/>
          <w:p>
            <w:pPr>
              <w:pStyle w:val="Compact"/>
              <w:jc w:val="left"/>
            </w:pPr>
            <w:r>
              <w:t xml:space="preserve">72 (60%)</w:t>
            </w:r>
          </w:p>
        </w:tc>
        <w:tc>
          <w:tcPr/>
          <w:p>
            <w:pPr>
              <w:pStyle w:val="Compact"/>
              <w:jc w:val="left"/>
            </w:pPr>
            <w:r>
              <w:t xml:space="preserve">24 (20%)</w:t>
            </w:r>
          </w:p>
        </w:tc>
      </w:tr>
      <w:tr>
        <w:trPr>
          <w:cantSplit/>
        </w:trPr>
        <w:tc>
          <w:tcPr/>
          <w:p>
            <w:pPr>
              <w:pStyle w:val="Compact"/>
              <w:jc w:val="left"/>
            </w:pPr>
            <w:r>
              <w:t xml:space="preserve">IV HPGD (bridge)</w:t>
            </w:r>
          </w:p>
        </w:tc>
        <w:tc>
          <w:tcPr/>
          <w:p>
            <w:pPr>
              <w:pStyle w:val="Compact"/>
              <w:jc w:val="left"/>
            </w:pPr>
            <w:r>
              <w:t xml:space="preserve">30</w:t>
            </w:r>
          </w:p>
        </w:tc>
        <w:tc>
          <w:tcPr/>
          <w:p>
            <w:pPr>
              <w:pStyle w:val="Compact"/>
              <w:jc w:val="left"/>
            </w:pPr>
            <w:r>
              <w:t xml:space="preserve">—</w:t>
            </w:r>
          </w:p>
        </w:tc>
        <w:tc>
          <w:tcPr/>
          <w:p>
            <w:pPr>
              <w:pStyle w:val="Compact"/>
              <w:jc w:val="left"/>
            </w:pPr>
            <w:r>
              <w:t xml:space="preserve">24 (80%)</w:t>
            </w:r>
          </w:p>
        </w:tc>
        <w:tc>
          <w:tcPr/>
          <w:p>
            <w:pPr>
              <w:pStyle w:val="Compact"/>
              <w:jc w:val="left"/>
            </w:pPr>
            <w:r>
              <w:t xml:space="preserve">6 (20%)</w:t>
            </w:r>
          </w:p>
        </w:tc>
      </w:tr>
      <w:tr>
        <w:trPr>
          <w:cantSplit/>
        </w:trPr>
        <w:tc>
          <w:tcPr/>
          <w:p>
            <w:pPr>
              <w:pStyle w:val="Compact"/>
              <w:jc w:val="left"/>
            </w:pPr>
            <w:r>
              <w:t xml:space="preserve">V MA</w:t>
            </w:r>
          </w:p>
        </w:tc>
        <w:tc>
          <w:tcPr/>
          <w:p>
            <w:pPr>
              <w:pStyle w:val="Compact"/>
              <w:jc w:val="left"/>
            </w:pPr>
            <w:r>
              <w:t xml:space="preserve">45</w:t>
            </w:r>
          </w:p>
        </w:tc>
        <w:tc>
          <w:tcPr/>
          <w:p>
            <w:pPr>
              <w:pStyle w:val="Compact"/>
              <w:jc w:val="left"/>
            </w:pPr>
            <w:r>
              <w:t xml:space="preserve">—</w:t>
            </w:r>
          </w:p>
        </w:tc>
        <w:tc>
          <w:tcPr/>
          <w:p>
            <w:pPr>
              <w:pStyle w:val="Compact"/>
              <w:jc w:val="left"/>
            </w:pPr>
            <w:r>
              <w:t xml:space="preserve">33 core/specialization</w:t>
            </w:r>
          </w:p>
        </w:tc>
        <w:tc>
          <w:tcPr/>
          <w:p>
            <w:pPr>
              <w:pStyle w:val="Compact"/>
              <w:jc w:val="left"/>
            </w:pPr>
            <w:r>
              <w:t xml:space="preserve">12 thesis/elective</w:t>
            </w:r>
          </w:p>
        </w:tc>
      </w:tr>
      <w:tr>
        <w:trPr>
          <w:cantSplit/>
        </w:trPr>
        <w:tc>
          <w:tcPr/>
          <w:p>
            <w:pPr>
              <w:pStyle w:val="Compact"/>
              <w:jc w:val="left"/>
            </w:pPr>
            <w:r>
              <w:t xml:space="preserve">VI PhD</w:t>
            </w:r>
          </w:p>
        </w:tc>
        <w:tc>
          <w:tcPr/>
          <w:p>
            <w:pPr>
              <w:pStyle w:val="Compact"/>
              <w:jc w:val="left"/>
            </w:pPr>
            <w:r>
              <w:t xml:space="preserve">60</w:t>
            </w:r>
          </w:p>
        </w:tc>
        <w:tc>
          <w:tcPr/>
          <w:p>
            <w:pPr>
              <w:pStyle w:val="Compact"/>
              <w:jc w:val="left"/>
            </w:pPr>
            <w:r>
              <w:t xml:space="preserve">—</w:t>
            </w:r>
          </w:p>
        </w:tc>
        <w:tc>
          <w:tcPr/>
          <w:p>
            <w:pPr>
              <w:pStyle w:val="Compact"/>
              <w:jc w:val="left"/>
            </w:pPr>
            <w:r>
              <w:t xml:space="preserve">18 coursework</w:t>
            </w:r>
          </w:p>
        </w:tc>
        <w:tc>
          <w:tcPr/>
          <w:p>
            <w:pPr>
              <w:pStyle w:val="Compact"/>
              <w:jc w:val="left"/>
            </w:pPr>
            <w:r>
              <w:t xml:space="preserve">42 comprehensive + dissertation</w:t>
            </w:r>
          </w:p>
        </w:tc>
      </w:tr>
      <w:tr>
        <w:trPr>
          <w:cantSplit/>
        </w:trPr>
        <w:tc>
          <w:tcPr/>
          <w:p>
            <w:pPr>
              <w:pStyle w:val="Compact"/>
              <w:jc w:val="left"/>
            </w:pPr>
            <w:r>
              <w:t xml:space="preserve">VII Post-Doc</w:t>
            </w:r>
          </w:p>
        </w:tc>
        <w:tc>
          <w:tcPr/>
          <w:p>
            <w:pPr>
              <w:pStyle w:val="Compact"/>
              <w:jc w:val="left"/>
            </w:pPr>
            <w:r>
              <w:t xml:space="preserve">non-credit</w:t>
            </w:r>
          </w:p>
        </w:tc>
        <w:tc>
          <w:tcPr/>
          <w:p>
            <w:pPr>
              <w:pStyle w:val="Compact"/>
              <w:jc w:val="left"/>
            </w:pPr>
            <w:r>
              <w:t xml:space="preserve">—</w:t>
            </w:r>
          </w:p>
        </w:tc>
        <w:tc>
          <w:tcPr/>
          <w:p>
            <w:pPr>
              <w:pStyle w:val="Compact"/>
              <w:jc w:val="left"/>
            </w:pPr>
            <w:r>
              <w:t xml:space="preserve">mentored research</w:t>
            </w:r>
          </w:p>
        </w:tc>
        <w:tc>
          <w:tcPr/>
          <w:p>
            <w:pPr>
              <w:pStyle w:val="Compact"/>
              <w:jc w:val="left"/>
            </w:pPr>
            <w:r>
              <w:t xml:space="preserve">—</w:t>
            </w:r>
          </w:p>
        </w:tc>
      </w:tr>
    </w:tbl>
    <w:p>
      <w:pPr>
        <w:pStyle w:val="BodyText"/>
      </w:pPr>
      <w:r>
        <w:t xml:space="preserve">HPGD carries no gen-ed block by design — it is the bridge for secular degree-holders, so general education is presumed satisfied by their prior degree.</w:t>
      </w:r>
    </w:p>
    <w:p>
      <w:pPr>
        <w:pStyle w:val="BodyText"/>
      </w:pPr>
      <w:r>
        <w:rPr>
          <w:bCs/>
          <w:b/>
          <w:color w:val="B08625"/>
          <w:sz w:val="20"/>
          <w:caps/>
          <w:spacing w:val="14"/>
        </w:rPr>
        <w:t xml:space="preserve">Sanad Verification Protocol</w:t>
      </w:r>
    </w:p>
    <w:p>
      <w:pPr>
        <w:pStyle w:val="BodyText"/>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pPr>
      <w:r>
        <w:rPr>
          <w:bCs/>
          <w:b/>
          <w:color w:val="B08625"/>
          <w:sz w:val="20"/>
          <w:caps/>
          <w:spacing w:val="14"/>
        </w:rPr>
        <w:t xml:space="preserve">English-Medium Instruction Standards</w:t>
      </w:r>
    </w:p>
    <w:p>
      <w:pPr>
        <w:pStyle w:val="BodyText"/>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pPr>
      <w:r>
        <w:rPr>
          <w:bCs/>
          <w:b/>
          <w:color w:val="B08625"/>
          <w:sz w:val="20"/>
          <w:caps/>
          <w:spacing w:val="14"/>
        </w:rPr>
        <w:t xml:space="preserve">Fast-Track (Competency-Based) Assessment Mechanics</w:t>
      </w:r>
    </w:p>
    <w:p>
      <w:pPr>
        <w:pStyle w:val="BodyText"/>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pPr>
      <w:r>
        <w:rPr>
          <w:bCs/>
          <w:b/>
          <w:color w:val="B08625"/>
          <w:sz w:val="20"/>
          <w:caps/>
          <w:spacing w:val="14"/>
        </w:rPr>
        <w:t xml:space="preserve">Curriculum Mapping to Outcomes</w:t>
      </w:r>
    </w:p>
    <w:p>
      <w:pPr>
        <w:pStyle w:val="BodyText"/>
      </w:pPr>
      <w:r>
        <w:t xml:space="preserve">Every course maps to PLOs and Institutional Learning Outcomes (ILOs) in a matrix maintained by CAC and reviewed on the same 3-year cycle as portfolio review (Section 11), feeding external program review evidence.</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curriculum maps for all 71 programs; Sanad Audit baseline</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Fast-Track cohort data collected; EMI support pipeline built</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External-reviewer-ready curriculum-map matrices; accreditation prep</w:t>
            </w:r>
          </w:p>
        </w:tc>
      </w:tr>
      <w:tr>
        <w:trPr>
          <w:cantSplit/>
        </w:trPr>
        <w:tc>
          <w:tcPr/>
          <w:p>
            <w:pPr>
              <w:pStyle w:val="Compact"/>
              <w:jc w:val="left"/>
            </w:pPr>
            <w:r>
              <w:t xml:space="preserve">4</w:t>
            </w:r>
          </w:p>
        </w:tc>
        <w:tc>
          <w:tcPr/>
          <w:p>
            <w:pPr>
              <w:pStyle w:val="Compact"/>
              <w:jc w:val="left"/>
            </w:pPr>
            <w:r>
              <w:t xml:space="preserve">2038–2040</w:t>
            </w:r>
          </w:p>
        </w:tc>
        <w:tc>
          <w:tcPr/>
          <w:p>
            <w:pPr>
              <w:pStyle w:val="Compact"/>
              <w:jc w:val="left"/>
            </w:pPr>
            <w:r>
              <w:t xml:space="preserve">Design gen-ed/core/elective architecture for 28 secular programs</w:t>
            </w:r>
          </w:p>
        </w:tc>
      </w:tr>
      <w:tr>
        <w:trPr>
          <w:cantSplit/>
        </w:trPr>
        <w:tc>
          <w:tcPr/>
          <w:p>
            <w:pPr>
              <w:pStyle w:val="Compact"/>
              <w:jc w:val="left"/>
            </w:pPr>
            <w:r>
              <w:t xml:space="preserve">5</w:t>
            </w:r>
          </w:p>
        </w:tc>
        <w:tc>
          <w:tcPr/>
          <w:p>
            <w:pPr>
              <w:pStyle w:val="Compact"/>
              <w:jc w:val="left"/>
            </w:pPr>
            <w:r>
              <w:t xml:space="preserve">2041–2050</w:t>
            </w:r>
          </w:p>
        </w:tc>
        <w:tc>
          <w:tcPr/>
          <w:p>
            <w:pPr>
              <w:pStyle w:val="Compact"/>
              <w:jc w:val="left"/>
            </w:pPr>
            <w:r>
              <w:t xml:space="preserve">Continuous mapping refresh on 3-year cadence</w:t>
            </w:r>
          </w:p>
        </w:tc>
      </w:tr>
    </w:tbl>
    <w:p>
      <w:pPr>
        <w:pStyle w:val="BodyText"/>
      </w:pPr>
      <w:r>
        <w:rPr>
          <w:bCs/>
          <w:b/>
          <w:color w:val="B08625"/>
          <w:sz w:val="20"/>
          <w:caps/>
          <w:spacing w:val="14"/>
        </w:rPr>
        <w:t xml:space="preserve">Staffing</w:t>
      </w:r>
    </w:p>
    <w:p>
      <w:pPr>
        <w:pStyle w:val="BodyText"/>
      </w:pPr>
      <w:r>
        <w:t xml:space="preserve">Yr1–3: DVC Academic Affairs plus volunteer scholar subcommittee, part-time. Yr4–7: Curriculum Coordinator, 1 FTE. Yr8–10: add Assessment/Accreditation Officer, 1 FTE. Yr11+: add secular-curriculum specialists per new School.</w:t>
      </w:r>
    </w:p>
    <w:p>
      <w:pPr>
        <w:pStyle w:val="BodyText"/>
      </w:pPr>
      <w:r>
        <w:rPr>
          <w:bCs/>
          <w:b/>
          <w:color w:val="B08625"/>
          <w:sz w:val="20"/>
          <w:caps/>
          <w:spacing w:val="14"/>
        </w:rPr>
        <w:t xml:space="preserve">Annual Budget</w:t>
      </w:r>
    </w:p>
    <w:p>
      <w:pPr>
        <w:pStyle w:val="BodyText"/>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100% Sanad Audit completion before course activation; 100% programs with a current curriculum map; Fast-Track uptake rate tracked but capped by pass-rate integrity (no volume target); EMI placement-test pass rate trend.</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Isnād-verified faculty bottleneck limits course activation</w:t>
            </w:r>
          </w:p>
        </w:tc>
        <w:tc>
          <w:tcPr/>
          <w:p>
            <w:pPr>
              <w:pStyle w:val="Compact"/>
              <w:jc w:val="left"/>
            </w:pPr>
            <w:r>
              <w:t xml:space="preserve">Diaspora scholar network, partner-institution MOUs (Section 15)</w:t>
            </w:r>
          </w:p>
        </w:tc>
      </w:tr>
      <w:tr>
        <w:trPr>
          <w:cantSplit/>
        </w:trPr>
        <w:tc>
          <w:tcPr/>
          <w:p>
            <w:pPr>
              <w:pStyle w:val="Compact"/>
              <w:jc w:val="left"/>
            </w:pPr>
            <w:r>
              <w:t xml:space="preserve">Fast-Track overuse erodes rigor</w:t>
            </w:r>
          </w:p>
        </w:tc>
        <w:tc>
          <w:tcPr/>
          <w:p>
            <w:pPr>
              <w:pStyle w:val="Compact"/>
              <w:jc w:val="left"/>
            </w:pPr>
            <w:r>
              <w:t xml:space="preserve">Competency exam standard fixed by Senate, audited annually by CAC</w:t>
            </w:r>
          </w:p>
        </w:tc>
      </w:tr>
      <w:tr>
        <w:trPr>
          <w:cantSplit/>
        </w:trPr>
        <w:tc>
          <w:tcPr/>
          <w:p>
            <w:pPr>
              <w:pStyle w:val="Compact"/>
              <w:jc w:val="left"/>
            </w:pPr>
            <w:r>
              <w:t xml:space="preserve">Curriculum drift from fixed CH totals</w:t>
            </w:r>
          </w:p>
        </w:tc>
        <w:tc>
          <w:tcPr/>
          <w:p>
            <w:pPr>
              <w:pStyle w:val="Compact"/>
              <w:jc w:val="left"/>
            </w:pPr>
            <w:r>
              <w:t xml:space="preserve">Registrar cross-checks every catalog change against Master Plan canon before Senate submission</w:t>
            </w:r>
          </w:p>
        </w:tc>
      </w:tr>
    </w:tbl>
    <w:p>
      <w:pPr>
        <w:pStyle w:val="BodyText"/>
      </w:pPr>
      <w:r>
        <w:rPr>
          <w:bCs/>
          <w:b/>
          <w:color w:val="B08625"/>
          <w:sz w:val="20"/>
          <w:caps/>
          <w:spacing w:val="14"/>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pPr>
      <w:r>
        <w:rPr>
          <w:bCs/>
          <w:b/>
          <w:color w:val="B08625"/>
          <w:sz w:val="20"/>
          <w:caps/>
          <w:spacing w:val="14"/>
        </w:rPr>
        <w:t xml:space="preserve">Measurable Success Indicators</w:t>
      </w:r>
    </w:p>
    <w:p>
      <w:pPr>
        <w:pStyle w:val="BodyText"/>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4"/>
    <w:bookmarkStart w:id="68" w:name="section-13-student-journey-map"/>
    <w:p>
      <w:pPr>
        <w:pStyle w:val="Heading2"/>
      </w:pPr>
      <w:r>
        <w:t xml:space="preserve">Section 13: Student Journey Map</w:t>
      </w:r>
    </w:p>
    <w:p>
      <w:pPr>
        <w:pStyle w:val="CaptionedFigure"/>
      </w:pPr>
      <w:r>
        <w:drawing>
          <wp:inline>
            <wp:extent cx="5292852" cy="2199197"/>
            <wp:effectExtent b="0" l="0" r="0" t="0"/>
            <wp:docPr descr="Figure 5. Student Journey Map: Inquiry to Alumni" title="" id="66" name="Picture"/>
            <a:graphic>
              <a:graphicData uri="http://schemas.openxmlformats.org/drawingml/2006/picture">
                <pic:pic>
                  <pic:nvPicPr>
                    <pic:cNvPr descr="assets/figures/fig09_student_journey.png" id="67" name="Picture"/>
                    <pic:cNvPicPr>
                      <a:picLocks noChangeArrowheads="1" noChangeAspect="1"/>
                    </pic:cNvPicPr>
                  </pic:nvPicPr>
                  <pic:blipFill>
                    <a:blip r:embed="rId65"/>
                    <a:stretch>
                      <a:fillRect/>
                    </a:stretch>
                  </pic:blipFill>
                  <pic:spPr bwMode="auto">
                    <a:xfrm>
                      <a:off x="0" y="0"/>
                      <a:ext cx="5292852" cy="2199197"/>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pPr>
      <w:r>
        <w:rPr>
          <w:iCs/>
          <w:i/>
        </w:rPr>
        <w:t xml:space="preserve">Digital self-service by design; human touch reserved for exceptions.</w:t>
      </w:r>
    </w:p>
    <w:p>
      <w:pPr>
        <w:pStyle w:val="BodyText"/>
      </w:pPr>
      <w:r>
        <w:rPr>
          <w:bCs/>
          <w:b/>
          <w:color w:val="B08625"/>
          <w:sz w:val="20"/>
          <w:caps/>
          <w:spacing w:val="14"/>
        </w:rPr>
        <w:t xml:space="preserve">Rationale</w:t>
      </w:r>
    </w:p>
    <w:p>
      <w:pPr>
        <w:pStyle w:val="BodyText"/>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pPr>
      <w:r>
        <w:rPr>
          <w:bCs/>
          <w:b/>
          <w:color w:val="B08625"/>
          <w:sz w:val="20"/>
          <w:caps/>
          <w:spacing w:val="14"/>
        </w:rPr>
        <w:t xml:space="preserve">Global Best Practices</w:t>
      </w:r>
    </w:p>
    <w:p>
      <w:pPr>
        <w:pStyle w:val="BodyText"/>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pPr>
      <w:r>
        <w:rPr>
          <w:bCs/>
          <w:b/>
          <w:color w:val="B08625"/>
          <w:sz w:val="20"/>
          <w:caps/>
          <w:spacing w:val="14"/>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Stage</w:t>
            </w:r>
          </w:p>
        </w:tc>
        <w:tc>
          <w:tcPr/>
          <w:p>
            <w:pPr>
              <w:pStyle w:val="Compact"/>
              <w:jc w:val="left"/>
            </w:pPr>
            <w:r>
              <w:t xml:space="preserve">Channel</w:t>
            </w:r>
          </w:p>
        </w:tc>
        <w:tc>
          <w:tcPr/>
          <w:p>
            <w:pPr>
              <w:pStyle w:val="Compact"/>
              <w:jc w:val="left"/>
            </w:pPr>
            <w:r>
              <w:t xml:space="preserve">Human Touch?</w:t>
            </w:r>
          </w:p>
        </w:tc>
      </w:tr>
      <w:tr>
        <w:trPr>
          <w:cantSplit/>
        </w:trPr>
        <w:tc>
          <w:tcPr/>
          <w:p>
            <w:pPr>
              <w:pStyle w:val="Compact"/>
              <w:jc w:val="left"/>
            </w:pPr>
            <w:r>
              <w:t xml:space="preserve">Inquiry</w:t>
            </w:r>
          </w:p>
        </w:tc>
        <w:tc>
          <w:tcPr/>
          <w:p>
            <w:pPr>
              <w:pStyle w:val="Compact"/>
              <w:jc w:val="left"/>
            </w:pPr>
            <w:r>
              <w:t xml:space="preserve">LMS/website, mosque-network referral, WhatsApp/SMS chatbot</w:t>
            </w:r>
          </w:p>
        </w:tc>
        <w:tc>
          <w:tcPr/>
          <w:p>
            <w:pPr>
              <w:pStyle w:val="Compact"/>
              <w:jc w:val="left"/>
            </w:pPr>
            <w:r>
              <w:t xml:space="preserve">No</w:t>
            </w:r>
          </w:p>
        </w:tc>
      </w:tr>
      <w:tr>
        <w:trPr>
          <w:cantSplit/>
        </w:trPr>
        <w:tc>
          <w:tcPr/>
          <w:p>
            <w:pPr>
              <w:pStyle w:val="Compact"/>
              <w:jc w:val="left"/>
            </w:pPr>
            <w:r>
              <w:t xml:space="preserve">Application</w:t>
            </w:r>
          </w:p>
        </w:tc>
        <w:tc>
          <w:tcPr/>
          <w:p>
            <w:pPr>
              <w:pStyle w:val="Compact"/>
              <w:jc w:val="left"/>
            </w:pPr>
            <w:r>
              <w:t xml:space="preserve">Online portal, automated document checklist</w:t>
            </w:r>
          </w:p>
        </w:tc>
        <w:tc>
          <w:tcPr/>
          <w:p>
            <w:pPr>
              <w:pStyle w:val="Compact"/>
              <w:jc w:val="left"/>
            </w:pPr>
            <w:r>
              <w:t xml:space="preserve">No (exceptions escalate)</w:t>
            </w:r>
          </w:p>
        </w:tc>
      </w:tr>
      <w:tr>
        <w:trPr>
          <w:cantSplit/>
        </w:trPr>
        <w:tc>
          <w:tcPr/>
          <w:p>
            <w:pPr>
              <w:pStyle w:val="Compact"/>
              <w:jc w:val="left"/>
            </w:pPr>
            <w:r>
              <w:t xml:space="preserve">Tier Placement</w:t>
            </w:r>
          </w:p>
        </w:tc>
        <w:tc>
          <w:tcPr/>
          <w:p>
            <w:pPr>
              <w:pStyle w:val="Compact"/>
              <w:jc w:val="left"/>
            </w:pPr>
            <w:r>
              <w:t xml:space="preserve">Self-service country-tier calculator + document upload</w:t>
            </w:r>
          </w:p>
        </w:tc>
        <w:tc>
          <w:tcPr/>
          <w:p>
            <w:pPr>
              <w:pStyle w:val="Compact"/>
              <w:jc w:val="left"/>
            </w:pPr>
            <w:r>
              <w:t xml:space="preserve">Only on dispute (Section 14)</w:t>
            </w:r>
          </w:p>
        </w:tc>
      </w:tr>
      <w:tr>
        <w:trPr>
          <w:cantSplit/>
        </w:trPr>
        <w:tc>
          <w:tcPr/>
          <w:p>
            <w:pPr>
              <w:pStyle w:val="Compact"/>
              <w:jc w:val="left"/>
            </w:pPr>
            <w:r>
              <w:t xml:space="preserve">Admission Decision</w:t>
            </w:r>
          </w:p>
        </w:tc>
        <w:tc>
          <w:tcPr/>
          <w:p>
            <w:pPr>
              <w:pStyle w:val="Compact"/>
              <w:jc w:val="left"/>
            </w:pPr>
            <w:r>
              <w:t xml:space="preserve">Automated for Diploma/Associate/HPGD rolling tiers; committee-reviewed for cohort tiers</w:t>
            </w:r>
          </w:p>
        </w:tc>
        <w:tc>
          <w:tcPr/>
          <w:p>
            <w:pPr>
              <w:pStyle w:val="Compact"/>
              <w:jc w:val="left"/>
            </w:pPr>
            <w:r>
              <w:t xml:space="preserve">Partial</w:t>
            </w:r>
          </w:p>
        </w:tc>
      </w:tr>
      <w:tr>
        <w:trPr>
          <w:cantSplit/>
        </w:trPr>
        <w:tc>
          <w:tcPr/>
          <w:p>
            <w:pPr>
              <w:pStyle w:val="Compact"/>
              <w:jc w:val="left"/>
            </w:pPr>
            <w:r>
              <w:t xml:space="preserve">Enrollment &amp; Orientation</w:t>
            </w:r>
          </w:p>
        </w:tc>
        <w:tc>
          <w:tcPr/>
          <w:p>
            <w:pPr>
              <w:pStyle w:val="Compact"/>
              <w:jc w:val="left"/>
            </w:pPr>
            <w:r>
              <w:t xml:space="preserve">Self-service enrollment agreement, onboarding module</w:t>
            </w:r>
          </w:p>
        </w:tc>
        <w:tc>
          <w:tcPr/>
          <w:p>
            <w:pPr>
              <w:pStyle w:val="Compact"/>
              <w:jc w:val="left"/>
            </w:pPr>
            <w:r>
              <w:t xml:space="preserve">Minimal</w:t>
            </w:r>
          </w:p>
        </w:tc>
      </w:tr>
      <w:tr>
        <w:trPr>
          <w:cantSplit/>
        </w:trPr>
        <w:tc>
          <w:tcPr/>
          <w:p>
            <w:pPr>
              <w:pStyle w:val="Compact"/>
              <w:jc w:val="left"/>
            </w:pPr>
            <w:r>
              <w:t xml:space="preserve">Ladder Progression</w:t>
            </w:r>
          </w:p>
        </w:tc>
        <w:tc>
          <w:tcPr/>
          <w:p>
            <w:pPr>
              <w:pStyle w:val="Compact"/>
              <w:jc w:val="left"/>
            </w:pPr>
            <w:r>
              <w:t xml:space="preserve">Automated progress dashboard; Fast-Track petition gate</w:t>
            </w:r>
          </w:p>
        </w:tc>
        <w:tc>
          <w:tcPr/>
          <w:p>
            <w:pPr>
              <w:pStyle w:val="Compact"/>
              <w:jc w:val="left"/>
            </w:pPr>
            <w:r>
              <w:t xml:space="preserve">Yes, at Fast-Track review</w:t>
            </w:r>
          </w:p>
        </w:tc>
      </w:tr>
      <w:tr>
        <w:trPr>
          <w:cantSplit/>
        </w:trPr>
        <w:tc>
          <w:tcPr/>
          <w:p>
            <w:pPr>
              <w:pStyle w:val="Compact"/>
              <w:jc w:val="left"/>
            </w:pPr>
            <w:r>
              <w:t xml:space="preserve">Graduation</w:t>
            </w:r>
          </w:p>
        </w:tc>
        <w:tc>
          <w:tcPr/>
          <w:p>
            <w:pPr>
              <w:pStyle w:val="Compact"/>
              <w:jc w:val="left"/>
            </w:pPr>
            <w:r>
              <w:t xml:space="preserve">Registrar-certified upon Senate ratification</w:t>
            </w:r>
          </w:p>
        </w:tc>
        <w:tc>
          <w:tcPr/>
          <w:p>
            <w:pPr>
              <w:pStyle w:val="Compact"/>
              <w:jc w:val="left"/>
            </w:pPr>
            <w:r>
              <w:t xml:space="preserve">Yes</w:t>
            </w:r>
          </w:p>
        </w:tc>
      </w:tr>
      <w:tr>
        <w:trPr>
          <w:cantSplit/>
        </w:trPr>
        <w:tc>
          <w:tcPr/>
          <w:p>
            <w:pPr>
              <w:pStyle w:val="Compact"/>
              <w:jc w:val="left"/>
            </w:pPr>
            <w:r>
              <w:t xml:space="preserve">Alumni / Re-stacking</w:t>
            </w:r>
          </w:p>
        </w:tc>
        <w:tc>
          <w:tcPr/>
          <w:p>
            <w:pPr>
              <w:pStyle w:val="Compact"/>
              <w:jc w:val="left"/>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pPr>
            <w:r>
              <w:t xml:space="preserve">No, unless aid re-adjudication needed</w:t>
            </w:r>
          </w:p>
        </w:tc>
      </w:tr>
    </w:tbl>
    <w:p>
      <w:pPr>
        <w:pStyle w:val="BodyText"/>
      </w:pPr>
      <w:r>
        <w:rPr>
          <w:bCs/>
          <w:b/>
          <w:color w:val="B08625"/>
          <w:sz w:val="20"/>
          <w:caps/>
          <w:spacing w:val="14"/>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Core self-service portal live; single dual-hatted Admissions/Registrar Officer</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Dedicated Admissions Coordinator; chatbot/FAQ tier added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Regional community-referral liaisons (part-time/volunteer per mosque network)</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Parallel admissions tracks stood up for 7 secular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Full advising office; predictive attrition dashboards</w:t>
            </w:r>
          </w:p>
        </w:tc>
      </w:tr>
    </w:tbl>
    <w:p>
      <w:pPr>
        <w:pStyle w:val="BodyText"/>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1 shared Admissions/Registrar Officer + DVC oversight</w:t>
            </w:r>
          </w:p>
        </w:tc>
      </w:tr>
      <w:tr>
        <w:trPr>
          <w:cantSplit/>
        </w:trPr>
        <w:tc>
          <w:tcPr/>
          <w:p>
            <w:pPr>
              <w:pStyle w:val="Compact"/>
              <w:jc w:val="left"/>
            </w:pPr>
            <w:r>
              <w:t xml:space="preserve">2 (Yr4–7)</w:t>
            </w:r>
          </w:p>
        </w:tc>
        <w:tc>
          <w:tcPr/>
          <w:p>
            <w:pPr>
              <w:pStyle w:val="Compact"/>
              <w:jc w:val="left"/>
            </w:pPr>
            <w:r>
              <w:t xml:space="preserve">+ Admissions Coordinator (1 FTE), part-time Student Success Advisor</w:t>
            </w:r>
          </w:p>
        </w:tc>
      </w:tr>
      <w:tr>
        <w:trPr>
          <w:cantSplit/>
        </w:trPr>
        <w:tc>
          <w:tcPr/>
          <w:p>
            <w:pPr>
              <w:pStyle w:val="Compact"/>
              <w:jc w:val="left"/>
            </w:pPr>
            <w:r>
              <w:t xml:space="preserve">3 (Yr8–10)</w:t>
            </w:r>
          </w:p>
        </w:tc>
        <w:tc>
          <w:tcPr/>
          <w:p>
            <w:pPr>
              <w:pStyle w:val="Compact"/>
              <w:jc w:val="left"/>
            </w:pPr>
            <w:r>
              <w:t xml:space="preserve">+ regional referral liaisons (stipend-based, volunteer-adjacent)</w:t>
            </w:r>
          </w:p>
        </w:tc>
      </w:tr>
      <w:tr>
        <w:trPr>
          <w:cantSplit/>
        </w:trPr>
        <w:tc>
          <w:tcPr/>
          <w:p>
            <w:pPr>
              <w:pStyle w:val="Compact"/>
              <w:jc w:val="left"/>
            </w:pPr>
            <w:r>
              <w:t xml:space="preserve">4 (Yr11+)</w:t>
            </w:r>
          </w:p>
        </w:tc>
        <w:tc>
          <w:tcPr/>
          <w:p>
            <w:pPr>
              <w:pStyle w:val="Compact"/>
              <w:jc w:val="left"/>
            </w:pPr>
            <w:r>
              <w:t xml:space="preserve">+ per-School admissions leads (secular intake)</w:t>
            </w:r>
          </w:p>
        </w:tc>
      </w:tr>
    </w:tbl>
    <w:p>
      <w:pPr>
        <w:pStyle w:val="BodyText"/>
      </w:pPr>
      <w:r>
        <w:rPr>
          <w:bCs/>
          <w:b/>
          <w:color w:val="B08625"/>
          <w:sz w:val="20"/>
          <w:caps/>
          <w:spacing w:val="14"/>
        </w:rPr>
        <w:t xml:space="preserve">Annual Budget</w:t>
      </w:r>
    </w:p>
    <w:p>
      <w:pPr>
        <w:pStyle w:val="BodyText"/>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Thin staffing causes application backlog at peak cycles</w:t>
            </w:r>
          </w:p>
        </w:tc>
        <w:tc>
          <w:tcPr/>
          <w:p>
            <w:pPr>
              <w:pStyle w:val="Compact"/>
              <w:jc w:val="left"/>
            </w:pPr>
            <w:r>
              <w:t xml:space="preserve">LMS automation + surge part-time contractors funded within OpEx ceiling</w:t>
            </w:r>
          </w:p>
        </w:tc>
      </w:tr>
      <w:tr>
        <w:trPr>
          <w:cantSplit/>
        </w:trPr>
        <w:tc>
          <w:tcPr/>
          <w:p>
            <w:pPr>
              <w:pStyle w:val="Compact"/>
              <w:jc w:val="left"/>
            </w:pPr>
            <w:r>
              <w:t xml:space="preserve">Poor self-service UX in low-bandwidth regions</w:t>
            </w:r>
          </w:p>
        </w:tc>
        <w:tc>
          <w:tcPr/>
          <w:p>
            <w:pPr>
              <w:pStyle w:val="Compact"/>
              <w:jc w:val="left"/>
            </w:pPr>
            <w:r>
              <w:t xml:space="preserve">Mobile-first, offline-tolerant design; WhatsApp/SMS fallback channel</w:t>
            </w:r>
          </w:p>
        </w:tc>
      </w:tr>
      <w:tr>
        <w:trPr>
          <w:cantSplit/>
        </w:trPr>
        <w:tc>
          <w:tcPr/>
          <w:p>
            <w:pPr>
              <w:pStyle w:val="Compact"/>
              <w:jc w:val="left"/>
            </w:pPr>
            <w:r>
              <w:t xml:space="preserve">Journey-stage drop-off undetected without dedicated advising</w:t>
            </w:r>
          </w:p>
        </w:tc>
        <w:tc>
          <w:tcPr/>
          <w:p>
            <w:pPr>
              <w:pStyle w:val="Compact"/>
              <w:jc w:val="left"/>
            </w:pPr>
            <w:r>
              <w:t xml:space="preserve">Automated progress dashboards flag inactivity for light-touch outreach</w:t>
            </w:r>
          </w:p>
        </w:tc>
      </w:tr>
    </w:tbl>
    <w:p>
      <w:pPr>
        <w:pStyle w:val="BodyText"/>
      </w:pPr>
      <w:r>
        <w:rPr>
          <w:bCs/>
          <w:b/>
          <w:color w:val="B08625"/>
          <w:sz w:val="20"/>
          <w:caps/>
          <w:spacing w:val="14"/>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pPr>
      <w:r>
        <w:rPr>
          <w:bCs/>
          <w:b/>
          <w:color w:val="B08625"/>
          <w:sz w:val="20"/>
          <w:caps/>
          <w:spacing w:val="14"/>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pPr>
      <w:r>
        <w:rPr>
          <w:bCs/>
          <w:b/>
          <w:color w:val="B08625"/>
          <w:sz w:val="20"/>
          <w:caps/>
          <w:spacing w:val="14"/>
        </w:rPr>
        <w:t xml:space="preserve">Measurable Success Indicators</w:t>
      </w:r>
    </w:p>
    <w:p>
      <w:pPr>
        <w:pStyle w:val="BodyText"/>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8"/>
    <w:bookmarkStart w:id="69" w:name="section-14-admission-policies"/>
    <w:p>
      <w:pPr>
        <w:pStyle w:val="Heading2"/>
      </w:pPr>
      <w:r>
        <w:t xml:space="preserve">Section 14: Admission Policies</w:t>
      </w:r>
    </w:p>
    <w:p>
      <w:pPr>
        <w:pStyle w:val="FirstParagraph"/>
      </w:pPr>
      <w:r>
        <w:rPr>
          <w:bCs/>
          <w:b/>
          <w:color w:val="B08625"/>
          <w:sz w:val="20"/>
          <w:caps/>
          <w:spacing w:val="14"/>
        </w:rPr>
        <w:t xml:space="preserve">Rationale</w:t>
      </w:r>
    </w:p>
    <w:p>
      <w:pPr>
        <w:pStyle w:val="BodyText"/>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pPr>
      <w:r>
        <w:rPr>
          <w:bCs/>
          <w:b/>
          <w:color w:val="B08625"/>
          <w:sz w:val="20"/>
          <w:caps/>
          <w:spacing w:val="14"/>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w:t>
            </w:r>
          </w:p>
        </w:tc>
        <w:tc>
          <w:tcPr/>
          <w:p>
            <w:pPr>
              <w:pStyle w:val="Compact"/>
              <w:jc w:val="left"/>
            </w:pPr>
            <w:r>
              <w:t xml:space="preserve">Entry Requirement</w:t>
            </w:r>
          </w:p>
        </w:tc>
      </w:tr>
      <w:tr>
        <w:trPr>
          <w:cantSplit/>
        </w:trPr>
        <w:tc>
          <w:tcPr/>
          <w:p>
            <w:pPr>
              <w:pStyle w:val="Compact"/>
              <w:jc w:val="left"/>
            </w:pPr>
            <w:r>
              <w:t xml:space="preserve">I Diploma</w:t>
            </w:r>
          </w:p>
        </w:tc>
        <w:tc>
          <w:tcPr/>
          <w:p>
            <w:pPr>
              <w:pStyle w:val="Compact"/>
              <w:jc w:val="left"/>
            </w:pPr>
            <w:r>
              <w:t xml:space="preserve">Secondary completion or equivalent; no prior Islamic study required</w:t>
            </w:r>
          </w:p>
        </w:tc>
      </w:tr>
      <w:tr>
        <w:trPr>
          <w:cantSplit/>
        </w:trPr>
        <w:tc>
          <w:tcPr/>
          <w:p>
            <w:pPr>
              <w:pStyle w:val="Compact"/>
              <w:jc w:val="left"/>
            </w:pPr>
            <w:r>
              <w:t xml:space="preserve">II Associate</w:t>
            </w:r>
          </w:p>
        </w:tc>
        <w:tc>
          <w:tcPr/>
          <w:p>
            <w:pPr>
              <w:pStyle w:val="Compact"/>
              <w:jc w:val="left"/>
            </w:pPr>
            <w:r>
              <w:t xml:space="preserve">Diploma (stacked) or equivalent; English placement benchmark</w:t>
            </w:r>
          </w:p>
        </w:tc>
      </w:tr>
      <w:tr>
        <w:trPr>
          <w:cantSplit/>
        </w:trPr>
        <w:tc>
          <w:tcPr/>
          <w:p>
            <w:pPr>
              <w:pStyle w:val="Compact"/>
              <w:jc w:val="left"/>
            </w:pPr>
            <w:r>
              <w:t xml:space="preserve">III BA</w:t>
            </w:r>
          </w:p>
        </w:tc>
        <w:tc>
          <w:tcPr/>
          <w:p>
            <w:pPr>
              <w:pStyle w:val="Compact"/>
              <w:jc w:val="left"/>
            </w:pPr>
            <w:r>
              <w:t xml:space="preserve">Associate (60CH) or equivalent; CEFR B2 English</w:t>
            </w:r>
          </w:p>
        </w:tc>
      </w:tr>
      <w:tr>
        <w:trPr>
          <w:cantSplit/>
        </w:trPr>
        <w:tc>
          <w:tcPr/>
          <w:p>
            <w:pPr>
              <w:pStyle w:val="Compact"/>
              <w:jc w:val="left"/>
            </w:pPr>
            <w:r>
              <w:t xml:space="preserve">IV HPGD (bridge)</w:t>
            </w:r>
          </w:p>
        </w:tc>
        <w:tc>
          <w:tcPr/>
          <w:p>
            <w:pPr>
              <w:pStyle w:val="Compact"/>
              <w:jc w:val="left"/>
            </w:pPr>
            <w:r>
              <w:t xml:space="preserve">Accredited secular bachelor’s degree; B2+ English; Islamic-studies-readiness diagnostic (placement, not exclusionary)</w:t>
            </w:r>
          </w:p>
        </w:tc>
      </w:tr>
      <w:tr>
        <w:trPr>
          <w:cantSplit/>
        </w:trPr>
        <w:tc>
          <w:tcPr/>
          <w:p>
            <w:pPr>
              <w:pStyle w:val="Compact"/>
              <w:jc w:val="left"/>
            </w:pPr>
            <w:r>
              <w:t xml:space="preserve">V MA</w:t>
            </w:r>
          </w:p>
        </w:tc>
        <w:tc>
          <w:tcPr/>
          <w:p>
            <w:pPr>
              <w:pStyle w:val="Compact"/>
              <w:jc w:val="left"/>
            </w:pPr>
            <w:r>
              <w:t xml:space="preserve">BA (120CH) or HPGD (30CH); research-readiness assessment</w:t>
            </w:r>
          </w:p>
        </w:tc>
      </w:tr>
      <w:tr>
        <w:trPr>
          <w:cantSplit/>
        </w:trPr>
        <w:tc>
          <w:tcPr/>
          <w:p>
            <w:pPr>
              <w:pStyle w:val="Compact"/>
              <w:jc w:val="left"/>
            </w:pPr>
            <w:r>
              <w:t xml:space="preserve">VI PhD</w:t>
            </w:r>
          </w:p>
        </w:tc>
        <w:tc>
          <w:tcPr/>
          <w:p>
            <w:pPr>
              <w:pStyle w:val="Compact"/>
              <w:jc w:val="left"/>
            </w:pPr>
            <w:r>
              <w:t xml:space="preserve">MA (45CH); scholarly readiness review; thesis-proposal defense</w:t>
            </w:r>
          </w:p>
        </w:tc>
      </w:tr>
      <w:tr>
        <w:trPr>
          <w:cantSplit/>
        </w:trPr>
        <w:tc>
          <w:tcPr/>
          <w:p>
            <w:pPr>
              <w:pStyle w:val="Compact"/>
              <w:jc w:val="left"/>
            </w:pPr>
            <w:r>
              <w:t xml:space="preserve">VII Post-Doc</w:t>
            </w:r>
          </w:p>
        </w:tc>
        <w:tc>
          <w:tcPr/>
          <w:p>
            <w:pPr>
              <w:pStyle w:val="Compact"/>
              <w:jc w:val="left"/>
            </w:pPr>
            <w:r>
              <w:t xml:space="preserve">PhD completion; competitive nomination, non-credit</w:t>
            </w:r>
          </w:p>
        </w:tc>
      </w:tr>
    </w:tbl>
    <w:p>
      <w:pPr>
        <w:pStyle w:val="BodyText"/>
      </w:pPr>
      <w:r>
        <w:rPr>
          <w:bCs/>
          <w:b/>
          <w:color w:val="B08625"/>
          <w:sz w:val="20"/>
          <w:caps/>
          <w:spacing w:val="14"/>
        </w:rPr>
        <w:t xml:space="preserve">English Proficiency &amp; Islamic-Studies Readiness</w:t>
      </w:r>
    </w:p>
    <w:p>
      <w:pPr>
        <w:pStyle w:val="BodyText"/>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pPr>
      <w:r>
        <w:rPr>
          <w:bCs/>
          <w:b/>
          <w:color w:val="B08625"/>
          <w:sz w:val="20"/>
          <w:caps/>
          <w:spacing w:val="14"/>
        </w:rPr>
        <w:t xml:space="preserve">Country-Tier Verification &amp; Appeal Process</w:t>
      </w:r>
    </w:p>
    <w:p>
      <w:pPr>
        <w:pStyle w:val="BodyText"/>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pPr>
      <w:r>
        <w:rPr>
          <w:bCs/>
          <w:b/>
          <w:color w:val="B08625"/>
          <w:sz w:val="20"/>
          <w:caps/>
          <w:spacing w:val="14"/>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 group</w:t>
            </w:r>
          </w:p>
        </w:tc>
        <w:tc>
          <w:tcPr/>
          <w:p>
            <w:pPr>
              <w:pStyle w:val="Compact"/>
              <w:jc w:val="left"/>
            </w:pPr>
            <w:r>
              <w:t xml:space="preserve">Cycle</w:t>
            </w:r>
          </w:p>
        </w:tc>
      </w:tr>
      <w:tr>
        <w:trPr>
          <w:cantSplit/>
        </w:trPr>
        <w:tc>
          <w:tcPr/>
          <w:p>
            <w:pPr>
              <w:pStyle w:val="Compact"/>
              <w:jc w:val="left"/>
            </w:pPr>
            <w:r>
              <w:t xml:space="preserve">Diploma / Associate / HPGD</w:t>
            </w:r>
          </w:p>
        </w:tc>
        <w:tc>
          <w:tcPr/>
          <w:p>
            <w:pPr>
              <w:pStyle w:val="Compact"/>
              <w:jc w:val="left"/>
            </w:pPr>
            <w:r>
              <w:t xml:space="preserve">Rolling, multiple entry points/year (accessibility-first, self-service)</w:t>
            </w:r>
          </w:p>
        </w:tc>
      </w:tr>
      <w:tr>
        <w:trPr>
          <w:cantSplit/>
        </w:trPr>
        <w:tc>
          <w:tcPr/>
          <w:p>
            <w:pPr>
              <w:pStyle w:val="Compact"/>
              <w:jc w:val="left"/>
            </w:pPr>
            <w:r>
              <w:t xml:space="preserve">BA / MA / PhD</w:t>
            </w:r>
          </w:p>
        </w:tc>
        <w:tc>
          <w:tcPr/>
          <w:p>
            <w:pPr>
              <w:pStyle w:val="Compact"/>
              <w:jc w:val="left"/>
            </w:pPr>
            <w:r>
              <w:t xml:space="preserve">Cohort-based, 2–3 intakes/year (Fall/Spring, Summer added as scale permits)</w:t>
            </w:r>
          </w:p>
        </w:tc>
      </w:tr>
      <w:tr>
        <w:trPr>
          <w:cantSplit/>
        </w:trPr>
        <w:tc>
          <w:tcPr/>
          <w:p>
            <w:pPr>
              <w:pStyle w:val="Compact"/>
              <w:jc w:val="left"/>
            </w:pPr>
            <w:r>
              <w:t xml:space="preserve">Post-Doc</w:t>
            </w:r>
          </w:p>
        </w:tc>
        <w:tc>
          <w:tcPr/>
          <w:p>
            <w:pPr>
              <w:pStyle w:val="Compact"/>
              <w:jc w:val="left"/>
            </w:pPr>
            <w:r>
              <w:t xml:space="preserve">Rolling/invitation</w:t>
            </w:r>
          </w:p>
        </w:tc>
      </w:tr>
    </w:tbl>
    <w:p>
      <w:pPr>
        <w:pStyle w:val="BodyText"/>
      </w:pPr>
      <w:r>
        <w:rPr>
          <w:bCs/>
          <w:b/>
          <w:color w:val="B08625"/>
          <w:sz w:val="20"/>
          <w:caps/>
          <w:spacing w:val="14"/>
        </w:rPr>
        <w:t xml:space="preserve">Transfer Credit Policy</w:t>
      </w:r>
    </w:p>
    <w:p>
      <w:pPr>
        <w:pStyle w:val="BodyText"/>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tier list, placement instruments, appeals SLA</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appeal-volume data reviewed; SLA tuned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Transfer-articulation table expanded ahead of scale</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Secular-program admission standards (terminal-degree-agnostic entry) published</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Periodic policy refresh, audit sampling for tier-declaration integrity</w:t>
            </w:r>
          </w:p>
        </w:tc>
      </w:tr>
    </w:tbl>
    <w:p>
      <w:pPr>
        <w:pStyle w:val="BodyText"/>
      </w:pPr>
      <w:r>
        <w:rPr>
          <w:bCs/>
          <w:b/>
          <w:color w:val="B08625"/>
          <w:sz w:val="20"/>
          <w:caps/>
          <w:spacing w:val="14"/>
        </w:rPr>
        <w:t xml:space="preserve">Staffing &amp; Budget</w:t>
      </w:r>
    </w:p>
    <w:p>
      <w:pPr>
        <w:pStyle w:val="BodyText"/>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pPr>
      <w:r>
        <w:rPr>
          <w:bCs/>
          <w:b/>
          <w:color w:val="B08625"/>
          <w:sz w:val="20"/>
          <w:caps/>
          <w:spacing w:val="14"/>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Gaming of tier system via false country claims</w:t>
            </w:r>
          </w:p>
        </w:tc>
        <w:tc>
          <w:tcPr/>
          <w:p>
            <w:pPr>
              <w:pStyle w:val="Compact"/>
              <w:jc w:val="left"/>
            </w:pPr>
            <w:r>
              <w:t xml:space="preserve">Documentary requirement + random audit sampling + Appeals Panel</w:t>
            </w:r>
          </w:p>
        </w:tc>
      </w:tr>
      <w:tr>
        <w:trPr>
          <w:cantSplit/>
        </w:trPr>
        <w:tc>
          <w:tcPr/>
          <w:p>
            <w:pPr>
              <w:pStyle w:val="Compact"/>
              <w:jc w:val="left"/>
            </w:pPr>
            <w:r>
              <w:t xml:space="preserve">Cohort bottleneck limits accessibility</w:t>
            </w:r>
          </w:p>
        </w:tc>
        <w:tc>
          <w:tcPr/>
          <w:p>
            <w:pPr>
              <w:pStyle w:val="Compact"/>
              <w:jc w:val="left"/>
            </w:pPr>
            <w:r>
              <w:t xml:space="preserve">Rolling admission preserved at Diploma/Associate/HPGD</w:t>
            </w:r>
          </w:p>
        </w:tc>
      </w:tr>
      <w:tr>
        <w:trPr>
          <w:cantSplit/>
        </w:trPr>
        <w:tc>
          <w:tcPr/>
          <w:p>
            <w:pPr>
              <w:pStyle w:val="Compact"/>
              <w:jc w:val="left"/>
            </w:pPr>
            <w:r>
              <w:t xml:space="preserve">Perception risk to religious-exemption status from admission disputes</w:t>
            </w:r>
          </w:p>
        </w:tc>
        <w:tc>
          <w:tcPr/>
          <w:p>
            <w:pPr>
              <w:pStyle w:val="Compact"/>
              <w:jc w:val="left"/>
            </w:pPr>
            <w:r>
              <w:t xml:space="preserve">Uniform, published, nondiscriminatory policy applied identically regardless of tuition tier</w:t>
            </w:r>
          </w:p>
        </w:tc>
      </w:tr>
    </w:tbl>
    <w:p>
      <w:pPr>
        <w:pStyle w:val="BodyText"/>
      </w:pPr>
      <w:r>
        <w:rPr>
          <w:bCs/>
          <w:b/>
          <w:color w:val="B08625"/>
          <w:sz w:val="20"/>
          <w:caps/>
          <w:spacing w:val="14"/>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pPr>
      <w:r>
        <w:rPr>
          <w:bCs/>
          <w:b/>
          <w:color w:val="B08625"/>
          <w:sz w:val="20"/>
          <w:caps/>
          <w:spacing w:val="14"/>
        </w:rPr>
        <w:t xml:space="preserve">Measurable Success Indicators</w:t>
      </w:r>
    </w:p>
    <w:p>
      <w:pPr>
        <w:pStyle w:val="BodyText"/>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69"/>
    <w:bookmarkStart w:id="70" w:name="section-15-faculty-recruitment-strategy"/>
    <w:p>
      <w:pPr>
        <w:pStyle w:val="Heading2"/>
      </w:pPr>
      <w:r>
        <w:t xml:space="preserve">Section 15: Faculty Recruitment Strategy</w:t>
      </w:r>
    </w:p>
    <w:p>
      <w:pPr>
        <w:pStyle w:val="FirstParagraph"/>
      </w:pPr>
      <w:r>
        <w:rPr>
          <w:bCs/>
          <w:b/>
          <w:color w:val="B08625"/>
          <w:sz w:val="20"/>
          <w:caps/>
          <w:spacing w:val="14"/>
        </w:rPr>
        <w:t xml:space="preserve">Rationale</w:t>
      </w:r>
    </w:p>
    <w:p>
      <w:pPr>
        <w:pStyle w:val="BodyText"/>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pPr>
      <w:r>
        <w:rPr>
          <w:bCs/>
          <w:b/>
          <w:color w:val="B08625"/>
          <w:sz w:val="20"/>
          <w:caps/>
          <w:spacing w:val="14"/>
        </w:rPr>
        <w:t xml:space="preserve">Global Best Practices</w:t>
      </w:r>
    </w:p>
    <w:p>
      <w:pPr>
        <w:pStyle w:val="BodyText"/>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pPr>
      <w:r>
        <w:rPr>
          <w:bCs/>
          <w:b/>
          <w:color w:val="B08625"/>
          <w:sz w:val="20"/>
          <w:caps/>
          <w:spacing w:val="14"/>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Faculty type</w:t>
            </w:r>
          </w:p>
        </w:tc>
        <w:tc>
          <w:tcPr/>
          <w:p>
            <w:pPr>
              <w:pStyle w:val="Compact"/>
              <w:jc w:val="left"/>
            </w:pPr>
            <w:r>
              <w:t xml:space="preserve">Source</w:t>
            </w:r>
          </w:p>
        </w:tc>
        <w:tc>
          <w:tcPr/>
          <w:p>
            <w:pPr>
              <w:pStyle w:val="Compact"/>
              <w:jc w:val="left"/>
            </w:pPr>
            <w:r>
              <w:t xml:space="preserve">Vetting focus</w:t>
            </w:r>
          </w:p>
        </w:tc>
      </w:tr>
      <w:tr>
        <w:trPr>
          <w:cantSplit/>
        </w:trPr>
        <w:tc>
          <w:tcPr/>
          <w:p>
            <w:pPr>
              <w:pStyle w:val="Compact"/>
              <w:jc w:val="left"/>
            </w:pPr>
            <w:r>
              <w:t xml:space="preserve">Religious (Colleges I–VI)</w:t>
            </w:r>
          </w:p>
        </w:tc>
        <w:tc>
          <w:tcPr/>
          <w:p>
            <w:pPr>
              <w:pStyle w:val="Compact"/>
              <w:jc w:val="left"/>
            </w:pPr>
            <w:r>
              <w:t xml:space="preserve">Global scholarly networks, partner madāris, diaspora communities, DVC’s Umm Al-Qura network</w:t>
            </w:r>
          </w:p>
        </w:tc>
        <w:tc>
          <w:tcPr/>
          <w:p>
            <w:pPr>
              <w:pStyle w:val="Compact"/>
              <w:jc w:val="left"/>
            </w:pPr>
            <w:r>
              <w:t xml:space="preserve">Verified isnād/ijāza chain, teaching demonstration</w:t>
            </w:r>
          </w:p>
        </w:tc>
      </w:tr>
      <w:tr>
        <w:trPr>
          <w:cantSplit/>
        </w:trPr>
        <w:tc>
          <w:tcPr/>
          <w:p>
            <w:pPr>
              <w:pStyle w:val="Compact"/>
              <w:jc w:val="left"/>
            </w:pPr>
            <w:r>
              <w:t xml:space="preserve">Secular (Schools, Yr11+)</w:t>
            </w:r>
          </w:p>
        </w:tc>
        <w:tc>
          <w:tcPr/>
          <w:p>
            <w:pPr>
              <w:pStyle w:val="Compact"/>
              <w:jc w:val="left"/>
            </w:pPr>
            <w:r>
              <w:t xml:space="preserve">Standard academic recruitment channels, adjunct/affiliate postings</w:t>
            </w:r>
          </w:p>
        </w:tc>
        <w:tc>
          <w:tcPr/>
          <w:p>
            <w:pPr>
              <w:pStyle w:val="Compact"/>
              <w:jc w:val="left"/>
            </w:pPr>
            <w:r>
              <w:t xml:space="preserve">Terminal degree from accredited institution, field-appropriate credential (PhD, JD, etc.)</w:t>
            </w:r>
          </w:p>
        </w:tc>
      </w:tr>
    </w:tbl>
    <w:p>
      <w:pPr>
        <w:pStyle w:val="BodyText"/>
      </w:pPr>
      <w:r>
        <w:rPr>
          <w:bCs/>
          <w:b/>
          <w:color w:val="B08625"/>
          <w:sz w:val="20"/>
          <w:caps/>
          <w:spacing w:val="14"/>
        </w:rPr>
        <w:t xml:space="preserve">Honoraria-Based Compensation Model</w:t>
      </w:r>
    </w:p>
    <w:p>
      <w:pPr>
        <w:pStyle w:val="BodyText"/>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pPr>
      <w:r>
        <w:rPr>
          <w:bCs/>
          <w:b/>
          <w:color w:val="B08625"/>
          <w:sz w:val="20"/>
          <w:caps/>
          <w:spacing w:val="14"/>
        </w:rPr>
        <w:t xml:space="preserve">Remote/Diaspora Scholar Engagement Model</w:t>
      </w:r>
    </w:p>
    <w:p>
      <w:pPr>
        <w:pStyle w:val="BodyText"/>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pPr>
      <w:r>
        <w:rPr>
          <w:bCs/>
          <w:b/>
          <w:color w:val="B08625"/>
          <w:sz w:val="20"/>
          <w:caps/>
          <w:spacing w:val="14"/>
        </w:rPr>
        <w:t xml:space="preserve">Vetting/Credentialing Process</w:t>
      </w:r>
    </w:p>
    <w:p>
      <w:pPr>
        <w:pStyle w:val="BodyText"/>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pPr>
      <w:r>
        <w:rPr>
          <w:bCs/>
          <w:b/>
          <w:color w:val="B08625"/>
          <w:sz w:val="20"/>
          <w:caps/>
          <w:spacing w:val="14"/>
        </w:rPr>
        <w:t xml:space="preserve">Madhhab &amp; Doctrinal Diversity</w:t>
      </w:r>
    </w:p>
    <w:p>
      <w:pPr>
        <w:pStyle w:val="BodyText"/>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2028–2030</w:t>
            </w:r>
          </w:p>
        </w:tc>
        <w:tc>
          <w:tcPr/>
          <w:p>
            <w:pPr>
              <w:pStyle w:val="Compact"/>
              <w:jc w:val="left"/>
            </w:pPr>
            <w:r>
              <w:t xml:space="preserve">Founding faculty core via DVC’s personal scholarly network; largely volunteer/low-honoraria</w:t>
            </w:r>
          </w:p>
        </w:tc>
      </w:tr>
      <w:tr>
        <w:trPr>
          <w:cantSplit/>
        </w:trPr>
        <w:tc>
          <w:tcPr/>
          <w:p>
            <w:pPr>
              <w:pStyle w:val="Compact"/>
              <w:jc w:val="left"/>
            </w:pPr>
            <w:r>
              <w:t xml:space="preserve">2</w:t>
            </w:r>
          </w:p>
        </w:tc>
        <w:tc>
          <w:tcPr/>
          <w:p>
            <w:pPr>
              <w:pStyle w:val="Compact"/>
              <w:jc w:val="left"/>
            </w:pPr>
            <w:r>
              <w:t xml:space="preserve">2031–2034</w:t>
            </w:r>
          </w:p>
        </w:tc>
        <w:tc>
          <w:tcPr/>
          <w:p>
            <w:pPr>
              <w:pStyle w:val="Compact"/>
              <w:jc w:val="left"/>
            </w:pPr>
            <w:r>
              <w:t xml:space="preserve">Scale adjunct pool with enrollment growth; FACC formalized</w:t>
            </w:r>
          </w:p>
        </w:tc>
      </w:tr>
      <w:tr>
        <w:trPr>
          <w:cantSplit/>
        </w:trPr>
        <w:tc>
          <w:tcPr/>
          <w:p>
            <w:pPr>
              <w:pStyle w:val="Compact"/>
              <w:jc w:val="left"/>
            </w:pPr>
            <w:r>
              <w:t xml:space="preserve">3</w:t>
            </w:r>
          </w:p>
        </w:tc>
        <w:tc>
          <w:tcPr/>
          <w:p>
            <w:pPr>
              <w:pStyle w:val="Compact"/>
              <w:jc w:val="left"/>
            </w:pPr>
            <w:r>
              <w:t xml:space="preserve">2035–2037</w:t>
            </w:r>
          </w:p>
        </w:tc>
        <w:tc>
          <w:tcPr/>
          <w:p>
            <w:pPr>
              <w:pStyle w:val="Compact"/>
              <w:jc w:val="left"/>
            </w:pPr>
            <w:r>
              <w:t xml:space="preserve">Build Senior Scholar/Chair tier ahead of secular expansion</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Recruit terminal-degree faculty for 7 new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Steady-state renewal, succession planning, Waqf-endowed chairs</w:t>
            </w:r>
          </w:p>
        </w:tc>
      </w:tr>
    </w:tbl>
    <w:p>
      <w:pPr>
        <w:pStyle w:val="BodyText"/>
      </w:pPr>
      <w:r>
        <w:rPr>
          <w:bCs/>
          <w:b/>
          <w:color w:val="B08625"/>
          <w:sz w:val="20"/>
          <w:caps/>
          <w:spacing w:val="14"/>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DVC Academic Affairs + volunteer Faculty Affairs subcommittee</w:t>
            </w:r>
          </w:p>
        </w:tc>
      </w:tr>
      <w:tr>
        <w:trPr>
          <w:cantSplit/>
        </w:trPr>
        <w:tc>
          <w:tcPr/>
          <w:p>
            <w:pPr>
              <w:pStyle w:val="Compact"/>
              <w:jc w:val="left"/>
            </w:pPr>
            <w:r>
              <w:t xml:space="preserve">2 (Yr4–7)</w:t>
            </w:r>
          </w:p>
        </w:tc>
        <w:tc>
          <w:tcPr/>
          <w:p>
            <w:pPr>
              <w:pStyle w:val="Compact"/>
              <w:jc w:val="left"/>
            </w:pPr>
            <w:r>
              <w:t xml:space="preserve">+ part-time Faculty Affairs Coordinator</w:t>
            </w:r>
          </w:p>
        </w:tc>
      </w:tr>
      <w:tr>
        <w:trPr>
          <w:cantSplit/>
        </w:trPr>
        <w:tc>
          <w:tcPr/>
          <w:p>
            <w:pPr>
              <w:pStyle w:val="Compact"/>
              <w:jc w:val="left"/>
            </w:pPr>
            <w:r>
              <w:t xml:space="preserve">3 (Yr8–10)</w:t>
            </w:r>
          </w:p>
        </w:tc>
        <w:tc>
          <w:tcPr/>
          <w:p>
            <w:pPr>
              <w:pStyle w:val="Compact"/>
              <w:jc w:val="left"/>
            </w:pPr>
            <w:r>
              <w:t xml:space="preserve">FACC fully staffed with dedicated credentialing specialist</w:t>
            </w:r>
          </w:p>
        </w:tc>
      </w:tr>
      <w:tr>
        <w:trPr>
          <w:cantSplit/>
        </w:trPr>
        <w:tc>
          <w:tcPr/>
          <w:p>
            <w:pPr>
              <w:pStyle w:val="Compact"/>
              <w:jc w:val="left"/>
            </w:pPr>
            <w:r>
              <w:t xml:space="preserve">4 (Yr11+)</w:t>
            </w:r>
          </w:p>
        </w:tc>
        <w:tc>
          <w:tcPr/>
          <w:p>
            <w:pPr>
              <w:pStyle w:val="Compact"/>
              <w:jc w:val="left"/>
            </w:pPr>
            <w:r>
              <w:t xml:space="preserve">+ secular-faculty recruiter per new School</w:t>
            </w:r>
          </w:p>
        </w:tc>
      </w:tr>
    </w:tbl>
    <w:p>
      <w:pPr>
        <w:pStyle w:val="BodyText"/>
      </w:pPr>
      <w:r>
        <w:rPr>
          <w:bCs/>
          <w:b/>
          <w:color w:val="B08625"/>
          <w:sz w:val="20"/>
          <w:caps/>
          <w:spacing w:val="14"/>
        </w:rPr>
        <w:t xml:space="preserve">Annual Budget</w:t>
      </w:r>
    </w:p>
    <w:p>
      <w:pPr>
        <w:pStyle w:val="BodyText"/>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Shortage of classically-verified scholars willing to teach remotely at honoraria rates</w:t>
            </w:r>
          </w:p>
        </w:tc>
        <w:tc>
          <w:tcPr/>
          <w:p>
            <w:pPr>
              <w:pStyle w:val="Compact"/>
              <w:jc w:val="left"/>
            </w:pPr>
            <w:r>
              <w:t xml:space="preserve">Diaspora networks, partner-institution MOUs, prestige of ijāza-ceremony affiliation</w:t>
            </w:r>
          </w:p>
        </w:tc>
      </w:tr>
      <w:tr>
        <w:trPr>
          <w:cantSplit/>
        </w:trPr>
        <w:tc>
          <w:tcPr/>
          <w:p>
            <w:pPr>
              <w:pStyle w:val="Compact"/>
              <w:jc w:val="left"/>
            </w:pPr>
            <w:r>
              <w:t xml:space="preserve">Doctrinal/sectarian tension among faculty of different madhāhib</w:t>
            </w:r>
          </w:p>
        </w:tc>
        <w:tc>
          <w:tcPr/>
          <w:p>
            <w:pPr>
              <w:pStyle w:val="Compact"/>
              <w:jc w:val="left"/>
            </w:pPr>
            <w:r>
              <w:t xml:space="preserve">Published Diversity &amp; Doctrinal Transparency Policy; Senate oversight</w:t>
            </w:r>
          </w:p>
        </w:tc>
      </w:tr>
      <w:tr>
        <w:trPr>
          <w:cantSplit/>
        </w:trPr>
        <w:tc>
          <w:tcPr/>
          <w:p>
            <w:pPr>
              <w:pStyle w:val="Compact"/>
              <w:jc w:val="left"/>
            </w:pPr>
            <w:r>
              <w:t xml:space="preserve">Secular faculty (Yr11+) recruited away by better-paying institutions</w:t>
            </w:r>
          </w:p>
        </w:tc>
        <w:tc>
          <w:tcPr/>
          <w:p>
            <w:pPr>
              <w:pStyle w:val="Compact"/>
              <w:jc w:val="left"/>
            </w:pPr>
            <w:r>
              <w:t xml:space="preserve">Mission-driven recruiting messaging, flexible remote/part-time affiliate model</w:t>
            </w:r>
          </w:p>
        </w:tc>
      </w:tr>
    </w:tbl>
    <w:p>
      <w:pPr>
        <w:pStyle w:val="BodyText"/>
      </w:pPr>
      <w:r>
        <w:rPr>
          <w:bCs/>
          <w:b/>
          <w:color w:val="B08625"/>
          <w:sz w:val="20"/>
          <w:caps/>
          <w:spacing w:val="14"/>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pPr>
      <w:r>
        <w:rPr>
          <w:bCs/>
          <w:b/>
          <w:color w:val="B08625"/>
          <w:sz w:val="20"/>
          <w:caps/>
          <w:spacing w:val="14"/>
        </w:rPr>
        <w:t xml:space="preserve">Measurable Success Indicators</w:t>
      </w:r>
    </w:p>
    <w:p>
      <w:pPr>
        <w:pStyle w:val="BodyText"/>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FOUR OF EIGHT</w:t>
            </w:r>
          </w:p>
          <w:p>
            <w:pPr>
              <w:spacing w:before="0" w:after="60"/>
            </w:pPr>
            <w:r>
              <w:rPr>
                <w:rFonts w:ascii="Cinzel" w:hAnsi="Cinzel"/>
                <w:b/>
                <w:color w:val="B08625"/>
                <w:sz w:val="20"/>
                <w:caps/>
                <w:spacing w:val="14"/>
              </w:rPr>
              <w:t>IV</w:t>
            </w:r>
          </w:p>
          <w:p>
            <w:pPr>
              <w:spacing w:before="120" w:after="80"/>
            </w:pPr>
            <w:r>
              <w:rPr>
                <w:rFonts w:ascii="Cormorant Garamond" w:hAnsi="Cormorant Garamond"/>
                <w:b/>
                <w:color w:val="B08625"/>
                <w:sz w:val="20"/>
                <w:caps/>
                <w:spacing w:val="14"/>
              </w:rPr>
              <w:t>Research, Publishing, Partnerships &amp; Accreditation</w:t>
            </w:r>
          </w:p>
          <w:p>
            <w:pPr>
              <w:spacing w:before="0" w:after="260"/>
              <w:pBdr>
                <w:bottom w:val="single" w:sz="10" w:space="8" w:color="B08625"/>
              </w:pBdr>
            </w:pPr>
            <w:r>
              <w:rPr>
                <w:rFonts w:ascii="Liberation Sans" w:hAnsi="Liberation Sans"/>
                <w:color w:val="8C97AB"/>
                <w:sz w:val="17"/>
                <w:spacing w:val="14"/>
              </w:rPr>
              <w:t>SECTIONS 16–20</w:t>
            </w:r>
          </w:p>
          <w:p>
            <w:pPr>
              <w:spacing w:before="0" w:after="360"/>
              <w:ind w:right="700"/>
            </w:pPr>
            <w:r>
              <w:rPr>
                <w:rFonts w:ascii="Cormorant Garamond" w:hAnsi="Cormorant Garamond"/>
                <w:i/>
                <w:color w:val="DCE3F0"/>
                <w:sz w:val="25"/>
              </w:rPr>
              <w:t>“Mentored research and open-access publishing built on existing faculty honoraria, and the exact, dated accreditation sequence that never gets reordered for convenience.”</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16 </w:t>
            </w:r>
            <w:r>
              <w:rPr>
                <w:rFonts w:ascii="Liberation Sans" w:hAnsi="Liberation Sans"/>
                <w:color w:val="FFFFFF"/>
                <w:sz w:val="20"/>
              </w:rPr>
              <w:t>Research Strategy</w:t>
            </w:r>
          </w:p>
          <w:p>
            <w:pPr>
              <w:spacing w:before="0" w:after="130"/>
            </w:pPr>
            <w:r>
              <w:rPr>
                <w:rFonts w:ascii="Cinzel" w:hAnsi="Cinzel"/>
                <w:b/>
                <w:color w:val="B08625"/>
                <w:sz w:val="20"/>
                <w:caps/>
                <w:spacing w:val="14"/>
              </w:rPr>
              <w:t>17 </w:t>
            </w:r>
            <w:r>
              <w:rPr>
                <w:rFonts w:ascii="Liberation Sans" w:hAnsi="Liberation Sans"/>
                <w:color w:val="FFFFFF"/>
                <w:sz w:val="20"/>
              </w:rPr>
              <w:t>Publishing Strategy</w:t>
            </w:r>
          </w:p>
          <w:p>
            <w:pPr>
              <w:spacing w:before="0" w:after="130"/>
            </w:pPr>
            <w:r>
              <w:rPr>
                <w:rFonts w:ascii="Cinzel" w:hAnsi="Cinzel"/>
                <w:b/>
                <w:color w:val="B08625"/>
                <w:sz w:val="20"/>
                <w:caps/>
                <w:spacing w:val="14"/>
              </w:rPr>
              <w:t>18 </w:t>
            </w:r>
            <w:r>
              <w:rPr>
                <w:rFonts w:ascii="Liberation Sans" w:hAnsi="Liberation Sans"/>
                <w:color w:val="FFFFFF"/>
                <w:sz w:val="20"/>
              </w:rPr>
              <w:t>Global Partnerships Strategy</w:t>
            </w:r>
          </w:p>
          <w:p>
            <w:pPr>
              <w:spacing w:before="0" w:after="130"/>
            </w:pPr>
            <w:r>
              <w:rPr>
                <w:rFonts w:ascii="Cinzel" w:hAnsi="Cinzel"/>
                <w:b/>
                <w:color w:val="B08625"/>
                <w:sz w:val="20"/>
                <w:caps/>
                <w:spacing w:val="14"/>
              </w:rPr>
              <w:t>19 </w:t>
            </w:r>
            <w:r>
              <w:rPr>
                <w:rFonts w:ascii="Liberation Sans" w:hAnsi="Liberation Sans"/>
                <w:color w:val="FFFFFF"/>
                <w:sz w:val="20"/>
              </w:rPr>
              <w:t>Accreditation Roadmap</w:t>
            </w:r>
          </w:p>
          <w:p>
            <w:pPr>
              <w:spacing w:before="0" w:after="130"/>
            </w:pPr>
            <w:r>
              <w:rPr>
                <w:rFonts w:ascii="Cinzel" w:hAnsi="Cinzel"/>
                <w:b/>
                <w:color w:val="B08625"/>
                <w:sz w:val="20"/>
                <w:caps/>
                <w:spacing w:val="14"/>
              </w:rPr>
              <w:t>20 </w:t>
            </w:r>
            <w:r>
              <w:rPr>
                <w:rFonts w:ascii="Liberation Sans" w:hAnsi="Liberation Sans"/>
                <w:color w:val="FFFFFF"/>
                <w:sz w:val="20"/>
              </w:rPr>
              <w:t>ISO 21001 Roadmap</w:t>
            </w:r>
          </w:p>
        </w:tc>
      </w:tr>
    </w:tbl>
    <w:p>
      <w:r>
        <w:br w:type="page"/>
      </w:r>
    </w:p>
    <w:p>
      <w:pPr>
        <w:pStyle w:val="SectionKicker"/>
      </w:pPr>
      <w:r>
        <w:t xml:space="preserve">PART IV · SECTION 16</w:t>
      </w:r>
    </w:p>
    <w:bookmarkEnd w:id="70"/>
    <w:bookmarkStart w:id="71" w:name="section-16-research-strategy"/>
    <w:p>
      <w:pPr>
        <w:pStyle w:val="Heading2"/>
      </w:pPr>
      <w:r>
        <w:t xml:space="preserve">Section 16: Research Strategy</w:t>
      </w:r>
    </w:p>
    <w:p>
      <w:pPr>
        <w:pStyle w:val="FirstParagraph"/>
      </w:pPr>
      <w:r>
        <w:rPr>
          <w:bCs/>
          <w:b/>
          <w:color w:val="B08625"/>
          <w:sz w:val="20"/>
          <w:caps/>
          <w:spacing w:val="14"/>
        </w:rPr>
        <w:t xml:space="preserve">Rationale</w:t>
      </w:r>
    </w:p>
    <w:p>
      <w:pPr>
        <w:pStyle w:val="BodyText"/>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pPr>
      <w:r>
        <w:rPr>
          <w:bCs/>
          <w:b/>
          <w:color w:val="B08625"/>
          <w:sz w:val="20"/>
          <w:caps/>
          <w:spacing w:val="14"/>
        </w:rPr>
        <w:t xml:space="preserve">Global Best Practices</w:t>
      </w:r>
    </w:p>
    <w:p>
      <w:pPr>
        <w:numPr>
          <w:ilvl w:val="0"/>
          <w:numId w:val="1010"/>
        </w:numPr>
        <w:pStyle w:val="Compact"/>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pPr>
      <w:r>
        <w:t xml:space="preserve">Digital-first, low-marginal-cost repositories (arXiv/SSRN-style preprint logic) let a small institution produce credible output without labs or print runs.</w:t>
      </w:r>
    </w:p>
    <w:p>
      <w:pPr>
        <w:numPr>
          <w:ilvl w:val="0"/>
          <w:numId w:val="1010"/>
        </w:numPr>
        <w:pStyle w:val="Compact"/>
      </w:pPr>
      <w:r>
        <w:t xml:space="preserve">Peer faith-based universities (e.g., international Islamic university networks) scale research administratively before scaling it financially — governance and ethics infrastructure precede budget.</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Foundational</w:t>
            </w:r>
          </w:p>
        </w:tc>
        <w:tc>
          <w:tcPr/>
          <w:p>
            <w:pPr>
              <w:pStyle w:val="Compact"/>
              <w:jc w:val="left"/>
            </w:pPr>
            <w:r>
              <w:t xml:space="preserve">Yr1–2 (2028–29)</w:t>
            </w:r>
          </w:p>
        </w:tc>
        <w:tc>
          <w:tcPr/>
          <w:p>
            <w:pPr>
              <w:pStyle w:val="Compact"/>
              <w:jc w:val="left"/>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pPr>
            <w:r>
              <w:t xml:space="preserve">1 – Ph.D. Launch</w:t>
            </w:r>
          </w:p>
        </w:tc>
        <w:tc>
          <w:tcPr/>
          <w:p>
            <w:pPr>
              <w:pStyle w:val="Compact"/>
              <w:jc w:val="left"/>
            </w:pPr>
            <w:r>
              <w:t xml:space="preserve">Yr3–5 (2030–32)</w:t>
            </w:r>
          </w:p>
        </w:tc>
        <w:tc>
          <w:tcPr/>
          <w:p>
            <w:pPr>
              <w:pStyle w:val="Compact"/>
              <w:jc w:val="left"/>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pPr>
            <w:r>
              <w:t xml:space="preserve">2 – Post-Doc Launch</w:t>
            </w:r>
          </w:p>
        </w:tc>
        <w:tc>
          <w:tcPr/>
          <w:p>
            <w:pPr>
              <w:pStyle w:val="Compact"/>
              <w:jc w:val="left"/>
            </w:pPr>
            <w:r>
              <w:t xml:space="preserve">Yr6–10 (2033–37)</w:t>
            </w:r>
          </w:p>
        </w:tc>
        <w:tc>
          <w:tcPr/>
          <w:p>
            <w:pPr>
              <w:pStyle w:val="Compact"/>
              <w:jc w:val="left"/>
            </w:pPr>
            <w:r>
              <w:t xml:space="preserve">4 Post-Doc tracks begin; cross-college research agenda formalized by Senate; low-cost digital repository built on the existing LMS &amp; Tech (5%) infrastructure.</w:t>
            </w:r>
          </w:p>
        </w:tc>
      </w:tr>
      <w:tr>
        <w:trPr>
          <w:cantSplit/>
        </w:trPr>
        <w:tc>
          <w:tcPr/>
          <w:p>
            <w:pPr>
              <w:pStyle w:val="Compact"/>
              <w:jc w:val="left"/>
            </w:pPr>
            <w:r>
              <w:t xml:space="preserve">3 – Secular Extension</w:t>
            </w:r>
          </w:p>
        </w:tc>
        <w:tc>
          <w:tcPr/>
          <w:p>
            <w:pPr>
              <w:pStyle w:val="Compact"/>
              <w:jc w:val="left"/>
            </w:pPr>
            <w:r>
              <w:t xml:space="preserve">Yr11–20 (2038–47)</w:t>
            </w:r>
          </w:p>
        </w:tc>
        <w:tc>
          <w:tcPr/>
          <w:p>
            <w:pPr>
              <w:pStyle w:val="Compact"/>
              <w:jc w:val="left"/>
            </w:pPr>
            <w:r>
              <w:t xml:space="preserve">Post-secular-accreditation schools extend research scope beyond religious disciplines; Board/Senate evaluate a standalone Research sub-allocation once revenue clears the Year 15 (~$43.1M) mark.</w:t>
            </w:r>
          </w:p>
        </w:tc>
      </w:tr>
    </w:tbl>
    <w:p>
      <w:pPr>
        <w:pStyle w:val="BodyText"/>
      </w:pPr>
      <w:r>
        <w:rPr>
          <w:bCs/>
          <w:b/>
          <w:color w:val="B08625"/>
          <w:sz w:val="20"/>
          <w:caps/>
          <w:spacing w:val="14"/>
        </w:rPr>
        <w:t xml:space="preserve">Staffing Requirements</w:t>
      </w:r>
    </w:p>
    <w:p>
      <w:pPr>
        <w:pStyle w:val="BodyText"/>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pPr>
      <w:r>
        <w:rPr>
          <w:bCs/>
          <w:b/>
          <w:color w:val="B08625"/>
          <w:sz w:val="20"/>
          <w:caps/>
          <w:spacing w:val="14"/>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Mentored dissertation/fellowship supervision</w:t>
            </w:r>
          </w:p>
        </w:tc>
        <w:tc>
          <w:tcPr/>
          <w:p>
            <w:pPr>
              <w:pStyle w:val="Compact"/>
              <w:jc w:val="left"/>
            </w:pPr>
            <w:r>
              <w:t xml:space="preserve">Faculty Honoraria (40% of 20% Payroll)</w:t>
            </w:r>
          </w:p>
        </w:tc>
        <w:tc>
          <w:tcPr/>
          <w:p>
            <w:pPr>
              <w:pStyle w:val="Compact"/>
              <w:jc w:val="left"/>
            </w:pPr>
            <w:r>
              <w:t xml:space="preserve">Already budgeted, no incremental cost</w:t>
            </w:r>
          </w:p>
        </w:tc>
      </w:tr>
      <w:tr>
        <w:trPr>
          <w:cantSplit/>
        </w:trPr>
        <w:tc>
          <w:tcPr/>
          <w:p>
            <w:pPr>
              <w:pStyle w:val="Compact"/>
              <w:jc w:val="left"/>
            </w:pPr>
            <w:r>
              <w:t xml:space="preserve">Ethics/isnād review administration</w:t>
            </w:r>
          </w:p>
        </w:tc>
        <w:tc>
          <w:tcPr/>
          <w:p>
            <w:pPr>
              <w:pStyle w:val="Compact"/>
              <w:jc w:val="left"/>
            </w:pPr>
            <w:r>
              <w:t xml:space="preserve">OpEx (5%)</w:t>
            </w:r>
          </w:p>
        </w:tc>
        <w:tc>
          <w:tcPr/>
          <w:p>
            <w:pPr>
              <w:pStyle w:val="Compact"/>
              <w:jc w:val="left"/>
            </w:pPr>
            <w:r>
              <w:t xml:space="preserve">Minor — committee logistics, digital tools</w:t>
            </w:r>
          </w:p>
        </w:tc>
      </w:tr>
      <w:tr>
        <w:trPr>
          <w:cantSplit/>
        </w:trPr>
        <w:tc>
          <w:tcPr/>
          <w:p>
            <w:pPr>
              <w:pStyle w:val="Compact"/>
              <w:jc w:val="left"/>
            </w:pPr>
            <w:r>
              <w:t xml:space="preserve">Research dissemination events, symposia</w:t>
            </w:r>
          </w:p>
        </w:tc>
        <w:tc>
          <w:tcPr/>
          <w:p>
            <w:pPr>
              <w:pStyle w:val="Compact"/>
              <w:jc w:val="left"/>
            </w:pPr>
            <w:r>
              <w:t xml:space="preserve">Da’wah &amp; Community Outreach (5%)</w:t>
            </w:r>
          </w:p>
        </w:tc>
        <w:tc>
          <w:tcPr/>
          <w:p>
            <w:pPr>
              <w:pStyle w:val="Compact"/>
              <w:jc w:val="left"/>
            </w:pPr>
            <w:r>
              <w:t xml:space="preserve">Shared with wider outreach calendar</w:t>
            </w:r>
          </w:p>
        </w:tc>
      </w:tr>
      <w:tr>
        <w:trPr>
          <w:cantSplit/>
        </w:trPr>
        <w:tc>
          <w:tcPr/>
          <w:p>
            <w:pPr>
              <w:pStyle w:val="Compact"/>
              <w:jc w:val="left"/>
            </w:pPr>
            <w:r>
              <w:t xml:space="preserve">Future dedicated Research line</w:t>
            </w:r>
          </w:p>
        </w:tc>
        <w:tc>
          <w:tcPr/>
          <w:p>
            <w:pPr>
              <w:pStyle w:val="Compact"/>
              <w:jc w:val="left"/>
            </w:pPr>
            <w:r>
              <w:rPr>
                <w:iCs/>
                <w:i/>
              </w:rPr>
              <w:t xml:space="preserve">Not yet allocated</w:t>
            </w:r>
          </w:p>
        </w:tc>
        <w:tc>
          <w:tcPr/>
          <w:p>
            <w:pPr>
              <w:pStyle w:val="Compact"/>
              <w:jc w:val="left"/>
            </w:pPr>
            <w:r>
              <w:t xml:space="preserve">Requires new Board/Senate vote, flagged per risk register</w:t>
            </w:r>
          </w:p>
        </w:tc>
      </w:tr>
    </w:tbl>
    <w:p>
      <w:pPr>
        <w:pStyle w:val="BodyText"/>
        <w:shd w:val="clear" w:color="auto" w:fill="F7F3E8"/>
        <w:pBdr>
          <w:left w:val="single" w:sz="24" w:space="10" w:color="B08625"/>
        </w:pBdr>
        <w:ind w:left="300"/>
        <w:spacing/>
      </w:pPr>
      <w:r>
        <w:rPr>
          <w:bCs/>
          <w:b/>
          <w:color w:val="B08625"/>
          <w:sz w:val="20"/>
          <w:caps/>
          <w:spacing w:val="14"/>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Research budget creep beyond fixed allocation</w:t>
            </w:r>
          </w:p>
        </w:tc>
        <w:tc>
          <w:tcPr/>
          <w:p>
            <w:pPr>
              <w:pStyle w:val="Compact"/>
              <w:jc w:val="left"/>
            </w:pPr>
            <w:r>
              <w:t xml:space="preserve">Hard cap within existing lines; new spend requires Board/Senate vote</w:t>
            </w:r>
          </w:p>
        </w:tc>
      </w:tr>
      <w:tr>
        <w:trPr>
          <w:cantSplit/>
        </w:trPr>
        <w:tc>
          <w:tcPr/>
          <w:p>
            <w:pPr>
              <w:pStyle w:val="Compact"/>
              <w:jc w:val="left"/>
            </w:pPr>
            <w:r>
              <w:t xml:space="preserve">Authenticity/credibility risk in religious scholarship</w:t>
            </w:r>
          </w:p>
        </w:tc>
        <w:tc>
          <w:tcPr/>
          <w:p>
            <w:pPr>
              <w:pStyle w:val="Compact"/>
              <w:jc w:val="left"/>
            </w:pPr>
            <w:r>
              <w:t xml:space="preserve">Mandatory Sharī’ah Advisory Board isnād certification pre-publication</w:t>
            </w:r>
          </w:p>
        </w:tc>
      </w:tr>
      <w:tr>
        <w:trPr>
          <w:cantSplit/>
        </w:trPr>
        <w:tc>
          <w:tcPr/>
          <w:p>
            <w:pPr>
              <w:pStyle w:val="Compact"/>
              <w:jc w:val="left"/>
            </w:pPr>
            <w:r>
              <w:t xml:space="preserve">Mission drift toward prestige research over accessibility</w:t>
            </w:r>
          </w:p>
        </w:tc>
        <w:tc>
          <w:tcPr/>
          <w:p>
            <w:pPr>
              <w:pStyle w:val="Compact"/>
              <w:jc w:val="left"/>
            </w:pPr>
            <w:r>
              <w:t xml:space="preserve">Senate charter ties research agenda explicitly to mission statement</w:t>
            </w:r>
          </w:p>
        </w:tc>
      </w:tr>
    </w:tbl>
    <w:p>
      <w:pPr>
        <w:pStyle w:val="BodyText"/>
      </w:pPr>
      <w:r>
        <w:rPr>
          <w:bCs/>
          <w:b/>
          <w:color w:val="B08625"/>
          <w:sz w:val="20"/>
          <w:caps/>
          <w:spacing w:val="14"/>
        </w:rPr>
        <w:t xml:space="preserve">Timeline</w:t>
      </w:r>
      <w:r>
        <w:t xml:space="preserve">: Yr1–2 committee/protocol → Yr3 Ph.D. mentorship begins → Yr6 Post-Doc mentorship begins → Yr10 repository maturity → Yr11+ secular-schools extension review.</w:t>
      </w:r>
    </w:p>
    <w:p>
      <w:pPr>
        <w:pStyle w:val="BodyText"/>
      </w:pPr>
      <w:r>
        <w:rPr>
          <w:bCs/>
          <w:b/>
          <w:color w:val="B08625"/>
          <w:sz w:val="20"/>
          <w:caps/>
          <w:spacing w:val="14"/>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pPr>
      <w:r>
        <w:rPr>
          <w:bCs/>
          <w:b/>
          <w:color w:val="B08625"/>
          <w:sz w:val="20"/>
          <w:caps/>
          <w:spacing w:val="14"/>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1"/>
    <w:bookmarkStart w:id="72" w:name="section-17-publishing-strategy"/>
    <w:p>
      <w:pPr>
        <w:pStyle w:val="Heading2"/>
      </w:pPr>
      <w:r>
        <w:t xml:space="preserve">Section 17: Publishing Strategy</w:t>
      </w:r>
    </w:p>
    <w:p>
      <w:pPr>
        <w:pStyle w:val="FirstParagraph"/>
      </w:pPr>
      <w:r>
        <w:rPr>
          <w:bCs/>
          <w:b/>
          <w:color w:val="B08625"/>
          <w:sz w:val="20"/>
          <w:caps/>
          <w:spacing w:val="14"/>
        </w:rPr>
        <w:t xml:space="preserve">Rationale</w:t>
      </w:r>
    </w:p>
    <w:p>
      <w:pPr>
        <w:pStyle w:val="BodyText"/>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pPr>
      <w:r>
        <w:rPr>
          <w:bCs/>
          <w:b/>
          <w:color w:val="B08625"/>
          <w:sz w:val="20"/>
          <w:caps/>
          <w:spacing w:val="14"/>
        </w:rPr>
        <w:t xml:space="preserve">Global Best Practices</w:t>
      </w:r>
    </w:p>
    <w:p>
      <w:pPr>
        <w:numPr>
          <w:ilvl w:val="0"/>
          <w:numId w:val="1011"/>
        </w:numPr>
        <w:pStyle w:val="Compact"/>
      </w:pPr>
      <w:r>
        <w:t xml:space="preserve">Open Journal Systems (OJS)-class free software lets small institutions run peer-reviewed e-journals at effectively $0 licensing cost.</w:t>
      </w:r>
    </w:p>
    <w:p>
      <w:pPr>
        <w:numPr>
          <w:ilvl w:val="0"/>
          <w:numId w:val="1011"/>
        </w:numPr>
        <w:pStyle w:val="Compact"/>
      </w:pPr>
      <w:r>
        <w:t xml:space="preserve">DOAJ (Directory of Open Access Journals) listing is the recognized low-cost credibility marker for young open-access journals.</w:t>
      </w:r>
    </w:p>
    <w:p>
      <w:pPr>
        <w:numPr>
          <w:ilvl w:val="0"/>
          <w:numId w:val="1011"/>
        </w:numPr>
        <w:pStyle w:val="Compact"/>
      </w:pPr>
      <w:r>
        <w:t xml:space="preserve">Classical isnād verification is the direct Islamic analogue of modern peer review — AMIU formalizes both together rather than treating them as separate systems.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Planning</w:t>
            </w:r>
          </w:p>
        </w:tc>
        <w:tc>
          <w:tcPr/>
          <w:p>
            <w:pPr>
              <w:pStyle w:val="Compact"/>
              <w:jc w:val="left"/>
            </w:pPr>
            <w:r>
              <w:t xml:space="preserve">Yr1–2 (2028–29)</w:t>
            </w:r>
          </w:p>
        </w:tc>
        <w:tc>
          <w:tcPr/>
          <w:p>
            <w:pPr>
              <w:pStyle w:val="Compact"/>
              <w:jc w:val="left"/>
            </w:pPr>
            <w:r>
              <w:t xml:space="preserve">Senate drafts journal charter, editorial policy, isnād-verification workflow.</w:t>
            </w:r>
          </w:p>
        </w:tc>
      </w:tr>
      <w:tr>
        <w:trPr>
          <w:cantSplit/>
        </w:trPr>
        <w:tc>
          <w:tcPr/>
          <w:p>
            <w:pPr>
              <w:pStyle w:val="Compact"/>
              <w:jc w:val="left"/>
            </w:pPr>
            <w:r>
              <w:t xml:space="preserve">Cluster 1 Launch</w:t>
            </w:r>
          </w:p>
        </w:tc>
        <w:tc>
          <w:tcPr/>
          <w:p>
            <w:pPr>
              <w:pStyle w:val="Compact"/>
              <w:jc w:val="left"/>
            </w:pPr>
            <w:r>
              <w:t xml:space="preserve">Yr3 (2030, aligned with ISO 21001)</w:t>
            </w:r>
          </w:p>
        </w:tc>
        <w:tc>
          <w:tcPr/>
          <w:p>
            <w:pPr>
              <w:pStyle w:val="Compact"/>
              <w:jc w:val="left"/>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pPr>
            <w:r>
              <w:t xml:space="preserve">Cluster 2 &amp; 3 Launch</w:t>
            </w:r>
          </w:p>
        </w:tc>
        <w:tc>
          <w:tcPr/>
          <w:p>
            <w:pPr>
              <w:pStyle w:val="Compact"/>
              <w:jc w:val="left"/>
            </w:pPr>
            <w:r>
              <w:t xml:space="preserve">Yr4–5 (2031–32)</w:t>
            </w:r>
          </w:p>
        </w:tc>
        <w:tc>
          <w:tcPr/>
          <w:p>
            <w:pPr>
              <w:pStyle w:val="Compact"/>
              <w:jc w:val="left"/>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pPr>
            <w:r>
              <w:t xml:space="preserve">Scaling</w:t>
            </w:r>
          </w:p>
        </w:tc>
        <w:tc>
          <w:tcPr/>
          <w:p>
            <w:pPr>
              <w:pStyle w:val="Compact"/>
              <w:jc w:val="left"/>
            </w:pPr>
            <w:r>
              <w:t xml:space="preserve">Yr6–10 (2033–37)</w:t>
            </w:r>
          </w:p>
        </w:tc>
        <w:tc>
          <w:tcPr/>
          <w:p>
            <w:pPr>
              <w:pStyle w:val="Compact"/>
              <w:jc w:val="left"/>
            </w:pPr>
            <w:r>
              <w:t xml:space="preserve">Post-Doc Fellowship output integrated; DOAJ indexing pursued.</w:t>
            </w:r>
          </w:p>
        </w:tc>
      </w:tr>
      <w:tr>
        <w:trPr>
          <w:cantSplit/>
        </w:trPr>
        <w:tc>
          <w:tcPr/>
          <w:p>
            <w:pPr>
              <w:pStyle w:val="Compact"/>
              <w:jc w:val="left"/>
            </w:pPr>
            <w:r>
              <w:t xml:space="preserve">Secular Extension</w:t>
            </w:r>
          </w:p>
        </w:tc>
        <w:tc>
          <w:tcPr/>
          <w:p>
            <w:pPr>
              <w:pStyle w:val="Compact"/>
              <w:jc w:val="left"/>
            </w:pPr>
            <w:r>
              <w:t xml:space="preserve">Yr11+ (2038+)</w:t>
            </w:r>
          </w:p>
        </w:tc>
        <w:tc>
          <w:tcPr/>
          <w:p>
            <w:pPr>
              <w:pStyle w:val="Compact"/>
              <w:jc w:val="left"/>
            </w:pPr>
            <w:r>
              <w:t xml:space="preserve">Additional journals for post-accreditation secular schools; Scopus/Web of Science indexing pursued once accreditation track record exists.</w:t>
            </w:r>
          </w:p>
        </w:tc>
      </w:tr>
    </w:tbl>
    <w:p>
      <w:pPr>
        <w:pStyle w:val="BodyText"/>
      </w:pPr>
      <w:r>
        <w:rPr>
          <w:bCs/>
          <w:b/>
          <w:color w:val="B08625"/>
          <w:sz w:val="20"/>
          <w:caps/>
          <w:spacing w:val="14"/>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Est. Cost</w:t>
            </w:r>
          </w:p>
        </w:tc>
      </w:tr>
      <w:tr>
        <w:trPr>
          <w:cantSplit/>
        </w:trPr>
        <w:tc>
          <w:tcPr/>
          <w:p>
            <w:pPr>
              <w:pStyle w:val="Compact"/>
              <w:jc w:val="left"/>
            </w:pPr>
            <w:r>
              <w:t xml:space="preserve">OJS hosting, digital infrastructure</w:t>
            </w:r>
          </w:p>
        </w:tc>
        <w:tc>
          <w:tcPr/>
          <w:p>
            <w:pPr>
              <w:pStyle w:val="Compact"/>
              <w:jc w:val="left"/>
            </w:pPr>
            <w:r>
              <w:t xml:space="preserve">LMS &amp; Tech (5%)</w:t>
            </w:r>
          </w:p>
        </w:tc>
        <w:tc>
          <w:tcPr/>
          <w:p>
            <w:pPr>
              <w:pStyle w:val="Compact"/>
              <w:jc w:val="left"/>
            </w:pPr>
            <w:r>
              <w:t xml:space="preserve">Marginal — shared with LMS</w:t>
            </w:r>
          </w:p>
        </w:tc>
      </w:tr>
      <w:tr>
        <w:trPr>
          <w:cantSplit/>
        </w:trPr>
        <w:tc>
          <w:tcPr/>
          <w:p>
            <w:pPr>
              <w:pStyle w:val="Compact"/>
              <w:jc w:val="left"/>
            </w:pPr>
            <w:r>
              <w:t xml:space="preserve">DOI registration (Crossref)</w:t>
            </w:r>
          </w:p>
        </w:tc>
        <w:tc>
          <w:tcPr/>
          <w:p>
            <w:pPr>
              <w:pStyle w:val="Compact"/>
              <w:jc w:val="left"/>
            </w:pPr>
            <w:r>
              <w:t xml:space="preserve">OpEx (5%)</w:t>
            </w:r>
          </w:p>
        </w:tc>
        <w:tc>
          <w:tcPr/>
          <w:p>
            <w:pPr>
              <w:pStyle w:val="Compact"/>
              <w:jc w:val="left"/>
            </w:pPr>
            <w:r>
              <w:t xml:space="preserve">~$1–2/article</w:t>
            </w:r>
          </w:p>
        </w:tc>
      </w:tr>
      <w:tr>
        <w:trPr>
          <w:cantSplit/>
        </w:trPr>
        <w:tc>
          <w:tcPr/>
          <w:p>
            <w:pPr>
              <w:pStyle w:val="Compact"/>
              <w:jc w:val="left"/>
            </w:pPr>
            <w:r>
              <w:t xml:space="preserve">Editorial stipends</w:t>
            </w:r>
          </w:p>
        </w:tc>
        <w:tc>
          <w:tcPr/>
          <w:p>
            <w:pPr>
              <w:pStyle w:val="Compact"/>
              <w:jc w:val="left"/>
            </w:pPr>
            <w:r>
              <w:t xml:space="preserve">Faculty Honoraria (40% of Payroll)</w:t>
            </w:r>
          </w:p>
        </w:tc>
        <w:tc>
          <w:tcPr/>
          <w:p>
            <w:pPr>
              <w:pStyle w:val="Compact"/>
              <w:jc w:val="left"/>
            </w:pPr>
            <w:r>
              <w:t xml:space="preserve">Already budgeted</w:t>
            </w:r>
          </w:p>
        </w:tc>
      </w:tr>
      <w:tr>
        <w:trPr>
          <w:cantSplit/>
        </w:trPr>
        <w:tc>
          <w:tcPr/>
          <w:p>
            <w:pPr>
              <w:pStyle w:val="Compact"/>
              <w:jc w:val="left"/>
            </w:pPr>
            <w:r>
              <w:t xml:space="preserve">Student/faculty publication incentive stipends</w:t>
            </w:r>
          </w:p>
        </w:tc>
        <w:tc>
          <w:tcPr/>
          <w:p>
            <w:pPr>
              <w:pStyle w:val="Compact"/>
              <w:jc w:val="left"/>
            </w:pPr>
            <w:r>
              <w:t xml:space="preserve">Waqf Scholarship Block (20% of Waqf 20%)</w:t>
            </w:r>
          </w:p>
        </w:tc>
        <w:tc>
          <w:tcPr/>
          <w:p>
            <w:pPr>
              <w:pStyle w:val="Compact"/>
              <w:jc w:val="left"/>
            </w:pPr>
            <w:r>
              <w:t xml:space="preserve">Tied to Merit Scholarship criteria</w:t>
            </w:r>
          </w:p>
        </w:tc>
      </w:tr>
    </w:tbl>
    <w:p>
      <w:pPr>
        <w:pStyle w:val="BodyText"/>
        <w:shd w:val="clear" w:color="auto" w:fill="F7F3E8"/>
        <w:pBdr>
          <w:left w:val="single" w:sz="24" w:space="10" w:color="B08625"/>
        </w:pBdr>
        <w:ind w:left="300"/>
        <w:spacing/>
      </w:pPr>
      <w:r>
        <w:rPr>
          <w:bCs/>
          <w:b/>
          <w:color w:val="B08625"/>
          <w:sz w:val="20"/>
          <w:caps/>
          <w:spacing w:val="14"/>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Predatory/low-credibility journal perception</w:t>
            </w:r>
          </w:p>
        </w:tc>
        <w:tc>
          <w:tcPr/>
          <w:p>
            <w:pPr>
              <w:pStyle w:val="Compact"/>
              <w:jc w:val="left"/>
            </w:pPr>
            <w:r>
              <w:t xml:space="preserve">Senate-set editorial standards + mandatory Sharī’ah Advisory Board isnād certification for religious-content articles</w:t>
            </w:r>
          </w:p>
        </w:tc>
      </w:tr>
      <w:tr>
        <w:trPr>
          <w:cantSplit/>
        </w:trPr>
        <w:tc>
          <w:tcPr/>
          <w:p>
            <w:pPr>
              <w:pStyle w:val="Compact"/>
              <w:jc w:val="left"/>
            </w:pPr>
            <w:r>
              <w:t xml:space="preserve">Low early submission volume</w:t>
            </w:r>
          </w:p>
        </w:tc>
        <w:tc>
          <w:tcPr/>
          <w:p>
            <w:pPr>
              <w:pStyle w:val="Compact"/>
              <w:jc w:val="left"/>
            </w:pPr>
            <w:r>
              <w:t xml:space="preserve">Publication requirement embedded in Ph.D./Post-Doc candidacy expectations</w:t>
            </w:r>
          </w:p>
        </w:tc>
      </w:tr>
      <w:tr>
        <w:trPr>
          <w:cantSplit/>
        </w:trPr>
        <w:tc>
          <w:tcPr/>
          <w:p>
            <w:pPr>
              <w:pStyle w:val="Compact"/>
              <w:jc w:val="left"/>
            </w:pPr>
            <w:r>
              <w:t xml:space="preserve">Waqf incentive spend exceeding fiduciary limits</w:t>
            </w:r>
          </w:p>
        </w:tc>
        <w:tc>
          <w:tcPr/>
          <w:p>
            <w:pPr>
              <w:pStyle w:val="Compact"/>
              <w:jc w:val="left"/>
            </w:pPr>
            <w:r>
              <w:t xml:space="preserve">Waqf &amp; Endowment Board review; deployment above $250,000/yr requires 2/3 Senate vote incl. ≥2 independent seats</w:t>
            </w:r>
          </w:p>
        </w:tc>
      </w:tr>
    </w:tbl>
    <w:p>
      <w:pPr>
        <w:pStyle w:val="BodyText"/>
      </w:pPr>
      <w:r>
        <w:rPr>
          <w:bCs/>
          <w:b/>
          <w:color w:val="B08625"/>
          <w:sz w:val="20"/>
          <w:caps/>
          <w:spacing w:val="14"/>
        </w:rPr>
        <w:t xml:space="preserve">Timeline</w:t>
      </w:r>
      <w:r>
        <w:t xml:space="preserve">: Yr1–2 policy → Yr3 first journal → Yr5 all three clusters live → Yr6–10 Post-Doc integration and DOAJ push → Yr11+ secular expansion.</w:t>
      </w:r>
    </w:p>
    <w:p>
      <w:pPr>
        <w:pStyle w:val="BodyText"/>
      </w:pPr>
      <w:r>
        <w:rPr>
          <w:bCs/>
          <w:b/>
          <w:color w:val="B08625"/>
          <w:sz w:val="20"/>
          <w:caps/>
          <w:spacing w:val="14"/>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pPr>
      <w:r>
        <w:rPr>
          <w:bCs/>
          <w:b/>
          <w:color w:val="B08625"/>
          <w:sz w:val="20"/>
          <w:caps/>
          <w:spacing w:val="14"/>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2"/>
    <w:bookmarkStart w:id="73" w:name="section-18-global-partnerships-strategy"/>
    <w:p>
      <w:pPr>
        <w:pStyle w:val="Heading2"/>
      </w:pPr>
      <w:r>
        <w:t xml:space="preserve">Section 18: Global Partnerships Strategy</w:t>
      </w:r>
    </w:p>
    <w:p>
      <w:pPr>
        <w:pStyle w:val="FirstParagraph"/>
      </w:pPr>
      <w:r>
        <w:rPr>
          <w:bCs/>
          <w:b/>
          <w:color w:val="B08625"/>
          <w:sz w:val="20"/>
          <w:caps/>
          <w:spacing w:val="14"/>
        </w:rPr>
        <w:t xml:space="preserve">Rationale</w:t>
      </w:r>
    </w:p>
    <w:p>
      <w:pPr>
        <w:pStyle w:val="BodyText"/>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pPr>
      <w:r>
        <w:rPr>
          <w:bCs/>
          <w:b/>
          <w:color w:val="B08625"/>
          <w:sz w:val="20"/>
          <w:caps/>
          <w:spacing w:val="14"/>
        </w:rPr>
        <w:t xml:space="preserve">Global Best Practices</w:t>
      </w:r>
    </w:p>
    <w:p>
      <w:pPr>
        <w:numPr>
          <w:ilvl w:val="0"/>
          <w:numId w:val="1012"/>
        </w:numPr>
        <w:pStyle w:val="Compact"/>
      </w:pPr>
      <w:r>
        <w:t xml:space="preserve">Faith-based university networks build feeder relationships with mosques/schools years before formal accreditation, converting community trust into enrollment pipelines.</w:t>
      </w:r>
    </w:p>
    <w:p>
      <w:pPr>
        <w:numPr>
          <w:ilvl w:val="0"/>
          <w:numId w:val="1012"/>
        </w:numPr>
        <w:pStyle w:val="Compact"/>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pPr>
      <w:r>
        <w:t xml:space="preserve">Articulation agreements are typically signed only after a partner institution’s first graduating cohort demonstrates credential integrity — AMIU should not pre-commit before Ph.D. output exists.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Activity</w:t>
            </w:r>
          </w:p>
        </w:tc>
      </w:tr>
      <w:tr>
        <w:trPr>
          <w:cantSplit/>
        </w:trPr>
        <w:tc>
          <w:tcPr/>
          <w:p>
            <w:pPr>
              <w:pStyle w:val="Compact"/>
              <w:jc w:val="left"/>
            </w:pPr>
            <w:r>
              <w:t xml:space="preserve">1 – Local Roots</w:t>
            </w:r>
          </w:p>
        </w:tc>
        <w:tc>
          <w:tcPr/>
          <w:p>
            <w:pPr>
              <w:pStyle w:val="Compact"/>
              <w:jc w:val="left"/>
            </w:pPr>
            <w:r>
              <w:t xml:space="preserve">Yr1–2 (2028–29)</w:t>
            </w:r>
          </w:p>
        </w:tc>
        <w:tc>
          <w:tcPr/>
          <w:p>
            <w:pPr>
              <w:pStyle w:val="Compact"/>
              <w:jc w:val="left"/>
            </w:pPr>
            <w:r>
              <w:t xml:space="preserve">MOUs with US mosques/Islamic schools feeding the Community &amp; Institutional Scholarship nomination pipeline; diaspora outreach via Da’wah allocation.</w:t>
            </w:r>
          </w:p>
        </w:tc>
      </w:tr>
      <w:tr>
        <w:trPr>
          <w:cantSplit/>
        </w:trPr>
        <w:tc>
          <w:tcPr/>
          <w:p>
            <w:pPr>
              <w:pStyle w:val="Compact"/>
              <w:jc w:val="left"/>
            </w:pPr>
            <w:r>
              <w:t xml:space="preserve">2 – Gambia Support</w:t>
            </w:r>
          </w:p>
        </w:tc>
        <w:tc>
          <w:tcPr/>
          <w:p>
            <w:pPr>
              <w:pStyle w:val="Compact"/>
              <w:jc w:val="left"/>
            </w:pPr>
            <w:r>
              <w:t xml:space="preserve">Yr2–4 (2029–31)</w:t>
            </w:r>
          </w:p>
        </w:tc>
        <w:tc>
          <w:tcPr/>
          <w:p>
            <w:pPr>
              <w:pStyle w:val="Compact"/>
              <w:jc w:val="left"/>
            </w:pPr>
            <w:r>
              <w:t xml:space="preserve">Local mosque/school MOUs in The Gambia supporting NAQAA-track students; legal counsel drawn from the $50,000 Stage 3 ceiling ($5,000 sub-line).</w:t>
            </w:r>
          </w:p>
        </w:tc>
      </w:tr>
      <w:tr>
        <w:trPr>
          <w:cantSplit/>
        </w:trPr>
        <w:tc>
          <w:tcPr/>
          <w:p>
            <w:pPr>
              <w:pStyle w:val="Compact"/>
              <w:jc w:val="left"/>
            </w:pPr>
            <w:r>
              <w:t xml:space="preserve">3 – Academic Peer Network</w:t>
            </w:r>
          </w:p>
        </w:tc>
        <w:tc>
          <w:tcPr/>
          <w:p>
            <w:pPr>
              <w:pStyle w:val="Compact"/>
              <w:jc w:val="left"/>
            </w:pPr>
            <w:r>
              <w:t xml:space="preserve">Yr5–9 (2032–36)</w:t>
            </w:r>
          </w:p>
        </w:tc>
        <w:tc>
          <w:tcPr/>
          <w:p>
            <w:pPr>
              <w:pStyle w:val="Compact"/>
              <w:jc w:val="left"/>
            </w:pPr>
            <w:r>
              <w:t xml:space="preserve">Articulation/credit-transfer agreements with peer Islamic universities once Ph.D. tier has graduates; diaspora scholar mentorship network formalized.</w:t>
            </w:r>
          </w:p>
        </w:tc>
      </w:tr>
      <w:tr>
        <w:trPr>
          <w:cantSplit/>
        </w:trPr>
        <w:tc>
          <w:tcPr/>
          <w:p>
            <w:pPr>
              <w:pStyle w:val="Compact"/>
              <w:jc w:val="left"/>
            </w:pPr>
            <w:r>
              <w:t xml:space="preserve">4 – Sovereign Expansion Support</w:t>
            </w:r>
          </w:p>
        </w:tc>
        <w:tc>
          <w:tcPr/>
          <w:p>
            <w:pPr>
              <w:pStyle w:val="Compact"/>
              <w:jc w:val="left"/>
            </w:pPr>
            <w:r>
              <w:t xml:space="preserve">Yr10–13 (2037–40)</w:t>
            </w:r>
          </w:p>
        </w:tc>
        <w:tc>
          <w:tcPr/>
          <w:p>
            <w:pPr>
              <w:pStyle w:val="Compact"/>
              <w:jc w:val="left"/>
            </w:pPr>
            <w:r>
              <w:t xml:space="preserve">Relationship-building ahead of Nigeria NUC charter presentation (Yr10) and first Gulf ministry recognition agreements (Yr13 target).</w:t>
            </w:r>
          </w:p>
        </w:tc>
      </w:tr>
      <w:tr>
        <w:trPr>
          <w:cantSplit/>
        </w:trPr>
        <w:tc>
          <w:tcPr/>
          <w:p>
            <w:pPr>
              <w:pStyle w:val="Compact"/>
              <w:jc w:val="left"/>
            </w:pPr>
            <w:r>
              <w:t xml:space="preserve">5 – Secular Widening</w:t>
            </w:r>
          </w:p>
        </w:tc>
        <w:tc>
          <w:tcPr/>
          <w:p>
            <w:pPr>
              <w:pStyle w:val="Compact"/>
              <w:jc w:val="left"/>
            </w:pPr>
            <w:r>
              <w:t xml:space="preserve">Yr11–20 (2038–47)</w:t>
            </w:r>
          </w:p>
        </w:tc>
        <w:tc>
          <w:tcPr/>
          <w:p>
            <w:pPr>
              <w:pStyle w:val="Compact"/>
              <w:jc w:val="left"/>
            </w:pPr>
            <w:r>
              <w:t xml:space="preserve">Post-US-accreditation articulation with secular institutions.</w:t>
            </w:r>
          </w:p>
        </w:tc>
      </w:tr>
    </w:tbl>
    <w:p>
      <w:pPr>
        <w:pStyle w:val="BodyText"/>
      </w:pPr>
      <w:r>
        <w:rPr>
          <w:bCs/>
          <w:b/>
          <w:color w:val="B08625"/>
          <w:sz w:val="20"/>
          <w:caps/>
          <w:spacing w:val="14"/>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Item</w:t>
            </w:r>
          </w:p>
        </w:tc>
        <w:tc>
          <w:tcPr/>
          <w:p>
            <w:pPr>
              <w:pStyle w:val="Compact"/>
              <w:jc w:val="left"/>
            </w:pPr>
            <w:r>
              <w:t xml:space="preserve">Funding Source</w:t>
            </w:r>
          </w:p>
        </w:tc>
      </w:tr>
      <w:tr>
        <w:trPr>
          <w:cantSplit/>
        </w:trPr>
        <w:tc>
          <w:tcPr/>
          <w:p>
            <w:pPr>
              <w:pStyle w:val="Compact"/>
              <w:jc w:val="left"/>
            </w:pPr>
            <w:r>
              <w:t xml:space="preserve">Partnership outreach materials, travel</w:t>
            </w:r>
          </w:p>
        </w:tc>
        <w:tc>
          <w:tcPr/>
          <w:p>
            <w:pPr>
              <w:pStyle w:val="Compact"/>
              <w:jc w:val="left"/>
            </w:pPr>
            <w:r>
              <w:t xml:space="preserve">Marketing (10%)</w:t>
            </w:r>
          </w:p>
        </w:tc>
      </w:tr>
      <w:tr>
        <w:trPr>
          <w:cantSplit/>
        </w:trPr>
        <w:tc>
          <w:tcPr/>
          <w:p>
            <w:pPr>
              <w:pStyle w:val="Compact"/>
              <w:jc w:val="left"/>
            </w:pPr>
            <w:r>
              <w:t xml:space="preserve">Mosque/school engagement events</w:t>
            </w:r>
          </w:p>
        </w:tc>
        <w:tc>
          <w:tcPr/>
          <w:p>
            <w:pPr>
              <w:pStyle w:val="Compact"/>
              <w:jc w:val="left"/>
            </w:pPr>
            <w:r>
              <w:t xml:space="preserve">Da’wah &amp; Community Outreach (5%)</w:t>
            </w:r>
          </w:p>
        </w:tc>
      </w:tr>
      <w:tr>
        <w:trPr>
          <w:cantSplit/>
        </w:trPr>
        <w:tc>
          <w:tcPr/>
          <w:p>
            <w:pPr>
              <w:pStyle w:val="Compact"/>
              <w:jc w:val="left"/>
            </w:pPr>
            <w:r>
              <w:t xml:space="preserve">Direct partner mosque/school support</w:t>
            </w:r>
          </w:p>
        </w:tc>
        <w:tc>
          <w:tcPr/>
          <w:p>
            <w:pPr>
              <w:pStyle w:val="Compact"/>
              <w:jc w:val="left"/>
            </w:pPr>
            <w:r>
              <w:t xml:space="preserve">Waqf sub-line: Islamic Schools/Mosque Support (25% of Waqf 20%)</w:t>
            </w:r>
          </w:p>
        </w:tc>
      </w:tr>
      <w:tr>
        <w:trPr>
          <w:cantSplit/>
        </w:trPr>
        <w:tc>
          <w:tcPr/>
          <w:p>
            <w:pPr>
              <w:pStyle w:val="Compact"/>
              <w:jc w:val="left"/>
            </w:pPr>
            <w:r>
              <w:t xml:space="preserve">Sadaqah Jāriyah donor channel administration</w:t>
            </w:r>
          </w:p>
        </w:tc>
        <w:tc>
          <w:tcPr/>
          <w:p>
            <w:pPr>
              <w:pStyle w:val="Compact"/>
              <w:jc w:val="left"/>
            </w:pPr>
            <w:r>
              <w:t xml:space="preserve">Waqf &amp; Endowment Board fiduciary oversight; &gt;$250,000/yr requires 2/3 Senate vote incl. ≥2 independent seats</w:t>
            </w:r>
          </w:p>
        </w:tc>
      </w:tr>
      <w:tr>
        <w:trPr>
          <w:cantSplit/>
        </w:trPr>
        <w:tc>
          <w:tcPr/>
          <w:p>
            <w:pPr>
              <w:pStyle w:val="Compact"/>
              <w:jc w:val="left"/>
            </w:pPr>
            <w:r>
              <w:t xml:space="preserve">Gambia legal/local MOU support</w:t>
            </w:r>
          </w:p>
        </w:tc>
        <w:tc>
          <w:tcPr/>
          <w:p>
            <w:pPr>
              <w:pStyle w:val="Compact"/>
              <w:jc w:val="left"/>
            </w:pPr>
            <w:r>
              <w:t xml:space="preserve">Gambia Stage 3 ceiling ($5,000 of $50,000)</w:t>
            </w:r>
          </w:p>
        </w:tc>
      </w:tr>
    </w:tbl>
    <w:p>
      <w:pPr>
        <w:pStyle w:val="BodyText"/>
        <w:shd w:val="clear" w:color="auto" w:fill="F7F3E8"/>
        <w:pBdr>
          <w:left w:val="single" w:sz="24" w:space="10" w:color="B08625"/>
        </w:pBdr>
        <w:ind w:left="300"/>
        <w:spacing/>
      </w:pPr>
      <w:r>
        <w:rPr>
          <w:bCs/>
          <w:b/>
          <w:color w:val="B08625"/>
          <w:sz w:val="20"/>
          <w:caps/>
          <w:spacing w:val="14"/>
        </w:rPr>
        <w:t xml:space="preserve">KPIs</w:t>
      </w:r>
      <w:r>
        <w:t xml:space="preserve">: active MOU count; scholarship nominations sourced via partner pipeline; articulation agreements signed; diaspora donor retention rate; Sadaqah Jāriyah channel growth.</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Partner MOU non-performance</w:t>
            </w:r>
          </w:p>
        </w:tc>
        <w:tc>
          <w:tcPr/>
          <w:p>
            <w:pPr>
              <w:pStyle w:val="Compact"/>
              <w:jc w:val="left"/>
            </w:pPr>
            <w:r>
              <w:t xml:space="preserve">Annual renewal review, sunset clauses</w:t>
            </w:r>
          </w:p>
        </w:tc>
      </w:tr>
      <w:tr>
        <w:trPr>
          <w:cantSplit/>
        </w:trPr>
        <w:tc>
          <w:tcPr/>
          <w:p>
            <w:pPr>
              <w:pStyle w:val="Compact"/>
              <w:jc w:val="left"/>
            </w:pPr>
            <w:r>
              <w:t xml:space="preserve">Nigeria NUC / Gulf recognition delay</w:t>
            </w:r>
          </w:p>
        </w:tc>
        <w:tc>
          <w:tcPr/>
          <w:p>
            <w:pPr>
              <w:pStyle w:val="Compact"/>
              <w:jc w:val="left"/>
            </w:pPr>
            <w:r>
              <w:t xml:space="preserve">Already framed in risk register as funding target, not guarantee — partnerships continue regardless of sovereign timeline</w:t>
            </w:r>
          </w:p>
        </w:tc>
      </w:tr>
      <w:tr>
        <w:trPr>
          <w:cantSplit/>
        </w:trPr>
        <w:tc>
          <w:tcPr/>
          <w:p>
            <w:pPr>
              <w:pStyle w:val="Compact"/>
              <w:jc w:val="left"/>
            </w:pPr>
            <w:r>
              <w:t xml:space="preserve">Reputational exposure from unvetted religious partners</w:t>
            </w:r>
          </w:p>
        </w:tc>
        <w:tc>
          <w:tcPr/>
          <w:p>
            <w:pPr>
              <w:pStyle w:val="Compact"/>
              <w:jc w:val="left"/>
            </w:pPr>
            <w:r>
              <w:t xml:space="preserve">Sharī’ah Advisory Board vets religious legitimacy of partner institutions</w:t>
            </w:r>
          </w:p>
        </w:tc>
      </w:tr>
    </w:tbl>
    <w:p>
      <w:pPr>
        <w:pStyle w:val="BodyText"/>
      </w:pPr>
      <w:r>
        <w:rPr>
          <w:bCs/>
          <w:b/>
          <w:color w:val="B08625"/>
          <w:sz w:val="20"/>
          <w:caps/>
          <w:spacing w:val="14"/>
        </w:rPr>
        <w:t xml:space="preserve">Timeline</w:t>
      </w:r>
      <w:r>
        <w:t xml:space="preserve">: Yr1–2 local MOUs → Yr2–4 Gambia network → Yr5–9 academic peer agreements → Yr10 Nigeria engagement intensifies → Yr13 Gulf recognition target.</w:t>
      </w:r>
    </w:p>
    <w:p>
      <w:pPr>
        <w:pStyle w:val="BodyText"/>
      </w:pPr>
      <w:r>
        <w:rPr>
          <w:bCs/>
          <w:b/>
          <w:color w:val="B08625"/>
          <w:sz w:val="20"/>
          <w:caps/>
          <w:spacing w:val="14"/>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pPr>
      <w:r>
        <w:rPr>
          <w:bCs/>
          <w:b/>
          <w:color w:val="B08625"/>
          <w:sz w:val="20"/>
          <w:caps/>
          <w:spacing w:val="14"/>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3"/>
    <w:bookmarkStart w:id="77" w:name="section-19-accreditation-roadmap"/>
    <w:p>
      <w:pPr>
        <w:pStyle w:val="Heading2"/>
      </w:pPr>
      <w:r>
        <w:t xml:space="preserve">Section 19: Accreditation Roadmap</w:t>
      </w:r>
    </w:p>
    <w:p>
      <w:pPr>
        <w:pStyle w:val="CaptionedFigure"/>
      </w:pPr>
      <w:r>
        <w:drawing>
          <wp:inline>
            <wp:extent cx="5292852" cy="2536328"/>
            <wp:effectExtent b="0" l="0" r="0" t="0"/>
            <wp:docPr descr="Figure 6. Accreditation &amp; International Expansion Roadmap, 2028–2047" title="" id="75" name="Picture"/>
            <a:graphic>
              <a:graphicData uri="http://schemas.openxmlformats.org/drawingml/2006/picture">
                <pic:pic>
                  <pic:nvPicPr>
                    <pic:cNvPr descr="assets/figures/fig10_accreditation_roadmap.png" id="76" name="Picture"/>
                    <pic:cNvPicPr>
                      <a:picLocks noChangeArrowheads="1" noChangeAspect="1"/>
                    </pic:cNvPicPr>
                  </pic:nvPicPr>
                  <pic:blipFill>
                    <a:blip r:embed="rId74"/>
                    <a:stretch>
                      <a:fillRect/>
                    </a:stretch>
                  </pic:blipFill>
                  <pic:spPr bwMode="auto">
                    <a:xfrm>
                      <a:off x="0" y="0"/>
                      <a:ext cx="5292852" cy="253632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pPr>
      <w:r>
        <w:rPr>
          <w:iCs/>
          <w:i/>
        </w:rPr>
        <w:t xml:space="preserve">Milestone dates are targets adopted in AMIU-MP-001 and Sections 19/30/32 of this Blueprint.</w:t>
      </w:r>
    </w:p>
    <w:p>
      <w:pPr>
        <w:pStyle w:val="BodyText"/>
      </w:pPr>
      <w:r>
        <w:rPr>
          <w:bCs/>
          <w:b/>
          <w:color w:val="B08625"/>
          <w:sz w:val="20"/>
          <w:caps/>
          <w:spacing w:val="14"/>
        </w:rPr>
        <w:t xml:space="preserve">Rationale</w:t>
      </w:r>
    </w:p>
    <w:p>
      <w:pPr>
        <w:pStyle w:val="BodyText"/>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pPr>
      <w:r>
        <w:rPr>
          <w:bCs/>
          <w:b/>
          <w:color w:val="B08625"/>
          <w:sz w:val="20"/>
          <w:caps/>
          <w:spacing w:val="14"/>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pPr>
      <w:r>
        <w:rPr>
          <w:bCs/>
          <w:b/>
          <w:color w:val="B08625"/>
          <w:sz w:val="20"/>
          <w:caps/>
          <w:spacing w:val="14"/>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Cost</w:t>
            </w:r>
          </w:p>
        </w:tc>
        <w:tc>
          <w:tcPr/>
          <w:p>
            <w:pPr>
              <w:pStyle w:val="Compact"/>
              <w:jc w:val="left"/>
            </w:pPr>
            <w:r>
              <w:t xml:space="preserve">Funding Source</w:t>
            </w:r>
          </w:p>
        </w:tc>
        <w:tc>
          <w:tcPr/>
          <w:p>
            <w:pPr>
              <w:pStyle w:val="Compact"/>
              <w:jc w:val="left"/>
            </w:pPr>
            <w:r>
              <w:t xml:space="preserve">Independence</w:t>
            </w:r>
          </w:p>
        </w:tc>
      </w:tr>
      <w:tr>
        <w:trPr>
          <w:cantSplit/>
        </w:trPr>
        <w:tc>
          <w:tcPr/>
          <w:p>
            <w:pPr>
              <w:pStyle w:val="Compact"/>
              <w:jc w:val="left"/>
            </w:pPr>
            <w:r>
              <w:t xml:space="preserve">Yr2 (2029)</w:t>
            </w:r>
          </w:p>
        </w:tc>
        <w:tc>
          <w:tcPr/>
          <w:p>
            <w:pPr>
              <w:pStyle w:val="Compact"/>
              <w:jc w:val="left"/>
            </w:pPr>
            <w:r>
              <w:t xml:space="preserve">CPD Accreditation target</w:t>
            </w:r>
          </w:p>
        </w:tc>
        <w:tc>
          <w:tcPr/>
          <w:p>
            <w:pPr>
              <w:pStyle w:val="Compact"/>
              <w:jc w:val="left"/>
            </w:pPr>
            <w:r>
              <w:t xml:space="preserve">$4,000 initial + $1,200/yr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Yr2–4 (2029–31)</w:t>
            </w:r>
          </w:p>
        </w:tc>
        <w:tc>
          <w:tcPr/>
          <w:p>
            <w:pPr>
              <w:pStyle w:val="Compact"/>
              <w:jc w:val="left"/>
            </w:pPr>
            <w:r>
              <w:t xml:space="preserve">Gambia NAQAA accreditation (Stage 3)</w:t>
            </w:r>
          </w:p>
        </w:tc>
        <w:tc>
          <w:tcPr/>
          <w:p>
            <w:pPr>
              <w:pStyle w:val="Compact"/>
              <w:jc w:val="left"/>
            </w:pPr>
            <w:r>
              <w:t xml:space="preserve">$50,000 ceiling ($10k trust/endowment capitalization, $30k application/review/site-visits, $5k local legal counsel)</w:t>
            </w:r>
          </w:p>
        </w:tc>
        <w:tc>
          <w:tcPr/>
          <w:p>
            <w:pPr>
              <w:pStyle w:val="Compact"/>
              <w:jc w:val="left"/>
            </w:pPr>
            <w:r>
              <w:t xml:space="preserve">Board-approved Gambia ceiling</w:t>
            </w:r>
          </w:p>
        </w:tc>
        <w:tc>
          <w:tcPr/>
          <w:p>
            <w:pPr>
              <w:pStyle w:val="Compact"/>
              <w:jc w:val="left"/>
            </w:pPr>
            <w:r>
              <w:t xml:space="preserve">Independent of Texas parent</w:t>
            </w:r>
          </w:p>
        </w:tc>
      </w:tr>
      <w:tr>
        <w:trPr>
          <w:cantSplit/>
        </w:trPr>
        <w:tc>
          <w:tcPr/>
          <w:p>
            <w:pPr>
              <w:pStyle w:val="Compact"/>
              <w:jc w:val="left"/>
            </w:pPr>
            <w:r>
              <w:t xml:space="preserve">Yr3 (2030)</w:t>
            </w:r>
          </w:p>
        </w:tc>
        <w:tc>
          <w:tcPr/>
          <w:p>
            <w:pPr>
              <w:pStyle w:val="Compact"/>
              <w:jc w:val="left"/>
            </w:pPr>
            <w:r>
              <w:t xml:space="preserve">ISO 21001 (EOMS) target</w:t>
            </w:r>
          </w:p>
        </w:tc>
        <w:tc>
          <w:tcPr/>
          <w:p>
            <w:pPr>
              <w:pStyle w:val="Compact"/>
              <w:jc w:val="left"/>
            </w:pPr>
            <w:r>
              <w:t xml:space="preserve">$12,000 initial + $3,500/yr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Yr10 (2037)</w:t>
            </w:r>
          </w:p>
        </w:tc>
        <w:tc>
          <w:tcPr/>
          <w:p>
            <w:pPr>
              <w:pStyle w:val="Compact"/>
              <w:jc w:val="left"/>
            </w:pPr>
            <w:r>
              <w:t xml:space="preserve">Nigeria Mega-University: formal charter presentation to National Assembly/NUC</w:t>
            </w:r>
          </w:p>
        </w:tc>
        <w:tc>
          <w:tcPr/>
          <w:p>
            <w:pPr>
              <w:pStyle w:val="Compact"/>
              <w:jc w:val="left"/>
            </w:pPr>
            <w:r>
              <w:t xml:space="preserve">Variable, sovereign-controlled</w:t>
            </w:r>
          </w:p>
        </w:tc>
        <w:tc>
          <w:tcPr/>
          <w:p>
            <w:pPr>
              <w:pStyle w:val="Compact"/>
              <w:jc w:val="left"/>
            </w:pPr>
            <w:r>
              <w:t xml:space="preserve">Waqf Nigeria Mega-University Reserve (20% of Waqf 20%)</w:t>
            </w:r>
          </w:p>
        </w:tc>
        <w:tc>
          <w:tcPr/>
          <w:p>
            <w:pPr>
              <w:pStyle w:val="Compact"/>
              <w:jc w:val="left"/>
            </w:pPr>
            <w:r>
              <w:t xml:space="preserve">Independent of Texas parent; sovereign process outside AMIU control</w:t>
            </w:r>
          </w:p>
        </w:tc>
      </w:tr>
      <w:tr>
        <w:trPr>
          <w:cantSplit/>
        </w:trPr>
        <w:tc>
          <w:tcPr/>
          <w:p>
            <w:pPr>
              <w:pStyle w:val="Compact"/>
              <w:jc w:val="left"/>
            </w:pPr>
            <w:r>
              <w:t xml:space="preserve">Yr11–12 (2038–39)</w:t>
            </w:r>
          </w:p>
        </w:tc>
        <w:tc>
          <w:tcPr/>
          <w:p>
            <w:pPr>
              <w:pStyle w:val="Compact"/>
              <w:jc w:val="left"/>
            </w:pPr>
            <w:r>
              <w:t xml:space="preserve">Texas/US secular (regional/national) accreditation process begins</w:t>
            </w:r>
          </w:p>
        </w:tc>
        <w:tc>
          <w:tcPr/>
          <w:p>
            <w:pPr>
              <w:pStyle w:val="Compact"/>
              <w:jc w:val="left"/>
            </w:pPr>
            <w:r>
              <w:t xml:space="preserve">TBD, funded from retained reserve</w:t>
            </w:r>
          </w:p>
        </w:tc>
        <w:tc>
          <w:tcPr/>
          <w:p>
            <w:pPr>
              <w:pStyle w:val="Compact"/>
              <w:jc w:val="left"/>
            </w:pPr>
            <w:r>
              <w:t xml:space="preserve">OpEx / Liquidity Reserve draw, Board-approved</w:t>
            </w:r>
          </w:p>
        </w:tc>
        <w:tc>
          <w:tcPr/>
          <w:p>
            <w:pPr>
              <w:pStyle w:val="Compact"/>
              <w:jc w:val="left"/>
            </w:pPr>
            <w:r>
              <w:t xml:space="preserve">Not a survival dependency</w:t>
            </w:r>
          </w:p>
        </w:tc>
      </w:tr>
      <w:tr>
        <w:trPr>
          <w:cantSplit/>
        </w:trPr>
        <w:tc>
          <w:tcPr/>
          <w:p>
            <w:pPr>
              <w:pStyle w:val="Compact"/>
              <w:jc w:val="left"/>
            </w:pPr>
            <w:r>
              <w:t xml:space="preserve">Yr13 (2040)</w:t>
            </w:r>
          </w:p>
        </w:tc>
        <w:tc>
          <w:tcPr/>
          <w:p>
            <w:pPr>
              <w:pStyle w:val="Compact"/>
              <w:jc w:val="left"/>
            </w:pPr>
            <w:r>
              <w:t xml:space="preserve">First Gulf ministry recognition agreements targeted</w:t>
            </w:r>
          </w:p>
        </w:tc>
        <w:tc>
          <w:tcPr/>
          <w:p>
            <w:pPr>
              <w:pStyle w:val="Compact"/>
              <w:jc w:val="left"/>
            </w:pPr>
            <w:r>
              <w:t xml:space="preserve">Administrative, minimal direct cost</w:t>
            </w:r>
          </w:p>
        </w:tc>
        <w:tc>
          <w:tcPr/>
          <w:p>
            <w:pPr>
              <w:pStyle w:val="Compact"/>
              <w:jc w:val="left"/>
            </w:pPr>
            <w:r>
              <w:t xml:space="preserve">OpEx / Marketing (outreach)</w:t>
            </w:r>
          </w:p>
        </w:tc>
        <w:tc>
          <w:tcPr/>
          <w:p>
            <w:pPr>
              <w:pStyle w:val="Compact"/>
              <w:jc w:val="left"/>
            </w:pPr>
            <w:r>
              <w:t xml:space="preserve">Contingent on prior track record</w:t>
            </w:r>
          </w:p>
        </w:tc>
      </w:tr>
    </w:tbl>
    <w:p>
      <w:pPr>
        <w:pStyle w:val="BodyText"/>
      </w:pPr>
      <w:r>
        <w:rPr>
          <w:bCs/>
          <w:b/>
          <w:color w:val="B08625"/>
          <w:sz w:val="20"/>
          <w:caps/>
          <w:spacing w:val="14"/>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pPr>
      <w:r>
        <w:rPr>
          <w:bCs/>
          <w:b/>
          <w:color w:val="B08625"/>
          <w:sz w:val="20"/>
          <w:caps/>
          <w:spacing w:val="14"/>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pPr>
      <w:r>
        <w:rPr>
          <w:bCs/>
          <w:b/>
          <w:color w:val="B08625"/>
          <w:sz w:val="20"/>
          <w:caps/>
          <w:spacing w:val="14"/>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pPr>
      <w:r>
        <w:rPr>
          <w:bCs/>
          <w:b/>
          <w:color w:val="B08625"/>
          <w:sz w:val="20"/>
          <w:caps/>
          <w:spacing w:val="14"/>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pPr>
      <w:r>
        <w:rPr>
          <w:bCs/>
          <w:b/>
          <w:color w:val="B08625"/>
          <w:sz w:val="20"/>
          <w:caps/>
          <w:spacing w:val="14"/>
        </w:rPr>
        <w:t xml:space="preserve">Timeline (condensed)</w:t>
      </w:r>
      <w:r>
        <w:t xml:space="preserve">: 2029 CPD → 2029–31 Gambia NAQAA → 2030 ISO 21001 → 2037 Nigeria NUC filing → 2038–39 US secular accreditation begins → 2040 Gulf recognition target.</w:t>
      </w:r>
    </w:p>
    <w:p>
      <w:pPr>
        <w:pStyle w:val="BodyText"/>
      </w:pPr>
      <w:r>
        <w:rPr>
          <w:bCs/>
          <w:b/>
          <w:color w:val="B08625"/>
          <w:sz w:val="20"/>
          <w:caps/>
          <w:spacing w:val="14"/>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pPr>
      <w:r>
        <w:rPr>
          <w:bCs/>
          <w:b/>
          <w:color w:val="B08625"/>
          <w:sz w:val="20"/>
          <w:caps/>
          <w:spacing w:val="14"/>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7"/>
    <w:bookmarkStart w:id="78" w:name="section-20-iso-21001-roadmap"/>
    <w:p>
      <w:pPr>
        <w:pStyle w:val="Heading2"/>
      </w:pPr>
      <w:r>
        <w:t xml:space="preserve">Section 20: ISO 21001 Roadmap</w:t>
      </w:r>
    </w:p>
    <w:p>
      <w:pPr>
        <w:pStyle w:val="FirstParagraph"/>
      </w:pPr>
      <w:r>
        <w:rPr>
          <w:bCs/>
          <w:b/>
          <w:color w:val="B08625"/>
          <w:sz w:val="20"/>
          <w:caps/>
          <w:spacing w:val="14"/>
        </w:rPr>
        <w:t xml:space="preserve">Rationale</w:t>
      </w:r>
    </w:p>
    <w:p>
      <w:pPr>
        <w:pStyle w:val="BodyText"/>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pPr>
      <w:r>
        <w:rPr>
          <w:bCs/>
          <w:b/>
          <w:color w:val="B08625"/>
          <w:sz w:val="20"/>
          <w:caps/>
          <w:spacing w:val="14"/>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Timing</w:t>
            </w:r>
          </w:p>
        </w:tc>
        <w:tc>
          <w:tcPr/>
          <w:p>
            <w:pPr>
              <w:pStyle w:val="Compact"/>
              <w:jc w:val="left"/>
            </w:pPr>
            <w:r>
              <w:t xml:space="preserve">Activity</w:t>
            </w:r>
          </w:p>
        </w:tc>
      </w:tr>
      <w:tr>
        <w:trPr>
          <w:cantSplit/>
        </w:trPr>
        <w:tc>
          <w:tcPr/>
          <w:p>
            <w:pPr>
              <w:pStyle w:val="Compact"/>
              <w:jc w:val="left"/>
            </w:pPr>
            <w:r>
              <w:t xml:space="preserve">Awareness &amp; Gap Analysis</w:t>
            </w:r>
          </w:p>
        </w:tc>
        <w:tc>
          <w:tcPr/>
          <w:p>
            <w:pPr>
              <w:pStyle w:val="Compact"/>
              <w:jc w:val="left"/>
            </w:pPr>
            <w:r>
              <w:t xml:space="preserve">Yr1–2 (2028–29)</w:t>
            </w:r>
          </w:p>
        </w:tc>
        <w:tc>
          <w:tcPr/>
          <w:p>
            <w:pPr>
              <w:pStyle w:val="Compact"/>
              <w:jc w:val="left"/>
            </w:pPr>
            <w:r>
              <w:t xml:space="preserve">Board/Senate-sponsored internal working group conducts desktop gap analysis against ISO 21001:2018 clauses; inventories existing governance/policy documents.</w:t>
            </w:r>
          </w:p>
        </w:tc>
      </w:tr>
      <w:tr>
        <w:trPr>
          <w:cantSplit/>
        </w:trPr>
        <w:tc>
          <w:tcPr/>
          <w:p>
            <w:pPr>
              <w:pStyle w:val="Compact"/>
              <w:jc w:val="left"/>
            </w:pPr>
            <w:r>
              <w:t xml:space="preserve">Documentation Build</w:t>
            </w:r>
          </w:p>
        </w:tc>
        <w:tc>
          <w:tcPr/>
          <w:p>
            <w:pPr>
              <w:pStyle w:val="Compact"/>
              <w:jc w:val="left"/>
            </w:pPr>
            <w:r>
              <w:t xml:space="preserve">Yr3 H1 (early 2030)</w:t>
            </w:r>
          </w:p>
        </w:tc>
        <w:tc>
          <w:tcPr/>
          <w:p>
            <w:pPr>
              <w:pStyle w:val="Compact"/>
              <w:jc w:val="left"/>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pPr>
            <w:r>
              <w:t xml:space="preserve">Internal Audit</w:t>
            </w:r>
          </w:p>
        </w:tc>
        <w:tc>
          <w:tcPr/>
          <w:p>
            <w:pPr>
              <w:pStyle w:val="Compact"/>
              <w:jc w:val="left"/>
            </w:pPr>
            <w:r>
              <w:t xml:space="preserve">Yr3 H1–H2 (2030)</w:t>
            </w:r>
          </w:p>
        </w:tc>
        <w:tc>
          <w:tcPr/>
          <w:p>
            <w:pPr>
              <w:pStyle w:val="Compact"/>
              <w:jc w:val="left"/>
            </w:pPr>
            <w:r>
              <w:t xml:space="preserve">Senate-appointed internal auditor (trained faculty/staff, low-cost external contractor if needed) conducts internal audit; Board management review of findings.</w:t>
            </w:r>
          </w:p>
        </w:tc>
      </w:tr>
      <w:tr>
        <w:trPr>
          <w:cantSplit/>
        </w:trPr>
        <w:tc>
          <w:tcPr/>
          <w:p>
            <w:pPr>
              <w:pStyle w:val="Compact"/>
              <w:jc w:val="left"/>
            </w:pPr>
            <w:r>
              <w:t xml:space="preserve">External Certification</w:t>
            </w:r>
          </w:p>
        </w:tc>
        <w:tc>
          <w:tcPr/>
          <w:p>
            <w:pPr>
              <w:pStyle w:val="Compact"/>
              <w:jc w:val="left"/>
            </w:pPr>
            <w:r>
              <w:t xml:space="preserve">Yr3 H2 (2030, target completion)</w:t>
            </w:r>
          </w:p>
        </w:tc>
        <w:tc>
          <w:tcPr/>
          <w:p>
            <w:pPr>
              <w:pStyle w:val="Compact"/>
              <w:jc w:val="left"/>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pPr>
            <w:r>
              <w:t xml:space="preserve">Surveillance Cycle</w:t>
            </w:r>
          </w:p>
        </w:tc>
        <w:tc>
          <w:tcPr/>
          <w:p>
            <w:pPr>
              <w:pStyle w:val="Compact"/>
              <w:jc w:val="left"/>
            </w:pPr>
            <w:r>
              <w:t xml:space="preserve">Yr4–20 (2031–47)</w:t>
            </w:r>
          </w:p>
        </w:tc>
        <w:tc>
          <w:tcPr/>
          <w:p>
            <w:pPr>
              <w:pStyle w:val="Compact"/>
              <w:jc w:val="left"/>
            </w:pPr>
            <w:r>
              <w:t xml:space="preserve">Annual surveillance audits (~$3,500/yr); full recertification audit every 3 years within the same annual fee envelope.</w:t>
            </w:r>
          </w:p>
        </w:tc>
      </w:tr>
    </w:tbl>
    <w:p>
      <w:pPr>
        <w:pStyle w:val="BodyText"/>
      </w:pPr>
      <w:r>
        <w:rPr>
          <w:bCs/>
          <w:b/>
          <w:color w:val="B08625"/>
          <w:sz w:val="20"/>
          <w:caps/>
          <w:spacing w:val="14"/>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Item</w:t>
            </w:r>
          </w:p>
        </w:tc>
        <w:tc>
          <w:tcPr/>
          <w:p>
            <w:pPr>
              <w:pStyle w:val="Compact"/>
              <w:jc w:val="left"/>
            </w:pPr>
            <w:r>
              <w:t xml:space="preserve">Year</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Initial certification (Stage 1 + Stage 2 audits, cert body fees)</w:t>
            </w:r>
          </w:p>
        </w:tc>
        <w:tc>
          <w:tcPr/>
          <w:p>
            <w:pPr>
              <w:pStyle w:val="Compact"/>
              <w:jc w:val="left"/>
            </w:pPr>
            <w:r>
              <w:t xml:space="preserve">Yr3 (2030)</w:t>
            </w:r>
          </w:p>
        </w:tc>
        <w:tc>
          <w:tcPr/>
          <w:p>
            <w:pPr>
              <w:pStyle w:val="Compact"/>
              <w:jc w:val="left"/>
            </w:pPr>
            <w:r>
              <w:t xml:space="preserve">$12,000 one-time</w:t>
            </w:r>
          </w:p>
        </w:tc>
        <w:tc>
          <w:tcPr/>
          <w:p>
            <w:pPr>
              <w:pStyle w:val="Compact"/>
              <w:jc w:val="left"/>
            </w:pPr>
            <w:r>
              <w:t xml:space="preserve">OpEx (5%); Board-approved reserve draw only if a single year’s OpEx is insufficient</w:t>
            </w:r>
          </w:p>
        </w:tc>
      </w:tr>
      <w:tr>
        <w:trPr>
          <w:cantSplit/>
        </w:trPr>
        <w:tc>
          <w:tcPr/>
          <w:p>
            <w:pPr>
              <w:pStyle w:val="Compact"/>
              <w:jc w:val="left"/>
            </w:pPr>
            <w:r>
              <w:t xml:space="preserve">Annual surveillance audit</w:t>
            </w:r>
          </w:p>
        </w:tc>
        <w:tc>
          <w:tcPr/>
          <w:p>
            <w:pPr>
              <w:pStyle w:val="Compact"/>
              <w:jc w:val="left"/>
            </w:pPr>
            <w:r>
              <w:t xml:space="preserve">Yr4+ (2031+)</w:t>
            </w:r>
          </w:p>
        </w:tc>
        <w:tc>
          <w:tcPr/>
          <w:p>
            <w:pPr>
              <w:pStyle w:val="Compact"/>
              <w:jc w:val="left"/>
            </w:pPr>
            <w:r>
              <w:t xml:space="preserve">$3,500/yr</w:t>
            </w:r>
          </w:p>
        </w:tc>
        <w:tc>
          <w:tcPr/>
          <w:p>
            <w:pPr>
              <w:pStyle w:val="Compact"/>
              <w:jc w:val="left"/>
            </w:pPr>
            <w:r>
              <w:t xml:space="preserve">OpEx (5%)</w:t>
            </w:r>
          </w:p>
        </w:tc>
      </w:tr>
      <w:tr>
        <w:trPr>
          <w:cantSplit/>
        </w:trPr>
        <w:tc>
          <w:tcPr/>
          <w:p>
            <w:pPr>
              <w:pStyle w:val="Compact"/>
              <w:jc w:val="left"/>
            </w:pPr>
            <w:r>
              <w:t xml:space="preserve">Internal audit training/contractor</w:t>
            </w:r>
          </w:p>
        </w:tc>
        <w:tc>
          <w:tcPr/>
          <w:p>
            <w:pPr>
              <w:pStyle w:val="Compact"/>
              <w:jc w:val="left"/>
            </w:pPr>
            <w:r>
              <w:t xml:space="preserve">Yr2–3</w:t>
            </w:r>
          </w:p>
        </w:tc>
        <w:tc>
          <w:tcPr/>
          <w:p>
            <w:pPr>
              <w:pStyle w:val="Compact"/>
              <w:jc w:val="left"/>
            </w:pPr>
            <w:r>
              <w:t xml:space="preserve">Modest, within OpEx</w:t>
            </w:r>
          </w:p>
        </w:tc>
        <w:tc>
          <w:tcPr/>
          <w:p>
            <w:pPr>
              <w:pStyle w:val="Compact"/>
              <w:jc w:val="left"/>
            </w:pPr>
            <w:r>
              <w:t xml:space="preserve">OpEx (5%)</w:t>
            </w:r>
          </w:p>
        </w:tc>
      </w:tr>
      <w:tr>
        <w:trPr>
          <w:cantSplit/>
        </w:trPr>
        <w:tc>
          <w:tcPr/>
          <w:p>
            <w:pPr>
              <w:pStyle w:val="Compact"/>
              <w:jc w:val="left"/>
            </w:pPr>
            <w:r>
              <w:t xml:space="preserve">Documentation tooling</w:t>
            </w:r>
          </w:p>
        </w:tc>
        <w:tc>
          <w:tcPr/>
          <w:p>
            <w:pPr>
              <w:pStyle w:val="Compact"/>
              <w:jc w:val="left"/>
            </w:pPr>
            <w:r>
              <w:t xml:space="preserve">Ongoing</w:t>
            </w:r>
          </w:p>
        </w:tc>
        <w:tc>
          <w:tcPr/>
          <w:p>
            <w:pPr>
              <w:pStyle w:val="Compact"/>
              <w:jc w:val="left"/>
            </w:pPr>
            <w:r>
              <w:t xml:space="preserve">Near-zero (shared drive/existing LMS)</w:t>
            </w:r>
          </w:p>
        </w:tc>
        <w:tc>
          <w:tcPr/>
          <w:p>
            <w:pPr>
              <w:pStyle w:val="Compact"/>
              <w:jc w:val="left"/>
            </w:pPr>
            <w:r>
              <w:t xml:space="preserve">LMS &amp; Tech (5%), incidental</w:t>
            </w:r>
          </w:p>
        </w:tc>
      </w:tr>
    </w:tbl>
    <w:p>
      <w:pPr>
        <w:pStyle w:val="BodyText"/>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pPr>
      <w:r>
        <w:rPr>
          <w:bCs/>
          <w:b/>
          <w:color w:val="B08625"/>
          <w:sz w:val="20"/>
          <w:caps/>
          <w:spacing w:val="14"/>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Cost overrun beyond $12,000/$3,500</w:t>
            </w:r>
          </w:p>
        </w:tc>
        <w:tc>
          <w:tcPr/>
          <w:p>
            <w:pPr>
              <w:pStyle w:val="Compact"/>
              <w:jc w:val="left"/>
            </w:pPr>
            <w:r>
              <w:t xml:space="preserve">Hard-capped within OpEx; Board approval gate before any reserve draw</w:t>
            </w:r>
          </w:p>
        </w:tc>
      </w:tr>
      <w:tr>
        <w:trPr>
          <w:cantSplit/>
        </w:trPr>
        <w:tc>
          <w:tcPr/>
          <w:p>
            <w:pPr>
              <w:pStyle w:val="Compact"/>
              <w:jc w:val="left"/>
            </w:pPr>
            <w:r>
              <w:t xml:space="preserve">Documentation burden diverting Founder/Senate time</w:t>
            </w:r>
          </w:p>
        </w:tc>
        <w:tc>
          <w:tcPr/>
          <w:p>
            <w:pPr>
              <w:pStyle w:val="Compact"/>
              <w:jc w:val="left"/>
            </w:pPr>
            <w:r>
              <w:t xml:space="preserve">Gap analysis begins Yr1, spreading workload over two years before the Yr3 deadline</w:t>
            </w:r>
          </w:p>
        </w:tc>
      </w:tr>
      <w:tr>
        <w:trPr>
          <w:cantSplit/>
        </w:trPr>
        <w:tc>
          <w:tcPr/>
          <w:p>
            <w:pPr>
              <w:pStyle w:val="Compact"/>
              <w:jc w:val="left"/>
            </w:pPr>
            <w:r>
              <w:t xml:space="preserve">Failed Stage 2 audit</w:t>
            </w:r>
          </w:p>
        </w:tc>
        <w:tc>
          <w:tcPr/>
          <w:p>
            <w:pPr>
              <w:pStyle w:val="Compact"/>
              <w:jc w:val="left"/>
            </w:pPr>
            <w:r>
              <w:t xml:space="preserve">Buffer built into Yr3 H2 schedule; internal audit precedes external audit by a full quarter</w:t>
            </w:r>
          </w:p>
        </w:tc>
      </w:tr>
      <w:tr>
        <w:trPr>
          <w:cantSplit/>
        </w:trPr>
        <w:tc>
          <w:tcPr/>
          <w:p>
            <w:pPr>
              <w:pStyle w:val="Compact"/>
              <w:jc w:val="left"/>
            </w:pPr>
            <w:r>
              <w:t xml:space="preserve">Surveillance lapse causing certificate suspension</w:t>
            </w:r>
          </w:p>
        </w:tc>
        <w:tc>
          <w:tcPr/>
          <w:p>
            <w:pPr>
              <w:pStyle w:val="Compact"/>
              <w:jc w:val="left"/>
            </w:pPr>
            <w:r>
              <w:t xml:space="preserve">Admin sub-line owns a standing annual compliance calendar</w:t>
            </w:r>
          </w:p>
        </w:tc>
      </w:tr>
    </w:tbl>
    <w:p>
      <w:pPr>
        <w:pStyle w:val="BodyText"/>
      </w:pPr>
      <w:r>
        <w:rPr>
          <w:bCs/>
          <w:b/>
          <w:color w:val="B08625"/>
          <w:sz w:val="20"/>
          <w:caps/>
          <w:spacing w:val="14"/>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pPr>
      <w:r>
        <w:rPr>
          <w:bCs/>
          <w:b/>
          <w:color w:val="B08625"/>
          <w:sz w:val="20"/>
          <w:caps/>
          <w:spacing w:val="14"/>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pPr>
      <w:r>
        <w:rPr>
          <w:bCs/>
          <w:b/>
          <w:color w:val="B08625"/>
          <w:sz w:val="20"/>
          <w:caps/>
          <w:spacing w:val="14"/>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r>
        <w:pict>
          <v:rect style="width:0;height:1.5pt" o:hralign="center" o:hrstd="t" o:hr="t"/>
        </w:pict>
      </w:r>
    </w:p>
    <w:p>
      <w:r>
        <w:br w:type="page"/>
      </w:r>
    </w:p>
    <w:p>
      <w:pPr>
        <w:spacing w:before="3800" w:after="0"/>
        <w:pBdr>
          <w:top w:val="single" w:sz="6" w:space="24" w:color="B08625"/>
        </w:pBdr>
      </w:pPr>
    </w:p>
    <w:p>
      <w:pPr>
        <w:jc w:val="center"/>
        <w:spacing w:before="0" w:after="360"/>
        <w:ind w:left="1000" w:right="1000"/>
      </w:pPr>
      <w:r>
        <w:rPr>
          <w:rFonts w:ascii="Cormorant Garamond" w:hAnsi="Cormorant Garamond"/>
          <w:i/>
          <w:color w:val="122A4E"/>
          <w:sz w:val="30"/>
        </w:rPr>
        <w:t>A plan for the Tuesday after the promise is made.</w:t>
      </w:r>
    </w:p>
    <w:p>
      <w:pPr>
        <w:jc w:val="center"/>
        <w:spacing w:before="0" w:after="0"/>
      </w:pPr>
      <w:r>
        <w:rPr>
          <w:rFonts w:ascii="Liberation Sans" w:hAnsi="Liberation Sans"/>
          <w:b/>
          <w:sz w:val="20"/>
          <w:color w:val="B08625"/>
          <w:spacing w:val="14"/>
          <w:caps/>
        </w:rPr>
        <w:t>THE SUPREME STRATEGIC PLANNING COUNCIL · FOREWORD</w:t>
      </w:r>
    </w:p>
    <w:p>
      <w:pPr>
        <w:spacing w:before="360" w:after="0"/>
        <w:pBdr>
          <w:bottom w:val="single" w:sz="6" w:space="24" w:color="B08625"/>
        </w:pBdr>
      </w:pP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FIVE OF EIGHT</w:t>
            </w:r>
          </w:p>
          <w:p>
            <w:pPr>
              <w:spacing w:before="0" w:after="60"/>
            </w:pPr>
            <w:r>
              <w:rPr>
                <w:rFonts w:ascii="Cinzel" w:hAnsi="Cinzel"/>
                <w:color w:val="B08625"/>
                <w:b/>
                <w:sz w:val="108"/>
              </w:rPr>
              <w:t>V</w:t>
            </w:r>
          </w:p>
          <w:p>
            <w:pPr>
              <w:spacing w:before="120" w:after="80"/>
            </w:pPr>
            <w:r>
              <w:rPr>
                <w:rFonts w:ascii="Cormorant Garamond" w:hAnsi="Cormorant Garamond"/>
                <w:b/>
                <w:color w:val="B08625"/>
                <w:sz w:val="20"/>
                <w:caps/>
                <w:spacing w:val="14"/>
              </w:rPr>
              <w:t>Digital Infrastructure, AI &amp; Waqf Development</w:t>
            </w:r>
          </w:p>
          <w:p>
            <w:pPr>
              <w:spacing w:before="0" w:after="260"/>
              <w:pBdr>
                <w:bottom w:val="single" w:sz="10" w:space="8" w:color="B08625"/>
              </w:pBdr>
            </w:pPr>
            <w:r>
              <w:rPr>
                <w:rFonts w:ascii="Liberation Sans" w:hAnsi="Liberation Sans"/>
                <w:color w:val="8C97AB"/>
                <w:sz w:val="17"/>
                <w:spacing w:val="14"/>
              </w:rPr>
              <w:t>SECTIONS 21–25</w:t>
            </w:r>
          </w:p>
          <w:p>
            <w:pPr>
              <w:spacing w:before="0" w:after="360"/>
              <w:ind w:right="700"/>
            </w:pPr>
            <w:r>
              <w:rPr>
                <w:rFonts w:ascii="Cormorant Garamond" w:hAnsi="Cormorant Garamond"/>
                <w:i/>
                <w:color w:val="DCE3F0"/>
                <w:sz w:val="25"/>
              </w:rPr>
              <w:t>“The Moodle-based LMS ecosystem, a Sharī’ah-gated AI strategy, and the Waqf &amp; Stakeholder Reserve’s evolution into a diversified, perpetual Islamic endowment.”</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21 </w:t>
            </w:r>
            <w:r>
              <w:rPr>
                <w:rFonts w:ascii="Liberation Sans" w:hAnsi="Liberation Sans"/>
                <w:color w:val="FFFFFF"/>
                <w:sz w:val="20"/>
              </w:rPr>
              <w:t>LMS Ecosystem</w:t>
            </w:r>
          </w:p>
          <w:p>
            <w:pPr>
              <w:spacing w:before="0" w:after="130"/>
            </w:pPr>
            <w:r>
              <w:rPr>
                <w:rFonts w:ascii="Cinzel" w:hAnsi="Cinzel"/>
                <w:b/>
                <w:color w:val="B08625"/>
                <w:sz w:val="20"/>
                <w:caps/>
                <w:spacing w:val="14"/>
              </w:rPr>
              <w:t>22 </w:t>
            </w:r>
            <w:r>
              <w:rPr>
                <w:rFonts w:ascii="Liberation Sans" w:hAnsi="Liberation Sans"/>
                <w:color w:val="FFFFFF"/>
                <w:sz w:val="20"/>
              </w:rPr>
              <w:t>AI Strategy</w:t>
            </w:r>
          </w:p>
          <w:p>
            <w:pPr>
              <w:spacing w:before="0" w:after="130"/>
            </w:pPr>
            <w:r>
              <w:rPr>
                <w:rFonts w:ascii="Cinzel" w:hAnsi="Cinzel"/>
                <w:b/>
                <w:color w:val="B08625"/>
                <w:sz w:val="20"/>
                <w:caps/>
                <w:spacing w:val="14"/>
              </w:rPr>
              <w:t>23 </w:t>
            </w:r>
            <w:r>
              <w:rPr>
                <w:rFonts w:ascii="Liberation Sans" w:hAnsi="Liberation Sans"/>
                <w:color w:val="FFFFFF"/>
                <w:sz w:val="20"/>
              </w:rPr>
              <w:t>Digital Transformation Strategy</w:t>
            </w:r>
          </w:p>
          <w:p>
            <w:pPr>
              <w:spacing w:before="0" w:after="130"/>
            </w:pPr>
            <w:r>
              <w:rPr>
                <w:rFonts w:ascii="Cinzel" w:hAnsi="Cinzel"/>
                <w:b/>
                <w:color w:val="B08625"/>
                <w:sz w:val="20"/>
                <w:caps/>
                <w:spacing w:val="14"/>
              </w:rPr>
              <w:t>24 </w:t>
            </w:r>
            <w:r>
              <w:rPr>
                <w:rFonts w:ascii="Liberation Sans" w:hAnsi="Liberation Sans"/>
                <w:color w:val="FFFFFF"/>
                <w:sz w:val="20"/>
              </w:rPr>
              <w:t>Library Strategy</w:t>
            </w:r>
          </w:p>
          <w:p>
            <w:pPr>
              <w:spacing w:before="0" w:after="130"/>
            </w:pPr>
            <w:r>
              <w:rPr>
                <w:rFonts w:ascii="Cinzel" w:hAnsi="Cinzel"/>
                <w:b/>
                <w:color w:val="B08625"/>
                <w:sz w:val="20"/>
                <w:caps/>
                <w:spacing w:val="14"/>
              </w:rPr>
              <w:t>25 </w:t>
            </w:r>
            <w:r>
              <w:rPr>
                <w:rFonts w:ascii="Liberation Sans" w:hAnsi="Liberation Sans"/>
                <w:color w:val="FFFFFF"/>
                <w:sz w:val="20"/>
              </w:rPr>
              <w:t>Waqf Development Strategy</w:t>
            </w:r>
          </w:p>
        </w:tc>
      </w:tr>
    </w:tbl>
    <w:p>
      <w:r>
        <w:br w:type="page"/>
      </w:r>
    </w:p>
    <w:p>
      <w:pPr>
        <w:pStyle w:val="SectionKicker"/>
      </w:pPr>
      <w:r>
        <w:t xml:space="preserve">PART V · SECTION 21</w:t>
      </w:r>
    </w:p>
    <w:bookmarkEnd w:id="78"/>
    <w:bookmarkStart w:id="79" w:name="section-21-lms-ecosystem"/>
    <w:p>
      <w:pPr>
        <w:pStyle w:val="Heading2"/>
      </w:pPr>
      <w:r>
        <w:t xml:space="preserve">Section 21: LMS Ecosystem</w:t>
      </w:r>
    </w:p>
    <w:p>
      <w:pPr>
        <w:pStyle w:val="FirstParagraph"/>
      </w:pPr>
      <w:r>
        <w:rPr>
          <w:bCs/>
          <w:b/>
          <w:color w:val="B08625"/>
          <w:sz w:val="20"/>
          <w:caps/>
          <w:spacing w:val="14"/>
        </w:rPr>
        <w:t xml:space="preserve">Rationale</w:t>
      </w:r>
    </w:p>
    <w:p>
      <w:pPr>
        <w:pStyle w:val="BodyText"/>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pPr>
      <w:r>
        <w:rPr>
          <w:bCs/>
          <w:b/>
          <w:color w:val="B08625"/>
          <w:sz w:val="20"/>
          <w:caps/>
          <w:spacing w:val="14"/>
        </w:rPr>
        <w:t xml:space="preserve">Global Best Practices</w:t>
      </w:r>
    </w:p>
    <w:p>
      <w:pPr>
        <w:pStyle w:val="BodyText"/>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Scope</w:t>
            </w:r>
          </w:p>
        </w:tc>
      </w:tr>
      <w:tr>
        <w:trPr>
          <w:cantSplit/>
        </w:trPr>
        <w:tc>
          <w:tcPr/>
          <w:p>
            <w:pPr>
              <w:pStyle w:val="Compact"/>
              <w:jc w:val="left"/>
            </w:pPr>
            <w:r>
              <w:t xml:space="preserve">1 — Foundation</w:t>
            </w:r>
          </w:p>
        </w:tc>
        <w:tc>
          <w:tcPr/>
          <w:p>
            <w:pPr>
              <w:pStyle w:val="Compact"/>
              <w:jc w:val="left"/>
            </w:pPr>
            <w:r>
              <w:t xml:space="preserve">2028–2029</w:t>
            </w:r>
          </w:p>
        </w:tc>
        <w:tc>
          <w:tcPr/>
          <w:p>
            <w:pPr>
              <w:pStyle w:val="Compact"/>
              <w:jc w:val="left"/>
            </w:pPr>
            <w:r>
              <w:t xml:space="preserve">Single-instance Moodle on managed cloud hosting; 2 payment gateways + bank-transfer fallback; manual content upload for initial course slate</w:t>
            </w:r>
          </w:p>
        </w:tc>
      </w:tr>
      <w:tr>
        <w:trPr>
          <w:cantSplit/>
        </w:trPr>
        <w:tc>
          <w:tcPr/>
          <w:p>
            <w:pPr>
              <w:pStyle w:val="Compact"/>
              <w:jc w:val="left"/>
            </w:pPr>
            <w:r>
              <w:t xml:space="preserve">2 — Stabilization</w:t>
            </w:r>
          </w:p>
        </w:tc>
        <w:tc>
          <w:tcPr/>
          <w:p>
            <w:pPr>
              <w:pStyle w:val="Compact"/>
              <w:jc w:val="left"/>
            </w:pPr>
            <w:r>
              <w:t xml:space="preserve">2030–2032</w:t>
            </w:r>
          </w:p>
        </w:tc>
        <w:tc>
          <w:tcPr/>
          <w:p>
            <w:pPr>
              <w:pStyle w:val="Compact"/>
              <w:jc w:val="left"/>
            </w:pPr>
            <w:r>
              <w:t xml:space="preserve">Mobile-first PWA; plugin ecosystem (quiz banks, gradebook automation); multi-currency automation; Gambia branch blended-learning integration</w:t>
            </w:r>
          </w:p>
        </w:tc>
      </w:tr>
      <w:tr>
        <w:trPr>
          <w:cantSplit/>
        </w:trPr>
        <w:tc>
          <w:tcPr/>
          <w:p>
            <w:pPr>
              <w:pStyle w:val="Compact"/>
              <w:jc w:val="left"/>
            </w:pPr>
            <w:r>
              <w:t xml:space="preserve">3 — Scale</w:t>
            </w:r>
          </w:p>
        </w:tc>
        <w:tc>
          <w:tcPr/>
          <w:p>
            <w:pPr>
              <w:pStyle w:val="Compact"/>
              <w:jc w:val="left"/>
            </w:pPr>
            <w:r>
              <w:t xml:space="preserve">2033–2037</w:t>
            </w:r>
          </w:p>
        </w:tc>
        <w:tc>
          <w:tcPr/>
          <w:p>
            <w:pPr>
              <w:pStyle w:val="Compact"/>
              <w:jc w:val="left"/>
            </w:pPr>
            <w:r>
              <w:t xml:space="preserve">Redundant/CDN-backed hosting for 11,000+ concurrent users; API bridge to SIS; regional gateway expansion per risk-register mitigation; full 71+28 catalog live</w:t>
            </w:r>
          </w:p>
        </w:tc>
      </w:tr>
      <w:tr>
        <w:trPr>
          <w:cantSplit/>
        </w:trPr>
        <w:tc>
          <w:tcPr/>
          <w:p>
            <w:pPr>
              <w:pStyle w:val="Compact"/>
              <w:jc w:val="left"/>
            </w:pPr>
            <w:r>
              <w:t xml:space="preserve">4 — Secular-Expansion Maturity</w:t>
            </w:r>
          </w:p>
        </w:tc>
        <w:tc>
          <w:tcPr/>
          <w:p>
            <w:pPr>
              <w:pStyle w:val="Compact"/>
              <w:jc w:val="left"/>
            </w:pPr>
            <w:r>
              <w:t xml:space="preserve">2038+</w:t>
            </w:r>
          </w:p>
        </w:tc>
        <w:tc>
          <w:tcPr/>
          <w:p>
            <w:pPr>
              <w:pStyle w:val="Compact"/>
              <w:jc w:val="left"/>
            </w:pPr>
            <w:r>
              <w:t xml:space="preserve">Multi-tenant architecture supporting Nigeria and future branches; LMS&amp;Tech budget crosses six figures, enabling dedicated DevOps capacity</w:t>
            </w:r>
          </w:p>
        </w:tc>
      </w:tr>
    </w:tbl>
    <w:p>
      <w:pPr>
        <w:pStyle w:val="BodyText"/>
      </w:pPr>
      <w:r>
        <w:rPr>
          <w:bCs/>
          <w:b/>
          <w:color w:val="B08625"/>
          <w:sz w:val="20"/>
          <w:caps/>
          <w:spacing w:val="14"/>
        </w:rPr>
        <w:t xml:space="preserve">Staffing Requirements</w:t>
      </w:r>
    </w:p>
    <w:p>
      <w:pPr>
        <w:numPr>
          <w:ilvl w:val="0"/>
          <w:numId w:val="1013"/>
        </w:numPr>
        <w:pStyle w:val="Compact"/>
      </w:pPr>
      <w:r>
        <w:t xml:space="preserve">Year 1: part-time/contract LMS Administrator (Payroll line, ~0.5 FTE)</w:t>
      </w:r>
    </w:p>
    <w:p>
      <w:pPr>
        <w:numPr>
          <w:ilvl w:val="0"/>
          <w:numId w:val="1013"/>
        </w:numPr>
        <w:pStyle w:val="Compact"/>
      </w:pPr>
      <w:r>
        <w:t xml:space="preserve">Year 3–5: full-time LMS Manager</w:t>
      </w:r>
    </w:p>
    <w:p>
      <w:pPr>
        <w:numPr>
          <w:ilvl w:val="0"/>
          <w:numId w:val="1013"/>
        </w:numPr>
        <w:pStyle w:val="Compact"/>
      </w:pPr>
      <w:r>
        <w:t xml:space="preserve">Year 6–10: LMS Manager + 1–2 junior support technicians + content-conversion coordinator (all Payroll-funded; tooling/hosting on LMS&amp;Tech line)</w:t>
      </w:r>
    </w:p>
    <w:p>
      <w:pPr>
        <w:numPr>
          <w:ilvl w:val="0"/>
          <w:numId w:val="1013"/>
        </w:numPr>
        <w:pStyle w:val="Compact"/>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pPr>
      <w:r>
        <w:rPr>
          <w:bCs/>
          <w:b/>
          <w:color w:val="B08625"/>
          <w:sz w:val="20"/>
          <w:caps/>
          <w:spacing w:val="14"/>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LMS &amp; Tech Budget</w:t>
            </w:r>
          </w:p>
        </w:tc>
        <w:tc>
          <w:tcPr/>
          <w:p>
            <w:pPr>
              <w:pStyle w:val="Compact"/>
              <w:jc w:val="left"/>
            </w:pPr>
            <w:r>
              <w:t xml:space="preserve">Primary Use</w:t>
            </w:r>
          </w:p>
        </w:tc>
      </w:tr>
      <w:tr>
        <w:trPr>
          <w:cantSplit/>
        </w:trPr>
        <w:tc>
          <w:tcPr/>
          <w:p>
            <w:pPr>
              <w:pStyle w:val="Compact"/>
              <w:jc w:val="left"/>
            </w:pPr>
            <w:r>
              <w:t xml:space="preserve">1 (2028)</w:t>
            </w:r>
          </w:p>
        </w:tc>
        <w:tc>
          <w:tcPr/>
          <w:p>
            <w:pPr>
              <w:pStyle w:val="Compact"/>
              <w:jc w:val="left"/>
            </w:pPr>
            <w:r>
              <w:t xml:space="preserve">$11,237</w:t>
            </w:r>
          </w:p>
        </w:tc>
        <w:tc>
          <w:tcPr/>
          <w:p>
            <w:pPr>
              <w:pStyle w:val="Compact"/>
              <w:jc w:val="left"/>
            </w:pPr>
            <w:r>
              <w:t xml:space="preserve">Hosting, base plugins, gateway integration fees</w:t>
            </w:r>
          </w:p>
        </w:tc>
      </w:tr>
      <w:tr>
        <w:trPr>
          <w:cantSplit/>
        </w:trPr>
        <w:tc>
          <w:tcPr/>
          <w:p>
            <w:pPr>
              <w:pStyle w:val="Compact"/>
              <w:jc w:val="left"/>
            </w:pPr>
            <w:r>
              <w:t xml:space="preserve">5 (2032)</w:t>
            </w:r>
          </w:p>
        </w:tc>
        <w:tc>
          <w:tcPr/>
          <w:p>
            <w:pPr>
              <w:pStyle w:val="Compact"/>
              <w:jc w:val="left"/>
            </w:pPr>
            <w:r>
              <w:t xml:space="preserve">$64,539</w:t>
            </w:r>
          </w:p>
        </w:tc>
        <w:tc>
          <w:tcPr/>
          <w:p>
            <w:pPr>
              <w:pStyle w:val="Compact"/>
              <w:jc w:val="left"/>
            </w:pPr>
            <w:r>
              <w:t xml:space="preserve">Mobile/PWA build-out, CDN, plugin licensing</w:t>
            </w:r>
          </w:p>
        </w:tc>
      </w:tr>
      <w:tr>
        <w:trPr>
          <w:cantSplit/>
        </w:trPr>
        <w:tc>
          <w:tcPr/>
          <w:p>
            <w:pPr>
              <w:pStyle w:val="Compact"/>
              <w:jc w:val="left"/>
            </w:pPr>
            <w:r>
              <w:t xml:space="preserve">10 (2037)</w:t>
            </w:r>
          </w:p>
        </w:tc>
        <w:tc>
          <w:tcPr/>
          <w:p>
            <w:pPr>
              <w:pStyle w:val="Compact"/>
              <w:jc w:val="left"/>
            </w:pPr>
            <w:r>
              <w:t xml:space="preserve">$191,527/yr</w:t>
            </w:r>
          </w:p>
        </w:tc>
        <w:tc>
          <w:tcPr/>
          <w:p>
            <w:pPr>
              <w:pStyle w:val="Compact"/>
              <w:jc w:val="left"/>
            </w:pPr>
            <w:r>
              <w:t xml:space="preserve">Redundant infrastructure, API/SIS integration, catalog completion</w:t>
            </w:r>
          </w:p>
        </w:tc>
      </w:tr>
      <w:tr>
        <w:trPr>
          <w:cantSplit/>
        </w:trPr>
        <w:tc>
          <w:tcPr/>
          <w:p>
            <w:pPr>
              <w:pStyle w:val="Compact"/>
              <w:jc w:val="left"/>
            </w:pPr>
            <w:r>
              <w:t xml:space="preserve">10-yr cumulative</w:t>
            </w:r>
          </w:p>
        </w:tc>
        <w:tc>
          <w:tcPr/>
          <w:p>
            <w:pPr>
              <w:pStyle w:val="Compact"/>
              <w:jc w:val="left"/>
            </w:pPr>
            <w:r>
              <w:t xml:space="preserve">$833,460</w:t>
            </w:r>
          </w:p>
        </w:tc>
        <w:tc>
          <w:tcPr/>
          <w:p>
            <w:pPr>
              <w:pStyle w:val="Compact"/>
              <w:jc w:val="left"/>
            </w:pPr>
            <w:r>
              <w:t xml:space="preserve">—</w:t>
            </w:r>
          </w:p>
        </w:tc>
      </w:tr>
    </w:tbl>
    <w:p>
      <w:pPr>
        <w:pStyle w:val="BodyText"/>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pPr>
      <w:r>
        <w:rPr>
          <w:bCs/>
          <w:b/>
          <w:color w:val="B08625"/>
          <w:sz w:val="20"/>
          <w:caps/>
          <w:spacing w:val="14"/>
        </w:rPr>
        <w:t xml:space="preserve">Timeline</w:t>
      </w:r>
    </w:p>
    <w:p>
      <w:pPr>
        <w:pStyle w:val="BodyText"/>
      </w:pPr>
      <w:r>
        <w:t xml:space="preserve">2028: core platform live. 2030: mobile-first release. 2033: full catalog + SIS bridge. 2037: platform proven at 11,021-student scale. 2038+: multi-tenant readiness for Nigeria and secular-expansion programs.</w:t>
      </w:r>
    </w:p>
    <w:p>
      <w:pPr>
        <w:pStyle w:val="BodyText"/>
      </w:pPr>
      <w:r>
        <w:rPr>
          <w:bCs/>
          <w:b/>
          <w:color w:val="B08625"/>
          <w:sz w:val="20"/>
          <w:caps/>
          <w:spacing w:val="14"/>
        </w:rPr>
        <w:t xml:space="preserve">Governance Responsibilities</w:t>
      </w:r>
    </w:p>
    <w:p>
      <w:pPr>
        <w:pStyle w:val="BodyText"/>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pPr>
      <w:r>
        <w:rPr>
          <w:bCs/>
          <w:b/>
          <w:color w:val="B08625"/>
          <w:sz w:val="20"/>
          <w:caps/>
          <w:spacing w:val="14"/>
        </w:rPr>
        <w:t xml:space="preserve">Measurable Success Indicators</w:t>
      </w:r>
    </w:p>
    <w:p>
      <w:pPr>
        <w:pStyle w:val="BodyText"/>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79"/>
    <w:bookmarkStart w:id="80" w:name="section-22-ai-strategy"/>
    <w:p>
      <w:pPr>
        <w:pStyle w:val="Heading2"/>
      </w:pPr>
      <w:r>
        <w:t xml:space="preserve">Section 22: AI Strategy</w:t>
      </w:r>
    </w:p>
    <w:p>
      <w:pPr>
        <w:pStyle w:val="FirstParagraph"/>
      </w:pPr>
      <w:r>
        <w:rPr>
          <w:bCs/>
          <w:b/>
          <w:color w:val="B08625"/>
          <w:sz w:val="20"/>
          <w:caps/>
          <w:spacing w:val="14"/>
        </w:rPr>
        <w:t xml:space="preserve">Rationale</w:t>
      </w:r>
    </w:p>
    <w:p>
      <w:pPr>
        <w:pStyle w:val="BodyText"/>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bi-annual re-certification).</w:t>
      </w:r>
    </w:p>
    <w:p>
      <w:pPr>
        <w:pStyle w:val="BodyText"/>
      </w:pPr>
      <w:r>
        <w:rPr>
          <w:bCs/>
          <w:b/>
          <w:color w:val="B08625"/>
          <w:sz w:val="20"/>
          <w:caps/>
          <w:spacing w:val="14"/>
        </w:rPr>
        <w:t xml:space="preserve">Global Best Practices</w:t>
      </w:r>
    </w:p>
    <w:p>
      <w:pPr>
        <w:pStyle w:val="BodyText"/>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pPr>
      <w:r>
        <w:rPr>
          <w:bCs/>
          <w:b/>
          <w:color w:val="B08625"/>
          <w:sz w:val="20"/>
          <w:caps/>
          <w:spacing w:val="14"/>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Use Case</w:t>
            </w:r>
          </w:p>
        </w:tc>
        <w:tc>
          <w:tcPr/>
          <w:p>
            <w:pPr>
              <w:pStyle w:val="Compact"/>
              <w:jc w:val="left"/>
            </w:pPr>
            <w:r>
              <w:t xml:space="preserve">Nature</w:t>
            </w:r>
          </w:p>
        </w:tc>
        <w:tc>
          <w:tcPr/>
          <w:p>
            <w:pPr>
              <w:pStyle w:val="Compact"/>
              <w:jc w:val="left"/>
            </w:pPr>
            <w:r>
              <w:t xml:space="preserve">Sharī’ah Review Required?</w:t>
            </w:r>
          </w:p>
        </w:tc>
      </w:tr>
      <w:tr>
        <w:trPr>
          <w:cantSplit/>
        </w:trPr>
        <w:tc>
          <w:tcPr/>
          <w:p>
            <w:pPr>
              <w:pStyle w:val="Compact"/>
              <w:jc w:val="left"/>
            </w:pPr>
            <w:r>
              <w:t xml:space="preserve">Arabic/Qur’ānic-text-aware tutoring support</w:t>
            </w:r>
          </w:p>
        </w:tc>
        <w:tc>
          <w:tcPr/>
          <w:p>
            <w:pPr>
              <w:pStyle w:val="Compact"/>
              <w:jc w:val="left"/>
            </w:pPr>
            <w:r>
              <w:t xml:space="preserve">RAG assistant over faculty-curated corpus, human-supervised</w:t>
            </w:r>
          </w:p>
        </w:tc>
        <w:tc>
          <w:tcPr/>
          <w:p>
            <w:pPr>
              <w:pStyle w:val="Compact"/>
              <w:jc w:val="left"/>
            </w:pPr>
            <w:r>
              <w:t xml:space="preserve">Yes — mandatory pre-deployment + bi-annual re-cert</w:t>
            </w:r>
          </w:p>
        </w:tc>
      </w:tr>
      <w:tr>
        <w:trPr>
          <w:cantSplit/>
        </w:trPr>
        <w:tc>
          <w:tcPr/>
          <w:p>
            <w:pPr>
              <w:pStyle w:val="Compact"/>
              <w:jc w:val="left"/>
            </w:pPr>
            <w:r>
              <w:t xml:space="preserve">Automated Tajweed/recitation feedback</w:t>
            </w:r>
          </w:p>
        </w:tc>
        <w:tc>
          <w:tcPr/>
          <w:p>
            <w:pPr>
              <w:pStyle w:val="Compact"/>
              <w:jc w:val="left"/>
            </w:pPr>
            <w:r>
              <w:t xml:space="preserve">Licensed third-party speech-analysis API</w:t>
            </w:r>
          </w:p>
        </w:tc>
        <w:tc>
          <w:tcPr/>
          <w:p>
            <w:pPr>
              <w:pStyle w:val="Compact"/>
              <w:jc w:val="left"/>
            </w:pPr>
            <w:r>
              <w:t xml:space="preserve">Yes</w:t>
            </w:r>
          </w:p>
        </w:tc>
      </w:tr>
      <w:tr>
        <w:trPr>
          <w:cantSplit/>
        </w:trPr>
        <w:tc>
          <w:tcPr/>
          <w:p>
            <w:pPr>
              <w:pStyle w:val="Compact"/>
              <w:jc w:val="left"/>
            </w:pPr>
            <w:r>
              <w:t xml:space="preserve">Admissions document verification</w:t>
            </w:r>
          </w:p>
        </w:tc>
        <w:tc>
          <w:tcPr/>
          <w:p>
            <w:pPr>
              <w:pStyle w:val="Compact"/>
              <w:jc w:val="left"/>
            </w:pPr>
            <w:r>
              <w:t xml:space="preserve">OCR + fraud-flagging for tier eligibility</w:t>
            </w:r>
          </w:p>
        </w:tc>
        <w:tc>
          <w:tcPr/>
          <w:p>
            <w:pPr>
              <w:pStyle w:val="Compact"/>
              <w:jc w:val="left"/>
            </w:pPr>
            <w:r>
              <w:t xml:space="preserve">No (administrative, non-religious)</w:t>
            </w:r>
          </w:p>
        </w:tc>
      </w:tr>
      <w:tr>
        <w:trPr>
          <w:cantSplit/>
        </w:trPr>
        <w:tc>
          <w:tcPr/>
          <w:p>
            <w:pPr>
              <w:pStyle w:val="Compact"/>
              <w:jc w:val="left"/>
            </w:pPr>
            <w:r>
              <w:t xml:space="preserve">Faculty content-authoring assistance</w:t>
            </w:r>
          </w:p>
        </w:tc>
        <w:tc>
          <w:tcPr/>
          <w:p>
            <w:pPr>
              <w:pStyle w:val="Compact"/>
              <w:jc w:val="left"/>
            </w:pPr>
            <w:r>
              <w:t xml:space="preserve">LLM-drafted quiz banks/translations, faculty-reviewed</w:t>
            </w:r>
          </w:p>
        </w:tc>
        <w:tc>
          <w:tcPr/>
          <w:p>
            <w:pPr>
              <w:pStyle w:val="Compact"/>
              <w:jc w:val="left"/>
            </w:pPr>
            <w:r>
              <w:t xml:space="preserve">Yes if religious-studies content</w:t>
            </w:r>
          </w:p>
        </w:tc>
      </w:tr>
      <w:tr>
        <w:trPr>
          <w:cantSplit/>
        </w:trPr>
        <w:tc>
          <w:tcPr/>
          <w:p>
            <w:pPr>
              <w:pStyle w:val="Compact"/>
              <w:jc w:val="left"/>
            </w:pPr>
            <w:r>
              <w:t xml:space="preserve">Student support chatbot (FAQ/advising)</w:t>
            </w:r>
          </w:p>
        </w:tc>
        <w:tc>
          <w:tcPr/>
          <w:p>
            <w:pPr>
              <w:pStyle w:val="Compact"/>
              <w:jc w:val="left"/>
            </w:pPr>
            <w:r>
              <w:t xml:space="preserve">Off-the-shelf/free-tier chatbot, non-religious scope</w:t>
            </w:r>
          </w:p>
        </w:tc>
        <w:tc>
          <w:tcPr/>
          <w:p>
            <w:pPr>
              <w:pStyle w:val="Compact"/>
              <w:jc w:val="left"/>
            </w:pPr>
            <w:r>
              <w:t xml:space="preserve">No, unless scope expands to religious Q&amp;A</w:t>
            </w:r>
          </w:p>
        </w:tc>
      </w:tr>
    </w:tbl>
    <w:p>
      <w:pPr>
        <w:pStyle w:val="BodyText"/>
      </w:pPr>
      <w:r>
        <w:rPr>
          <w:bCs/>
          <w:b/>
          <w:color w:val="B08625"/>
          <w:sz w:val="20"/>
          <w:caps/>
          <w:spacing w:val="14"/>
        </w:rPr>
        <w:t xml:space="preserve">Implementation Phases</w:t>
      </w:r>
    </w:p>
    <w:p>
      <w:pPr>
        <w:numPr>
          <w:ilvl w:val="0"/>
          <w:numId w:val="1014"/>
        </w:numPr>
        <w:pStyle w:val="Compact"/>
      </w:pPr>
      <w:r>
        <w:rPr>
          <w:bCs/>
          <w:b/>
          <w:color w:val="B08625"/>
          <w:sz w:val="20"/>
          <w:caps/>
          <w:spacing w:val="14"/>
        </w:rPr>
        <w:t xml:space="preserve">Y1–2 (2028–29):</w:t>
      </w:r>
      <w:r>
        <w:t xml:space="preserve"> </w:t>
      </w:r>
      <w:r>
        <w:t xml:space="preserve">pilot FAQ chatbot only (administrative scope, no religious content), free/low-cost tier.</w:t>
      </w:r>
    </w:p>
    <w:p>
      <w:pPr>
        <w:numPr>
          <w:ilvl w:val="0"/>
          <w:numId w:val="1014"/>
        </w:numPr>
        <w:pStyle w:val="Compact"/>
      </w:pPr>
      <w:r>
        <w:rPr>
          <w:bCs/>
          <w:b/>
          <w:color w:val="B08625"/>
          <w:sz w:val="20"/>
          <w:caps/>
          <w:spacing w:val="14"/>
        </w:rPr>
        <w:t xml:space="preserve">Y3–5 (2030–32):</w:t>
      </w:r>
      <w:r>
        <w:t xml:space="preserve"> </w:t>
      </w:r>
      <w:r>
        <w:t xml:space="preserve">licensed Tajweed-feedback tool integration; admissions OCR pilot.</w:t>
      </w:r>
    </w:p>
    <w:p>
      <w:pPr>
        <w:numPr>
          <w:ilvl w:val="0"/>
          <w:numId w:val="1014"/>
        </w:numPr>
        <w:pStyle w:val="Compact"/>
      </w:pPr>
      <w:r>
        <w:rPr>
          <w:bCs/>
          <w:b/>
          <w:color w:val="B08625"/>
          <w:sz w:val="20"/>
          <w:caps/>
          <w:spacing w:val="14"/>
        </w:rPr>
        <w:t xml:space="preserve">Y6–10 (2033–37):</w:t>
      </w:r>
      <w:r>
        <w:t xml:space="preserve"> </w:t>
      </w:r>
      <w:r>
        <w:t xml:space="preserve">curated Qur’ānic-tutoring RAG assistant (post Sharī’ah certification); chatbot scaled institution-wide.</w:t>
      </w:r>
    </w:p>
    <w:p>
      <w:pPr>
        <w:numPr>
          <w:ilvl w:val="0"/>
          <w:numId w:val="1014"/>
        </w:numPr>
        <w:pStyle w:val="Compact"/>
      </w:pPr>
      <w:r>
        <w:rPr>
          <w:bCs/>
          <w:b/>
          <w:color w:val="B08625"/>
          <w:sz w:val="20"/>
          <w:caps/>
          <w:spacing w:val="14"/>
        </w:rPr>
        <w:t xml:space="preserve">Y11+ (2038+):</w:t>
      </w:r>
      <w:r>
        <w:t xml:space="preserve"> </w:t>
      </w:r>
      <w:r>
        <w:t xml:space="preserve">secular-expansion phase may justify a dedicated Digital Learning &amp; AI Coordinator as revenue scales toward $8.36M–$93.9M.</w:t>
      </w:r>
    </w:p>
    <w:p>
      <w:pPr>
        <w:pStyle w:val="FirstParagraph"/>
      </w:pPr>
      <w:r>
        <w:rPr>
          <w:bCs/>
          <w:b/>
          <w:color w:val="B08625"/>
          <w:sz w:val="20"/>
          <w:caps/>
          <w:spacing w:val="14"/>
        </w:rPr>
        <w:t xml:space="preserve">Staffing Requirements</w:t>
      </w:r>
    </w:p>
    <w:p>
      <w:pPr>
        <w:pStyle w:val="BodyText"/>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pPr>
      <w:r>
        <w:rPr>
          <w:bCs/>
          <w:b/>
          <w:color w:val="B08625"/>
          <w:sz w:val="20"/>
          <w:caps/>
          <w:spacing w:val="14"/>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AI Tooling Share</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~$0–1,000 (free-tier chatbot)</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~$3,000–6,000 (Tajweed API, OCR licensing)</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~$15,000–25,000 (RAG tutoring assistant, scaled chatbot)</w:t>
            </w:r>
          </w:p>
        </w:tc>
      </w:tr>
    </w:tbl>
    <w:p>
      <w:pPr>
        <w:pStyle w:val="BodyText"/>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pPr>
      <w:r>
        <w:rPr>
          <w:bCs/>
          <w:b/>
          <w:color w:val="B08625"/>
          <w:sz w:val="20"/>
          <w:caps/>
          <w:spacing w:val="14"/>
        </w:rPr>
        <w:t xml:space="preserve">Timeline</w:t>
      </w:r>
    </w:p>
    <w:p>
      <w:pPr>
        <w:pStyle w:val="BodyText"/>
      </w:pPr>
      <w:r>
        <w:t xml:space="preserve">2028: chatbot pilot. 2031: Tajweed tool live. 2034: RAG tutoring assistant certified and launched. 2037: AI use cases fully integrated across all seven tiers. 2038+: coordinator role formalized as revenue scales.</w:t>
      </w:r>
    </w:p>
    <w:p>
      <w:pPr>
        <w:pStyle w:val="BodyText"/>
      </w:pPr>
      <w:r>
        <w:rPr>
          <w:bCs/>
          <w:b/>
          <w:color w:val="B08625"/>
          <w:sz w:val="20"/>
          <w:caps/>
          <w:spacing w:val="14"/>
        </w:rPr>
        <w:t xml:space="preserve">Measurable Success Indicators</w:t>
      </w:r>
    </w:p>
    <w:p>
      <w:pPr>
        <w:pStyle w:val="BodyText"/>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0"/>
    <w:bookmarkStart w:id="81" w:name="Xf675fcb79f16e04f81c21d8bd6336305f8330d6"/>
    <w:p>
      <w:pPr>
        <w:pStyle w:val="Heading2"/>
      </w:pPr>
      <w:r>
        <w:t xml:space="preserve">Section 23: Digital Transformation Strategy</w:t>
      </w:r>
    </w:p>
    <w:p>
      <w:pPr>
        <w:pStyle w:val="FirstParagraph"/>
      </w:pPr>
      <w:r>
        <w:rPr>
          <w:bCs/>
          <w:b/>
          <w:color w:val="B08625"/>
          <w:sz w:val="20"/>
          <w:caps/>
          <w:spacing w:val="14"/>
        </w:rPr>
        <w:t xml:space="preserve">Rationale</w:t>
      </w:r>
    </w:p>
    <w:p>
      <w:pPr>
        <w:pStyle w:val="BodyText"/>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pPr>
      <w:r>
        <w:rPr>
          <w:bCs/>
          <w:b/>
          <w:color w:val="B08625"/>
          <w:sz w:val="20"/>
          <w:caps/>
          <w:spacing w:val="14"/>
        </w:rPr>
        <w:t xml:space="preserve">Global Best Practices</w:t>
      </w:r>
    </w:p>
    <w:p>
      <w:pPr>
        <w:pStyle w:val="BodyText"/>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pPr>
      <w:r>
        <w:rPr>
          <w:bCs/>
          <w:b/>
          <w:color w:val="B08625"/>
          <w:sz w:val="20"/>
          <w:caps/>
          <w:spacing w:val="14"/>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Component</w:t>
            </w:r>
          </w:p>
        </w:tc>
        <w:tc>
          <w:tcPr/>
          <w:p>
            <w:pPr>
              <w:pStyle w:val="Compact"/>
              <w:jc w:val="left"/>
            </w:pPr>
            <w:r>
              <w:t xml:space="preserve">Y1–2 (Lean)</w:t>
            </w:r>
          </w:p>
        </w:tc>
        <w:tc>
          <w:tcPr/>
          <w:p>
            <w:pPr>
              <w:pStyle w:val="Compact"/>
              <w:jc w:val="left"/>
            </w:pPr>
            <w:r>
              <w:t xml:space="preserve">Y3–5 (Growth)</w:t>
            </w:r>
          </w:p>
        </w:tc>
        <w:tc>
          <w:tcPr/>
          <w:p>
            <w:pPr>
              <w:pStyle w:val="Compact"/>
              <w:jc w:val="left"/>
            </w:pPr>
            <w:r>
              <w:t xml:space="preserve">Y6–10 (Scale)</w:t>
            </w:r>
          </w:p>
        </w:tc>
        <w:tc>
          <w:tcPr/>
          <w:p>
            <w:pPr>
              <w:pStyle w:val="Compact"/>
              <w:jc w:val="left"/>
            </w:pPr>
            <w:r>
              <w:t xml:space="preserve">Y11+ (Secular-Expansion)</w:t>
            </w:r>
          </w:p>
        </w:tc>
      </w:tr>
      <w:tr>
        <w:trPr>
          <w:cantSplit/>
        </w:trPr>
        <w:tc>
          <w:tcPr/>
          <w:p>
            <w:pPr>
              <w:pStyle w:val="Compact"/>
              <w:jc w:val="left"/>
            </w:pPr>
            <w:r>
              <w:t xml:space="preserve">LMS</w:t>
            </w:r>
          </w:p>
        </w:tc>
        <w:tc>
          <w:tcPr/>
          <w:p>
            <w:pPr>
              <w:pStyle w:val="Compact"/>
              <w:jc w:val="left"/>
            </w:pPr>
            <w:r>
              <w:t xml:space="preserve">Single Moodle instance</w:t>
            </w:r>
          </w:p>
        </w:tc>
        <w:tc>
          <w:tcPr/>
          <w:p>
            <w:pPr>
              <w:pStyle w:val="Compact"/>
              <w:jc w:val="left"/>
            </w:pPr>
            <w:r>
              <w:t xml:space="preserve">Mobile/PWA + plugins</w:t>
            </w:r>
          </w:p>
        </w:tc>
        <w:tc>
          <w:tcPr/>
          <w:p>
            <w:pPr>
              <w:pStyle w:val="Compact"/>
              <w:jc w:val="left"/>
            </w:pPr>
            <w:r>
              <w:t xml:space="preserve">API-integrated, redundant hosting</w:t>
            </w:r>
          </w:p>
        </w:tc>
        <w:tc>
          <w:tcPr/>
          <w:p>
            <w:pPr>
              <w:pStyle w:val="Compact"/>
              <w:jc w:val="left"/>
            </w:pPr>
            <w:r>
              <w:t xml:space="preserve">Multi-tenant</w:t>
            </w:r>
          </w:p>
        </w:tc>
      </w:tr>
      <w:tr>
        <w:trPr>
          <w:cantSplit/>
        </w:trPr>
        <w:tc>
          <w:tcPr/>
          <w:p>
            <w:pPr>
              <w:pStyle w:val="Compact"/>
              <w:jc w:val="left"/>
            </w:pPr>
            <w:r>
              <w:t xml:space="preserve">SIS/Registrar</w:t>
            </w:r>
          </w:p>
        </w:tc>
        <w:tc>
          <w:tcPr/>
          <w:p>
            <w:pPr>
              <w:pStyle w:val="Compact"/>
              <w:jc w:val="left"/>
            </w:pPr>
            <w:r>
              <w:t xml:space="preserve">Spreadsheet/manual</w:t>
            </w:r>
          </w:p>
        </w:tc>
        <w:tc>
          <w:tcPr/>
          <w:p>
            <w:pPr>
              <w:pStyle w:val="Compact"/>
              <w:jc w:val="left"/>
            </w:pPr>
            <w:r>
              <w:t xml:space="preserve">Dedicated light SIS software</w:t>
            </w:r>
          </w:p>
        </w:tc>
        <w:tc>
          <w:tcPr/>
          <w:p>
            <w:pPr>
              <w:pStyle w:val="Compact"/>
              <w:jc w:val="left"/>
            </w:pPr>
            <w:r>
              <w:t xml:space="preserve">LMS-SIS API integration</w:t>
            </w:r>
          </w:p>
        </w:tc>
        <w:tc>
          <w:tcPr/>
          <w:p>
            <w:pPr>
              <w:pStyle w:val="Compact"/>
              <w:jc w:val="left"/>
            </w:pPr>
            <w:r>
              <w:t xml:space="preserve">Full SIS platform</w:t>
            </w:r>
          </w:p>
        </w:tc>
      </w:tr>
      <w:tr>
        <w:trPr>
          <w:cantSplit/>
        </w:trPr>
        <w:tc>
          <w:tcPr/>
          <w:p>
            <w:pPr>
              <w:pStyle w:val="Compact"/>
              <w:jc w:val="left"/>
            </w:pPr>
            <w:r>
              <w:t xml:space="preserve">Payments</w:t>
            </w:r>
          </w:p>
        </w:tc>
        <w:tc>
          <w:tcPr/>
          <w:p>
            <w:pPr>
              <w:pStyle w:val="Compact"/>
              <w:jc w:val="left"/>
            </w:pPr>
            <w:r>
              <w:t xml:space="preserve">2 gateways + bank transfer</w:t>
            </w:r>
          </w:p>
        </w:tc>
        <w:tc>
          <w:tcPr/>
          <w:p>
            <w:pPr>
              <w:pStyle w:val="Compact"/>
              <w:jc w:val="left"/>
            </w:pPr>
            <w:r>
              <w:t xml:space="preserve">Regional gateway expansion</w:t>
            </w:r>
          </w:p>
        </w:tc>
        <w:tc>
          <w:tcPr/>
          <w:p>
            <w:pPr>
              <w:pStyle w:val="Compact"/>
              <w:jc w:val="left"/>
            </w:pPr>
            <w:r>
              <w:t xml:space="preserve">Automated multi-currency reconciliation</w:t>
            </w:r>
          </w:p>
        </w:tc>
        <w:tc>
          <w:tcPr/>
          <w:p>
            <w:pPr>
              <w:pStyle w:val="Compact"/>
              <w:jc w:val="left"/>
            </w:pPr>
            <w:r>
              <w:t xml:space="preserve">Enterprise payment orchestration</w:t>
            </w:r>
          </w:p>
        </w:tc>
      </w:tr>
      <w:tr>
        <w:trPr>
          <w:cantSplit/>
        </w:trPr>
        <w:tc>
          <w:tcPr/>
          <w:p>
            <w:pPr>
              <w:pStyle w:val="Compact"/>
              <w:jc w:val="left"/>
            </w:pPr>
            <w:r>
              <w:t xml:space="preserve">Comms</w:t>
            </w:r>
          </w:p>
        </w:tc>
        <w:tc>
          <w:tcPr/>
          <w:p>
            <w:pPr>
              <w:pStyle w:val="Compact"/>
              <w:jc w:val="left"/>
            </w:pPr>
            <w:r>
              <w:t xml:space="preserve">Email + WhatsApp (Tier 3/4)</w:t>
            </w:r>
          </w:p>
        </w:tc>
        <w:tc>
          <w:tcPr/>
          <w:p>
            <w:pPr>
              <w:pStyle w:val="Compact"/>
              <w:jc w:val="left"/>
            </w:pPr>
            <w:r>
              <w:t xml:space="preserve">CRM/admissions tracking</w:t>
            </w:r>
          </w:p>
        </w:tc>
        <w:tc>
          <w:tcPr/>
          <w:p>
            <w:pPr>
              <w:pStyle w:val="Compact"/>
              <w:jc w:val="left"/>
            </w:pPr>
            <w:r>
              <w:t xml:space="preserve">Integrated support ticketing</w:t>
            </w:r>
          </w:p>
        </w:tc>
        <w:tc>
          <w:tcPr/>
          <w:p>
            <w:pPr>
              <w:pStyle w:val="Compact"/>
              <w:jc w:val="left"/>
            </w:pPr>
            <w:r>
              <w:t xml:space="preserve">Omnichannel support</w:t>
            </w:r>
          </w:p>
        </w:tc>
      </w:tr>
      <w:tr>
        <w:trPr>
          <w:cantSplit/>
        </w:trPr>
        <w:tc>
          <w:tcPr/>
          <w:p>
            <w:pPr>
              <w:pStyle w:val="Compact"/>
              <w:jc w:val="left"/>
            </w:pPr>
            <w:r>
              <w:t xml:space="preserve">Security</w:t>
            </w:r>
          </w:p>
        </w:tc>
        <w:tc>
          <w:tcPr/>
          <w:p>
            <w:pPr>
              <w:pStyle w:val="Compact"/>
              <w:jc w:val="left"/>
            </w:pPr>
            <w:r>
              <w:t xml:space="preserve">Basic MFA, SSL, backups</w:t>
            </w:r>
          </w:p>
        </w:tc>
        <w:tc>
          <w:tcPr/>
          <w:p>
            <w:pPr>
              <w:pStyle w:val="Compact"/>
              <w:jc w:val="left"/>
            </w:pPr>
            <w:r>
              <w:t xml:space="preserve">Formal data-governance policy</w:t>
            </w:r>
          </w:p>
        </w:tc>
        <w:tc>
          <w:tcPr/>
          <w:p>
            <w:pPr>
              <w:pStyle w:val="Compact"/>
              <w:jc w:val="left"/>
            </w:pPr>
            <w:r>
              <w:t xml:space="preserve">Annual third-party security audit</w:t>
            </w:r>
          </w:p>
        </w:tc>
        <w:tc>
          <w:tcPr/>
          <w:p>
            <w:pPr>
              <w:pStyle w:val="Compact"/>
              <w:jc w:val="left"/>
            </w:pPr>
            <w:r>
              <w:t xml:space="preserve">Dedicated security function</w:t>
            </w:r>
          </w:p>
        </w:tc>
      </w:tr>
    </w:tbl>
    <w:p>
      <w:pPr>
        <w:pStyle w:val="BodyText"/>
      </w:pPr>
      <w:r>
        <w:rPr>
          <w:bCs/>
          <w:b/>
          <w:color w:val="B08625"/>
          <w:sz w:val="20"/>
          <w:caps/>
          <w:spacing w:val="14"/>
        </w:rPr>
        <w:t xml:space="preserve">Staffing Requirements</w:t>
      </w:r>
    </w:p>
    <w:p>
      <w:pPr>
        <w:pStyle w:val="BodyText"/>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pPr>
      <w:r>
        <w:rPr>
          <w:bCs/>
          <w:b/>
          <w:color w:val="B08625"/>
          <w:sz w:val="20"/>
          <w:caps/>
          <w:spacing w:val="14"/>
        </w:rPr>
        <w:t xml:space="preserve">Annual Budget</w:t>
      </w:r>
    </w:p>
    <w:p>
      <w:pPr>
        <w:pStyle w:val="BodyText"/>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pPr>
      <w:r>
        <w:rPr>
          <w:bCs/>
          <w:b/>
          <w:color w:val="B08625"/>
          <w:sz w:val="20"/>
          <w:caps/>
          <w:spacing w:val="14"/>
        </w:rPr>
        <w:t xml:space="preserve">Timeline</w:t>
      </w:r>
    </w:p>
    <w:p>
      <w:pPr>
        <w:pStyle w:val="BodyText"/>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pPr>
      <w:r>
        <w:rPr>
          <w:bCs/>
          <w:b/>
          <w:color w:val="B08625"/>
          <w:sz w:val="20"/>
          <w:caps/>
          <w:spacing w:val="14"/>
        </w:rPr>
        <w:t xml:space="preserve">Measurable Success Indicators</w:t>
      </w:r>
    </w:p>
    <w:p>
      <w:pPr>
        <w:pStyle w:val="BodyText"/>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1"/>
    <w:bookmarkStart w:id="82" w:name="section-24-library-strategy"/>
    <w:p>
      <w:pPr>
        <w:pStyle w:val="Heading2"/>
      </w:pPr>
      <w:r>
        <w:t xml:space="preserve">Section 24: Library Strategy</w:t>
      </w:r>
    </w:p>
    <w:p>
      <w:pPr>
        <w:pStyle w:val="FirstParagraph"/>
      </w:pPr>
      <w:r>
        <w:rPr>
          <w:bCs/>
          <w:b/>
          <w:color w:val="B08625"/>
          <w:sz w:val="20"/>
          <w:caps/>
          <w:spacing w:val="14"/>
        </w:rPr>
        <w:t xml:space="preserve">Rationale</w:t>
      </w:r>
    </w:p>
    <w:p>
      <w:pPr>
        <w:pStyle w:val="BodyText"/>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pPr>
      <w:r>
        <w:rPr>
          <w:bCs/>
          <w:b/>
          <w:color w:val="B08625"/>
          <w:sz w:val="20"/>
          <w:caps/>
          <w:spacing w:val="14"/>
        </w:rPr>
        <w:t xml:space="preserve">Global Best Practices</w:t>
      </w:r>
    </w:p>
    <w:p>
      <w:pPr>
        <w:pStyle w:val="BodyText"/>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2028–29</w:t>
            </w:r>
          </w:p>
        </w:tc>
        <w:tc>
          <w:tcPr/>
          <w:p>
            <w:pPr>
              <w:pStyle w:val="Compact"/>
              <w:jc w:val="left"/>
            </w:pPr>
            <w:r>
              <w:t xml:space="preserve">Curate open-access Islamic-studies digital collection; minimal licensed-database spend</w:t>
            </w:r>
          </w:p>
        </w:tc>
      </w:tr>
      <w:tr>
        <w:trPr>
          <w:cantSplit/>
        </w:trPr>
        <w:tc>
          <w:tcPr/>
          <w:p>
            <w:pPr>
              <w:pStyle w:val="Compact"/>
              <w:jc w:val="left"/>
            </w:pPr>
            <w:r>
              <w:t xml:space="preserve">2</w:t>
            </w:r>
          </w:p>
        </w:tc>
        <w:tc>
          <w:tcPr/>
          <w:p>
            <w:pPr>
              <w:pStyle w:val="Compact"/>
              <w:jc w:val="left"/>
            </w:pPr>
            <w:r>
              <w:t xml:space="preserve">2030–32</w:t>
            </w:r>
          </w:p>
        </w:tc>
        <w:tc>
          <w:tcPr/>
          <w:p>
            <w:pPr>
              <w:pStyle w:val="Compact"/>
              <w:jc w:val="left"/>
            </w:pPr>
            <w:r>
              <w:t xml:space="preserve">Modest expansion of licensed subscriptions (regional/Arabic-language databases); LMS integration</w:t>
            </w:r>
          </w:p>
        </w:tc>
      </w:tr>
      <w:tr>
        <w:trPr>
          <w:cantSplit/>
        </w:trPr>
        <w:tc>
          <w:tcPr/>
          <w:p>
            <w:pPr>
              <w:pStyle w:val="Compact"/>
              <w:jc w:val="left"/>
            </w:pPr>
            <w:r>
              <w:t xml:space="preserve">3</w:t>
            </w:r>
          </w:p>
        </w:tc>
        <w:tc>
          <w:tcPr/>
          <w:p>
            <w:pPr>
              <w:pStyle w:val="Compact"/>
              <w:jc w:val="left"/>
            </w:pPr>
            <w:r>
              <w:t xml:space="preserve">2033–36</w:t>
            </w:r>
          </w:p>
        </w:tc>
        <w:tc>
          <w:tcPr/>
          <w:p>
            <w:pPr>
              <w:pStyle w:val="Compact"/>
              <w:jc w:val="left"/>
            </w:pPr>
            <w:r>
              <w:t xml:space="preserve">Institutional repository for faculty publications; digitization of AMIU’s own curriculum materials</w:t>
            </w:r>
          </w:p>
        </w:tc>
      </w:tr>
      <w:tr>
        <w:trPr>
          <w:cantSplit/>
        </w:trPr>
        <w:tc>
          <w:tcPr/>
          <w:p>
            <w:pPr>
              <w:pStyle w:val="Compact"/>
              <w:jc w:val="left"/>
            </w:pPr>
            <w:r>
              <w:t xml:space="preserve">4</w:t>
            </w:r>
          </w:p>
        </w:tc>
        <w:tc>
          <w:tcPr/>
          <w:p>
            <w:pPr>
              <w:pStyle w:val="Compact"/>
              <w:jc w:val="left"/>
            </w:pPr>
            <w:r>
              <w:t xml:space="preserve">2037+</w:t>
            </w:r>
          </w:p>
        </w:tc>
        <w:tc>
          <w:tcPr/>
          <w:p>
            <w:pPr>
              <w:pStyle w:val="Compact"/>
              <w:jc w:val="left"/>
            </w:pPr>
            <w:r>
              <w:t xml:space="preserve">Nigeria Mega-University central physical library planning, contingent on charter/NUC approval — scoped and funded separately from this digital budget</w:t>
            </w:r>
          </w:p>
        </w:tc>
      </w:tr>
    </w:tbl>
    <w:p>
      <w:pPr>
        <w:pStyle w:val="BodyText"/>
      </w:pPr>
      <w:r>
        <w:rPr>
          <w:bCs/>
          <w:b/>
          <w:color w:val="B08625"/>
          <w:sz w:val="20"/>
          <w:caps/>
          <w:spacing w:val="14"/>
        </w:rPr>
        <w:t xml:space="preserve">Staffing Requirements</w:t>
      </w:r>
    </w:p>
    <w:p>
      <w:pPr>
        <w:pStyle w:val="BodyText"/>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pPr>
      <w:r>
        <w:rPr>
          <w:bCs/>
          <w:b/>
          <w:color w:val="B08625"/>
          <w:sz w:val="20"/>
          <w:caps/>
          <w:spacing w:val="14"/>
        </w:rPr>
        <w:t xml:space="preserve">Annual Budget</w:t>
      </w:r>
    </w:p>
    <w:p>
      <w:pPr>
        <w:pStyle w:val="BodyText"/>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Library Sub-Share (~10%)</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~$1,100</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~$6,450</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~$19,150</w:t>
            </w:r>
          </w:p>
        </w:tc>
      </w:tr>
    </w:tbl>
    <w:p>
      <w:pPr>
        <w:pStyle w:val="BodyText"/>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pPr>
      <w:r>
        <w:rPr>
          <w:bCs/>
          <w:b/>
          <w:color w:val="B08625"/>
          <w:sz w:val="20"/>
          <w:caps/>
          <w:spacing w:val="14"/>
        </w:rPr>
        <w:t xml:space="preserve">Timeline</w:t>
      </w:r>
    </w:p>
    <w:p>
      <w:pPr>
        <w:pStyle w:val="BodyText"/>
      </w:pPr>
      <w:r>
        <w:t xml:space="preserve">2028: open-access core collection live. 2030: first licensed subscriptions. 2033: institutional repository launched. 2037: Nigeria central-library planning begins (charter-contingent).</w:t>
      </w:r>
    </w:p>
    <w:p>
      <w:pPr>
        <w:pStyle w:val="BodyText"/>
      </w:pPr>
      <w:r>
        <w:rPr>
          <w:bCs/>
          <w:b/>
          <w:color w:val="B08625"/>
          <w:sz w:val="20"/>
          <w:caps/>
          <w:spacing w:val="14"/>
        </w:rPr>
        <w:t xml:space="preserve">Governance Responsibilities</w:t>
      </w:r>
    </w:p>
    <w:p>
      <w:pPr>
        <w:pStyle w:val="BodyText"/>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pPr>
      <w:r>
        <w:rPr>
          <w:bCs/>
          <w:b/>
          <w:color w:val="B08625"/>
          <w:sz w:val="20"/>
          <w:caps/>
          <w:spacing w:val="14"/>
        </w:rPr>
        <w:t xml:space="preserve">Measurable Success Indicators</w:t>
      </w:r>
    </w:p>
    <w:p>
      <w:pPr>
        <w:pStyle w:val="BodyText"/>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2"/>
    <w:bookmarkStart w:id="86" w:name="section-25-waqf-development-strategy"/>
    <w:p>
      <w:pPr>
        <w:pStyle w:val="Heading2"/>
      </w:pPr>
      <w:r>
        <w:t xml:space="preserve">Section 25: Waqf Development Strategy</w:t>
      </w:r>
    </w:p>
    <w:p>
      <w:pPr>
        <w:pStyle w:val="CaptionedFigure"/>
      </w:pPr>
      <w:r>
        <w:drawing>
          <wp:inline>
            <wp:extent cx="5292852" cy="3256597"/>
            <wp:effectExtent b="0" l="0" r="0" t="0"/>
            <wp:docPr descr="Figure 7. Waqf &amp; Stakeholder Reserve: Distributed-Fund Allocation" title="" id="84" name="Picture"/>
            <a:graphic>
              <a:graphicData uri="http://schemas.openxmlformats.org/drawingml/2006/picture">
                <pic:pic>
                  <pic:nvPicPr>
                    <pic:cNvPr descr="assets/figures/fig05_waqf_distribution.png" id="85" name="Picture"/>
                    <pic:cNvPicPr>
                      <a:picLocks noChangeArrowheads="1" noChangeAspect="1"/>
                    </pic:cNvPicPr>
                  </pic:nvPicPr>
                  <pic:blipFill>
                    <a:blip r:embed="rId83"/>
                    <a:stretch>
                      <a:fillRect/>
                    </a:stretch>
                  </pic:blipFill>
                  <pic:spPr bwMode="auto">
                    <a:xfrm>
                      <a:off x="0" y="0"/>
                      <a:ext cx="5292852" cy="3256597"/>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pPr>
      <w:r>
        <w:rPr>
          <w:iCs/>
          <w:i/>
        </w:rPr>
        <w:t xml:space="preserve">Fixed sub-split of the 50% distributed half of the 20%-of-Gross-Revenue Waqf &amp; Stakeholder Reserve.</w:t>
      </w:r>
    </w:p>
    <w:p>
      <w:pPr>
        <w:pStyle w:val="BodyText"/>
      </w:pPr>
      <w:r>
        <w:rPr>
          <w:bCs/>
          <w:b/>
          <w:color w:val="B08625"/>
          <w:sz w:val="20"/>
          <w:caps/>
          <w:spacing w:val="14"/>
        </w:rPr>
        <w:t xml:space="preserve">Rationale</w:t>
      </w:r>
    </w:p>
    <w:p>
      <w:pPr>
        <w:pStyle w:val="BodyText"/>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pPr>
      <w:r>
        <w:rPr>
          <w:bCs/>
          <w:b/>
          <w:color w:val="B08625"/>
          <w:sz w:val="20"/>
          <w:caps/>
          <w:spacing w:val="14"/>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Element</w:t>
            </w:r>
          </w:p>
        </w:tc>
        <w:tc>
          <w:tcPr/>
          <w:p>
            <w:pPr>
              <w:pStyle w:val="Compact"/>
              <w:jc w:val="left"/>
            </w:pPr>
            <w:r>
              <w:t xml:space="preserve">Value</w:t>
            </w:r>
          </w:p>
        </w:tc>
      </w:tr>
      <w:tr>
        <w:trPr>
          <w:cantSplit/>
        </w:trPr>
        <w:tc>
          <w:tcPr/>
          <w:p>
            <w:pPr>
              <w:pStyle w:val="Compact"/>
              <w:jc w:val="left"/>
            </w:pPr>
            <w:r>
              <w:t xml:space="preserve">Waqf &amp; Stakeholder Reserve</w:t>
            </w:r>
          </w:p>
        </w:tc>
        <w:tc>
          <w:tcPr/>
          <w:p>
            <w:pPr>
              <w:pStyle w:val="Compact"/>
              <w:jc w:val="left"/>
            </w:pPr>
            <w:r>
              <w:t xml:space="preserve">20% of Gross Revenue, every year, fixed</w:t>
            </w:r>
          </w:p>
        </w:tc>
      </w:tr>
      <w:tr>
        <w:trPr>
          <w:cantSplit/>
        </w:trPr>
        <w:tc>
          <w:tcPr/>
          <w:p>
            <w:pPr>
              <w:pStyle w:val="Compact"/>
              <w:jc w:val="left"/>
            </w:pPr>
            <w:r>
              <w:t xml:space="preserve">Distributed (annually spent)</w:t>
            </w:r>
          </w:p>
        </w:tc>
        <w:tc>
          <w:tcPr/>
          <w:p>
            <w:pPr>
              <w:pStyle w:val="Compact"/>
              <w:jc w:val="left"/>
            </w:pPr>
            <w:r>
              <w:t xml:space="preserve">50% of the 20% line</w:t>
            </w:r>
          </w:p>
        </w:tc>
      </w:tr>
      <w:tr>
        <w:trPr>
          <w:cantSplit/>
        </w:trPr>
        <w:tc>
          <w:tcPr/>
          <w:p>
            <w:pPr>
              <w:pStyle w:val="Compact"/>
              <w:jc w:val="left"/>
            </w:pPr>
            <w:r>
              <w:t xml:space="preserve">Retained (AMIU Strategic Business Reserve)</w:t>
            </w:r>
          </w:p>
        </w:tc>
        <w:tc>
          <w:tcPr/>
          <w:p>
            <w:pPr>
              <w:pStyle w:val="Compact"/>
              <w:jc w:val="left"/>
            </w:pPr>
            <w:r>
              <w:t xml:space="preserve">50% of the 20% line, Sharī’ah-compliant investment only</w:t>
            </w:r>
          </w:p>
        </w:tc>
      </w:tr>
      <w:tr>
        <w:trPr>
          <w:cantSplit/>
        </w:trPr>
        <w:tc>
          <w:tcPr/>
          <w:p>
            <w:pPr>
              <w:pStyle w:val="Compact"/>
              <w:jc w:val="left"/>
            </w:pPr>
            <w:r>
              <w:t xml:space="preserve">Distributed sub-split</w:t>
            </w:r>
          </w:p>
        </w:tc>
        <w:tc>
          <w:tcPr/>
          <w:p>
            <w:pPr>
              <w:pStyle w:val="Compact"/>
              <w:jc w:val="left"/>
            </w:pPr>
            <w:r>
              <w:t xml:space="preserve">25% Islamic Schools/Mosque Support, 25% Widows &amp; Orphans, 20% Waqf Scholarship Block, 20% Nigeria Mega-University Reserve, 10% Emergency Relief</w:t>
            </w:r>
          </w:p>
        </w:tc>
      </w:tr>
      <w:tr>
        <w:trPr>
          <w:cantSplit/>
        </w:trPr>
        <w:tc>
          <w:tcPr/>
          <w:p>
            <w:pPr>
              <w:pStyle w:val="Compact"/>
              <w:jc w:val="left"/>
            </w:pPr>
            <w:r>
              <w:t xml:space="preserve">Ten-year cumulative (distributed sub-lines)</w:t>
            </w:r>
          </w:p>
        </w:tc>
        <w:tc>
          <w:tcPr/>
          <w:p>
            <w:pPr>
              <w:pStyle w:val="Compact"/>
              <w:jc w:val="left"/>
            </w:pPr>
            <w:r>
              <w:t xml:space="preserve">$416,729 / $416,729 / $333,383 / $333,383 / $166,692 respectively</w:t>
            </w:r>
          </w:p>
        </w:tc>
      </w:tr>
      <w:tr>
        <w:trPr>
          <w:cantSplit/>
        </w:trPr>
        <w:tc>
          <w:tcPr/>
          <w:p>
            <w:pPr>
              <w:pStyle w:val="Compact"/>
              <w:jc w:val="left"/>
            </w:pPr>
            <w:r>
              <w:t xml:space="preserve">Strategic Business Reserve, Year-10 cumulative balance</w:t>
            </w:r>
          </w:p>
        </w:tc>
        <w:tc>
          <w:tcPr/>
          <w:p>
            <w:pPr>
              <w:pStyle w:val="Compact"/>
              <w:jc w:val="left"/>
            </w:pPr>
            <w:r>
              <w:t xml:space="preserve">$1,240,527</w:t>
            </w:r>
          </w:p>
        </w:tc>
      </w:tr>
      <w:tr>
        <w:trPr>
          <w:cantSplit/>
        </w:trPr>
        <w:tc>
          <w:tcPr/>
          <w:p>
            <w:pPr>
              <w:pStyle w:val="Compact"/>
              <w:jc w:val="left"/>
            </w:pPr>
            <w:r>
              <w:t xml:space="preserve">Deployment threshold</w:t>
            </w:r>
          </w:p>
        </w:tc>
        <w:tc>
          <w:tcPr/>
          <w:p>
            <w:pPr>
              <w:pStyle w:val="Compact"/>
              <w:jc w:val="left"/>
            </w:pPr>
            <w:r>
              <w:t xml:space="preserve">Any deployment above $250,000/yr requires two-thirds Senate vote, including at least 2 of the 4 fully independent seats</w:t>
            </w:r>
          </w:p>
        </w:tc>
      </w:tr>
    </w:tbl>
    <w:p>
      <w:pPr>
        <w:pStyle w:val="BodyText"/>
      </w:pPr>
      <w:r>
        <w:rPr>
          <w:bCs/>
          <w:b/>
          <w:color w:val="B08625"/>
          <w:sz w:val="20"/>
          <w:caps/>
          <w:spacing w:val="14"/>
        </w:rPr>
        <w:t xml:space="preserve">Global Best Practices</w:t>
      </w:r>
    </w:p>
    <w:p>
      <w:pPr>
        <w:pStyle w:val="BodyText"/>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bi-annual re-certification practice.</w:t>
      </w:r>
    </w:p>
    <w:p>
      <w:pPr>
        <w:pStyle w:val="BodyText"/>
      </w:pPr>
      <w:r>
        <w:rPr>
          <w:bCs/>
          <w:b/>
          <w:color w:val="B08625"/>
          <w:sz w:val="20"/>
          <w:caps/>
          <w:spacing w:val="14"/>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 — Establishment</w:t>
            </w:r>
          </w:p>
        </w:tc>
        <w:tc>
          <w:tcPr/>
          <w:p>
            <w:pPr>
              <w:pStyle w:val="Compact"/>
              <w:jc w:val="left"/>
            </w:pPr>
            <w:r>
              <w:t xml:space="preserve">2028–29</w:t>
            </w:r>
          </w:p>
        </w:tc>
        <w:tc>
          <w:tcPr/>
          <w:p>
            <w:pPr>
              <w:pStyle w:val="Compact"/>
              <w:jc w:val="left"/>
            </w:pPr>
            <w:r>
              <w:t xml:space="preserve">Reserve mechanics operationalized; seed Strategic Business Reserve in conservative, low-risk Sharī’ah-compliant instruments given small initial balances</w:t>
            </w:r>
          </w:p>
        </w:tc>
      </w:tr>
      <w:tr>
        <w:trPr>
          <w:cantSplit/>
        </w:trPr>
        <w:tc>
          <w:tcPr/>
          <w:p>
            <w:pPr>
              <w:pStyle w:val="Compact"/>
              <w:jc w:val="left"/>
            </w:pPr>
            <w:r>
              <w:t xml:space="preserve">2 — Formalization</w:t>
            </w:r>
          </w:p>
        </w:tc>
        <w:tc>
          <w:tcPr/>
          <w:p>
            <w:pPr>
              <w:pStyle w:val="Compact"/>
              <w:jc w:val="left"/>
            </w:pPr>
            <w:r>
              <w:t xml:space="preserve">2030–32</w:t>
            </w:r>
          </w:p>
        </w:tc>
        <w:tc>
          <w:tcPr/>
          <w:p>
            <w:pPr>
              <w:pStyle w:val="Compact"/>
              <w:jc w:val="left"/>
            </w:pPr>
            <w:r>
              <w:t xml:space="preserve">Waqf &amp; Endowment Board adopts formal Investment Policy Statement; begins modest diversification as balance grows</w:t>
            </w:r>
          </w:p>
        </w:tc>
      </w:tr>
      <w:tr>
        <w:trPr>
          <w:cantSplit/>
        </w:trPr>
        <w:tc>
          <w:tcPr/>
          <w:p>
            <w:pPr>
              <w:pStyle w:val="Compact"/>
              <w:jc w:val="left"/>
            </w:pPr>
            <w:r>
              <w:t xml:space="preserve">3 — Scale-Up</w:t>
            </w:r>
          </w:p>
        </w:tc>
        <w:tc>
          <w:tcPr/>
          <w:p>
            <w:pPr>
              <w:pStyle w:val="Compact"/>
              <w:jc w:val="left"/>
            </w:pPr>
            <w:r>
              <w:t xml:space="preserve">2033–37</w:t>
            </w:r>
          </w:p>
        </w:tc>
        <w:tc>
          <w:tcPr/>
          <w:p>
            <w:pPr>
              <w:pStyle w:val="Compact"/>
              <w:jc w:val="left"/>
            </w:pPr>
            <w:r>
              <w:t xml:space="preserve">Nigeria Mega-University Reserve sub-line builds toward Year-10 charter application; Strategic Business Reserve reaches $1,240,527 cumulative</w:t>
            </w:r>
          </w:p>
        </w:tc>
      </w:tr>
      <w:tr>
        <w:trPr>
          <w:cantSplit/>
        </w:trPr>
        <w:tc>
          <w:tcPr/>
          <w:p>
            <w:pPr>
              <w:pStyle w:val="Compact"/>
              <w:jc w:val="left"/>
            </w:pPr>
            <w:r>
              <w:t xml:space="preserve">4 — Endowment Maturation</w:t>
            </w:r>
          </w:p>
        </w:tc>
        <w:tc>
          <w:tcPr/>
          <w:p>
            <w:pPr>
              <w:pStyle w:val="Compact"/>
              <w:jc w:val="left"/>
            </w:pPr>
            <w:r>
              <w:t xml:space="preserve">2038–47</w:t>
            </w:r>
          </w:p>
        </w:tc>
        <w:tc>
          <w:tcPr/>
          <w:p>
            <w:pPr>
              <w:pStyle w:val="Compact"/>
              <w:jc w:val="left"/>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pPr>
            <w:r>
              <w:t xml:space="preserve">5 — Perpetual Endowment</w:t>
            </w:r>
          </w:p>
        </w:tc>
        <w:tc>
          <w:tcPr/>
          <w:p>
            <w:pPr>
              <w:pStyle w:val="Compact"/>
              <w:jc w:val="left"/>
            </w:pPr>
            <w:r>
              <w:t xml:space="preserve">2048–2050</w:t>
            </w:r>
          </w:p>
        </w:tc>
        <w:tc>
          <w:tcPr/>
          <w:p>
            <w:pPr>
              <w:pStyle w:val="Compact"/>
              <w:jc w:val="left"/>
            </w:pPr>
            <w:r>
              <w:t xml:space="preserve">Reserve operates as a mature, long-horizon Islamic endowment supporting scholarships, Nigeria and future branch campuses, the mosque/school network, and global emergency relief</w:t>
            </w:r>
          </w:p>
        </w:tc>
      </w:tr>
    </w:tbl>
    <w:p>
      <w:pPr>
        <w:pStyle w:val="BodyText"/>
      </w:pPr>
      <w:r>
        <w:rPr>
          <w:bCs/>
          <w:b/>
          <w:color w:val="B08625"/>
          <w:sz w:val="20"/>
          <w:caps/>
          <w:spacing w:val="14"/>
        </w:rPr>
        <w:t xml:space="preserve">Staffing Requirements</w:t>
      </w:r>
    </w:p>
    <w:p>
      <w:pPr>
        <w:pStyle w:val="BodyText"/>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pPr>
      <w:r>
        <w:rPr>
          <w:bCs/>
          <w:b/>
          <w:color w:val="B08625"/>
          <w:sz w:val="20"/>
          <w:caps/>
          <w:spacing w:val="14"/>
        </w:rPr>
        <w:t xml:space="preserve">Annual Budget</w:t>
      </w:r>
    </w:p>
    <w:p>
      <w:pPr>
        <w:pStyle w:val="BodyText"/>
      </w:pPr>
      <w:r>
        <w:t xml:space="preserve">The Waqf line is 20% of Gross Revenue: approximately $44,951 in Year 1 (2028), ~$258,157 in Year 5, ~$766,110 in Year 10 — consistent with the Master Plan’s ten-year cumulative Waqf flow of roughly $3.33M (20% of $16,669,190), reconciling with the stated distributed sub-line total (~$1.67M) plus the reported $1,240,527 Strategic Business Reserve cumulative balance.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Sharī’ah-compliance risk in retained-reserve investment (existing register pattern, LOW likelihood/HIGH impact) — mitigated by Independent Sharī’ah Advisory Board bi-annual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pPr>
      <w:r>
        <w:rPr>
          <w:bCs/>
          <w:b/>
          <w:color w:val="B08625"/>
          <w:sz w:val="20"/>
          <w:caps/>
          <w:spacing w:val="14"/>
        </w:rPr>
        <w:t xml:space="preserve">Timeline</w:t>
      </w:r>
    </w:p>
    <w:p>
      <w:pPr>
        <w:pStyle w:val="BodyText"/>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pPr>
      <w:r>
        <w:rPr>
          <w:bCs/>
          <w:b/>
          <w:color w:val="B08625"/>
          <w:sz w:val="20"/>
          <w:caps/>
          <w:spacing w:val="14"/>
        </w:rPr>
        <w:t xml:space="preserve">Measurable Success Indicators</w:t>
      </w:r>
    </w:p>
    <w:p>
      <w:pPr>
        <w:pStyle w:val="BodyText"/>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SIX OF EIGHT</w:t>
            </w:r>
          </w:p>
          <w:p>
            <w:pPr>
              <w:spacing w:before="0" w:after="60"/>
            </w:pPr>
            <w:r>
              <w:rPr>
                <w:rFonts w:ascii="Cinzel" w:hAnsi="Cinzel"/>
                <w:b/>
                <w:color w:val="B08625"/>
                <w:sz w:val="20"/>
                <w:caps/>
                <w:spacing w:val="14"/>
              </w:rPr>
              <w:t>VI</w:t>
            </w:r>
          </w:p>
          <w:p>
            <w:pPr>
              <w:spacing w:before="120" w:after="80"/>
            </w:pPr>
            <w:r>
              <w:rPr>
                <w:rFonts w:ascii="Cormorant Garamond" w:hAnsi="Cormorant Garamond"/>
                <w:b/>
                <w:color w:val="B08625"/>
                <w:sz w:val="20"/>
                <w:caps/>
                <w:spacing w:val="14"/>
              </w:rPr>
              <w:t>Financial Growth, Marketing &amp; Branding</w:t>
            </w:r>
          </w:p>
          <w:p>
            <w:pPr>
              <w:spacing w:before="0" w:after="260"/>
              <w:pBdr>
                <w:bottom w:val="single" w:sz="10" w:space="8" w:color="B08625"/>
              </w:pBdr>
            </w:pPr>
            <w:r>
              <w:rPr>
                <w:rFonts w:ascii="Liberation Sans" w:hAnsi="Liberation Sans"/>
                <w:color w:val="8C97AB"/>
                <w:sz w:val="17"/>
                <w:spacing w:val="14"/>
              </w:rPr>
              <w:t>SECTIONS 26–30</w:t>
            </w:r>
          </w:p>
          <w:p>
            <w:pPr>
              <w:spacing w:before="0" w:after="360"/>
              <w:ind w:right="700"/>
            </w:pPr>
            <w:r>
              <w:rPr>
                <w:rFonts w:ascii="Cormorant Garamond" w:hAnsi="Cormorant Garamond"/>
                <w:i/>
                <w:color w:val="DCE3F0"/>
                <w:sz w:val="25"/>
              </w:rPr>
              <w:t>“Scholarships as designed policy rather than promise, grassroots near-zero-CAC marketing, and a branded-house architecture that lets expansion extend — never dilute — the AMIU name.”</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26 </w:t>
            </w:r>
            <w:r>
              <w:rPr>
                <w:rFonts w:ascii="Liberation Sans" w:hAnsi="Liberation Sans"/>
                <w:color w:val="FFFFFF"/>
                <w:sz w:val="20"/>
              </w:rPr>
              <w:t>Scholarship Strategy</w:t>
            </w:r>
          </w:p>
          <w:p>
            <w:pPr>
              <w:spacing w:before="0" w:after="130"/>
            </w:pPr>
            <w:r>
              <w:rPr>
                <w:rFonts w:ascii="Cinzel" w:hAnsi="Cinzel"/>
                <w:b/>
                <w:color w:val="B08625"/>
                <w:sz w:val="20"/>
                <w:caps/>
                <w:spacing w:val="14"/>
              </w:rPr>
              <w:t>27 </w:t>
            </w:r>
            <w:r>
              <w:rPr>
                <w:rFonts w:ascii="Liberation Sans" w:hAnsi="Liberation Sans"/>
                <w:color w:val="FFFFFF"/>
                <w:sz w:val="20"/>
              </w:rPr>
              <w:t>Revenue Diversification Strategy</w:t>
            </w:r>
          </w:p>
          <w:p>
            <w:pPr>
              <w:spacing w:before="0" w:after="130"/>
            </w:pPr>
            <w:r>
              <w:rPr>
                <w:rFonts w:ascii="Cinzel" w:hAnsi="Cinzel"/>
                <w:b/>
                <w:color w:val="B08625"/>
                <w:sz w:val="20"/>
                <w:caps/>
                <w:spacing w:val="14"/>
              </w:rPr>
              <w:t>28 </w:t>
            </w:r>
            <w:r>
              <w:rPr>
                <w:rFonts w:ascii="Liberation Sans" w:hAnsi="Liberation Sans"/>
                <w:color w:val="FFFFFF"/>
                <w:sz w:val="20"/>
              </w:rPr>
              <w:t>Marketing Strategy</w:t>
            </w:r>
          </w:p>
          <w:p>
            <w:pPr>
              <w:spacing w:before="0" w:after="130"/>
            </w:pPr>
            <w:r>
              <w:rPr>
                <w:rFonts w:ascii="Cinzel" w:hAnsi="Cinzel"/>
                <w:b/>
                <w:color w:val="B08625"/>
                <w:sz w:val="20"/>
                <w:caps/>
                <w:spacing w:val="14"/>
              </w:rPr>
              <w:t>29 </w:t>
            </w:r>
            <w:r>
              <w:rPr>
                <w:rFonts w:ascii="Liberation Sans" w:hAnsi="Liberation Sans"/>
                <w:color w:val="FFFFFF"/>
                <w:sz w:val="20"/>
              </w:rPr>
              <w:t>Branding Strategy</w:t>
            </w:r>
          </w:p>
          <w:p>
            <w:pPr>
              <w:spacing w:before="0" w:after="130"/>
            </w:pPr>
            <w:r>
              <w:rPr>
                <w:rFonts w:ascii="Cinzel" w:hAnsi="Cinzel"/>
                <w:b/>
                <w:color w:val="B08625"/>
                <w:sz w:val="20"/>
                <w:caps/>
                <w:spacing w:val="14"/>
              </w:rPr>
              <w:t>30 </w:t>
            </w:r>
            <w:r>
              <w:rPr>
                <w:rFonts w:ascii="Liberation Sans" w:hAnsi="Liberation Sans"/>
                <w:color w:val="FFFFFF"/>
                <w:sz w:val="20"/>
              </w:rPr>
              <w:t>International Expansion Strategy</w:t>
            </w:r>
          </w:p>
        </w:tc>
      </w:tr>
    </w:tbl>
    <w:p>
      <w:r>
        <w:br w:type="page"/>
      </w:r>
    </w:p>
    <w:p>
      <w:pPr>
        <w:pStyle w:val="SectionKicker"/>
      </w:pPr>
      <w:r>
        <w:t xml:space="preserve">PART VI · SECTION 26</w:t>
      </w:r>
    </w:p>
    <w:bookmarkEnd w:id="86"/>
    <w:bookmarkStart w:id="87" w:name="section-26-scholarship-strategy"/>
    <w:p>
      <w:pPr>
        <w:pStyle w:val="Heading2"/>
      </w:pPr>
      <w:r>
        <w:t xml:space="preserve">Section 26: Scholarship Strategy</w:t>
      </w:r>
    </w:p>
    <w:p>
      <w:pPr>
        <w:pStyle w:val="FirstParagraph"/>
      </w:pPr>
      <w:r>
        <w:rPr>
          <w:bCs/>
          <w:b/>
          <w:color w:val="B08625"/>
          <w:sz w:val="20"/>
          <w:caps/>
          <w:spacing w:val="14"/>
        </w:rPr>
        <w:t xml:space="preserve">Rationale</w:t>
      </w:r>
    </w:p>
    <w:p>
      <w:pPr>
        <w:pStyle w:val="BodyText"/>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pPr>
      <w:r>
        <w:rPr>
          <w:bCs/>
          <w:b/>
          <w:color w:val="B08625"/>
          <w:sz w:val="20"/>
          <w:caps/>
          <w:spacing w:val="14"/>
        </w:rPr>
        <w:t xml:space="preserve">Global Best Practices</w:t>
      </w:r>
    </w:p>
    <w:p>
      <w:pPr>
        <w:pStyle w:val="BodyText"/>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pPr>
      <w:r>
        <w:rPr>
          <w:bCs/>
          <w:b/>
          <w:color w:val="B08625"/>
          <w:sz w:val="20"/>
          <w:caps/>
          <w:spacing w:val="14"/>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Instrument</w:t>
            </w:r>
          </w:p>
        </w:tc>
        <w:tc>
          <w:tcPr/>
          <w:p>
            <w:pPr>
              <w:pStyle w:val="Compact"/>
              <w:jc w:val="left"/>
            </w:pPr>
            <w:r>
              <w:t xml:space="preserve">Mechanism</w:t>
            </w:r>
          </w:p>
        </w:tc>
        <w:tc>
          <w:tcPr/>
          <w:p>
            <w:pPr>
              <w:pStyle w:val="Compact"/>
              <w:jc w:val="left"/>
            </w:pPr>
            <w:r>
              <w:t xml:space="preserve">Funding Source</w:t>
            </w:r>
          </w:p>
        </w:tc>
      </w:tr>
      <w:tr>
        <w:trPr>
          <w:cantSplit/>
        </w:trPr>
        <w:tc>
          <w:tcPr/>
          <w:p>
            <w:pPr>
              <w:pStyle w:val="Compact"/>
              <w:jc w:val="left"/>
            </w:pPr>
            <w:r>
              <w:t xml:space="preserve">Waqf Scholarship Block</w:t>
            </w:r>
          </w:p>
        </w:tc>
        <w:tc>
          <w:tcPr/>
          <w:p>
            <w:pPr>
              <w:pStyle w:val="Compact"/>
              <w:jc w:val="left"/>
            </w:pPr>
            <w:r>
              <w:t xml:space="preserve">Discretionary awards drawn annually from distributed Waqf income</w:t>
            </w:r>
          </w:p>
        </w:tc>
        <w:tc>
          <w:tcPr/>
          <w:p>
            <w:pPr>
              <w:pStyle w:val="Compact"/>
              <w:jc w:val="left"/>
            </w:pPr>
            <w:r>
              <w:t xml:space="preserve">Waqf &amp; Stakeholder Reserve (20% of gross revenue)</w:t>
            </w:r>
          </w:p>
        </w:tc>
      </w:tr>
      <w:tr>
        <w:trPr>
          <w:cantSplit/>
        </w:trPr>
        <w:tc>
          <w:tcPr/>
          <w:p>
            <w:pPr>
              <w:pStyle w:val="Compact"/>
              <w:jc w:val="left"/>
            </w:pPr>
            <w:r>
              <w:t xml:space="preserve">Merit / Hifz Scholarships</w:t>
            </w:r>
          </w:p>
        </w:tc>
        <w:tc>
          <w:tcPr/>
          <w:p>
            <w:pPr>
              <w:pStyle w:val="Compact"/>
              <w:jc w:val="left"/>
            </w:pPr>
            <w:r>
              <w:t xml:space="preserve">Published academic and Qur’an-memorization criteria, Senate-approved</w:t>
            </w:r>
          </w:p>
        </w:tc>
        <w:tc>
          <w:tcPr/>
          <w:p>
            <w:pPr>
              <w:pStyle w:val="Compact"/>
              <w:jc w:val="left"/>
            </w:pPr>
            <w:r>
              <w:t xml:space="preserve">Waqf &amp; Stakeholder Reserve</w:t>
            </w:r>
          </w:p>
        </w:tc>
      </w:tr>
      <w:tr>
        <w:trPr>
          <w:cantSplit/>
        </w:trPr>
        <w:tc>
          <w:tcPr/>
          <w:p>
            <w:pPr>
              <w:pStyle w:val="Compact"/>
              <w:jc w:val="left"/>
            </w:pPr>
            <w:r>
              <w:t xml:space="preserve">Tier-4 Built-in Waivers</w:t>
            </w:r>
          </w:p>
        </w:tc>
        <w:tc>
          <w:tcPr/>
          <w:p>
            <w:pPr>
              <w:pStyle w:val="Compact"/>
              <w:jc w:val="left"/>
            </w:pPr>
            <w:r>
              <w:t xml:space="preserve">Structural, not discretionary — embedded in the Sponsored/conflict-affected tuition tier</w:t>
            </w:r>
          </w:p>
        </w:tc>
        <w:tc>
          <w:tcPr/>
          <w:p>
            <w:pPr>
              <w:pStyle w:val="Compact"/>
              <w:jc w:val="left"/>
            </w:pPr>
            <w:r>
              <w:t xml:space="preserve">Tuition pricing architecture (revenue-side, Board-set)</w:t>
            </w:r>
          </w:p>
        </w:tc>
      </w:tr>
      <w:tr>
        <w:trPr>
          <w:cantSplit/>
        </w:trPr>
        <w:tc>
          <w:tcPr/>
          <w:p>
            <w:pPr>
              <w:pStyle w:val="Compact"/>
              <w:jc w:val="left"/>
            </w:pPr>
            <w:r>
              <w:t xml:space="preserve">Community &amp; Institutional Nominated Seats</w:t>
            </w:r>
          </w:p>
        </w:tc>
        <w:tc>
          <w:tcPr/>
          <w:p>
            <w:pPr>
              <w:pStyle w:val="Compact"/>
              <w:jc w:val="left"/>
            </w:pPr>
            <w:r>
              <w:t xml:space="preserve">Partner mosques/organizations nominate 1–2 students/year</w:t>
            </w:r>
          </w:p>
        </w:tc>
        <w:tc>
          <w:tcPr/>
          <w:p>
            <w:pPr>
              <w:pStyle w:val="Compact"/>
              <w:jc w:val="left"/>
            </w:pPr>
            <w:r>
              <w:t xml:space="preserve">Waqf &amp; Stakeholder Reserve (administrative overlay, no incremental cost)</w:t>
            </w:r>
          </w:p>
        </w:tc>
      </w:tr>
      <w:tr>
        <w:trPr>
          <w:cantSplit/>
        </w:trPr>
        <w:tc>
          <w:tcPr/>
          <w:p>
            <w:pPr>
              <w:pStyle w:val="Compact"/>
              <w:jc w:val="left"/>
            </w:pPr>
            <w:r>
              <w:t xml:space="preserve">Named Sadaqah Jāriyah Scholarships</w:t>
            </w:r>
          </w:p>
        </w:tc>
        <w:tc>
          <w:tcPr/>
          <w:p>
            <w:pPr>
              <w:pStyle w:val="Compact"/>
              <w:jc w:val="left"/>
            </w:pPr>
            <w:r>
              <w:t xml:space="preserve">Donor-endowed, permanently named, publicly reported</w:t>
            </w:r>
          </w:p>
        </w:tc>
        <w:tc>
          <w:tcPr/>
          <w:p>
            <w:pPr>
              <w:pStyle w:val="Compact"/>
              <w:jc w:val="left"/>
            </w:pPr>
            <w:r>
              <w:t xml:space="preserve">Philanthropic inflow to Waqf &amp; Stakeholder Reserve (additive to tuition revenue)</w:t>
            </w:r>
          </w:p>
        </w:tc>
      </w:tr>
    </w:tbl>
    <w:p>
      <w:pPr>
        <w:pStyle w:val="BodyText"/>
      </w:pPr>
      <w:r>
        <w:rPr>
          <w:bCs/>
          <w:b/>
          <w:color w:val="B08625"/>
          <w:sz w:val="20"/>
          <w:caps/>
          <w:spacing w:val="14"/>
        </w:rPr>
        <w:t xml:space="preserve">Implementation Phases</w:t>
      </w:r>
    </w:p>
    <w:p>
      <w:pPr>
        <w:numPr>
          <w:ilvl w:val="0"/>
          <w:numId w:val="1015"/>
        </w:numPr>
        <w:pStyle w:val="Compact"/>
      </w:pPr>
      <w:r>
        <w:rPr>
          <w:bCs/>
          <w:b/>
          <w:color w:val="B08625"/>
          <w:sz w:val="20"/>
          <w:caps/>
          <w:spacing w:val="14"/>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pPr>
      <w:r>
        <w:rPr>
          <w:bCs/>
          <w:b/>
          <w:color w:val="B08625"/>
          <w:sz w:val="20"/>
          <w:caps/>
          <w:spacing w:val="14"/>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pPr>
      <w:r>
        <w:rPr>
          <w:bCs/>
          <w:b/>
          <w:color w:val="B08625"/>
          <w:sz w:val="20"/>
          <w:caps/>
          <w:spacing w:val="14"/>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pPr>
      <w:r>
        <w:rPr>
          <w:bCs/>
          <w:b/>
          <w:color w:val="B08625"/>
          <w:sz w:val="20"/>
          <w:caps/>
          <w:spacing w:val="14"/>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Scholarship duties held by Registrar/Admissions</w:t>
            </w:r>
          </w:p>
        </w:tc>
        <w:tc>
          <w:tcPr/>
          <w:p>
            <w:pPr>
              <w:pStyle w:val="Compact"/>
              <w:jc w:val="left"/>
            </w:pPr>
            <w:r>
              <w:t xml:space="preserve">0 dedicated</w:t>
            </w:r>
          </w:p>
        </w:tc>
        <w:tc>
          <w:tcPr/>
          <w:p>
            <w:pPr>
              <w:pStyle w:val="Compact"/>
              <w:jc w:val="left"/>
            </w:pPr>
            <w:r>
              <w:t xml:space="preserve">Payroll — Core Admin Staff (18%)</w:t>
            </w:r>
          </w:p>
        </w:tc>
      </w:tr>
      <w:tr>
        <w:trPr>
          <w:cantSplit/>
        </w:trPr>
        <w:tc>
          <w:tcPr/>
          <w:p>
            <w:pPr>
              <w:pStyle w:val="Compact"/>
              <w:jc w:val="left"/>
            </w:pPr>
            <w:r>
              <w:t xml:space="preserve">3–5</w:t>
            </w:r>
          </w:p>
        </w:tc>
        <w:tc>
          <w:tcPr/>
          <w:p>
            <w:pPr>
              <w:pStyle w:val="Compact"/>
              <w:jc w:val="left"/>
            </w:pPr>
            <w:r>
              <w:t xml:space="preserve">Scholarship &amp; Financial Aid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Scholarship Officer + Waqf Donor Relations Coordinator</w:t>
            </w:r>
          </w:p>
        </w:tc>
        <w:tc>
          <w:tcPr/>
          <w:p>
            <w:pPr>
              <w:pStyle w:val="Compact"/>
              <w:jc w:val="left"/>
            </w:pPr>
            <w:r>
              <w:t xml:space="preserve">1.5</w:t>
            </w:r>
          </w:p>
        </w:tc>
        <w:tc>
          <w:tcPr/>
          <w:p>
            <w:pPr>
              <w:pStyle w:val="Compact"/>
              <w:jc w:val="left"/>
            </w:pPr>
            <w:r>
              <w:t xml:space="preserve">Payroll — Core Admin Staff (18% of $766,110 Yr10 payroll pool)</w:t>
            </w:r>
          </w:p>
        </w:tc>
      </w:tr>
    </w:tbl>
    <w:p>
      <w:pPr>
        <w:pStyle w:val="BodyText"/>
      </w:pPr>
      <w:r>
        <w:rPr>
          <w:bCs/>
          <w:b/>
        </w:rPr>
        <w:t xml:space="preserve">Annual Budget (illustrative Waqf &amp; Stakeholder Reserve pool, 20% of gross revenue)</w:t>
      </w:r>
    </w:p>
    <w:p>
      <w:pPr>
        <w:pStyle w:val="BodyText"/>
      </w:pPr>
      <w:r>
        <w:t xml:space="preserve">Year 1: $44,949 · Year 5: $258,157 · Year 10: $766,110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pPr>
      <w:r>
        <w:rPr>
          <w:bCs/>
          <w:b/>
          <w:color w:val="B08625"/>
          <w:sz w:val="20"/>
          <w:caps/>
          <w:spacing w:val="14"/>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pPr>
      <w:r>
        <w:rPr>
          <w:bCs/>
          <w:b/>
          <w:color w:val="B08625"/>
          <w:sz w:val="20"/>
          <w:caps/>
          <w:spacing w:val="14"/>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pPr>
      <w:r>
        <w:rPr>
          <w:bCs/>
          <w:b/>
          <w:color w:val="B08625"/>
          <w:sz w:val="20"/>
          <w:caps/>
          <w:spacing w:val="14"/>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pPr>
      <w:r>
        <w:rPr>
          <w:bCs/>
          <w:b/>
          <w:color w:val="B08625"/>
          <w:sz w:val="20"/>
          <w:caps/>
          <w:spacing w:val="14"/>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pPr>
      <w:r>
        <w:rPr>
          <w:bCs/>
          <w:b/>
          <w:color w:val="B08625"/>
          <w:sz w:val="20"/>
          <w:caps/>
          <w:spacing w:val="14"/>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7"/>
    <w:bookmarkStart w:id="88" w:name="Xc358c59d7c43ef7226959388f99f4c9db570d9e"/>
    <w:p>
      <w:pPr>
        <w:pStyle w:val="Heading2"/>
      </w:pPr>
      <w:r>
        <w:t xml:space="preserve">Section 27: Revenue Diversification Strategy</w:t>
      </w:r>
    </w:p>
    <w:p>
      <w:pPr>
        <w:pStyle w:val="FirstParagraph"/>
      </w:pPr>
      <w:r>
        <w:rPr>
          <w:bCs/>
          <w:b/>
          <w:color w:val="B08625"/>
          <w:sz w:val="20"/>
          <w:caps/>
          <w:spacing w:val="14"/>
        </w:rPr>
        <w:t xml:space="preserve">Rationale</w:t>
      </w:r>
    </w:p>
    <w:p>
      <w:pPr>
        <w:pStyle w:val="BodyText"/>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pPr>
      <w:r>
        <w:rPr>
          <w:bCs/>
          <w:b/>
          <w:color w:val="B08625"/>
          <w:sz w:val="20"/>
          <w:caps/>
          <w:spacing w:val="14"/>
        </w:rPr>
        <w:t xml:space="preserve">Explicitly Out of Scope</w:t>
      </w:r>
    </w:p>
    <w:p>
      <w:pPr>
        <w:pStyle w:val="BodyText"/>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pPr>
      <w:r>
        <w:rPr>
          <w:bCs/>
          <w:b/>
          <w:color w:val="B08625"/>
          <w:sz w:val="20"/>
          <w:caps/>
          <w:spacing w:val="14"/>
        </w:rPr>
        <w:t xml:space="preserve">Global Best Practices</w:t>
      </w:r>
    </w:p>
    <w:p>
      <w:pPr>
        <w:pStyle w:val="BodyText"/>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pPr>
      <w:r>
        <w:rPr>
          <w:bCs/>
          <w:b/>
          <w:color w:val="B08625"/>
          <w:sz w:val="20"/>
          <w:caps/>
          <w:spacing w:val="14"/>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Avenue</w:t>
            </w:r>
          </w:p>
        </w:tc>
        <w:tc>
          <w:tcPr/>
          <w:p>
            <w:pPr>
              <w:pStyle w:val="Compact"/>
              <w:jc w:val="left"/>
            </w:pPr>
            <w:r>
              <w:t xml:space="preserve">Mechanism</w:t>
            </w:r>
          </w:p>
        </w:tc>
        <w:tc>
          <w:tcPr/>
          <w:p>
            <w:pPr>
              <w:pStyle w:val="Compact"/>
              <w:jc w:val="left"/>
            </w:pPr>
            <w:r>
              <w:t xml:space="preserve">Allocation Category</w:t>
            </w:r>
          </w:p>
        </w:tc>
      </w:tr>
      <w:tr>
        <w:trPr>
          <w:cantSplit/>
        </w:trPr>
        <w:tc>
          <w:tcPr/>
          <w:p>
            <w:pPr>
              <w:pStyle w:val="Compact"/>
              <w:jc w:val="left"/>
            </w:pPr>
            <w:r>
              <w:t xml:space="preserve">Tiered tuition volume growth</w:t>
            </w:r>
          </w:p>
        </w:tc>
        <w:tc>
          <w:tcPr/>
          <w:p>
            <w:pPr>
              <w:pStyle w:val="Compact"/>
              <w:jc w:val="left"/>
            </w:pPr>
            <w:r>
              <w:t xml:space="preserve">Core driver: 347 (Yr1) → 3,493 (Yr5) → 11,021 (Yr10) students across 4 tiers</w:t>
            </w:r>
          </w:p>
        </w:tc>
        <w:tc>
          <w:tcPr/>
          <w:p>
            <w:pPr>
              <w:pStyle w:val="Compact"/>
              <w:jc w:val="left"/>
            </w:pPr>
            <w:r>
              <w:t xml:space="preserve">Gross Revenue base</w:t>
            </w:r>
          </w:p>
        </w:tc>
      </w:tr>
      <w:tr>
        <w:trPr>
          <w:cantSplit/>
        </w:trPr>
        <w:tc>
          <w:tcPr/>
          <w:p>
            <w:pPr>
              <w:pStyle w:val="Compact"/>
              <w:jc w:val="left"/>
            </w:pPr>
            <w:r>
              <w:t xml:space="preserve">Sadaqah Jāriyah / philanthropic Waqf inflows</w:t>
            </w:r>
          </w:p>
        </w:tc>
        <w:tc>
          <w:tcPr/>
          <w:p>
            <w:pPr>
              <w:pStyle w:val="Compact"/>
              <w:jc w:val="left"/>
            </w:pPr>
            <w:r>
              <w:t xml:space="preserve">Donor gifts additive to tuition, not tuition itself</w:t>
            </w:r>
          </w:p>
        </w:tc>
        <w:tc>
          <w:tcPr/>
          <w:p>
            <w:pPr>
              <w:pStyle w:val="Compact"/>
              <w:jc w:val="left"/>
            </w:pPr>
            <w:r>
              <w:t xml:space="preserve">Waqf &amp; Stakeholder Reserve (20%)</w:t>
            </w:r>
          </w:p>
        </w:tc>
      </w:tr>
      <w:tr>
        <w:trPr>
          <w:cantSplit/>
        </w:trPr>
        <w:tc>
          <w:tcPr/>
          <w:p>
            <w:pPr>
              <w:pStyle w:val="Compact"/>
              <w:jc w:val="left"/>
            </w:pPr>
            <w:r>
              <w:t xml:space="preserve">CPD / short-course / digital-certificate revenue</w:t>
            </w:r>
          </w:p>
        </w:tc>
        <w:tc>
          <w:tcPr/>
          <w:p>
            <w:pPr>
              <w:pStyle w:val="Compact"/>
              <w:jc w:val="left"/>
            </w:pPr>
            <w:r>
              <w:t xml:space="preserve">Low-cost, LMS-delivered, non-degree offerings for working professionals and community learners</w:t>
            </w:r>
          </w:p>
        </w:tc>
        <w:tc>
          <w:tcPr/>
          <w:p>
            <w:pPr>
              <w:pStyle w:val="Compact"/>
              <w:jc w:val="left"/>
            </w:pPr>
            <w:r>
              <w:t xml:space="preserve">LMS &amp; Technology Infrastructure (5%) for delivery; Payroll/Core Admin for coordination</w:t>
            </w:r>
          </w:p>
        </w:tc>
      </w:tr>
      <w:tr>
        <w:trPr>
          <w:cantSplit/>
        </w:trPr>
        <w:tc>
          <w:tcPr/>
          <w:p>
            <w:pPr>
              <w:pStyle w:val="Compact"/>
              <w:jc w:val="left"/>
            </w:pPr>
            <w:r>
              <w:t xml:space="preserve">Liquidity-Reserve-funded resilience initiatives</w:t>
            </w:r>
          </w:p>
        </w:tc>
        <w:tc>
          <w:tcPr/>
          <w:p>
            <w:pPr>
              <w:pStyle w:val="Compact"/>
              <w:jc w:val="left"/>
            </w:pPr>
            <w:r>
              <w:t xml:space="preserve">Reserve-funded forward investment (campus expansion, accreditation costs), not new revenue but risk buffer enabling growth</w:t>
            </w:r>
          </w:p>
        </w:tc>
        <w:tc>
          <w:tcPr/>
          <w:p>
            <w:pPr>
              <w:pStyle w:val="Compact"/>
              <w:jc w:val="left"/>
            </w:pPr>
            <w:r>
              <w:t xml:space="preserve">Liquidity Reserve (35%)</w:t>
            </w:r>
          </w:p>
        </w:tc>
      </w:tr>
    </w:tbl>
    <w:p>
      <w:pPr>
        <w:pStyle w:val="BodyText"/>
      </w:pPr>
      <w:r>
        <w:rPr>
          <w:bCs/>
          <w:b/>
          <w:color w:val="B08625"/>
          <w:sz w:val="20"/>
          <w:caps/>
          <w:spacing w:val="14"/>
        </w:rPr>
        <w:t xml:space="preserve">Implementation Phases</w:t>
      </w:r>
    </w:p>
    <w:p>
      <w:pPr>
        <w:numPr>
          <w:ilvl w:val="0"/>
          <w:numId w:val="1016"/>
        </w:numPr>
        <w:pStyle w:val="Compact"/>
      </w:pPr>
      <w:r>
        <w:rPr>
          <w:bCs/>
          <w:b/>
          <w:color w:val="B08625"/>
          <w:sz w:val="20"/>
          <w:caps/>
          <w:spacing w:val="14"/>
        </w:rPr>
        <w:t xml:space="preserve">Phase 1 (2028–2029):</w:t>
      </w:r>
      <w:r>
        <w:t xml:space="preserve"> </w:t>
      </w:r>
      <w:r>
        <w:t xml:space="preserve">Tuition-volume growth is the sole active lever; informal small-dollar Sadaqah appeals begin.</w:t>
      </w:r>
    </w:p>
    <w:p>
      <w:pPr>
        <w:numPr>
          <w:ilvl w:val="0"/>
          <w:numId w:val="1016"/>
        </w:numPr>
        <w:pStyle w:val="Compact"/>
      </w:pPr>
      <w:r>
        <w:rPr>
          <w:bCs/>
          <w:b/>
          <w:color w:val="B08625"/>
          <w:sz w:val="20"/>
          <w:caps/>
          <w:spacing w:val="14"/>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pPr>
      <w:r>
        <w:rPr>
          <w:bCs/>
          <w:b/>
          <w:color w:val="B08625"/>
          <w:sz w:val="20"/>
          <w:caps/>
          <w:spacing w:val="14"/>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pPr>
      <w:r>
        <w:rPr>
          <w:bCs/>
          <w:b/>
          <w:color w:val="B08625"/>
          <w:sz w:val="20"/>
          <w:caps/>
          <w:spacing w:val="14"/>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pPr>
      <w:r>
        <w:rPr>
          <w:bCs/>
          <w:b/>
          <w:color w:val="B08625"/>
          <w:sz w:val="20"/>
          <w:caps/>
          <w:spacing w:val="14"/>
        </w:rPr>
        <w:t xml:space="preserve">Staffing</w:t>
      </w:r>
    </w:p>
    <w:p>
      <w:pPr>
        <w:pStyle w:val="BodyText"/>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pPr>
      <w:r>
        <w:rPr>
          <w:bCs/>
          <w:b/>
          <w:color w:val="B08625"/>
          <w:sz w:val="20"/>
          <w:caps/>
          <w:spacing w:val="14"/>
        </w:rPr>
        <w:t xml:space="preserve">Annual Budget</w:t>
      </w:r>
    </w:p>
    <w:p>
      <w:pPr>
        <w:pStyle w:val="BodyText"/>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pPr>
      <w:r>
        <w:rPr>
          <w:bCs/>
          <w:b/>
          <w:color w:val="B08625"/>
          <w:sz w:val="20"/>
          <w:caps/>
          <w:spacing w:val="14"/>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pPr>
      <w:r>
        <w:rPr>
          <w:bCs/>
          <w:b/>
          <w:color w:val="B08625"/>
          <w:sz w:val="20"/>
          <w:caps/>
          <w:spacing w:val="14"/>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pPr>
      <w:r>
        <w:rPr>
          <w:bCs/>
          <w:b/>
          <w:color w:val="B08625"/>
          <w:sz w:val="20"/>
          <w:caps/>
          <w:spacing w:val="14"/>
        </w:rPr>
        <w:t xml:space="preserve">Timeline:</w:t>
      </w:r>
      <w:r>
        <w:t xml:space="preserve"> </w:t>
      </w:r>
      <w:r>
        <w:t xml:space="preserve">2028 tuition-only → 2030 CPD pilot + first Sadaqah campaign → 2033 CPD scaling → 2038+ diversification mature but proportionally minor.</w:t>
      </w:r>
    </w:p>
    <w:p>
      <w:pPr>
        <w:pStyle w:val="BodyText"/>
      </w:pPr>
      <w:r>
        <w:rPr>
          <w:bCs/>
          <w:b/>
          <w:color w:val="B08625"/>
          <w:sz w:val="20"/>
          <w:caps/>
          <w:spacing w:val="14"/>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pPr>
      <w:r>
        <w:rPr>
          <w:bCs/>
          <w:b/>
          <w:color w:val="B08625"/>
          <w:sz w:val="20"/>
          <w:caps/>
          <w:spacing w:val="14"/>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8"/>
    <w:bookmarkStart w:id="89" w:name="section-28-marketing-strategy"/>
    <w:p>
      <w:pPr>
        <w:pStyle w:val="Heading2"/>
      </w:pPr>
      <w:r>
        <w:t xml:space="preserve">Section 28: Marketing Strategy</w:t>
      </w:r>
    </w:p>
    <w:p>
      <w:pPr>
        <w:pStyle w:val="FirstParagraph"/>
      </w:pPr>
      <w:r>
        <w:rPr>
          <w:bCs/>
          <w:b/>
          <w:color w:val="B08625"/>
          <w:sz w:val="20"/>
          <w:caps/>
          <w:spacing w:val="14"/>
        </w:rPr>
        <w:t xml:space="preserve">Rationale</w:t>
      </w:r>
    </w:p>
    <w:p>
      <w:pPr>
        <w:pStyle w:val="BodyText"/>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pPr>
      <w:r>
        <w:rPr>
          <w:bCs/>
          <w:b/>
          <w:color w:val="B08625"/>
          <w:sz w:val="20"/>
          <w:caps/>
          <w:spacing w:val="14"/>
        </w:rPr>
        <w:t xml:space="preserve">Global Best Practices</w:t>
      </w:r>
    </w:p>
    <w:p>
      <w:pPr>
        <w:pStyle w:val="BodyText"/>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pPr>
      <w:r>
        <w:rPr>
          <w:bCs/>
          <w:b/>
          <w:color w:val="B08625"/>
          <w:sz w:val="20"/>
          <w:caps/>
          <w:spacing w:val="14"/>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Tier</w:t>
            </w:r>
          </w:p>
        </w:tc>
        <w:tc>
          <w:tcPr/>
          <w:p>
            <w:pPr>
              <w:pStyle w:val="Compact"/>
              <w:jc w:val="left"/>
            </w:pPr>
            <w:r>
              <w:t xml:space="preserve">Emphasis</w:t>
            </w:r>
          </w:p>
        </w:tc>
        <w:tc>
          <w:tcPr/>
          <w:p>
            <w:pPr>
              <w:pStyle w:val="Compact"/>
              <w:jc w:val="left"/>
            </w:pPr>
            <w:r>
              <w:t xml:space="preserve">Primary Channels</w:t>
            </w:r>
          </w:p>
        </w:tc>
      </w:tr>
      <w:tr>
        <w:trPr>
          <w:cantSplit/>
        </w:trPr>
        <w:tc>
          <w:tcPr/>
          <w:p>
            <w:pPr>
              <w:pStyle w:val="Compact"/>
              <w:jc w:val="left"/>
            </w:pPr>
            <w:r>
              <w:t xml:space="preserve">Tier 1 (Premium)</w:t>
            </w:r>
          </w:p>
        </w:tc>
        <w:tc>
          <w:tcPr/>
          <w:p>
            <w:pPr>
              <w:pStyle w:val="Compact"/>
              <w:jc w:val="left"/>
            </w:pPr>
            <w:r>
              <w:t xml:space="preserve">Rigor, credential trajectory, global recognition</w:t>
            </w:r>
          </w:p>
        </w:tc>
        <w:tc>
          <w:tcPr/>
          <w:p>
            <w:pPr>
              <w:pStyle w:val="Compact"/>
              <w:jc w:val="left"/>
            </w:pPr>
            <w:r>
              <w:t xml:space="preserve">LinkedIn, diaspora mosque boards, email, alumni networks</w:t>
            </w:r>
          </w:p>
        </w:tc>
      </w:tr>
      <w:tr>
        <w:trPr>
          <w:cantSplit/>
        </w:trPr>
        <w:tc>
          <w:tcPr/>
          <w:p>
            <w:pPr>
              <w:pStyle w:val="Compact"/>
              <w:jc w:val="left"/>
            </w:pPr>
            <w:r>
              <w:t xml:space="preserve">Tier 2 (Standard)</w:t>
            </w:r>
          </w:p>
        </w:tc>
        <w:tc>
          <w:tcPr/>
          <w:p>
            <w:pPr>
              <w:pStyle w:val="Compact"/>
              <w:jc w:val="left"/>
            </w:pPr>
            <w:r>
              <w:t xml:space="preserve">Balanced value + accessibility</w:t>
            </w:r>
          </w:p>
        </w:tc>
        <w:tc>
          <w:tcPr/>
          <w:p>
            <w:pPr>
              <w:pStyle w:val="Compact"/>
              <w:jc w:val="left"/>
            </w:pPr>
            <w:r>
              <w:t xml:space="preserve">Social media, community referral</w:t>
            </w:r>
          </w:p>
        </w:tc>
      </w:tr>
      <w:tr>
        <w:trPr>
          <w:cantSplit/>
        </w:trPr>
        <w:tc>
          <w:tcPr/>
          <w:p>
            <w:pPr>
              <w:pStyle w:val="Compact"/>
              <w:jc w:val="left"/>
            </w:pPr>
            <w:r>
              <w:t xml:space="preserve">Tier 3 (Accessible: Nigeria/Pakistan/Bangladesh/India/Indonesia)</w:t>
            </w:r>
          </w:p>
        </w:tc>
        <w:tc>
          <w:tcPr/>
          <w:p>
            <w:pPr>
              <w:pStyle w:val="Compact"/>
              <w:jc w:val="left"/>
            </w:pPr>
            <w:r>
              <w:t xml:space="preserve">Affordability, stackable ladder, scholarship</w:t>
            </w:r>
          </w:p>
        </w:tc>
        <w:tc>
          <w:tcPr/>
          <w:p>
            <w:pPr>
              <w:pStyle w:val="Compact"/>
              <w:jc w:val="left"/>
            </w:pPr>
            <w:r>
              <w:t xml:space="preserve">WhatsApp/Facebook groups, local ambassadors, mosque partners, local-language content</w:t>
            </w:r>
          </w:p>
        </w:tc>
      </w:tr>
      <w:tr>
        <w:trPr>
          <w:cantSplit/>
        </w:trPr>
        <w:tc>
          <w:tcPr/>
          <w:p>
            <w:pPr>
              <w:pStyle w:val="Compact"/>
              <w:jc w:val="left"/>
            </w:pPr>
            <w:r>
              <w:t xml:space="preserve">Tier 4 (Sponsored/conflict-affected)</w:t>
            </w:r>
          </w:p>
        </w:tc>
        <w:tc>
          <w:tcPr/>
          <w:p>
            <w:pPr>
              <w:pStyle w:val="Compact"/>
              <w:jc w:val="left"/>
            </w:pPr>
            <w:r>
              <w:t xml:space="preserve">Zero/near-zero barrier</w:t>
            </w:r>
          </w:p>
        </w:tc>
        <w:tc>
          <w:tcPr/>
          <w:p>
            <w:pPr>
              <w:pStyle w:val="Compact"/>
              <w:jc w:val="left"/>
            </w:pPr>
            <w:r>
              <w:t xml:space="preserve">NGO/relief-partner channels, community leaders — never paid ads</w:t>
            </w:r>
          </w:p>
        </w:tc>
      </w:tr>
    </w:tbl>
    <w:p>
      <w:pPr>
        <w:pStyle w:val="BodyText"/>
      </w:pPr>
      <w:r>
        <w:rPr>
          <w:bCs/>
          <w:b/>
          <w:color w:val="B08625"/>
          <w:sz w:val="20"/>
          <w:caps/>
          <w:spacing w:val="14"/>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pPr>
      <w:r>
        <w:rPr>
          <w:bCs/>
          <w:b/>
          <w:color w:val="B08625"/>
          <w:sz w:val="20"/>
          <w:caps/>
          <w:spacing w:val="14"/>
        </w:rPr>
        <w:t xml:space="preserve">Implementation Phases</w:t>
      </w:r>
    </w:p>
    <w:p>
      <w:pPr>
        <w:numPr>
          <w:ilvl w:val="0"/>
          <w:numId w:val="1017"/>
        </w:numPr>
        <w:pStyle w:val="Compact"/>
      </w:pPr>
      <w:r>
        <w:rPr>
          <w:bCs/>
          <w:b/>
          <w:color w:val="B08625"/>
          <w:sz w:val="20"/>
          <w:caps/>
          <w:spacing w:val="14"/>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pPr>
      <w:r>
        <w:rPr>
          <w:bCs/>
          <w:b/>
          <w:color w:val="B08625"/>
          <w:sz w:val="20"/>
          <w:caps/>
          <w:spacing w:val="14"/>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pPr>
      <w:r>
        <w:rPr>
          <w:bCs/>
          <w:b/>
          <w:color w:val="B08625"/>
          <w:sz w:val="20"/>
          <w:caps/>
          <w:spacing w:val="14"/>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pPr>
      <w:r>
        <w:rPr>
          <w:bCs/>
          <w:b/>
          <w:color w:val="B08625"/>
          <w:sz w:val="20"/>
          <w:caps/>
          <w:spacing w:val="14"/>
        </w:rPr>
        <w:t xml:space="preserve">Phase 4 (2038+):</w:t>
      </w:r>
      <w:r>
        <w:t xml:space="preserve"> </w:t>
      </w:r>
      <w:r>
        <w:t xml:space="preserve">Marketing scales with the 20-year revenue trajectory but stays fixed at 10% of a much larger base.</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Founders + volunteer ambassadors</w:t>
            </w:r>
          </w:p>
        </w:tc>
        <w:tc>
          <w:tcPr/>
          <w:p>
            <w:pPr>
              <w:pStyle w:val="Compact"/>
              <w:jc w:val="left"/>
            </w:pPr>
            <w:r>
              <w:t xml:space="preserve">0 dedicated FTE</w:t>
            </w:r>
          </w:p>
        </w:tc>
        <w:tc>
          <w:tcPr/>
          <w:p>
            <w:pPr>
              <w:pStyle w:val="Compact"/>
              <w:jc w:val="left"/>
            </w:pPr>
            <w:r>
              <w:t xml:space="preserve">Marketing 10% line (stipends only)</w:t>
            </w:r>
          </w:p>
        </w:tc>
      </w:tr>
      <w:tr>
        <w:trPr>
          <w:cantSplit/>
        </w:trPr>
        <w:tc>
          <w:tcPr/>
          <w:p>
            <w:pPr>
              <w:pStyle w:val="Compact"/>
              <w:jc w:val="left"/>
            </w:pPr>
            <w:r>
              <w:t xml:space="preserve">3–5</w:t>
            </w:r>
          </w:p>
        </w:tc>
        <w:tc>
          <w:tcPr/>
          <w:p>
            <w:pPr>
              <w:pStyle w:val="Compact"/>
              <w:jc w:val="left"/>
            </w:pPr>
            <w:r>
              <w:t xml:space="preserve">Marketing &amp; Admissions Outreach Coordinator</w:t>
            </w:r>
          </w:p>
        </w:tc>
        <w:tc>
          <w:tcPr/>
          <w:p>
            <w:pPr>
              <w:pStyle w:val="Compact"/>
              <w:jc w:val="left"/>
            </w:pPr>
            <w:r>
              <w:t xml:space="preserve">0.5–1.0</w:t>
            </w:r>
          </w:p>
        </w:tc>
        <w:tc>
          <w:tcPr/>
          <w:p>
            <w:pPr>
              <w:pStyle w:val="Compact"/>
              <w:jc w:val="left"/>
            </w:pPr>
            <w:r>
              <w:t xml:space="preserve">Payroll — Core Admin Staff sub-line</w:t>
            </w:r>
          </w:p>
        </w:tc>
      </w:tr>
      <w:tr>
        <w:trPr>
          <w:cantSplit/>
        </w:trPr>
        <w:tc>
          <w:tcPr/>
          <w:p>
            <w:pPr>
              <w:pStyle w:val="Compact"/>
              <w:jc w:val="left"/>
            </w:pPr>
            <w:r>
              <w:t xml:space="preserve">10</w:t>
            </w:r>
          </w:p>
        </w:tc>
        <w:tc>
          <w:tcPr/>
          <w:p>
            <w:pPr>
              <w:pStyle w:val="Compact"/>
              <w:jc w:val="left"/>
            </w:pPr>
            <w:r>
              <w:t xml:space="preserve">Regional marketing/admissions liaisons (one per major tier region)</w:t>
            </w:r>
          </w:p>
        </w:tc>
        <w:tc>
          <w:tcPr/>
          <w:p>
            <w:pPr>
              <w:pStyle w:val="Compact"/>
              <w:jc w:val="left"/>
            </w:pPr>
            <w:r>
              <w:t xml:space="preserve">2–3</w:t>
            </w:r>
          </w:p>
        </w:tc>
        <w:tc>
          <w:tcPr/>
          <w:p>
            <w:pPr>
              <w:pStyle w:val="Compact"/>
              <w:jc w:val="left"/>
            </w:pPr>
            <w:r>
              <w:t xml:space="preserve">Payroll — Core Admin Staff sub-line</w:t>
            </w:r>
          </w:p>
        </w:tc>
      </w:tr>
    </w:tbl>
    <w:p>
      <w:pPr>
        <w:pStyle w:val="BodyText"/>
      </w:pPr>
      <w:r>
        <w:t xml:space="preserve">Coordinator/liaison salaries are deliberately funded from Payroll (Core Admin, 18%), not the Marketing line, so the Marketing budget itself is preserved for stipends, tools, and content.</w:t>
      </w:r>
    </w:p>
    <w:p>
      <w:pPr>
        <w:pStyle w:val="BodyText"/>
      </w:pPr>
      <w:r>
        <w:rPr>
          <w:bCs/>
          <w:b/>
          <w:color w:val="B08625"/>
          <w:sz w:val="20"/>
          <w:caps/>
          <w:spacing w:val="14"/>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pPr>
      <w:r>
        <w:rPr>
          <w:bCs/>
          <w:b/>
          <w:color w:val="B08625"/>
          <w:sz w:val="20"/>
          <w:caps/>
          <w:spacing w:val="14"/>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pPr>
      <w:r>
        <w:rPr>
          <w:bCs/>
          <w:b/>
          <w:color w:val="B08625"/>
          <w:sz w:val="20"/>
          <w:caps/>
          <w:spacing w:val="14"/>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pPr>
      <w:r>
        <w:rPr>
          <w:bCs/>
          <w:b/>
          <w:color w:val="B08625"/>
          <w:sz w:val="20"/>
          <w:caps/>
          <w:spacing w:val="14"/>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pPr>
      <w:r>
        <w:rPr>
          <w:bCs/>
          <w:b/>
          <w:color w:val="B08625"/>
          <w:sz w:val="20"/>
          <w:caps/>
          <w:spacing w:val="14"/>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pPr>
      <w:r>
        <w:rPr>
          <w:bCs/>
          <w:b/>
          <w:color w:val="B08625"/>
          <w:sz w:val="20"/>
          <w:caps/>
          <w:spacing w:val="14"/>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89"/>
    <w:bookmarkStart w:id="90" w:name="section-29-branding-strategy"/>
    <w:p>
      <w:pPr>
        <w:pStyle w:val="Heading2"/>
      </w:pPr>
      <w:r>
        <w:t xml:space="preserve">Section 29: Branding Strategy</w:t>
      </w:r>
    </w:p>
    <w:p>
      <w:pPr>
        <w:pStyle w:val="FirstParagraph"/>
      </w:pPr>
      <w:r>
        <w:rPr>
          <w:bCs/>
          <w:b/>
          <w:color w:val="B08625"/>
          <w:sz w:val="20"/>
          <w:caps/>
          <w:spacing w:val="14"/>
        </w:rPr>
        <w:t xml:space="preserve">Rationale</w:t>
      </w:r>
    </w:p>
    <w:p>
      <w:pPr>
        <w:pStyle w:val="BodyText"/>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pPr>
      <w:r>
        <w:rPr>
          <w:bCs/>
          <w:b/>
          <w:color w:val="B08625"/>
          <w:sz w:val="20"/>
          <w:caps/>
          <w:spacing w:val="14"/>
        </w:rPr>
        <w:t xml:space="preserve">Global Best Practices</w:t>
      </w:r>
    </w:p>
    <w:p>
      <w:pPr>
        <w:pStyle w:val="BodyText"/>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pPr>
      <w:r>
        <w:rPr>
          <w:bCs/>
          <w:b/>
          <w:color w:val="B08625"/>
          <w:sz w:val="20"/>
          <w:caps/>
          <w:spacing w:val="14"/>
        </w:rPr>
        <w:t xml:space="preserve">Visual Identity Guidelines</w:t>
      </w:r>
    </w:p>
    <w:p>
      <w:pPr>
        <w:numPr>
          <w:ilvl w:val="0"/>
          <w:numId w:val="1018"/>
        </w:numPr>
        <w:pStyle w:val="Compact"/>
      </w:pPr>
      <w:r>
        <w:rPr>
          <w:bCs/>
          <w:b/>
          <w:color w:val="B08625"/>
          <w:sz w:val="20"/>
          <w:caps/>
          <w:spacing w:val="14"/>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pPr>
      <w:r>
        <w:rPr>
          <w:bCs/>
          <w:b/>
          <w:color w:val="B08625"/>
          <w:sz w:val="20"/>
          <w:caps/>
          <w:spacing w:val="14"/>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pPr>
      <w:r>
        <w:rPr>
          <w:bCs/>
          <w:b/>
          <w:color w:val="B08625"/>
          <w:sz w:val="20"/>
          <w:caps/>
          <w:spacing w:val="14"/>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pPr>
      <w:r>
        <w:rPr>
          <w:bCs/>
          <w:b/>
        </w:rPr>
        <w:t xml:space="preserve">Tier Differentiation Without Appearing to Price-Discriminate</w:t>
      </w:r>
    </w:p>
    <w:p>
      <w:pPr>
        <w:pStyle w:val="BodyText"/>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pPr>
      <w:r>
        <w:rPr>
          <w:bCs/>
          <w:b/>
          <w:color w:val="B08625"/>
          <w:sz w:val="20"/>
          <w:caps/>
          <w:spacing w:val="14"/>
        </w:rPr>
        <w:t xml:space="preserve">Implementation Phases</w:t>
      </w:r>
    </w:p>
    <w:p>
      <w:pPr>
        <w:numPr>
          <w:ilvl w:val="0"/>
          <w:numId w:val="1019"/>
        </w:numPr>
        <w:pStyle w:val="Compact"/>
      </w:pPr>
      <w:r>
        <w:rPr>
          <w:bCs/>
          <w:b/>
          <w:color w:val="B08625"/>
          <w:sz w:val="20"/>
          <w:caps/>
          <w:spacing w:val="14"/>
        </w:rPr>
        <w:t xml:space="preserve">Phase 1 (2028):</w:t>
      </w:r>
      <w:r>
        <w:t xml:space="preserve"> </w:t>
      </w:r>
      <w:r>
        <w:t xml:space="preserve">Formalize Brand Style Guide v1 and an ambassador/marketing toolkit building on already-adopted core assets.</w:t>
      </w:r>
    </w:p>
    <w:p>
      <w:pPr>
        <w:numPr>
          <w:ilvl w:val="0"/>
          <w:numId w:val="1019"/>
        </w:numPr>
        <w:pStyle w:val="Compact"/>
      </w:pPr>
      <w:r>
        <w:rPr>
          <w:bCs/>
          <w:b/>
          <w:color w:val="B08625"/>
          <w:sz w:val="20"/>
          <w:caps/>
          <w:spacing w:val="14"/>
        </w:rPr>
        <w:t xml:space="preserve">Phase 2 (2029–2032):</w:t>
      </w:r>
      <w:r>
        <w:t xml:space="preserve"> </w:t>
      </w:r>
      <w:r>
        <w:t xml:space="preserve">Develop the Gambia Branch Campus sub-brand lockup.</w:t>
      </w:r>
    </w:p>
    <w:p>
      <w:pPr>
        <w:numPr>
          <w:ilvl w:val="0"/>
          <w:numId w:val="1019"/>
        </w:numPr>
        <w:pStyle w:val="Compact"/>
      </w:pPr>
      <w:r>
        <w:rPr>
          <w:bCs/>
          <w:b/>
          <w:color w:val="B08625"/>
          <w:sz w:val="20"/>
          <w:caps/>
          <w:spacing w:val="14"/>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pPr>
      <w:r>
        <w:rPr>
          <w:bCs/>
          <w:b/>
          <w:color w:val="B08625"/>
          <w:sz w:val="20"/>
          <w:caps/>
          <w:spacing w:val="14"/>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Brand/comms duties held by Founders/DVC Admin &amp; Finance</w:t>
            </w:r>
          </w:p>
        </w:tc>
        <w:tc>
          <w:tcPr/>
          <w:p>
            <w:pPr>
              <w:pStyle w:val="Compact"/>
              <w:jc w:val="left"/>
            </w:pPr>
            <w:r>
              <w:t xml:space="preserve">0 dedicated</w:t>
            </w:r>
          </w:p>
        </w:tc>
        <w:tc>
          <w:tcPr/>
          <w:p>
            <w:pPr>
              <w:pStyle w:val="Compact"/>
              <w:jc w:val="left"/>
            </w:pPr>
            <w:r>
              <w:t xml:space="preserve">Payroll — Core Admin Staff (nominal)</w:t>
            </w:r>
          </w:p>
        </w:tc>
      </w:tr>
      <w:tr>
        <w:trPr>
          <w:cantSplit/>
        </w:trPr>
        <w:tc>
          <w:tcPr/>
          <w:p>
            <w:pPr>
              <w:pStyle w:val="Compact"/>
              <w:jc w:val="left"/>
            </w:pPr>
            <w:r>
              <w:t xml:space="preserve">5</w:t>
            </w:r>
          </w:p>
        </w:tc>
        <w:tc>
          <w:tcPr/>
          <w:p>
            <w:pPr>
              <w:pStyle w:val="Compact"/>
              <w:jc w:val="left"/>
            </w:pPr>
            <w:r>
              <w:t xml:space="preserve">Brand &amp; Communications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Brand/Communications Officer + regional brand liaisons (part-time)</w:t>
            </w:r>
          </w:p>
        </w:tc>
        <w:tc>
          <w:tcPr/>
          <w:p>
            <w:pPr>
              <w:pStyle w:val="Compact"/>
              <w:jc w:val="left"/>
            </w:pPr>
            <w:r>
              <w:t xml:space="preserve">1.0 +</w:t>
            </w:r>
          </w:p>
        </w:tc>
        <w:tc>
          <w:tcPr/>
          <w:p>
            <w:pPr>
              <w:pStyle w:val="Compact"/>
              <w:jc w:val="left"/>
            </w:pPr>
            <w:r>
              <w:t xml:space="preserve">Payroll — Core Admin Staff (18% of $766,110 Yr10 pool)</w:t>
            </w:r>
          </w:p>
        </w:tc>
      </w:tr>
    </w:tbl>
    <w:p>
      <w:pPr>
        <w:pStyle w:val="BodyText"/>
      </w:pPr>
      <w:r>
        <w:rPr>
          <w:bCs/>
          <w:b/>
          <w:color w:val="B08625"/>
          <w:sz w:val="20"/>
          <w:caps/>
          <w:spacing w:val="14"/>
        </w:rPr>
        <w:t xml:space="preserve">Annual Budget</w:t>
      </w:r>
    </w:p>
    <w:p>
      <w:pPr>
        <w:pStyle w:val="BodyText"/>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pPr>
      <w:r>
        <w:rPr>
          <w:bCs/>
          <w:b/>
          <w:color w:val="B08625"/>
          <w:sz w:val="20"/>
          <w:caps/>
          <w:spacing w:val="14"/>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pPr>
      <w:r>
        <w:rPr>
          <w:bCs/>
          <w:b/>
          <w:color w:val="B08625"/>
          <w:sz w:val="20"/>
          <w:caps/>
          <w:spacing w:val="14"/>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pPr>
      <w:r>
        <w:rPr>
          <w:bCs/>
          <w:b/>
          <w:color w:val="B08625"/>
          <w:sz w:val="20"/>
          <w:caps/>
          <w:spacing w:val="14"/>
        </w:rPr>
        <w:t xml:space="preserve">Timeline:</w:t>
      </w:r>
      <w:r>
        <w:t xml:space="preserve"> </w:t>
      </w:r>
      <w:r>
        <w:t xml:space="preserve">2028 style guide v1 → 2030 Gambia sub-brand → 2037 Nigeria sub-brand → 2040 Gulf-facing identity → 2038–41 secular-school brand decision point.</w:t>
      </w:r>
    </w:p>
    <w:p>
      <w:pPr>
        <w:pStyle w:val="BodyText"/>
      </w:pPr>
      <w:r>
        <w:rPr>
          <w:bCs/>
          <w:b/>
          <w:color w:val="B08625"/>
          <w:sz w:val="20"/>
          <w:caps/>
          <w:spacing w:val="14"/>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pPr>
      <w:r>
        <w:rPr>
          <w:bCs/>
          <w:b/>
          <w:color w:val="B08625"/>
          <w:sz w:val="20"/>
          <w:caps/>
          <w:spacing w:val="14"/>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0"/>
    <w:bookmarkStart w:id="91" w:name="Xc71a5d8b17f477b0394a8d7d7a1ca970b989841"/>
    <w:p>
      <w:pPr>
        <w:pStyle w:val="Heading2"/>
      </w:pPr>
      <w:r>
        <w:t xml:space="preserve">Section 30: International Expansion Strategy</w:t>
      </w:r>
    </w:p>
    <w:p>
      <w:pPr>
        <w:pStyle w:val="FirstParagraph"/>
      </w:pPr>
      <w:r>
        <w:rPr>
          <w:bCs/>
          <w:b/>
          <w:color w:val="B08625"/>
          <w:sz w:val="20"/>
          <w:caps/>
          <w:spacing w:val="14"/>
        </w:rPr>
        <w:t xml:space="preserve">Rationale</w:t>
      </w:r>
    </w:p>
    <w:p>
      <w:pPr>
        <w:pStyle w:val="BodyText"/>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pPr>
      <w:r>
        <w:rPr>
          <w:bCs/>
          <w:b/>
          <w:color w:val="B08625"/>
          <w:sz w:val="20"/>
          <w:caps/>
          <w:spacing w:val="14"/>
        </w:rPr>
        <w:t xml:space="preserve">Global Best Practices</w:t>
      </w:r>
    </w:p>
    <w:p>
      <w:pPr>
        <w:pStyle w:val="BodyText"/>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pPr>
      <w:r>
        <w:rPr>
          <w:bCs/>
          <w:b/>
          <w:color w:val="B08625"/>
          <w:sz w:val="20"/>
          <w:caps/>
          <w:spacing w:val="14"/>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Timing</w:t>
            </w:r>
          </w:p>
        </w:tc>
        <w:tc>
          <w:tcPr/>
          <w:p>
            <w:pPr>
              <w:pStyle w:val="Compact"/>
              <w:jc w:val="left"/>
            </w:pPr>
            <w:r>
              <w:t xml:space="preserve">Mechanism</w:t>
            </w:r>
          </w:p>
        </w:tc>
        <w:tc>
          <w:tcPr/>
          <w:p>
            <w:pPr>
              <w:pStyle w:val="Compact"/>
              <w:jc w:val="left"/>
            </w:pPr>
            <w:r>
              <w:t xml:space="preserve">Funding</w:t>
            </w:r>
          </w:p>
        </w:tc>
      </w:tr>
      <w:tr>
        <w:trPr>
          <w:cantSplit/>
        </w:trPr>
        <w:tc>
          <w:tcPr/>
          <w:p>
            <w:pPr>
              <w:pStyle w:val="Compact"/>
              <w:jc w:val="left"/>
            </w:pPr>
            <w:r>
              <w:t xml:space="preserve">Digital four-tier global reach</w:t>
            </w:r>
          </w:p>
        </w:tc>
        <w:tc>
          <w:tcPr/>
          <w:p>
            <w:pPr>
              <w:pStyle w:val="Compact"/>
              <w:jc w:val="left"/>
            </w:pPr>
            <w:r>
              <w:t xml:space="preserve">Ongoing from Year 1 (2028)</w:t>
            </w:r>
          </w:p>
        </w:tc>
        <w:tc>
          <w:tcPr/>
          <w:p>
            <w:pPr>
              <w:pStyle w:val="Compact"/>
              <w:jc w:val="left"/>
            </w:pPr>
            <w:r>
              <w:t xml:space="preserve">Core tuition model, no campus required</w:t>
            </w:r>
          </w:p>
        </w:tc>
        <w:tc>
          <w:tcPr/>
          <w:p>
            <w:pPr>
              <w:pStyle w:val="Compact"/>
              <w:jc w:val="left"/>
            </w:pPr>
            <w:r>
              <w:t xml:space="preserve">Gross tuition revenue</w:t>
            </w:r>
          </w:p>
        </w:tc>
      </w:tr>
      <w:tr>
        <w:trPr>
          <w:cantSplit/>
        </w:trPr>
        <w:tc>
          <w:tcPr/>
          <w:p>
            <w:pPr>
              <w:pStyle w:val="Compact"/>
              <w:jc w:val="left"/>
            </w:pPr>
            <w:r>
              <w:t xml:space="preserve">Gambia Branch Campus</w:t>
            </w:r>
          </w:p>
        </w:tc>
        <w:tc>
          <w:tcPr/>
          <w:p>
            <w:pPr>
              <w:pStyle w:val="Compact"/>
              <w:jc w:val="left"/>
            </w:pPr>
            <w:r>
              <w:t xml:space="preserve">Stage 3, Years 2–4 (2029–2031)</w:t>
            </w:r>
          </w:p>
        </w:tc>
        <w:tc>
          <w:tcPr/>
          <w:p>
            <w:pPr>
              <w:pStyle w:val="Compact"/>
              <w:jc w:val="left"/>
            </w:pPr>
            <w:r>
              <w:t xml:space="preserve">$50,000 Board-approved ceiling; independent NAQAA accreditation pursuit</w:t>
            </w:r>
          </w:p>
        </w:tc>
        <w:tc>
          <w:tcPr/>
          <w:p>
            <w:pPr>
              <w:pStyle w:val="Compact"/>
              <w:jc w:val="left"/>
            </w:pPr>
            <w:r>
              <w:t xml:space="preserve">Liquidity Reserve (35%)</w:t>
            </w:r>
          </w:p>
        </w:tc>
      </w:tr>
      <w:tr>
        <w:trPr>
          <w:cantSplit/>
        </w:trPr>
        <w:tc>
          <w:tcPr/>
          <w:p>
            <w:pPr>
              <w:pStyle w:val="Compact"/>
              <w:jc w:val="left"/>
            </w:pPr>
            <w:r>
              <w:t xml:space="preserve">Nigeria Mega-University Initiative</w:t>
            </w:r>
          </w:p>
        </w:tc>
        <w:tc>
          <w:tcPr/>
          <w:p>
            <w:pPr>
              <w:pStyle w:val="Compact"/>
              <w:jc w:val="left"/>
            </w:pPr>
            <w:r>
              <w:t xml:space="preserve">Target Year 10 (2037) charter application to National Assembly/NUC</w:t>
            </w:r>
          </w:p>
        </w:tc>
        <w:tc>
          <w:tcPr/>
          <w:p>
            <w:pPr>
              <w:pStyle w:val="Compact"/>
              <w:jc w:val="left"/>
            </w:pPr>
            <w:r>
              <w:t xml:space="preserve">Physical charter for public legitimacy in largest Tier-3 market</w:t>
            </w:r>
          </w:p>
        </w:tc>
        <w:tc>
          <w:tcPr/>
          <w:p>
            <w:pPr>
              <w:pStyle w:val="Compact"/>
              <w:jc w:val="left"/>
            </w:pPr>
            <w:r>
              <w:t xml:space="preserve">Waqf Nigeria Reserve sub-line ($333,383 10-yr cumulative, within Waqf &amp; Stakeholder Reserve 20%)</w:t>
            </w:r>
          </w:p>
        </w:tc>
      </w:tr>
      <w:tr>
        <w:trPr>
          <w:cantSplit/>
        </w:trPr>
        <w:tc>
          <w:tcPr/>
          <w:p>
            <w:pPr>
              <w:pStyle w:val="Compact"/>
              <w:jc w:val="left"/>
            </w:pPr>
            <w:r>
              <w:t xml:space="preserve">First Gulf ministry recognition</w:t>
            </w:r>
          </w:p>
        </w:tc>
        <w:tc>
          <w:tcPr/>
          <w:p>
            <w:pPr>
              <w:pStyle w:val="Compact"/>
              <w:jc w:val="left"/>
            </w:pPr>
            <w:r>
              <w:t xml:space="preserve">Target Year 13 (2040)</w:t>
            </w:r>
          </w:p>
        </w:tc>
        <w:tc>
          <w:tcPr/>
          <w:p>
            <w:pPr>
              <w:pStyle w:val="Compact"/>
              <w:jc w:val="left"/>
            </w:pPr>
            <w:r>
              <w:t xml:space="preserve">Recognition agreement, not a physical campus</w:t>
            </w:r>
          </w:p>
        </w:tc>
        <w:tc>
          <w:tcPr/>
          <w:p>
            <w:pPr>
              <w:pStyle w:val="Compact"/>
              <w:jc w:val="left"/>
            </w:pPr>
            <w:r>
              <w:t xml:space="preserve">Liquidity Reserve — accreditation costs</w:t>
            </w:r>
          </w:p>
        </w:tc>
      </w:tr>
    </w:tbl>
    <w:p>
      <w:pPr>
        <w:pStyle w:val="BodyText"/>
      </w:pPr>
      <w:r>
        <w:rPr>
          <w:bCs/>
          <w:b/>
          <w:color w:val="B08625"/>
          <w:sz w:val="20"/>
          <w:caps/>
          <w:spacing w:val="14"/>
        </w:rPr>
        <w:t xml:space="preserve">Implementation Phases</w:t>
      </w:r>
    </w:p>
    <w:p>
      <w:pPr>
        <w:numPr>
          <w:ilvl w:val="0"/>
          <w:numId w:val="1020"/>
        </w:numPr>
        <w:pStyle w:val="Compact"/>
      </w:pPr>
      <w:r>
        <w:rPr>
          <w:bCs/>
          <w:b/>
          <w:color w:val="B08625"/>
          <w:sz w:val="20"/>
          <w:caps/>
          <w:spacing w:val="14"/>
        </w:rPr>
        <w:t xml:space="preserve">Phase 1 (2028–2029):</w:t>
      </w:r>
      <w:r>
        <w:t xml:space="preserve"> </w:t>
      </w:r>
      <w:r>
        <w:t xml:space="preserve">Digital global reach established across all four tiers; Gambia site planning begins.</w:t>
      </w:r>
    </w:p>
    <w:p>
      <w:pPr>
        <w:numPr>
          <w:ilvl w:val="0"/>
          <w:numId w:val="1020"/>
        </w:numPr>
        <w:pStyle w:val="Compact"/>
      </w:pPr>
      <w:r>
        <w:rPr>
          <w:bCs/>
          <w:b/>
          <w:color w:val="B08625"/>
          <w:sz w:val="20"/>
          <w:caps/>
          <w:spacing w:val="14"/>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pPr>
      <w:r>
        <w:rPr>
          <w:bCs/>
          <w:b/>
          <w:color w:val="B08625"/>
          <w:sz w:val="20"/>
          <w:caps/>
          <w:spacing w:val="14"/>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pPr>
      <w:r>
        <w:rPr>
          <w:bCs/>
          <w:b/>
          <w:color w:val="B08625"/>
          <w:sz w:val="20"/>
          <w:caps/>
          <w:spacing w:val="14"/>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Role</w:t>
            </w:r>
          </w:p>
        </w:tc>
        <w:tc>
          <w:tcPr/>
          <w:p>
            <w:pPr>
              <w:pStyle w:val="Compact"/>
              <w:jc w:val="left"/>
            </w:pPr>
            <w:r>
              <w:t xml:space="preserve">Timing</w:t>
            </w:r>
          </w:p>
        </w:tc>
        <w:tc>
          <w:tcPr/>
          <w:p>
            <w:pPr>
              <w:pStyle w:val="Compact"/>
              <w:jc w:val="left"/>
            </w:pPr>
            <w:r>
              <w:t xml:space="preserve">Funding</w:t>
            </w:r>
          </w:p>
        </w:tc>
      </w:tr>
      <w:tr>
        <w:trPr>
          <w:cantSplit/>
        </w:trPr>
        <w:tc>
          <w:tcPr/>
          <w:p>
            <w:pPr>
              <w:pStyle w:val="Compact"/>
              <w:jc w:val="left"/>
            </w:pPr>
            <w:r>
              <w:t xml:space="preserve">Gambia</w:t>
            </w:r>
          </w:p>
        </w:tc>
        <w:tc>
          <w:tcPr/>
          <w:p>
            <w:pPr>
              <w:pStyle w:val="Compact"/>
              <w:jc w:val="left"/>
            </w:pPr>
            <w:r>
              <w:t xml:space="preserve">Campus Director/Registrar (1 FTE) + 1–2 local admin hires</w:t>
            </w:r>
          </w:p>
        </w:tc>
        <w:tc>
          <w:tcPr/>
          <w:p>
            <w:pPr>
              <w:pStyle w:val="Compact"/>
              <w:jc w:val="left"/>
            </w:pPr>
            <w:r>
              <w:t xml:space="preserve">From Year 2</w:t>
            </w:r>
          </w:p>
        </w:tc>
        <w:tc>
          <w:tcPr/>
          <w:p>
            <w:pPr>
              <w:pStyle w:val="Compact"/>
              <w:jc w:val="left"/>
            </w:pPr>
            <w:r>
              <w:t xml:space="preserve">Payroll — Founders’ Compensation / Core Admin Staff</w:t>
            </w:r>
          </w:p>
        </w:tc>
      </w:tr>
      <w:tr>
        <w:trPr>
          <w:cantSplit/>
        </w:trPr>
        <w:tc>
          <w:tcPr/>
          <w:p>
            <w:pPr>
              <w:pStyle w:val="Compact"/>
              <w:jc w:val="left"/>
            </w:pPr>
            <w:r>
              <w:t xml:space="preserve">Nigeria</w:t>
            </w:r>
          </w:p>
        </w:tc>
        <w:tc>
          <w:tcPr/>
          <w:p>
            <w:pPr>
              <w:pStyle w:val="Compact"/>
              <w:jc w:val="left"/>
            </w:pPr>
            <w:r>
              <w:t xml:space="preserve">Charter Liaison/Government Relations Officer (part-time)</w:t>
            </w:r>
          </w:p>
        </w:tc>
        <w:tc>
          <w:tcPr/>
          <w:p>
            <w:pPr>
              <w:pStyle w:val="Compact"/>
              <w:jc w:val="left"/>
            </w:pPr>
            <w:r>
              <w:t xml:space="preserve">Years 7–10</w:t>
            </w:r>
          </w:p>
        </w:tc>
        <w:tc>
          <w:tcPr/>
          <w:p>
            <w:pPr>
              <w:pStyle w:val="Compact"/>
              <w:jc w:val="left"/>
            </w:pPr>
            <w:r>
              <w:t xml:space="preserve">Waqf Nigeria Reserve sub-line administrative allowance</w:t>
            </w:r>
          </w:p>
        </w:tc>
      </w:tr>
      <w:tr>
        <w:trPr>
          <w:cantSplit/>
        </w:trPr>
        <w:tc>
          <w:tcPr/>
          <w:p>
            <w:pPr>
              <w:pStyle w:val="Compact"/>
              <w:jc w:val="left"/>
            </w:pPr>
            <w:r>
              <w:t xml:space="preserve">Gulf</w:t>
            </w:r>
          </w:p>
        </w:tc>
        <w:tc>
          <w:tcPr/>
          <w:p>
            <w:pPr>
              <w:pStyle w:val="Compact"/>
              <w:jc w:val="left"/>
            </w:pPr>
            <w:r>
              <w:t xml:space="preserve">Ministry Relations Officer (part-time contract)</w:t>
            </w:r>
          </w:p>
        </w:tc>
        <w:tc>
          <w:tcPr/>
          <w:p>
            <w:pPr>
              <w:pStyle w:val="Compact"/>
              <w:jc w:val="left"/>
            </w:pPr>
            <w:r>
              <w:t xml:space="preserve">Years 11–13</w:t>
            </w:r>
          </w:p>
        </w:tc>
        <w:tc>
          <w:tcPr/>
          <w:p>
            <w:pPr>
              <w:pStyle w:val="Compact"/>
              <w:jc w:val="left"/>
            </w:pPr>
            <w:r>
              <w:t xml:space="preserve">Liquidity Reserve — accreditation costs</w:t>
            </w:r>
          </w:p>
        </w:tc>
      </w:tr>
    </w:tbl>
    <w:p>
      <w:pPr>
        <w:pStyle w:val="BodyText"/>
      </w:pPr>
      <w:r>
        <w:rPr>
          <w:bCs/>
          <w:b/>
          <w:color w:val="B08625"/>
          <w:sz w:val="20"/>
          <w:caps/>
          <w:spacing w:val="14"/>
        </w:rPr>
        <w:t xml:space="preserve">Annual Budget</w:t>
      </w:r>
    </w:p>
    <w:p>
      <w:pPr>
        <w:pStyle w:val="BodyText"/>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pPr>
      <w:r>
        <w:rPr>
          <w:bCs/>
          <w:b/>
          <w:color w:val="B08625"/>
          <w:sz w:val="20"/>
          <w:caps/>
          <w:spacing w:val="14"/>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pPr>
      <w:r>
        <w:rPr>
          <w:bCs/>
          <w:b/>
          <w:color w:val="B08625"/>
          <w:sz w:val="20"/>
          <w:caps/>
          <w:spacing w:val="14"/>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pPr>
      <w:r>
        <w:rPr>
          <w:bCs/>
          <w:b/>
          <w:color w:val="B08625"/>
          <w:sz w:val="20"/>
          <w:caps/>
          <w:spacing w:val="14"/>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pPr>
      <w:r>
        <w:rPr>
          <w:bCs/>
          <w:b/>
          <w:color w:val="B08625"/>
          <w:sz w:val="20"/>
          <w:caps/>
          <w:spacing w:val="14"/>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pPr>
      <w:r>
        <w:rPr>
          <w:bCs/>
          <w:b/>
          <w:color w:val="B08625"/>
          <w:sz w:val="20"/>
          <w:caps/>
          <w:spacing w:val="14"/>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SEVEN OF EIGHT</w:t>
            </w:r>
          </w:p>
          <w:p>
            <w:pPr>
              <w:spacing w:before="0" w:after="60"/>
            </w:pPr>
            <w:r>
              <w:rPr>
                <w:rFonts w:ascii="Cinzel" w:hAnsi="Cinzel"/>
                <w:b/>
                <w:color w:val="B08625"/>
                <w:sz w:val="20"/>
                <w:caps/>
                <w:spacing w:val="14"/>
              </w:rPr>
              <w:t>VII</w:t>
            </w:r>
          </w:p>
          <w:p>
            <w:pPr>
              <w:spacing w:before="120" w:after="80"/>
            </w:pPr>
            <w:r>
              <w:rPr>
                <w:rFonts w:ascii="Cormorant Garamond" w:hAnsi="Cormorant Garamond"/>
                <w:b/>
                <w:color w:val="B08625"/>
                <w:sz w:val="20"/>
                <w:caps/>
                <w:spacing w:val="14"/>
              </w:rPr>
              <w:t>Regional Campuses &amp; Student Lifecycle</w:t>
            </w:r>
          </w:p>
          <w:p>
            <w:pPr>
              <w:spacing w:before="0" w:after="260"/>
              <w:pBdr>
                <w:bottom w:val="single" w:sz="10" w:space="8" w:color="B08625"/>
              </w:pBdr>
            </w:pPr>
            <w:r>
              <w:rPr>
                <w:rFonts w:ascii="Liberation Sans" w:hAnsi="Liberation Sans"/>
                <w:color w:val="8C97AB"/>
                <w:sz w:val="17"/>
                <w:spacing w:val="14"/>
              </w:rPr>
              <w:t>SECTIONS 31–35</w:t>
            </w:r>
          </w:p>
          <w:p>
            <w:pPr>
              <w:spacing w:before="0" w:after="360"/>
              <w:ind w:right="700"/>
            </w:pPr>
            <w:r>
              <w:rPr>
                <w:rFonts w:ascii="Cormorant Garamond" w:hAnsi="Cormorant Garamond"/>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31 </w:t>
            </w:r>
            <w:r>
              <w:rPr>
                <w:rFonts w:ascii="Liberation Sans" w:hAnsi="Liberation Sans"/>
                <w:color w:val="FFFFFF"/>
                <w:sz w:val="20"/>
              </w:rPr>
              <w:t>Nigeria Campus Strategy</w:t>
            </w:r>
          </w:p>
          <w:p>
            <w:pPr>
              <w:spacing w:before="0" w:after="130"/>
            </w:pPr>
            <w:r>
              <w:rPr>
                <w:rFonts w:ascii="Cinzel" w:hAnsi="Cinzel"/>
                <w:b/>
                <w:color w:val="B08625"/>
                <w:sz w:val="20"/>
                <w:caps/>
                <w:spacing w:val="14"/>
              </w:rPr>
              <w:t>32 </w:t>
            </w:r>
            <w:r>
              <w:rPr>
                <w:rFonts w:ascii="Liberation Sans" w:hAnsi="Liberation Sans"/>
                <w:color w:val="FFFFFF"/>
                <w:sz w:val="20"/>
              </w:rPr>
              <w:t>Gulf Cooperation Strategy</w:t>
            </w:r>
          </w:p>
          <w:p>
            <w:pPr>
              <w:spacing w:before="0" w:after="130"/>
            </w:pPr>
            <w:r>
              <w:rPr>
                <w:rFonts w:ascii="Cinzel" w:hAnsi="Cinzel"/>
                <w:b/>
                <w:color w:val="B08625"/>
                <w:sz w:val="20"/>
                <w:caps/>
                <w:spacing w:val="14"/>
              </w:rPr>
              <w:t>33 </w:t>
            </w:r>
            <w:r>
              <w:rPr>
                <w:rFonts w:ascii="Liberation Sans" w:hAnsi="Liberation Sans"/>
                <w:color w:val="FFFFFF"/>
                <w:sz w:val="20"/>
              </w:rPr>
              <w:t>Student Support Framework</w:t>
            </w:r>
          </w:p>
          <w:p>
            <w:pPr>
              <w:spacing w:before="0" w:after="130"/>
            </w:pPr>
            <w:r>
              <w:rPr>
                <w:rFonts w:ascii="Cinzel" w:hAnsi="Cinzel"/>
                <w:b/>
                <w:color w:val="B08625"/>
                <w:sz w:val="20"/>
                <w:caps/>
                <w:spacing w:val="14"/>
              </w:rPr>
              <w:t>34 </w:t>
            </w:r>
            <w:r>
              <w:rPr>
                <w:rFonts w:ascii="Liberation Sans" w:hAnsi="Liberation Sans"/>
                <w:color w:val="FFFFFF"/>
                <w:sz w:val="20"/>
              </w:rPr>
              <w:t>Alumni Framework</w:t>
            </w:r>
          </w:p>
          <w:p>
            <w:pPr>
              <w:spacing w:before="0" w:after="130"/>
            </w:pPr>
            <w:r>
              <w:rPr>
                <w:rFonts w:ascii="Cinzel" w:hAnsi="Cinzel"/>
                <w:b/>
                <w:color w:val="B08625"/>
                <w:sz w:val="20"/>
                <w:caps/>
                <w:spacing w:val="14"/>
              </w:rPr>
              <w:t>35 </w:t>
            </w:r>
            <w:r>
              <w:rPr>
                <w:rFonts w:ascii="Liberation Sans" w:hAnsi="Liberation Sans"/>
                <w:color w:val="FFFFFF"/>
                <w:sz w:val="20"/>
              </w:rPr>
              <w:t>Career Development Framework</w:t>
            </w:r>
          </w:p>
        </w:tc>
      </w:tr>
    </w:tbl>
    <w:p>
      <w:r>
        <w:br w:type="page"/>
      </w:r>
    </w:p>
    <w:p>
      <w:pPr>
        <w:pStyle w:val="SectionKicker"/>
      </w:pPr>
      <w:r>
        <w:t xml:space="preserve">PART VII · SECTION 31</w:t>
      </w:r>
    </w:p>
    <w:bookmarkEnd w:id="91"/>
    <w:bookmarkStart w:id="92" w:name="section-31-nigeria-campus-strategy"/>
    <w:p>
      <w:pPr>
        <w:pStyle w:val="Heading2"/>
      </w:pPr>
      <w:r>
        <w:t xml:space="preserve">Section 31: Nigeria Campus Strategy</w:t>
      </w:r>
    </w:p>
    <w:p>
      <w:pPr>
        <w:pStyle w:val="FirstParagraph"/>
      </w:pPr>
      <w:r>
        <w:rPr>
          <w:bCs/>
          <w:b/>
          <w:color w:val="B08625"/>
          <w:sz w:val="20"/>
          <w:caps/>
          <w:spacing w:val="14"/>
        </w:rPr>
        <w:t xml:space="preserve">Rationale</w:t>
      </w:r>
    </w:p>
    <w:p>
      <w:pPr>
        <w:pStyle w:val="BodyText"/>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pPr>
      <w:r>
        <w:rPr>
          <w:bCs/>
          <w:b/>
          <w:color w:val="B08625"/>
          <w:sz w:val="20"/>
          <w:caps/>
          <w:spacing w:val="14"/>
        </w:rPr>
        <w:t xml:space="preserve">Global Best Practices</w:t>
      </w:r>
    </w:p>
    <w:p>
      <w:pPr>
        <w:pStyle w:val="BodyText"/>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Groundwork</w:t>
            </w:r>
          </w:p>
        </w:tc>
        <w:tc>
          <w:tcPr/>
          <w:p>
            <w:pPr>
              <w:pStyle w:val="Compact"/>
              <w:jc w:val="left"/>
            </w:pPr>
            <w:r>
              <w:t xml:space="preserve">2028–2030</w:t>
            </w:r>
          </w:p>
        </w:tc>
        <w:tc>
          <w:tcPr/>
          <w:p>
            <w:pPr>
              <w:pStyle w:val="Compact"/>
              <w:jc w:val="left"/>
            </w:pPr>
            <w:r>
              <w:t xml:space="preserve">Desk research, Nigerian diaspora/community consultation, no physical footprint or committed spend</w:t>
            </w:r>
          </w:p>
        </w:tc>
      </w:tr>
      <w:tr>
        <w:trPr>
          <w:cantSplit/>
        </w:trPr>
        <w:tc>
          <w:tcPr/>
          <w:p>
            <w:pPr>
              <w:pStyle w:val="Compact"/>
              <w:jc w:val="left"/>
            </w:pPr>
            <w:r>
              <w:t xml:space="preserve">1 — Feasibility</w:t>
            </w:r>
          </w:p>
        </w:tc>
        <w:tc>
          <w:tcPr/>
          <w:p>
            <w:pPr>
              <w:pStyle w:val="Compact"/>
              <w:jc w:val="left"/>
            </w:pPr>
            <w:r>
              <w:t xml:space="preserve">2031–2033</w:t>
            </w:r>
          </w:p>
        </w:tc>
        <w:tc>
          <w:tcPr/>
          <w:p>
            <w:pPr>
              <w:pStyle w:val="Compact"/>
              <w:jc w:val="left"/>
            </w:pPr>
            <w:r>
              <w:t xml:space="preserve">Commissioned site/feasibility study, informal contact with state-level education authorities, Nigerian legal-entity scoping (CAC registration groundwork)</w:t>
            </w:r>
          </w:p>
        </w:tc>
      </w:tr>
      <w:tr>
        <w:trPr>
          <w:cantSplit/>
        </w:trPr>
        <w:tc>
          <w:tcPr/>
          <w:p>
            <w:pPr>
              <w:pStyle w:val="Compact"/>
              <w:jc w:val="left"/>
            </w:pPr>
            <w:r>
              <w:t xml:space="preserve">2 — Statutory Sequencing</w:t>
            </w:r>
          </w:p>
        </w:tc>
        <w:tc>
          <w:tcPr/>
          <w:p>
            <w:pPr>
              <w:pStyle w:val="Compact"/>
              <w:jc w:val="left"/>
            </w:pPr>
            <w:r>
              <w:t xml:space="preserve">2034–2036</w:t>
            </w:r>
          </w:p>
        </w:tc>
        <w:tc>
          <w:tcPr/>
          <w:p>
            <w:pPr>
              <w:pStyle w:val="Compact"/>
              <w:jc w:val="left"/>
            </w:pPr>
            <w:r>
              <w:t xml:space="preserve">Preliminary NUC consultations, National Assembly liaison relationship-building, site option agreement(s), local advisory council formed</w:t>
            </w:r>
          </w:p>
        </w:tc>
      </w:tr>
      <w:tr>
        <w:trPr>
          <w:cantSplit/>
        </w:trPr>
        <w:tc>
          <w:tcPr/>
          <w:p>
            <w:pPr>
              <w:pStyle w:val="Compact"/>
              <w:jc w:val="left"/>
            </w:pPr>
            <w:r>
              <w:t xml:space="preserve">3 — Charter Application</w:t>
            </w:r>
          </w:p>
        </w:tc>
        <w:tc>
          <w:tcPr/>
          <w:p>
            <w:pPr>
              <w:pStyle w:val="Compact"/>
              <w:jc w:val="left"/>
            </w:pPr>
            <w:r>
              <w:rPr>
                <w:bCs/>
                <w:b/>
                <w:color w:val="B08625"/>
                <w:sz w:val="20"/>
                <w:caps/>
                <w:spacing w:val="14"/>
              </w:rPr>
              <w:t xml:space="preserve">Year 10 / 2037</w:t>
            </w:r>
          </w:p>
        </w:tc>
        <w:tc>
          <w:tcPr/>
          <w:p>
            <w:pPr>
              <w:pStyle w:val="Compact"/>
              <w:jc w:val="left"/>
            </w:pPr>
            <w:r>
              <w:t xml:space="preserve">Formal presentation and charter application to Nigeria’s National Assembly and NUC (sovereign processes outside AMIU control)</w:t>
            </w:r>
          </w:p>
        </w:tc>
      </w:tr>
      <w:tr>
        <w:trPr>
          <w:cantSplit/>
        </w:trPr>
        <w:tc>
          <w:tcPr/>
          <w:p>
            <w:pPr>
              <w:pStyle w:val="Compact"/>
              <w:jc w:val="left"/>
            </w:pPr>
            <w:r>
              <w:t xml:space="preserve">4 — Contingent Build-Out</w:t>
            </w:r>
          </w:p>
        </w:tc>
        <w:tc>
          <w:tcPr/>
          <w:p>
            <w:pPr>
              <w:pStyle w:val="Compact"/>
              <w:jc w:val="left"/>
            </w:pPr>
            <w:r>
              <w:t xml:space="preserve">2038+ (Year 11+)</w:t>
            </w:r>
          </w:p>
        </w:tc>
        <w:tc>
          <w:tcPr/>
          <w:p>
            <w:pPr>
              <w:pStyle w:val="Compact"/>
              <w:jc w:val="left"/>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pPr>
      <w:r>
        <w:rPr>
          <w:bCs/>
          <w:b/>
          <w:color w:val="B08625"/>
          <w:sz w:val="20"/>
          <w:caps/>
          <w:spacing w:val="14"/>
        </w:rPr>
        <w:t xml:space="preserve">Staffing Requirements</w:t>
      </w:r>
    </w:p>
    <w:p>
      <w:pPr>
        <w:pStyle w:val="BodyText"/>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pPr>
      <w:r>
        <w:rPr>
          <w:bCs/>
          <w:b/>
          <w:color w:val="B08625"/>
          <w:sz w:val="20"/>
          <w:caps/>
          <w:spacing w:val="14"/>
        </w:rPr>
        <w:t xml:space="preserve">Annual Budget</w:t>
      </w:r>
    </w:p>
    <w:p>
      <w:pPr>
        <w:pStyle w:val="BodyText"/>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pPr>
      <w:r>
        <w:rPr>
          <w:bCs/>
          <w:b/>
          <w:color w:val="B08625"/>
          <w:sz w:val="20"/>
          <w:caps/>
          <w:spacing w:val="14"/>
        </w:rPr>
        <w:t xml:space="preserve">Timeline</w:t>
      </w:r>
    </w:p>
    <w:p>
      <w:pPr>
        <w:pStyle w:val="BodyText"/>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pPr>
      <w:r>
        <w:rPr>
          <w:bCs/>
          <w:b/>
          <w:color w:val="B08625"/>
          <w:sz w:val="20"/>
          <w:caps/>
          <w:spacing w:val="14"/>
        </w:rPr>
        <w:t xml:space="preserve">Governance Responsibilities</w:t>
      </w:r>
    </w:p>
    <w:p>
      <w:pPr>
        <w:numPr>
          <w:ilvl w:val="0"/>
          <w:numId w:val="1021"/>
        </w:numPr>
        <w:pStyle w:val="Compact"/>
      </w:pPr>
      <w:r>
        <w:rPr>
          <w:bCs/>
          <w:b/>
          <w:color w:val="B08625"/>
          <w:sz w:val="20"/>
          <w:caps/>
          <w:spacing w:val="14"/>
        </w:rPr>
        <w:t xml:space="preserve">Board of Trustees</w:t>
      </w:r>
      <w:r>
        <w:t xml:space="preserve">: strategic ownership, approves all Reserve draws and any future capital-commitment decision post-charter.</w:t>
      </w:r>
    </w:p>
    <w:p>
      <w:pPr>
        <w:numPr>
          <w:ilvl w:val="0"/>
          <w:numId w:val="1021"/>
        </w:numPr>
        <w:pStyle w:val="Compact"/>
      </w:pPr>
      <w:r>
        <w:rPr>
          <w:bCs/>
          <w:b/>
          <w:color w:val="B08625"/>
          <w:sz w:val="20"/>
          <w:caps/>
          <w:spacing w:val="14"/>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pPr>
      <w:r>
        <w:rPr>
          <w:bCs/>
          <w:b/>
          <w:color w:val="B08625"/>
          <w:sz w:val="20"/>
          <w:caps/>
          <w:spacing w:val="14"/>
        </w:rPr>
        <w:t xml:space="preserve">University Senate</w:t>
      </w:r>
      <w:r>
        <w:t xml:space="preserve">: academic authority over curriculum mirroring for the six Nigerian faculties, exercised only if/when charter is granted.</w:t>
      </w:r>
    </w:p>
    <w:p>
      <w:pPr>
        <w:pStyle w:val="FirstParagraph"/>
      </w:pPr>
      <w:r>
        <w:rPr>
          <w:bCs/>
          <w:b/>
          <w:color w:val="B08625"/>
          <w:sz w:val="20"/>
          <w:caps/>
          <w:spacing w:val="14"/>
        </w:rPr>
        <w:t xml:space="preserve">Measurable Success Indicators</w:t>
      </w:r>
    </w:p>
    <w:p>
      <w:pPr>
        <w:pStyle w:val="BodyText"/>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2"/>
    <w:bookmarkStart w:id="93" w:name="section-32-gulf-cooperation-strategy"/>
    <w:p>
      <w:pPr>
        <w:pStyle w:val="Heading2"/>
      </w:pPr>
      <w:r>
        <w:t xml:space="preserve">Section 32: Gulf Cooperation Strategy</w:t>
      </w:r>
    </w:p>
    <w:p>
      <w:pPr>
        <w:pStyle w:val="FirstParagraph"/>
      </w:pPr>
      <w:r>
        <w:rPr>
          <w:bCs/>
          <w:b/>
          <w:color w:val="B08625"/>
          <w:sz w:val="20"/>
          <w:caps/>
          <w:spacing w:val="14"/>
        </w:rPr>
        <w:t xml:space="preserve">Rationale</w:t>
      </w:r>
    </w:p>
    <w:p>
      <w:pPr>
        <w:pStyle w:val="BodyText"/>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pPr>
      <w:r>
        <w:rPr>
          <w:bCs/>
          <w:b/>
          <w:color w:val="B08625"/>
          <w:sz w:val="20"/>
          <w:caps/>
          <w:spacing w:val="14"/>
        </w:rPr>
        <w:t xml:space="preserve">Global Best Practices</w:t>
      </w:r>
    </w:p>
    <w:p>
      <w:pPr>
        <w:pStyle w:val="BodyText"/>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Presence</w:t>
            </w:r>
          </w:p>
        </w:tc>
        <w:tc>
          <w:tcPr/>
          <w:p>
            <w:pPr>
              <w:pStyle w:val="Compact"/>
              <w:jc w:val="left"/>
            </w:pPr>
            <w:r>
              <w:t xml:space="preserve">2028–2031</w:t>
            </w:r>
          </w:p>
        </w:tc>
        <w:tc>
          <w:tcPr/>
          <w:p>
            <w:pPr>
              <w:pStyle w:val="Compact"/>
              <w:jc w:val="left"/>
            </w:pPr>
            <w:r>
              <w:t xml:space="preserve">Arabic-English bilingual marketing, Gulf-targeted social/digital campaigns, mosque community engagement (informal)</w:t>
            </w:r>
          </w:p>
        </w:tc>
      </w:tr>
      <w:tr>
        <w:trPr>
          <w:cantSplit/>
        </w:trPr>
        <w:tc>
          <w:tcPr/>
          <w:p>
            <w:pPr>
              <w:pStyle w:val="Compact"/>
              <w:jc w:val="left"/>
            </w:pPr>
            <w:r>
              <w:t xml:space="preserve">2 — Relationship Building</w:t>
            </w:r>
          </w:p>
        </w:tc>
        <w:tc>
          <w:tcPr/>
          <w:p>
            <w:pPr>
              <w:pStyle w:val="Compact"/>
              <w:jc w:val="left"/>
            </w:pPr>
            <w:r>
              <w:t xml:space="preserve">2032–2035</w:t>
            </w:r>
          </w:p>
        </w:tc>
        <w:tc>
          <w:tcPr/>
          <w:p>
            <w:pPr>
              <w:pStyle w:val="Compact"/>
              <w:jc w:val="left"/>
            </w:pPr>
            <w:r>
              <w:t xml:space="preserve">Gulf student ambassador program, informal contact with individual scholars/mosques, early donor cultivation conversations</w:t>
            </w:r>
          </w:p>
        </w:tc>
      </w:tr>
      <w:tr>
        <w:trPr>
          <w:cantSplit/>
        </w:trPr>
        <w:tc>
          <w:tcPr/>
          <w:p>
            <w:pPr>
              <w:pStyle w:val="Compact"/>
              <w:jc w:val="left"/>
            </w:pPr>
            <w:r>
              <w:t xml:space="preserve">3 — Pre-Recognition Groundwork</w:t>
            </w:r>
          </w:p>
        </w:tc>
        <w:tc>
          <w:tcPr/>
          <w:p>
            <w:pPr>
              <w:pStyle w:val="Compact"/>
              <w:jc w:val="left"/>
            </w:pPr>
            <w:r>
              <w:t xml:space="preserve">2036–2039</w:t>
            </w:r>
          </w:p>
        </w:tc>
        <w:tc>
          <w:tcPr/>
          <w:p>
            <w:pPr>
              <w:pStyle w:val="Compact"/>
              <w:jc w:val="left"/>
            </w:pPr>
            <w:r>
              <w:t xml:space="preserve">Formal MOUs with Gulf mosque/Islamic-school networks; delegation visits; positioning built on completed Texas secular accreditation (Year 12/2039)</w:t>
            </w:r>
          </w:p>
        </w:tc>
      </w:tr>
      <w:tr>
        <w:trPr>
          <w:cantSplit/>
        </w:trPr>
        <w:tc>
          <w:tcPr/>
          <w:p>
            <w:pPr>
              <w:pStyle w:val="Compact"/>
              <w:jc w:val="left"/>
            </w:pPr>
            <w:r>
              <w:t xml:space="preserve">4 — Ministry Recognition</w:t>
            </w:r>
          </w:p>
        </w:tc>
        <w:tc>
          <w:tcPr/>
          <w:p>
            <w:pPr>
              <w:pStyle w:val="Compact"/>
              <w:jc w:val="left"/>
            </w:pPr>
            <w:r>
              <w:rPr>
                <w:bCs/>
                <w:b/>
                <w:color w:val="B08625"/>
                <w:sz w:val="20"/>
                <w:caps/>
                <w:spacing w:val="14"/>
              </w:rPr>
              <w:t xml:space="preserve">Year 13 / 2040</w:t>
            </w:r>
          </w:p>
        </w:tc>
        <w:tc>
          <w:tcPr/>
          <w:p>
            <w:pPr>
              <w:pStyle w:val="Compact"/>
              <w:jc w:val="left"/>
            </w:pPr>
            <w:r>
              <w:t xml:space="preserve">First Gulf ministry recognition/accreditation agreement(s) targeted</w:t>
            </w:r>
          </w:p>
        </w:tc>
      </w:tr>
      <w:tr>
        <w:trPr>
          <w:cantSplit/>
        </w:trPr>
        <w:tc>
          <w:tcPr/>
          <w:p>
            <w:pPr>
              <w:pStyle w:val="Compact"/>
              <w:jc w:val="left"/>
            </w:pPr>
            <w:r>
              <w:t xml:space="preserve">5 — Scaled Cross-Subsidy</w:t>
            </w:r>
          </w:p>
        </w:tc>
        <w:tc>
          <w:tcPr/>
          <w:p>
            <w:pPr>
              <w:pStyle w:val="Compact"/>
              <w:jc w:val="left"/>
            </w:pPr>
            <w:r>
              <w:t xml:space="preserve">2041+</w:t>
            </w:r>
          </w:p>
        </w:tc>
        <w:tc>
          <w:tcPr/>
          <w:p>
            <w:pPr>
              <w:pStyle w:val="Compact"/>
              <w:jc w:val="left"/>
            </w:pPr>
            <w:r>
              <w:t xml:space="preserve">Deepen Gulf enrolment share and recognition-enabled pathways as track record compounds</w:t>
            </w:r>
          </w:p>
        </w:tc>
      </w:tr>
    </w:tbl>
    <w:p>
      <w:pPr>
        <w:pStyle w:val="BodyText"/>
      </w:pPr>
      <w:r>
        <w:rPr>
          <w:bCs/>
          <w:b/>
          <w:color w:val="B08625"/>
          <w:sz w:val="20"/>
          <w:caps/>
          <w:spacing w:val="14"/>
        </w:rPr>
        <w:t xml:space="preserve">Staffing Requirements</w:t>
      </w:r>
    </w:p>
    <w:p>
      <w:pPr>
        <w:pStyle w:val="BodyText"/>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enrolment share grows. A dedicated Gulf Relations function (for ministry diplomacy) is a Year 13+ decision requiring explicit Board approval, not pre-funded.</w:t>
      </w:r>
    </w:p>
    <w:p>
      <w:pPr>
        <w:pStyle w:val="BodyText"/>
      </w:pPr>
      <w:r>
        <w:rPr>
          <w:bCs/>
          <w:b/>
          <w:color w:val="B08625"/>
          <w:sz w:val="20"/>
          <w:caps/>
          <w:spacing w:val="14"/>
        </w:rPr>
        <w:t xml:space="preserve">Annual Budget</w:t>
      </w:r>
    </w:p>
    <w:p>
      <w:pPr>
        <w:pStyle w:val="BodyText"/>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Gulf-origin enrolment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pPr>
      <w:r>
        <w:rPr>
          <w:bCs/>
          <w:b/>
          <w:color w:val="B08625"/>
          <w:sz w:val="20"/>
          <w:caps/>
          <w:spacing w:val="14"/>
        </w:rPr>
        <w:t xml:space="preserve">Timeline</w:t>
      </w:r>
    </w:p>
    <w:p>
      <w:pPr>
        <w:pStyle w:val="BodyText"/>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pPr>
      <w:r>
        <w:rPr>
          <w:bCs/>
          <w:b/>
          <w:color w:val="B08625"/>
          <w:sz w:val="20"/>
          <w:caps/>
          <w:spacing w:val="14"/>
        </w:rPr>
        <w:t xml:space="preserve">Governance Responsibilities</w:t>
      </w:r>
    </w:p>
    <w:p>
      <w:pPr>
        <w:numPr>
          <w:ilvl w:val="0"/>
          <w:numId w:val="1022"/>
        </w:numPr>
        <w:pStyle w:val="Compact"/>
      </w:pPr>
      <w:r>
        <w:rPr>
          <w:bCs/>
          <w:b/>
          <w:color w:val="B08625"/>
          <w:sz w:val="20"/>
          <w:caps/>
          <w:spacing w:val="14"/>
        </w:rPr>
        <w:t xml:space="preserve">Board of Trustees</w:t>
      </w:r>
      <w:r>
        <w:t xml:space="preserve">: exclusive tuition-setting authority (sets/maintains Tier 1 premium pricing), Commercial Engine oversight of Gulf marketing spend, approves any future Gulf Relations staffing.</w:t>
      </w:r>
    </w:p>
    <w:p>
      <w:pPr>
        <w:numPr>
          <w:ilvl w:val="0"/>
          <w:numId w:val="1022"/>
        </w:numPr>
        <w:pStyle w:val="Compact"/>
      </w:pPr>
      <w:r>
        <w:rPr>
          <w:bCs/>
          <w:b/>
          <w:color w:val="B08625"/>
          <w:sz w:val="20"/>
          <w:caps/>
          <w:spacing w:val="14"/>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pPr>
      <w:r>
        <w:rPr>
          <w:bCs/>
          <w:b/>
          <w:color w:val="B08625"/>
          <w:sz w:val="20"/>
          <w:caps/>
          <w:spacing w:val="14"/>
        </w:rPr>
        <w:t xml:space="preserve">University Senate</w:t>
      </w:r>
      <w:r>
        <w:t xml:space="preserve">: reviews academic-partnership implications of any Gulf ministry recognition agreement before adoption.</w:t>
      </w:r>
    </w:p>
    <w:p>
      <w:pPr>
        <w:pStyle w:val="FirstParagraph"/>
      </w:pPr>
      <w:r>
        <w:rPr>
          <w:bCs/>
          <w:b/>
          <w:color w:val="B08625"/>
          <w:sz w:val="20"/>
          <w:caps/>
          <w:spacing w:val="14"/>
        </w:rPr>
        <w:t xml:space="preserve">Measurable Success Indicators</w:t>
      </w:r>
    </w:p>
    <w:p>
      <w:pPr>
        <w:pStyle w:val="BodyText"/>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3"/>
    <w:bookmarkStart w:id="94" w:name="section-33-student-support-framework"/>
    <w:p>
      <w:pPr>
        <w:pStyle w:val="Heading2"/>
      </w:pPr>
      <w:r>
        <w:t xml:space="preserve">Section 33: Student Support Framework</w:t>
      </w:r>
    </w:p>
    <w:p>
      <w:pPr>
        <w:pStyle w:val="FirstParagraph"/>
      </w:pPr>
      <w:r>
        <w:rPr>
          <w:bCs/>
          <w:b/>
          <w:color w:val="B08625"/>
          <w:sz w:val="20"/>
          <w:caps/>
          <w:spacing w:val="14"/>
        </w:rPr>
        <w:t xml:space="preserve">Rationale</w:t>
      </w:r>
    </w:p>
    <w:p>
      <w:pPr>
        <w:pStyle w:val="BodyText"/>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pPr>
      <w:r>
        <w:rPr>
          <w:bCs/>
          <w:b/>
          <w:color w:val="B08625"/>
          <w:sz w:val="20"/>
          <w:caps/>
          <w:spacing w:val="14"/>
        </w:rPr>
        <w:t xml:space="preserve">Global Best Practices</w:t>
      </w:r>
    </w:p>
    <w:p>
      <w:pPr>
        <w:pStyle w:val="BodyText"/>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Foundation</w:t>
            </w:r>
          </w:p>
        </w:tc>
        <w:tc>
          <w:tcPr/>
          <w:p>
            <w:pPr>
              <w:pStyle w:val="Compact"/>
              <w:jc w:val="left"/>
            </w:pPr>
            <w:r>
              <w:t xml:space="preserve">2028–2030</w:t>
            </w:r>
          </w:p>
        </w:tc>
        <w:tc>
          <w:tcPr/>
          <w:p>
            <w:pPr>
              <w:pStyle w:val="Compact"/>
              <w:jc w:val="left"/>
            </w:pPr>
            <w:r>
              <w:t xml:space="preserve">LMS self-service advising portal, FAQ/knowledge base, async email support (Core Admin Staff), volunteer chaplaincy-faculty pastoral care</w:t>
            </w:r>
          </w:p>
        </w:tc>
      </w:tr>
      <w:tr>
        <w:trPr>
          <w:cantSplit/>
        </w:trPr>
        <w:tc>
          <w:tcPr/>
          <w:p>
            <w:pPr>
              <w:pStyle w:val="Compact"/>
              <w:jc w:val="left"/>
            </w:pPr>
            <w:r>
              <w:t xml:space="preserve">2 — Structured Peer Support</w:t>
            </w:r>
          </w:p>
        </w:tc>
        <w:tc>
          <w:tcPr/>
          <w:p>
            <w:pPr>
              <w:pStyle w:val="Compact"/>
              <w:jc w:val="left"/>
            </w:pPr>
            <w:r>
              <w:t xml:space="preserve">2031–2033</w:t>
            </w:r>
          </w:p>
        </w:tc>
        <w:tc>
          <w:tcPr/>
          <w:p>
            <w:pPr>
              <w:pStyle w:val="Compact"/>
              <w:jc w:val="left"/>
            </w:pPr>
            <w:r>
              <w:t xml:space="preserve">Peer-mentor program (senior students/early alumni volunteers), scheduled group advising webinars, documented case-by-case accommodation process</w:t>
            </w:r>
          </w:p>
        </w:tc>
      </w:tr>
      <w:tr>
        <w:trPr>
          <w:cantSplit/>
        </w:trPr>
        <w:tc>
          <w:tcPr/>
          <w:p>
            <w:pPr>
              <w:pStyle w:val="Compact"/>
              <w:jc w:val="left"/>
            </w:pPr>
            <w:r>
              <w:t xml:space="preserve">3 — Formalized Escalation</w:t>
            </w:r>
          </w:p>
        </w:tc>
        <w:tc>
          <w:tcPr/>
          <w:p>
            <w:pPr>
              <w:pStyle w:val="Compact"/>
              <w:jc w:val="left"/>
            </w:pPr>
            <w:r>
              <w:t xml:space="preserve">2034–2037</w:t>
            </w:r>
          </w:p>
        </w:tc>
        <w:tc>
          <w:tcPr/>
          <w:p>
            <w:pPr>
              <w:pStyle w:val="Compact"/>
              <w:jc w:val="left"/>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pPr>
            <w:r>
              <w:t xml:space="preserve">4 — Dedicated Function</w:t>
            </w:r>
          </w:p>
        </w:tc>
        <w:tc>
          <w:tcPr/>
          <w:p>
            <w:pPr>
              <w:pStyle w:val="Compact"/>
              <w:jc w:val="left"/>
            </w:pPr>
            <w:r>
              <w:t xml:space="preserve">2038+ (Year 11+)</w:t>
            </w:r>
          </w:p>
        </w:tc>
        <w:tc>
          <w:tcPr/>
          <w:p>
            <w:pPr>
              <w:pStyle w:val="Compact"/>
              <w:jc w:val="left"/>
            </w:pPr>
            <w:r>
              <w:t xml:space="preserve">Board proposal for a dedicated, multi-function Student Support office, contingent on secular-expansion revenue scale</w:t>
            </w:r>
          </w:p>
        </w:tc>
      </w:tr>
    </w:tbl>
    <w:p>
      <w:pPr>
        <w:pStyle w:val="BodyText"/>
      </w:pPr>
      <w:r>
        <w:rPr>
          <w:bCs/>
          <w:b/>
          <w:color w:val="B08625"/>
          <w:sz w:val="20"/>
          <w:caps/>
          <w:spacing w:val="14"/>
        </w:rPr>
        <w:t xml:space="preserve">Staffing Requirements</w:t>
      </w:r>
    </w:p>
    <w:p>
      <w:pPr>
        <w:pStyle w:val="BodyText"/>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pPr>
      <w:r>
        <w:rPr>
          <w:bCs/>
          <w:b/>
          <w:color w:val="B08625"/>
          <w:sz w:val="20"/>
          <w:caps/>
          <w:spacing w:val="14"/>
        </w:rPr>
        <w:t xml:space="preserve">Annual Budget</w:t>
      </w:r>
    </w:p>
    <w:p>
      <w:pPr>
        <w:pStyle w:val="BodyText"/>
      </w:pPr>
      <w:r>
        <w:t xml:space="preserve">Entirely bounded by the</w:t>
      </w:r>
      <w:r>
        <w:t xml:space="preserve"> </w:t>
      </w:r>
      <w:r>
        <w:rPr>
          <w:bCs/>
          <w:b/>
        </w:rPr>
        <w:t xml:space="preserve">Core Admin Staff sub-line</w:t>
      </w:r>
      <w:r>
        <w:t xml:space="preserve"> </w:t>
      </w:r>
      <w:r>
        <w:t xml:space="preserve">(18% of the 20% Payroll allocation): Year 1 ≈ $8,090;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pPr>
      <w:r>
        <w:rPr>
          <w:bCs/>
          <w:b/>
          <w:color w:val="B08625"/>
          <w:sz w:val="20"/>
          <w:caps/>
          <w:spacing w:val="14"/>
        </w:rPr>
        <w:t xml:space="preserve">Timeline</w:t>
      </w:r>
    </w:p>
    <w:p>
      <w:pPr>
        <w:pStyle w:val="BodyText"/>
      </w:pPr>
      <w:r>
        <w:t xml:space="preserve">2028–2030 digital foundation → 2031–2033 peer support → 2034–2037 formalized escalation → 2038+ dedicated function (Board-contingent).</w:t>
      </w:r>
    </w:p>
    <w:p>
      <w:pPr>
        <w:pStyle w:val="BodyText"/>
      </w:pPr>
      <w:r>
        <w:rPr>
          <w:bCs/>
          <w:b/>
          <w:color w:val="B08625"/>
          <w:sz w:val="20"/>
          <w:caps/>
          <w:spacing w:val="14"/>
        </w:rPr>
        <w:t xml:space="preserve">Governance Responsibilities</w:t>
      </w:r>
    </w:p>
    <w:p>
      <w:pPr>
        <w:numPr>
          <w:ilvl w:val="0"/>
          <w:numId w:val="1023"/>
        </w:numPr>
        <w:pStyle w:val="Compact"/>
      </w:pPr>
      <w:r>
        <w:rPr>
          <w:bCs/>
          <w:b/>
          <w:color w:val="B08625"/>
          <w:sz w:val="20"/>
          <w:caps/>
          <w:spacing w:val="14"/>
        </w:rPr>
        <w:t xml:space="preserve">University Senate</w:t>
      </w:r>
      <w:r>
        <w:t xml:space="preserve">: owns academic advising policy and accommodation academic standards.</w:t>
      </w:r>
    </w:p>
    <w:p>
      <w:pPr>
        <w:numPr>
          <w:ilvl w:val="0"/>
          <w:numId w:val="1023"/>
        </w:numPr>
        <w:pStyle w:val="Compact"/>
      </w:pPr>
      <w:r>
        <w:rPr>
          <w:bCs/>
          <w:b/>
          <w:color w:val="B08625"/>
          <w:sz w:val="20"/>
          <w:caps/>
          <w:spacing w:val="14"/>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pPr>
      <w:r>
        <w:rPr>
          <w:bCs/>
          <w:b/>
          <w:color w:val="B08625"/>
          <w:sz w:val="20"/>
          <w:caps/>
          <w:spacing w:val="14"/>
        </w:rPr>
        <w:t xml:space="preserve">Board of Trustees</w:t>
      </w:r>
      <w:r>
        <w:t xml:space="preserve">: approves any staffing/budget expansion beyond the fixed Admin sub-line.</w:t>
      </w:r>
    </w:p>
    <w:p>
      <w:pPr>
        <w:pStyle w:val="FirstParagraph"/>
      </w:pPr>
      <w:r>
        <w:rPr>
          <w:bCs/>
          <w:b/>
          <w:color w:val="B08625"/>
          <w:sz w:val="20"/>
          <w:caps/>
          <w:spacing w:val="14"/>
        </w:rPr>
        <w:t xml:space="preserve">Measurable Success Indicators</w:t>
      </w:r>
    </w:p>
    <w:p>
      <w:pPr>
        <w:pStyle w:val="BodyText"/>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4"/>
    <w:bookmarkStart w:id="95" w:name="section-34-alumni-framework"/>
    <w:p>
      <w:pPr>
        <w:pStyle w:val="Heading2"/>
      </w:pPr>
      <w:r>
        <w:t xml:space="preserve">Section 34: Alumni Framework</w:t>
      </w:r>
    </w:p>
    <w:p>
      <w:pPr>
        <w:pStyle w:val="FirstParagraph"/>
      </w:pPr>
      <w:r>
        <w:rPr>
          <w:bCs/>
          <w:b/>
          <w:color w:val="B08625"/>
          <w:sz w:val="20"/>
          <w:caps/>
          <w:spacing w:val="14"/>
        </w:rPr>
        <w:t xml:space="preserve">Rationale</w:t>
      </w:r>
    </w:p>
    <w:p>
      <w:pPr>
        <w:pStyle w:val="BodyText"/>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(up to 3 fully-sponsored seats/year per partner), and long-run Waqf/Sadaqah Jāriyah giving — all without requiring dedicated staff in the founding decade.</w:t>
      </w:r>
    </w:p>
    <w:p>
      <w:pPr>
        <w:pStyle w:val="BodyText"/>
      </w:pPr>
      <w:r>
        <w:rPr>
          <w:bCs/>
          <w:b/>
          <w:color w:val="B08625"/>
          <w:sz w:val="20"/>
          <w:caps/>
          <w:spacing w:val="14"/>
        </w:rPr>
        <w:t xml:space="preserve">Global Best Practices</w:t>
      </w:r>
    </w:p>
    <w:p>
      <w:pPr>
        <w:pStyle w:val="BodyText"/>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Identity Formation</w:t>
            </w:r>
          </w:p>
        </w:tc>
        <w:tc>
          <w:tcPr/>
          <w:p>
            <w:pPr>
              <w:pStyle w:val="Compact"/>
              <w:jc w:val="left"/>
            </w:pPr>
            <w:r>
              <w:t xml:space="preserve">2028–2029</w:t>
            </w:r>
          </w:p>
        </w:tc>
        <w:tc>
          <w:tcPr/>
          <w:p>
            <w:pPr>
              <w:pStyle w:val="Compact"/>
              <w:jc w:val="left"/>
            </w:pPr>
            <w:r>
              <w:t xml:space="preserve">First Diploma/Associate completers auto-enrolled into LMS-linked alumni space + WhatsApp group; managed as a part-time task within Marketing/Admin, no new spend</w:t>
            </w:r>
          </w:p>
        </w:tc>
      </w:tr>
      <w:tr>
        <w:trPr>
          <w:cantSplit/>
        </w:trPr>
        <w:tc>
          <w:tcPr/>
          <w:p>
            <w:pPr>
              <w:pStyle w:val="Compact"/>
              <w:jc w:val="left"/>
            </w:pPr>
            <w:r>
              <w:t xml:space="preserve">2 — Ambassador Network</w:t>
            </w:r>
          </w:p>
        </w:tc>
        <w:tc>
          <w:tcPr/>
          <w:p>
            <w:pPr>
              <w:pStyle w:val="Compact"/>
              <w:jc w:val="left"/>
            </w:pPr>
            <w:r>
              <w:t xml:space="preserve">2030–2032</w:t>
            </w:r>
          </w:p>
        </w:tc>
        <w:tc>
          <w:tcPr/>
          <w:p>
            <w:pPr>
              <w:pStyle w:val="Compact"/>
              <w:jc w:val="left"/>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pPr>
            <w:r>
              <w:t xml:space="preserve">3 — Structured Engagement</w:t>
            </w:r>
          </w:p>
        </w:tc>
        <w:tc>
          <w:tcPr/>
          <w:p>
            <w:pPr>
              <w:pStyle w:val="Compact"/>
              <w:jc w:val="left"/>
            </w:pPr>
            <w:r>
              <w:t xml:space="preserve">2033–2036</w:t>
            </w:r>
          </w:p>
        </w:tc>
        <w:tc>
          <w:tcPr/>
          <w:p>
            <w:pPr>
              <w:pStyle w:val="Compact"/>
              <w:jc w:val="left"/>
            </w:pPr>
            <w:r>
              <w:t xml:space="preserve">Annual virtual alumni gathering; alumni giving campaign into the Sadaqah Jāriyah channel; lightweight alumni database integrated into the LMS</w:t>
            </w:r>
          </w:p>
        </w:tc>
      </w:tr>
      <w:tr>
        <w:trPr>
          <w:cantSplit/>
        </w:trPr>
        <w:tc>
          <w:tcPr/>
          <w:p>
            <w:pPr>
              <w:pStyle w:val="Compact"/>
              <w:jc w:val="left"/>
            </w:pPr>
            <w:r>
              <w:t xml:space="preserve">4 — First Paid Role</w:t>
            </w:r>
          </w:p>
        </w:tc>
        <w:tc>
          <w:tcPr/>
          <w:p>
            <w:pPr>
              <w:pStyle w:val="Compact"/>
              <w:jc w:val="left"/>
            </w:pPr>
            <w:r>
              <w:t xml:space="preserve">2037–2040 (Year 10+)</w:t>
            </w:r>
          </w:p>
        </w:tc>
        <w:tc>
          <w:tcPr/>
          <w:p>
            <w:pPr>
              <w:pStyle w:val="Compact"/>
              <w:jc w:val="left"/>
            </w:pPr>
            <w:r>
              <w:t xml:space="preserve">Fractional Alumni Coordinator role within the Admin sub-line; alumni segmentation begins to reflect Nigeria-campus and Gulf-recognition cohorts</w:t>
            </w:r>
          </w:p>
        </w:tc>
      </w:tr>
      <w:tr>
        <w:trPr>
          <w:cantSplit/>
        </w:trPr>
        <w:tc>
          <w:tcPr/>
          <w:p>
            <w:pPr>
              <w:pStyle w:val="Compact"/>
              <w:jc w:val="left"/>
            </w:pPr>
            <w:r>
              <w:t xml:space="preserve">5 — Dedicated Function</w:t>
            </w:r>
          </w:p>
        </w:tc>
        <w:tc>
          <w:tcPr/>
          <w:p>
            <w:pPr>
              <w:pStyle w:val="Compact"/>
              <w:jc w:val="left"/>
            </w:pPr>
            <w:r>
              <w:t xml:space="preserve">2041+ (Year 11+)</w:t>
            </w:r>
          </w:p>
        </w:tc>
        <w:tc>
          <w:tcPr/>
          <w:p>
            <w:pPr>
              <w:pStyle w:val="Compact"/>
              <w:jc w:val="left"/>
            </w:pPr>
            <w:r>
              <w:t xml:space="preserve">Dedicated Alumni Relations function as secular-expansion revenue scale allows</w:t>
            </w:r>
          </w:p>
        </w:tc>
      </w:tr>
    </w:tbl>
    <w:p>
      <w:pPr>
        <w:pStyle w:val="BodyText"/>
      </w:pPr>
      <w:r>
        <w:rPr>
          <w:bCs/>
          <w:b/>
          <w:color w:val="B08625"/>
          <w:sz w:val="20"/>
          <w:caps/>
          <w:spacing w:val="14"/>
        </w:rPr>
        <w:t xml:space="preserve">Staffing Requirements</w:t>
      </w:r>
    </w:p>
    <w:p>
      <w:pPr>
        <w:pStyle w:val="BodyText"/>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pPr>
      <w:r>
        <w:rPr>
          <w:bCs/>
          <w:b/>
          <w:color w:val="B08625"/>
          <w:sz w:val="20"/>
          <w:caps/>
          <w:spacing w:val="14"/>
        </w:rPr>
        <w:t xml:space="preserve">Annual Budget</w:t>
      </w:r>
    </w:p>
    <w:p>
      <w:pPr>
        <w:pStyle w:val="BodyText"/>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 of each graduating cohort joining the alumni community; alumni-referral-driven new enrolments;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pPr>
      <w:r>
        <w:rPr>
          <w:bCs/>
          <w:b/>
          <w:color w:val="B08625"/>
          <w:sz w:val="20"/>
          <w:caps/>
          <w:spacing w:val="14"/>
        </w:rPr>
        <w:t xml:space="preserve">Timeline</w:t>
      </w:r>
    </w:p>
    <w:p>
      <w:pPr>
        <w:pStyle w:val="BodyText"/>
      </w:pPr>
      <w:r>
        <w:t xml:space="preserve">2028–2029 identity formation → 2030–2032 ambassador network → 2033–2036 structured engagement → 2037–2040 first paid role → 2041+ dedicated function.</w:t>
      </w:r>
    </w:p>
    <w:p>
      <w:pPr>
        <w:pStyle w:val="BodyText"/>
      </w:pPr>
      <w:r>
        <w:rPr>
          <w:bCs/>
          <w:b/>
          <w:color w:val="B08625"/>
          <w:sz w:val="20"/>
          <w:caps/>
          <w:spacing w:val="14"/>
        </w:rPr>
        <w:t xml:space="preserve">Governance Responsibilities</w:t>
      </w:r>
    </w:p>
    <w:p>
      <w:pPr>
        <w:numPr>
          <w:ilvl w:val="0"/>
          <w:numId w:val="1024"/>
        </w:numPr>
        <w:pStyle w:val="Compact"/>
      </w:pPr>
      <w:r>
        <w:rPr>
          <w:bCs/>
          <w:b/>
          <w:color w:val="B08625"/>
          <w:sz w:val="20"/>
          <w:caps/>
          <w:spacing w:val="14"/>
        </w:rPr>
        <w:t xml:space="preserve">Board of Trustees</w:t>
      </w:r>
      <w:r>
        <w:t xml:space="preserve">: oversees Marketing/Commercial Engine budget funding referral incentives and any future Alumni Relations staffing.</w:t>
      </w:r>
    </w:p>
    <w:p>
      <w:pPr>
        <w:numPr>
          <w:ilvl w:val="0"/>
          <w:numId w:val="1024"/>
        </w:numPr>
        <w:pStyle w:val="Compact"/>
      </w:pPr>
      <w:r>
        <w:rPr>
          <w:bCs/>
          <w:b/>
          <w:color w:val="B08625"/>
          <w:sz w:val="20"/>
          <w:caps/>
          <w:spacing w:val="14"/>
        </w:rPr>
        <w:t xml:space="preserve">Waqf &amp; Endowment Board</w:t>
      </w:r>
      <w:r>
        <w:t xml:space="preserve">: fiduciary oversight of the Sadaqah Jāriyah alumni-giving channel.</w:t>
      </w:r>
    </w:p>
    <w:p>
      <w:pPr>
        <w:numPr>
          <w:ilvl w:val="0"/>
          <w:numId w:val="1024"/>
        </w:numPr>
        <w:pStyle w:val="Compact"/>
      </w:pPr>
      <w:r>
        <w:rPr>
          <w:bCs/>
          <w:b/>
          <w:color w:val="B08625"/>
          <w:sz w:val="20"/>
          <w:caps/>
          <w:spacing w:val="14"/>
        </w:rPr>
        <w:t xml:space="preserve">University Senate</w:t>
      </w:r>
      <w:r>
        <w:t xml:space="preserve">: no direct authority but consulted on academic-credibility signaling of alumni outcomes.</w:t>
      </w:r>
    </w:p>
    <w:p>
      <w:pPr>
        <w:pStyle w:val="FirstParagraph"/>
      </w:pPr>
      <w:r>
        <w:rPr>
          <w:bCs/>
          <w:b/>
          <w:color w:val="B08625"/>
          <w:sz w:val="20"/>
          <w:caps/>
          <w:spacing w:val="14"/>
        </w:rPr>
        <w:t xml:space="preserve">Measurable Success Indicators</w:t>
      </w:r>
    </w:p>
    <w:p>
      <w:pPr>
        <w:pStyle w:val="BodyText"/>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5"/>
    <w:bookmarkStart w:id="96" w:name="section-35-career-development-framework"/>
    <w:p>
      <w:pPr>
        <w:pStyle w:val="Heading2"/>
      </w:pPr>
      <w:r>
        <w:t xml:space="preserve">Section 35: Career Development Framework</w:t>
      </w:r>
    </w:p>
    <w:p>
      <w:pPr>
        <w:pStyle w:val="FirstParagraph"/>
      </w:pPr>
      <w:r>
        <w:rPr>
          <w:bCs/>
          <w:b/>
          <w:color w:val="B08625"/>
          <w:sz w:val="20"/>
          <w:caps/>
          <w:spacing w:val="14"/>
        </w:rPr>
        <w:t xml:space="preserve">Rationale</w:t>
      </w:r>
    </w:p>
    <w:p>
      <w:pPr>
        <w:pStyle w:val="BodyText"/>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pPr>
      <w:r>
        <w:rPr>
          <w:bCs/>
          <w:b/>
          <w:color w:val="B08625"/>
          <w:sz w:val="20"/>
          <w:caps/>
          <w:spacing w:val="14"/>
        </w:rPr>
        <w:t xml:space="preserve">Global Best Practices</w:t>
      </w:r>
    </w:p>
    <w:p>
      <w:pPr>
        <w:pStyle w:val="BodyText"/>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Embedded &amp; Informal</w:t>
            </w:r>
          </w:p>
        </w:tc>
        <w:tc>
          <w:tcPr/>
          <w:p>
            <w:pPr>
              <w:pStyle w:val="Compact"/>
              <w:jc w:val="left"/>
            </w:pPr>
            <w:r>
              <w:t xml:space="preserve">2028–2030</w:t>
            </w:r>
          </w:p>
        </w:tc>
        <w:tc>
          <w:tcPr/>
          <w:p>
            <w:pPr>
              <w:pStyle w:val="Compact"/>
              <w:jc w:val="left"/>
            </w:pPr>
            <w:r>
              <w:t xml:space="preserve">Career-readiness content embedded in curriculum; informal mosque/employer-network referral; free LMS job-postings board</w:t>
            </w:r>
          </w:p>
        </w:tc>
      </w:tr>
      <w:tr>
        <w:trPr>
          <w:cantSplit/>
        </w:trPr>
        <w:tc>
          <w:tcPr/>
          <w:p>
            <w:pPr>
              <w:pStyle w:val="Compact"/>
              <w:jc w:val="left"/>
            </w:pPr>
            <w:r>
              <w:t xml:space="preserve">2 — Partnership Formalization</w:t>
            </w:r>
          </w:p>
        </w:tc>
        <w:tc>
          <w:tcPr/>
          <w:p>
            <w:pPr>
              <w:pStyle w:val="Compact"/>
              <w:jc w:val="left"/>
            </w:pPr>
            <w:r>
              <w:t xml:space="preserve">2031–2033</w:t>
            </w:r>
          </w:p>
        </w:tc>
        <w:tc>
          <w:tcPr/>
          <w:p>
            <w:pPr>
              <w:pStyle w:val="Compact"/>
              <w:jc w:val="left"/>
            </w:pPr>
            <w:r>
              <w:t xml:space="preserve">MOUs with mosque associations, Islamic schools, Islamic finance institutions — faculty/Admin relationship-building, no new spend</w:t>
            </w:r>
          </w:p>
        </w:tc>
      </w:tr>
      <w:tr>
        <w:trPr>
          <w:cantSplit/>
        </w:trPr>
        <w:tc>
          <w:tcPr/>
          <w:p>
            <w:pPr>
              <w:pStyle w:val="Compact"/>
              <w:jc w:val="left"/>
            </w:pPr>
            <w:r>
              <w:t xml:space="preserve">3 — Fractional Liaison</w:t>
            </w:r>
          </w:p>
        </w:tc>
        <w:tc>
          <w:tcPr/>
          <w:p>
            <w:pPr>
              <w:pStyle w:val="Compact"/>
              <w:jc w:val="left"/>
            </w:pPr>
            <w:r>
              <w:t xml:space="preserve">2034–2037 (Year 10)</w:t>
            </w:r>
          </w:p>
        </w:tc>
        <w:tc>
          <w:tcPr/>
          <w:p>
            <w:pPr>
              <w:pStyle w:val="Compact"/>
              <w:jc w:val="left"/>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pPr>
            <w:r>
              <w:t xml:space="preserve">4 — Dual-Track Expansion</w:t>
            </w:r>
          </w:p>
        </w:tc>
        <w:tc>
          <w:tcPr/>
          <w:p>
            <w:pPr>
              <w:pStyle w:val="Compact"/>
              <w:jc w:val="left"/>
            </w:pPr>
            <w:r>
              <w:t xml:space="preserve">2038–2040 (Year 11–13)</w:t>
            </w:r>
          </w:p>
        </w:tc>
        <w:tc>
          <w:tcPr/>
          <w:p>
            <w:pPr>
              <w:pStyle w:val="Compact"/>
              <w:jc w:val="left"/>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pPr>
            <w:r>
              <w:t xml:space="preserve">5 — Dedicated Dual Office</w:t>
            </w:r>
          </w:p>
        </w:tc>
        <w:tc>
          <w:tcPr/>
          <w:p>
            <w:pPr>
              <w:pStyle w:val="Compact"/>
              <w:jc w:val="left"/>
            </w:pPr>
            <w:r>
              <w:t xml:space="preserve">2041+</w:t>
            </w:r>
          </w:p>
        </w:tc>
        <w:tc>
          <w:tcPr/>
          <w:p>
            <w:pPr>
              <w:pStyle w:val="Compact"/>
              <w:jc w:val="left"/>
            </w:pPr>
            <w:r>
              <w:t xml:space="preserve">Career Development office split between religious-vocation placement and secular/professional placement tracks</w:t>
            </w:r>
          </w:p>
        </w:tc>
      </w:tr>
    </w:tbl>
    <w:p>
      <w:pPr>
        <w:pStyle w:val="BodyText"/>
      </w:pPr>
      <w:r>
        <w:rPr>
          <w:bCs/>
          <w:b/>
          <w:color w:val="B08625"/>
          <w:sz w:val="20"/>
          <w:caps/>
          <w:spacing w:val="14"/>
        </w:rPr>
        <w:t xml:space="preserve">Staffing Requirements</w:t>
      </w:r>
    </w:p>
    <w:p>
      <w:pPr>
        <w:pStyle w:val="BodyText"/>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pPr>
      <w:r>
        <w:rPr>
          <w:bCs/>
          <w:b/>
          <w:color w:val="B08625"/>
          <w:sz w:val="20"/>
          <w:caps/>
          <w:spacing w:val="14"/>
        </w:rPr>
        <w:t xml:space="preserve">Annual Budget</w:t>
      </w:r>
    </w:p>
    <w:p>
      <w:pPr>
        <w:pStyle w:val="BodyText"/>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pPr>
      <w:r>
        <w:rPr>
          <w:bCs/>
          <w:b/>
          <w:color w:val="B08625"/>
          <w:sz w:val="20"/>
          <w:caps/>
          <w:spacing w:val="14"/>
        </w:rPr>
        <w:t xml:space="preserve">Timeline</w:t>
      </w:r>
    </w:p>
    <w:p>
      <w:pPr>
        <w:pStyle w:val="BodyText"/>
      </w:pPr>
      <w:r>
        <w:t xml:space="preserve">2028–2030 embedded/informal → 2031–2033 partnership formalization → 2034–2037 fractional liaison → 2038–2040 dual-track expansion → 2041+ dedicated dual office.</w:t>
      </w:r>
    </w:p>
    <w:p>
      <w:pPr>
        <w:pStyle w:val="BodyText"/>
      </w:pPr>
      <w:r>
        <w:rPr>
          <w:bCs/>
          <w:b/>
          <w:color w:val="B08625"/>
          <w:sz w:val="20"/>
          <w:caps/>
          <w:spacing w:val="14"/>
        </w:rPr>
        <w:t xml:space="preserve">Governance Responsibilities</w:t>
      </w:r>
    </w:p>
    <w:p>
      <w:pPr>
        <w:numPr>
          <w:ilvl w:val="0"/>
          <w:numId w:val="1025"/>
        </w:numPr>
        <w:pStyle w:val="Compact"/>
      </w:pPr>
      <w:r>
        <w:rPr>
          <w:bCs/>
          <w:b/>
          <w:color w:val="B08625"/>
          <w:sz w:val="20"/>
          <w:caps/>
          <w:spacing w:val="14"/>
        </w:rPr>
        <w:t xml:space="preserve">University Senate</w:t>
      </w:r>
      <w:r>
        <w:t xml:space="preserve">: curriculum integration of career-readiness content and further-study advising standards.</w:t>
      </w:r>
    </w:p>
    <w:p>
      <w:pPr>
        <w:numPr>
          <w:ilvl w:val="0"/>
          <w:numId w:val="1025"/>
        </w:numPr>
        <w:pStyle w:val="Compact"/>
      </w:pPr>
      <w:r>
        <w:rPr>
          <w:bCs/>
          <w:b/>
          <w:color w:val="B08625"/>
          <w:sz w:val="20"/>
          <w:caps/>
          <w:spacing w:val="14"/>
        </w:rPr>
        <w:t xml:space="preserve">Board of Trustees</w:t>
      </w:r>
      <w:r>
        <w:t xml:space="preserve">: approves any secular-phase career-office budget/staffing expansion (Year 11+ decision).</w:t>
      </w:r>
    </w:p>
    <w:p>
      <w:pPr>
        <w:numPr>
          <w:ilvl w:val="0"/>
          <w:numId w:val="1025"/>
        </w:numPr>
        <w:pStyle w:val="Compact"/>
      </w:pPr>
      <w:r>
        <w:rPr>
          <w:bCs/>
          <w:b/>
          <w:color w:val="B08625"/>
          <w:sz w:val="20"/>
          <w:caps/>
          <w:spacing w:val="14"/>
        </w:rPr>
        <w:t xml:space="preserve">Waqf &amp; Endowment Board</w:t>
      </w:r>
      <w:r>
        <w:t xml:space="preserve">: relevant only where scholarship-linked placement support intersects Tier 4/Waqf-sponsored graduates.</w:t>
      </w:r>
    </w:p>
    <w:p>
      <w:pPr>
        <w:pStyle w:val="FirstParagraph"/>
      </w:pPr>
      <w:r>
        <w:rPr>
          <w:bCs/>
          <w:b/>
          <w:color w:val="B08625"/>
          <w:sz w:val="20"/>
          <w:caps/>
          <w:spacing w:val="14"/>
        </w:rPr>
        <w:t xml:space="preserve">Measurable Success Indicators</w:t>
      </w:r>
    </w:p>
    <w:p>
      <w:pPr>
        <w:pStyle w:val="BodyText"/>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EIGHT OF EIGHT</w:t>
            </w:r>
          </w:p>
          <w:p>
            <w:pPr>
              <w:spacing w:before="0" w:after="60"/>
            </w:pPr>
            <w:r>
              <w:rPr>
                <w:rFonts w:ascii="Cinzel" w:hAnsi="Cinzel"/>
                <w:b/>
                <w:color w:val="B08625"/>
                <w:sz w:val="20"/>
                <w:caps/>
                <w:spacing w:val="14"/>
              </w:rPr>
              <w:t>VIII</w:t>
            </w:r>
          </w:p>
          <w:p>
            <w:pPr>
              <w:spacing w:before="120" w:after="80"/>
            </w:pPr>
            <w:r>
              <w:rPr>
                <w:rFonts w:ascii="Cormorant Garamond" w:hAnsi="Cormorant Garamond"/>
                <w:b/>
                <w:color w:val="B08625"/>
                <w:sz w:val="20"/>
                <w:caps/>
                <w:spacing w:val="14"/>
              </w:rPr>
              <w:t>Risk, Compliance, Sustainability &amp; the 20-Year Roadmap</w:t>
            </w:r>
          </w:p>
          <w:p>
            <w:pPr>
              <w:spacing w:before="0" w:after="260"/>
              <w:pBdr>
                <w:bottom w:val="single" w:sz="10" w:space="8" w:color="B08625"/>
              </w:pBdr>
            </w:pPr>
            <w:r>
              <w:rPr>
                <w:rFonts w:ascii="Liberation Sans" w:hAnsi="Liberation Sans"/>
                <w:color w:val="8C97AB"/>
                <w:sz w:val="17"/>
                <w:spacing w:val="14"/>
              </w:rPr>
              <w:t>SECTIONS 36–41</w:t>
            </w:r>
          </w:p>
          <w:p>
            <w:pPr>
              <w:spacing w:before="0" w:after="360"/>
              <w:ind w:right="700"/>
            </w:pPr>
            <w:r>
              <w:rPr>
                <w:rFonts w:ascii="Cormorant Garamond" w:hAnsi="Cormorant Garamond"/>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36 </w:t>
            </w:r>
            <w:r>
              <w:rPr>
                <w:rFonts w:ascii="Liberation Sans" w:hAnsi="Liberation Sans"/>
                <w:color w:val="FFFFFF"/>
                <w:sz w:val="20"/>
              </w:rPr>
              <w:t>Risk Management Framework</w:t>
            </w:r>
          </w:p>
          <w:p>
            <w:pPr>
              <w:spacing w:before="0" w:after="130"/>
            </w:pPr>
            <w:r>
              <w:rPr>
                <w:rFonts w:ascii="Cinzel" w:hAnsi="Cinzel"/>
                <w:b/>
                <w:color w:val="B08625"/>
                <w:sz w:val="20"/>
                <w:caps/>
                <w:spacing w:val="14"/>
              </w:rPr>
              <w:t>37 </w:t>
            </w:r>
            <w:r>
              <w:rPr>
                <w:rFonts w:ascii="Liberation Sans" w:hAnsi="Liberation Sans"/>
                <w:color w:val="FFFFFF"/>
                <w:sz w:val="20"/>
              </w:rPr>
              <w:t>Compliance Framework</w:t>
            </w:r>
          </w:p>
          <w:p>
            <w:pPr>
              <w:spacing w:before="0" w:after="130"/>
            </w:pPr>
            <w:r>
              <w:rPr>
                <w:rFonts w:ascii="Cinzel" w:hAnsi="Cinzel"/>
                <w:b/>
                <w:color w:val="B08625"/>
                <w:sz w:val="20"/>
                <w:caps/>
                <w:spacing w:val="14"/>
              </w:rPr>
              <w:t>38 </w:t>
            </w:r>
            <w:r>
              <w:rPr>
                <w:rFonts w:ascii="Liberation Sans" w:hAnsi="Liberation Sans"/>
                <w:color w:val="FFFFFF"/>
                <w:sz w:val="20"/>
              </w:rPr>
              <w:t>Financial Sustainability Framework</w:t>
            </w:r>
          </w:p>
          <w:p>
            <w:pPr>
              <w:spacing w:before="0" w:after="130"/>
            </w:pPr>
            <w:r>
              <w:rPr>
                <w:rFonts w:ascii="Cinzel" w:hAnsi="Cinzel"/>
                <w:b/>
                <w:color w:val="B08625"/>
                <w:sz w:val="20"/>
                <w:caps/>
                <w:spacing w:val="14"/>
              </w:rPr>
              <w:t>39 </w:t>
            </w:r>
            <w:r>
              <w:rPr>
                <w:rFonts w:ascii="Liberation Sans" w:hAnsi="Liberation Sans"/>
                <w:color w:val="FFFFFF"/>
                <w:sz w:val="20"/>
              </w:rPr>
              <w:t>Capital Development Framework</w:t>
            </w:r>
          </w:p>
          <w:p>
            <w:pPr>
              <w:spacing w:before="0" w:after="130"/>
            </w:pPr>
            <w:r>
              <w:rPr>
                <w:rFonts w:ascii="Cinzel" w:hAnsi="Cinzel"/>
                <w:b/>
                <w:color w:val="B08625"/>
                <w:sz w:val="20"/>
                <w:caps/>
                <w:spacing w:val="14"/>
              </w:rPr>
              <w:t>40 </w:t>
            </w:r>
            <w:r>
              <w:rPr>
                <w:rFonts w:ascii="Liberation Sans" w:hAnsi="Liberation Sans"/>
                <w:color w:val="FFFFFF"/>
                <w:sz w:val="20"/>
              </w:rPr>
              <w:t>Twenty-Year Strategic Roadmap</w:t>
            </w:r>
          </w:p>
          <w:p>
            <w:pPr>
              <w:spacing w:before="0" w:after="130"/>
            </w:pPr>
            <w:r>
              <w:rPr>
                <w:rFonts w:ascii="Cinzel" w:hAnsi="Cinzel"/>
                <w:b/>
                <w:color w:val="B08625"/>
                <w:sz w:val="20"/>
                <w:caps/>
                <w:spacing w:val="14"/>
              </w:rPr>
              <w:t>41 </w:t>
            </w:r>
            <w:r>
              <w:rPr>
                <w:rFonts w:ascii="Liberation Sans" w:hAnsi="Liberation Sans"/>
                <w:color w:val="FFFFFF"/>
                <w:sz w:val="20"/>
              </w:rPr>
              <w:t>Founding Access &amp; Waqf-First Strategy</w:t>
            </w:r>
          </w:p>
        </w:tc>
      </w:tr>
    </w:tbl>
    <w:p>
      <w:r>
        <w:br w:type="page"/>
      </w:r>
    </w:p>
    <w:p>
      <w:pPr>
        <w:pStyle w:val="SectionKicker"/>
      </w:pPr>
      <w:r>
        <w:t xml:space="preserve">PART VIII · SECTION 36</w:t>
      </w:r>
    </w:p>
    <w:bookmarkEnd w:id="96"/>
    <w:bookmarkStart w:id="97" w:name="section-36-risk-management-framework"/>
    <w:p>
      <w:pPr>
        <w:pStyle w:val="Heading2"/>
      </w:pPr>
      <w:r>
        <w:t xml:space="preserve">Section 36: Risk Management Framework</w:t>
      </w:r>
    </w:p>
    <w:p>
      <w:pPr>
        <w:pStyle w:val="FirstParagraph"/>
      </w:pPr>
      <w:r>
        <w:rPr>
          <w:bCs/>
          <w:b/>
          <w:color w:val="B08625"/>
          <w:sz w:val="20"/>
          <w:caps/>
          <w:spacing w:val="14"/>
        </w:rPr>
        <w:t xml:space="preserve">Rationale</w:t>
      </w:r>
    </w:p>
    <w:p>
      <w:pPr>
        <w:pStyle w:val="BodyText"/>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pPr>
      <w:r>
        <w:rPr>
          <w:bCs/>
          <w:b/>
          <w:color w:val="B08625"/>
          <w:sz w:val="20"/>
          <w:caps/>
          <w:spacing w:val="14"/>
        </w:rPr>
        <w:t xml:space="preserve">Global Best Practices</w:t>
      </w:r>
    </w:p>
    <w:p>
      <w:pPr>
        <w:numPr>
          <w:ilvl w:val="0"/>
          <w:numId w:val="1026"/>
        </w:numPr>
        <w:pStyle w:val="Compact"/>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Founding Oversight</w:t>
            </w:r>
          </w:p>
        </w:tc>
        <w:tc>
          <w:tcPr/>
          <w:p>
            <w:pPr>
              <w:pStyle w:val="Compact"/>
              <w:jc w:val="left"/>
            </w:pPr>
            <w:r>
              <w:t xml:space="preserve">2028–2029 (Yr 1–2)</w:t>
            </w:r>
          </w:p>
        </w:tc>
        <w:tc>
          <w:tcPr/>
          <w:p>
            <w:pPr>
              <w:pStyle w:val="Compact"/>
              <w:jc w:val="left"/>
            </w:pPr>
            <w:r>
              <w:t xml:space="preserve">Register formalized; Audit &amp; Risk Committee seated; external CPA engaged</w:t>
            </w:r>
          </w:p>
        </w:tc>
      </w:tr>
      <w:tr>
        <w:trPr>
          <w:cantSplit/>
        </w:trPr>
        <w:tc>
          <w:tcPr/>
          <w:p>
            <w:pPr>
              <w:pStyle w:val="Compact"/>
              <w:jc w:val="left"/>
            </w:pPr>
            <w:r>
              <w:t xml:space="preserve">II — Embedded Coordination</w:t>
            </w:r>
          </w:p>
        </w:tc>
        <w:tc>
          <w:tcPr/>
          <w:p>
            <w:pPr>
              <w:pStyle w:val="Compact"/>
              <w:jc w:val="left"/>
            </w:pPr>
            <w:r>
              <w:t xml:space="preserve">2030–2032 (Yr 3–5)</w:t>
            </w:r>
          </w:p>
        </w:tc>
        <w:tc>
          <w:tcPr/>
          <w:p>
            <w:pPr>
              <w:pStyle w:val="Compact"/>
              <w:jc w:val="left"/>
            </w:pPr>
            <w:r>
              <w:t xml:space="preserve">Fractional risk/compliance coordination folded into Core Admin Staff; Gambia-specific risk lines active</w:t>
            </w:r>
          </w:p>
        </w:tc>
      </w:tr>
      <w:tr>
        <w:trPr>
          <w:cantSplit/>
        </w:trPr>
        <w:tc>
          <w:tcPr/>
          <w:p>
            <w:pPr>
              <w:pStyle w:val="Compact"/>
              <w:jc w:val="left"/>
            </w:pPr>
            <w:r>
              <w:t xml:space="preserve">III — Systematic Monitoring</w:t>
            </w:r>
          </w:p>
        </w:tc>
        <w:tc>
          <w:tcPr/>
          <w:p>
            <w:pPr>
              <w:pStyle w:val="Compact"/>
              <w:jc w:val="left"/>
            </w:pPr>
            <w:r>
              <w:t xml:space="preserve">2033–2037 (Yr 6–10)</w:t>
            </w:r>
          </w:p>
        </w:tc>
        <w:tc>
          <w:tcPr/>
          <w:p>
            <w:pPr>
              <w:pStyle w:val="Compact"/>
              <w:jc w:val="left"/>
            </w:pPr>
            <w:r>
              <w:t xml:space="preserve">Full-time coordinator; quarterly heat-map reporting to Board; register closes founding decade at 14+ risks reviewed</w:t>
            </w:r>
          </w:p>
        </w:tc>
      </w:tr>
      <w:tr>
        <w:trPr>
          <w:cantSplit/>
        </w:trPr>
        <w:tc>
          <w:tcPr/>
          <w:p>
            <w:pPr>
              <w:pStyle w:val="Compact"/>
              <w:jc w:val="left"/>
            </w:pPr>
            <w:r>
              <w:t xml:space="preserve">IV — Secular-Era Expansion</w:t>
            </w:r>
          </w:p>
        </w:tc>
        <w:tc>
          <w:tcPr/>
          <w:p>
            <w:pPr>
              <w:pStyle w:val="Compact"/>
              <w:jc w:val="left"/>
            </w:pPr>
            <w:r>
              <w:t xml:space="preserve">2038+ (Yr 11+)</w:t>
            </w:r>
          </w:p>
        </w:tc>
        <w:tc>
          <w:tcPr/>
          <w:p>
            <w:pPr>
              <w:pStyle w:val="Compact"/>
              <w:jc w:val="left"/>
            </w:pPr>
            <w:r>
              <w:t xml:space="preserve">New risk categories (licensure, NUC, Gulf recognition) added; dedicated Director-level role considered</w:t>
            </w:r>
          </w:p>
        </w:tc>
      </w:tr>
    </w:tbl>
    <w:p>
      <w:pPr>
        <w:pStyle w:val="BodyText"/>
      </w:pPr>
      <w:r>
        <w:rPr>
          <w:bCs/>
          <w:b/>
          <w:color w:val="B08625"/>
          <w:sz w:val="20"/>
          <w:caps/>
          <w:spacing w:val="14"/>
        </w:rPr>
        <w:t xml:space="preserve">Staffing Requirements</w:t>
      </w:r>
    </w:p>
    <w:p>
      <w:pPr>
        <w:pStyle w:val="BodyText"/>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pPr>
      <w:r>
        <w:rPr>
          <w:bCs/>
          <w:b/>
          <w:color w:val="B08625"/>
          <w:sz w:val="20"/>
          <w:caps/>
          <w:spacing w:val="14"/>
        </w:rPr>
        <w:t xml:space="preserve">Annual Budget</w:t>
      </w:r>
    </w:p>
    <w:p>
      <w:pPr>
        <w:pStyle w:val="BodyText"/>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pPr>
      <w:r>
        <w:rPr>
          <w:bCs/>
          <w:b/>
          <w:color w:val="B08625"/>
          <w:sz w:val="20"/>
          <w:caps/>
          <w:spacing w:val="14"/>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Likelihood/Impact</w:t>
            </w:r>
          </w:p>
        </w:tc>
        <w:tc>
          <w:tcPr/>
          <w:p>
            <w:pPr>
              <w:pStyle w:val="Compact"/>
              <w:jc w:val="left"/>
            </w:pPr>
            <w:r>
              <w:t xml:space="preserve">Primary Mitigation</w:t>
            </w:r>
          </w:p>
        </w:tc>
      </w:tr>
      <w:tr>
        <w:trPr>
          <w:cantSplit/>
        </w:trPr>
        <w:tc>
          <w:tcPr/>
          <w:p>
            <w:pPr>
              <w:pStyle w:val="Compact"/>
              <w:jc w:val="left"/>
            </w:pPr>
            <w:r>
              <w:t xml:space="preserve">1</w:t>
            </w:r>
          </w:p>
        </w:tc>
        <w:tc>
          <w:tcPr/>
          <w:p>
            <w:pPr>
              <w:pStyle w:val="Compact"/>
              <w:jc w:val="left"/>
            </w:pPr>
            <w:r>
              <w:t xml:space="preserve">Commercial Engine project underperforms/fails Gate clearance</w:t>
            </w:r>
          </w:p>
        </w:tc>
        <w:tc>
          <w:tcPr/>
          <w:p>
            <w:pPr>
              <w:pStyle w:val="Compact"/>
              <w:jc w:val="left"/>
            </w:pPr>
            <w:r>
              <w:t xml:space="preserve">Moderate/Low</w:t>
            </w:r>
          </w:p>
        </w:tc>
        <w:tc>
          <w:tcPr/>
          <w:p>
            <w:pPr>
              <w:pStyle w:val="Compact"/>
              <w:jc w:val="left"/>
            </w:pPr>
            <w:r>
              <w:t xml:space="preserve">Gate A/B/C due-diligence clearance required before capital deployment</w:t>
            </w:r>
          </w:p>
        </w:tc>
      </w:tr>
      <w:tr>
        <w:trPr>
          <w:cantSplit/>
        </w:trPr>
        <w:tc>
          <w:tcPr/>
          <w:p>
            <w:pPr>
              <w:pStyle w:val="Compact"/>
              <w:jc w:val="left"/>
            </w:pPr>
            <w:r>
              <w:t xml:space="preserve">2</w:t>
            </w:r>
          </w:p>
        </w:tc>
        <w:tc>
          <w:tcPr/>
          <w:p>
            <w:pPr>
              <w:pStyle w:val="Compact"/>
              <w:jc w:val="left"/>
            </w:pPr>
            <w:r>
              <w:t xml:space="preserve">Credibility risk in a future CE offering</w:t>
            </w:r>
          </w:p>
        </w:tc>
        <w:tc>
          <w:tcPr/>
          <w:p>
            <w:pPr>
              <w:pStyle w:val="Compact"/>
              <w:jc w:val="left"/>
            </w:pPr>
            <w:r>
              <w:t xml:space="preserve">Moderate/Medium</w:t>
            </w:r>
          </w:p>
        </w:tc>
        <w:tc>
          <w:tcPr/>
          <w:p>
            <w:pPr>
              <w:pStyle w:val="Compact"/>
              <w:jc w:val="left"/>
            </w:pPr>
            <w:r>
              <w:t xml:space="preserve">Offering documents, disclosure discipline, arm’s-length firewall</w:t>
            </w:r>
          </w:p>
        </w:tc>
      </w:tr>
      <w:tr>
        <w:trPr>
          <w:cantSplit/>
        </w:trPr>
        <w:tc>
          <w:tcPr/>
          <w:p>
            <w:pPr>
              <w:pStyle w:val="Compact"/>
              <w:jc w:val="left"/>
            </w:pPr>
            <w:r>
              <w:t xml:space="preserve">3</w:t>
            </w:r>
          </w:p>
        </w:tc>
        <w:tc>
          <w:tcPr/>
          <w:p>
            <w:pPr>
              <w:pStyle w:val="Compact"/>
              <w:jc w:val="left"/>
            </w:pPr>
            <w:r>
              <w:t xml:space="preserve">Sharī’ah-compliance risk in the CE</w:t>
            </w:r>
          </w:p>
        </w:tc>
        <w:tc>
          <w:tcPr/>
          <w:p>
            <w:pPr>
              <w:pStyle w:val="Compact"/>
              <w:jc w:val="left"/>
            </w:pPr>
            <w:r>
              <w:t xml:space="preserve">Low/High</w:t>
            </w:r>
          </w:p>
        </w:tc>
        <w:tc>
          <w:tcPr/>
          <w:p>
            <w:pPr>
              <w:pStyle w:val="Compact"/>
              <w:jc w:val="left"/>
            </w:pPr>
            <w:r>
              <w:t xml:space="preserve">Independent Sharī’ah Advisory Board bi-annual re-certification</w:t>
            </w:r>
          </w:p>
        </w:tc>
      </w:tr>
      <w:tr>
        <w:trPr>
          <w:cantSplit/>
        </w:trPr>
        <w:tc>
          <w:tcPr/>
          <w:p>
            <w:pPr>
              <w:pStyle w:val="Compact"/>
              <w:jc w:val="left"/>
            </w:pPr>
            <w:r>
              <w:t xml:space="preserve">4</w:t>
            </w:r>
          </w:p>
        </w:tc>
        <w:tc>
          <w:tcPr/>
          <w:p>
            <w:pPr>
              <w:pStyle w:val="Compact"/>
              <w:jc w:val="left"/>
            </w:pPr>
            <w:r>
              <w:t xml:space="preserve">Waqf Strategic Business Reserve deployment governance</w:t>
            </w:r>
          </w:p>
        </w:tc>
        <w:tc>
          <w:tcPr/>
          <w:p>
            <w:pPr>
              <w:pStyle w:val="Compact"/>
              <w:jc w:val="left"/>
            </w:pPr>
            <w:r>
              <w:t xml:space="preserve">Low/Medium</w:t>
            </w:r>
          </w:p>
        </w:tc>
        <w:tc>
          <w:tcPr/>
          <w:p>
            <w:pPr>
              <w:pStyle w:val="Compact"/>
              <w:jc w:val="left"/>
            </w:pPr>
            <w:r>
              <w:t xml:space="preserve">2/3 Senate vote + 2 independent seats above $250,000/yr</w:t>
            </w:r>
          </w:p>
        </w:tc>
      </w:tr>
      <w:tr>
        <w:trPr>
          <w:cantSplit/>
        </w:trPr>
        <w:tc>
          <w:tcPr/>
          <w:p>
            <w:pPr>
              <w:pStyle w:val="Compact"/>
              <w:jc w:val="left"/>
            </w:pPr>
            <w:r>
              <w:t xml:space="preserve">5</w:t>
            </w:r>
          </w:p>
        </w:tc>
        <w:tc>
          <w:tcPr/>
          <w:p>
            <w:pPr>
              <w:pStyle w:val="Compact"/>
              <w:jc w:val="left"/>
            </w:pPr>
            <w:r>
              <w:t xml:space="preserve">Founder/Senate self-compensation governance</w:t>
            </w:r>
          </w:p>
        </w:tc>
        <w:tc>
          <w:tcPr/>
          <w:p>
            <w:pPr>
              <w:pStyle w:val="Compact"/>
              <w:jc w:val="left"/>
            </w:pPr>
            <w:r>
              <w:t xml:space="preserve">Low/Medium</w:t>
            </w:r>
          </w:p>
        </w:tc>
        <w:tc>
          <w:tcPr/>
          <w:p>
            <w:pPr>
              <w:pStyle w:val="Compact"/>
              <w:jc w:val="left"/>
            </w:pPr>
            <w:r>
              <w:t xml:space="preserve">All 4 independent Senate seats’ affirmative approval, published annually</w:t>
            </w:r>
          </w:p>
        </w:tc>
      </w:tr>
      <w:tr>
        <w:trPr>
          <w:cantSplit/>
        </w:trPr>
        <w:tc>
          <w:tcPr/>
          <w:p>
            <w:pPr>
              <w:pStyle w:val="Compact"/>
              <w:jc w:val="left"/>
            </w:pPr>
            <w:r>
              <w:t xml:space="preserve">6</w:t>
            </w:r>
          </w:p>
        </w:tc>
        <w:tc>
          <w:tcPr/>
          <w:p>
            <w:pPr>
              <w:pStyle w:val="Compact"/>
              <w:jc w:val="left"/>
            </w:pPr>
            <w:r>
              <w:t xml:space="preserve">Nigeria Mega-University delay/non-approval</w:t>
            </w:r>
          </w:p>
        </w:tc>
        <w:tc>
          <w:tcPr/>
          <w:p>
            <w:pPr>
              <w:pStyle w:val="Compact"/>
              <w:jc w:val="left"/>
            </w:pPr>
            <w:r>
              <w:t xml:space="preserve">Moderate/Medium</w:t>
            </w:r>
          </w:p>
        </w:tc>
        <w:tc>
          <w:tcPr/>
          <w:p>
            <w:pPr>
              <w:pStyle w:val="Compact"/>
              <w:jc w:val="left"/>
            </w:pPr>
            <w:r>
              <w:t xml:space="preserve">Framed as funding target, not guarantee; doesn’t affect solvency</w:t>
            </w:r>
          </w:p>
        </w:tc>
      </w:tr>
      <w:tr>
        <w:trPr>
          <w:cantSplit/>
        </w:trPr>
        <w:tc>
          <w:tcPr/>
          <w:p>
            <w:pPr>
              <w:pStyle w:val="Compact"/>
              <w:jc w:val="left"/>
            </w:pPr>
            <w:r>
              <w:t xml:space="preserve">7</w:t>
            </w:r>
          </w:p>
        </w:tc>
        <w:tc>
          <w:tcPr/>
          <w:p>
            <w:pPr>
              <w:pStyle w:val="Compact"/>
              <w:jc w:val="left"/>
            </w:pPr>
            <w:r>
              <w:t xml:space="preserve">Faculty attrition/burnout during founding growth</w:t>
            </w:r>
          </w:p>
        </w:tc>
        <w:tc>
          <w:tcPr/>
          <w:p>
            <w:pPr>
              <w:pStyle w:val="Compact"/>
              <w:jc w:val="left"/>
            </w:pPr>
            <w:r>
              <w:t xml:space="preserve">Moderate/Medium</w:t>
            </w:r>
          </w:p>
        </w:tc>
        <w:tc>
          <w:tcPr/>
          <w:p>
            <w:pPr>
              <w:pStyle w:val="Compact"/>
              <w:jc w:val="left"/>
            </w:pPr>
            <w:r>
              <w:t xml:space="preserve">Faculty Honoraria contractually 40% of Payroll, no ceiling, scales with revenue</w:t>
            </w:r>
          </w:p>
        </w:tc>
      </w:tr>
      <w:tr>
        <w:trPr>
          <w:cantSplit/>
        </w:trPr>
        <w:tc>
          <w:tcPr/>
          <w:p>
            <w:pPr>
              <w:pStyle w:val="Compact"/>
              <w:jc w:val="left"/>
            </w:pPr>
            <w:r>
              <w:t xml:space="preserve">8</w:t>
            </w:r>
          </w:p>
        </w:tc>
        <w:tc>
          <w:tcPr/>
          <w:p>
            <w:pPr>
              <w:pStyle w:val="Compact"/>
              <w:jc w:val="left"/>
            </w:pPr>
            <w:r>
              <w:t xml:space="preserve">Nonprofit/for-profit commingling scrutiny (IRS)</w:t>
            </w:r>
          </w:p>
        </w:tc>
        <w:tc>
          <w:tcPr/>
          <w:p>
            <w:pPr>
              <w:pStyle w:val="Compact"/>
              <w:jc w:val="left"/>
            </w:pPr>
            <w:r>
              <w:t xml:space="preserve">Low/High</w:t>
            </w:r>
          </w:p>
        </w:tc>
        <w:tc>
          <w:tcPr/>
          <w:p>
            <w:pPr>
              <w:pStyle w:val="Compact"/>
              <w:jc w:val="left"/>
            </w:pPr>
            <w:r>
              <w:t xml:space="preserve">University costs never touch CE obligations; fair-market-value shared services; independent legal counsel before any firewall amendment</w:t>
            </w:r>
          </w:p>
        </w:tc>
      </w:tr>
      <w:tr>
        <w:trPr>
          <w:cantSplit/>
        </w:trPr>
        <w:tc>
          <w:tcPr/>
          <w:p>
            <w:pPr>
              <w:pStyle w:val="Compact"/>
              <w:jc w:val="left"/>
            </w:pPr>
            <w:r>
              <w:t xml:space="preserve">9</w:t>
            </w:r>
          </w:p>
        </w:tc>
        <w:tc>
          <w:tcPr/>
          <w:p>
            <w:pPr>
              <w:pStyle w:val="Compact"/>
              <w:jc w:val="left"/>
            </w:pPr>
            <w:r>
              <w:t xml:space="preserve">Regional payment-gateway disruption</w:t>
            </w:r>
          </w:p>
        </w:tc>
        <w:tc>
          <w:tcPr/>
          <w:p>
            <w:pPr>
              <w:pStyle w:val="Compact"/>
              <w:jc w:val="left"/>
            </w:pPr>
            <w:r>
              <w:t xml:space="preserve">Moderate/Medium</w:t>
            </w:r>
          </w:p>
        </w:tc>
        <w:tc>
          <w:tcPr/>
          <w:p>
            <w:pPr>
              <w:pStyle w:val="Compact"/>
              <w:jc w:val="left"/>
            </w:pPr>
            <w:r>
              <w:t xml:space="preserve">Redundant gateways per region + bank-transfer fallback</w:t>
            </w:r>
          </w:p>
        </w:tc>
      </w:tr>
      <w:tr>
        <w:trPr>
          <w:cantSplit/>
        </w:trPr>
        <w:tc>
          <w:tcPr/>
          <w:p>
            <w:pPr>
              <w:pStyle w:val="Compact"/>
              <w:jc w:val="left"/>
            </w:pPr>
            <w:r>
              <w:t xml:space="preserve">10</w:t>
            </w:r>
          </w:p>
        </w:tc>
        <w:tc>
          <w:tcPr/>
          <w:p>
            <w:pPr>
              <w:pStyle w:val="Compact"/>
              <w:jc w:val="left"/>
            </w:pPr>
            <w:r>
              <w:t xml:space="preserve">Country tier misclassification disputes</w:t>
            </w:r>
          </w:p>
        </w:tc>
        <w:tc>
          <w:tcPr/>
          <w:p>
            <w:pPr>
              <w:pStyle w:val="Compact"/>
              <w:jc w:val="left"/>
            </w:pPr>
            <w:r>
              <w:t xml:space="preserve">Low/Low</w:t>
            </w:r>
          </w:p>
        </w:tc>
        <w:tc>
          <w:tcPr/>
          <w:p>
            <w:pPr>
              <w:pStyle w:val="Compact"/>
              <w:jc w:val="left"/>
            </w:pPr>
            <w:r>
              <w:t xml:space="preserve">Transparent published tier list; appeal via info@edu.amiu.com</w:t>
            </w:r>
          </w:p>
        </w:tc>
      </w:tr>
      <w:tr>
        <w:trPr>
          <w:cantSplit/>
        </w:trPr>
        <w:tc>
          <w:tcPr/>
          <w:p>
            <w:pPr>
              <w:pStyle w:val="Compact"/>
              <w:jc w:val="left"/>
            </w:pPr>
            <w:r>
              <w:t xml:space="preserve">11</w:t>
            </w:r>
          </w:p>
        </w:tc>
        <w:tc>
          <w:tcPr/>
          <w:p>
            <w:pPr>
              <w:pStyle w:val="Compact"/>
              <w:jc w:val="left"/>
            </w:pPr>
            <w:r>
              <w:t xml:space="preserve">Accreditation candidacy delay beyond Year 5</w:t>
            </w:r>
          </w:p>
        </w:tc>
        <w:tc>
          <w:tcPr/>
          <w:p>
            <w:pPr>
              <w:pStyle w:val="Compact"/>
              <w:jc w:val="left"/>
            </w:pPr>
            <w:r>
              <w:t xml:space="preserve">Moderate/Medium</w:t>
            </w:r>
          </w:p>
        </w:tc>
        <w:tc>
          <w:tcPr/>
          <w:p>
            <w:pPr>
              <w:pStyle w:val="Compact"/>
              <w:jc w:val="left"/>
            </w:pPr>
            <w:r>
              <w:t xml:space="preserve">Programs remain religious-exemption-valid; candidacy funded from retained reserve, not survival-dependent</w:t>
            </w:r>
          </w:p>
        </w:tc>
      </w:tr>
      <w:tr>
        <w:trPr>
          <w:cantSplit/>
        </w:trPr>
        <w:tc>
          <w:tcPr/>
          <w:p>
            <w:pPr>
              <w:pStyle w:val="Compact"/>
              <w:jc w:val="left"/>
            </w:pPr>
            <w:r>
              <w:t xml:space="preserve">12</w:t>
            </w:r>
          </w:p>
        </w:tc>
        <w:tc>
          <w:tcPr/>
          <w:p>
            <w:pPr>
              <w:pStyle w:val="Compact"/>
              <w:jc w:val="left"/>
            </w:pPr>
            <w:r>
              <w:t xml:space="preserve">Key-person risk (three founders)</w:t>
            </w:r>
          </w:p>
        </w:tc>
        <w:tc>
          <w:tcPr/>
          <w:p>
            <w:pPr>
              <w:pStyle w:val="Compact"/>
              <w:jc w:val="left"/>
            </w:pPr>
            <w:r>
              <w:t xml:space="preserve">Moderate/High</w:t>
            </w:r>
          </w:p>
        </w:tc>
        <w:tc>
          <w:tcPr/>
          <w:p>
            <w:pPr>
              <w:pStyle w:val="Compact"/>
              <w:jc w:val="left"/>
            </w:pPr>
            <w:r>
              <w:t xml:space="preserve">Senate succession policy; documented successor plans for seats 2–4 by Year 3</w:t>
            </w:r>
          </w:p>
        </w:tc>
      </w:tr>
      <w:tr>
        <w:trPr>
          <w:cantSplit/>
        </w:trPr>
        <w:tc>
          <w:tcPr/>
          <w:p>
            <w:pPr>
              <w:pStyle w:val="Compact"/>
              <w:jc w:val="left"/>
            </w:pPr>
            <w:r>
              <w:t xml:space="preserve">13</w:t>
            </w:r>
          </w:p>
        </w:tc>
        <w:tc>
          <w:tcPr/>
          <w:p>
            <w:pPr>
              <w:pStyle w:val="Compact"/>
              <w:jc w:val="left"/>
            </w:pPr>
            <w:r>
              <w:t xml:space="preserve">Currency/FX exposure across four pricing tiers</w:t>
            </w:r>
          </w:p>
        </w:tc>
        <w:tc>
          <w:tcPr/>
          <w:p>
            <w:pPr>
              <w:pStyle w:val="Compact"/>
              <w:jc w:val="left"/>
            </w:pPr>
            <w:r>
              <w:t xml:space="preserve">Moderate/Medium</w:t>
            </w:r>
          </w:p>
        </w:tc>
        <w:tc>
          <w:tcPr/>
          <w:p>
            <w:pPr>
              <w:pStyle w:val="Compact"/>
              <w:jc w:val="left"/>
            </w:pPr>
            <w:r>
              <w:t xml:space="preserve">Multi-currency collection converted to USD on rolling basis</w:t>
            </w:r>
          </w:p>
        </w:tc>
      </w:tr>
      <w:tr>
        <w:trPr>
          <w:cantSplit/>
        </w:trPr>
        <w:tc>
          <w:tcPr/>
          <w:p>
            <w:pPr>
              <w:pStyle w:val="Compact"/>
              <w:jc w:val="left"/>
            </w:pPr>
            <w:r>
              <w:t xml:space="preserve">14</w:t>
            </w:r>
          </w:p>
        </w:tc>
        <w:tc>
          <w:tcPr/>
          <w:p>
            <w:pPr>
              <w:pStyle w:val="Compact"/>
              <w:jc w:val="left"/>
            </w:pPr>
            <w:r>
              <w:t xml:space="preserve">Geopolitical disruption in Tier-4 weighted regions</w:t>
            </w:r>
          </w:p>
        </w:tc>
        <w:tc>
          <w:tcPr/>
          <w:p>
            <w:pPr>
              <w:pStyle w:val="Compact"/>
              <w:jc w:val="left"/>
            </w:pPr>
            <w:r>
              <w:t xml:space="preserve">Moderate/Low-Medium</w:t>
            </w:r>
          </w:p>
        </w:tc>
        <w:tc>
          <w:tcPr/>
          <w:p>
            <w:pPr>
              <w:pStyle w:val="Compact"/>
              <w:jc w:val="left"/>
            </w:pPr>
            <w:r>
              <w:t xml:space="preserve">No single region exceeds 10% of Tier-4 population-weighted share</w:t>
            </w:r>
          </w:p>
        </w:tc>
      </w:tr>
    </w:tbl>
    <w:p>
      <w:pPr>
        <w:pStyle w:val="BodyText"/>
        <w:shd w:val="clear" w:color="auto" w:fill="F7F3E8"/>
        <w:pBdr>
          <w:left w:val="single" w:sz="24" w:space="10" w:color="B08625"/>
        </w:pBdr>
        <w:ind w:left="300"/>
        <w:spacing w:after="0"/>
      </w:pPr>
      <w:r>
        <w:rPr>
          <w:bCs/>
          <w:b/>
          <w:color w:val="B08625"/>
          <w:sz w:val="20"/>
          <w:caps/>
          <w:spacing w:val="14"/>
        </w:rPr>
        <w:t xml:space="preserve">Register Evolution &amp; New Risk Categories (Year 11+)</w:t>
      </w:r>
    </w:p>
    <w:p>
      <w:pPr>
        <w:pStyle w:val="BodyText"/>
        <w:shd w:val="clear" w:color="auto" w:fill="F7F3E8"/>
        <w:pBdr>
          <w:left w:val="single" w:sz="24" w:space="10" w:color="B08625"/>
        </w:pBdr>
        <w:ind w:left="300"/>
        <w:spacing w:before="0"/>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numPr>
          <w:ilvl w:val="0"/>
          <w:numId w:val="1027"/>
        </w:numPr>
        <w:pStyle w:val="Compact"/>
        <w:shd w:val="clear" w:color="auto" w:fill="F7F3E8"/>
        <w:pBdr>
          <w:left w:val="single" w:sz="24" w:space="10" w:color="B08625"/>
        </w:pBdr>
        <w:ind w:left="300"/>
        <w:spacing w:before="0" w:after="0"/>
      </w:pPr>
      <w:r>
        <w:t xml:space="preserve">100% of the 14 (growing to 17+) risks reviewed at least quarterly by the Audit &amp; Risk Committee.</w:t>
      </w:r>
    </w:p>
    <w:p>
      <w:pPr>
        <w:numPr>
          <w:ilvl w:val="0"/>
          <w:numId w:val="1027"/>
        </w:numPr>
        <w:pStyle w:val="Compact"/>
        <w:shd w:val="clear" w:color="auto" w:fill="F7F3E8"/>
        <w:pBdr>
          <w:left w:val="single" w:sz="24" w:space="10" w:color="B08625"/>
        </w:pBdr>
        <w:ind w:left="300"/>
        <w:spacing w:before="0" w:after="0"/>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shd w:val="clear" w:color="auto" w:fill="F7F3E8"/>
        <w:pBdr>
          <w:left w:val="single" w:sz="24" w:space="10" w:color="B08625"/>
        </w:pBdr>
        <w:ind w:left="300"/>
        <w:spacing w:before="0" w:after="0"/>
      </w:pPr>
      <w:r>
        <w:t xml:space="preserve">Annual external audit completed with no material findings.</w:t>
      </w:r>
    </w:p>
    <w:p>
      <w:pPr>
        <w:numPr>
          <w:ilvl w:val="0"/>
          <w:numId w:val="1027"/>
        </w:numPr>
        <w:pStyle w:val="Compact"/>
        <w:shd w:val="clear" w:color="auto" w:fill="F7F3E8"/>
        <w:pBdr>
          <w:left w:val="single" w:sz="24" w:space="10" w:color="B08625"/>
        </w:pBdr>
        <w:ind w:left="300"/>
        <w:spacing w:before="0"/>
      </w:pPr>
      <w:r>
        <w:t xml:space="preserve">Founder/Senate compensation disclosure published annually, on schedule, every year.</w:t>
      </w:r>
    </w:p>
    <w:p>
      <w:pPr>
        <w:pStyle w:val="FirstParagraph"/>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Covered exhaustively in the table above; the meta-risk is register atrophy (the register itself going stale as the institution scales) — mitigated by mandatory quarterly refresh and a standing Board agenda item.</w:t>
      </w:r>
    </w:p>
    <w:p>
      <w:pPr>
        <w:pStyle w:val="BodyText"/>
      </w:pPr>
      <w:r>
        <w:rPr>
          <w:bCs/>
          <w:b/>
          <w:color w:val="B08625"/>
          <w:sz w:val="20"/>
          <w:caps/>
          <w:spacing w:val="14"/>
        </w:rPr>
        <w:t xml:space="preserve">Timeline</w:t>
      </w:r>
    </w:p>
    <w:p>
      <w:pPr>
        <w:pStyle w:val="BodyText"/>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risk-appetite owner; approves Liquidity Reserve draws for resilience</w:t>
            </w:r>
          </w:p>
        </w:tc>
      </w:tr>
      <w:tr>
        <w:trPr>
          <w:cantSplit/>
        </w:trPr>
        <w:tc>
          <w:tcPr/>
          <w:p>
            <w:pPr>
              <w:pStyle w:val="Compact"/>
              <w:jc w:val="left"/>
            </w:pPr>
            <w:r>
              <w:t xml:space="preserve">Audit &amp; Risk Committee</w:t>
            </w:r>
          </w:p>
        </w:tc>
        <w:tc>
          <w:tcPr/>
          <w:p>
            <w:pPr>
              <w:pStyle w:val="Compact"/>
              <w:jc w:val="left"/>
            </w:pPr>
            <w:r>
              <w:t xml:space="preserve">Operational register owner; quarterly review; independent of Administration</w:t>
            </w:r>
          </w:p>
        </w:tc>
      </w:tr>
      <w:tr>
        <w:trPr>
          <w:cantSplit/>
        </w:trPr>
        <w:tc>
          <w:tcPr/>
          <w:p>
            <w:pPr>
              <w:pStyle w:val="Compact"/>
              <w:jc w:val="left"/>
            </w:pPr>
            <w:r>
              <w:t xml:space="preserve">University Senate</w:t>
            </w:r>
          </w:p>
        </w:tc>
        <w:tc>
          <w:tcPr/>
          <w:p>
            <w:pPr>
              <w:pStyle w:val="Compact"/>
              <w:jc w:val="left"/>
            </w:pPr>
            <w:r>
              <w:t xml:space="preserve">Escalates academic/program risk; 4 independent seats safeguard compensation-risk items</w:t>
            </w:r>
          </w:p>
        </w:tc>
      </w:tr>
      <w:tr>
        <w:trPr>
          <w:cantSplit/>
        </w:trPr>
        <w:tc>
          <w:tcPr/>
          <w:p>
            <w:pPr>
              <w:pStyle w:val="Compact"/>
              <w:jc w:val="left"/>
            </w:pPr>
            <w:r>
              <w:t xml:space="preserve">Waqf &amp; Endowment Board</w:t>
            </w:r>
          </w:p>
        </w:tc>
        <w:tc>
          <w:tcPr/>
          <w:p>
            <w:pPr>
              <w:pStyle w:val="Compact"/>
              <w:jc w:val="left"/>
            </w:pPr>
            <w:r>
              <w:t xml:space="preserve">Owns Risks 4 and 6 (Waqf deployment, Nigeria Reserve)</w:t>
            </w:r>
          </w:p>
        </w:tc>
      </w:tr>
      <w:tr>
        <w:trPr>
          <w:cantSplit/>
        </w:trPr>
        <w:tc>
          <w:tcPr/>
          <w:p>
            <w:pPr>
              <w:pStyle w:val="Compact"/>
              <w:jc w:val="left"/>
            </w:pPr>
            <w:r>
              <w:t xml:space="preserve">Sharī’ah Advisory Board</w:t>
            </w:r>
          </w:p>
        </w:tc>
        <w:tc>
          <w:tcPr/>
          <w:p>
            <w:pPr>
              <w:pStyle w:val="Compact"/>
              <w:jc w:val="left"/>
            </w:pPr>
            <w:r>
              <w:t xml:space="preserve">Owns Risk 3; bi-annual re-certification authority</w:t>
            </w:r>
          </w:p>
        </w:tc>
      </w:tr>
    </w:tbl>
    <w:p>
      <w:pPr>
        <w:pStyle w:val="BodyText"/>
      </w:pPr>
      <w:r>
        <w:rPr>
          <w:bCs/>
          <w:b/>
          <w:color w:val="B08625"/>
          <w:sz w:val="20"/>
          <w:caps/>
          <w:spacing w:val="14"/>
        </w:rPr>
        <w:t xml:space="preserve">Measurable Success Indicators</w:t>
      </w:r>
    </w:p>
    <w:p>
      <w:pPr>
        <w:pStyle w:val="BodyText"/>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7"/>
    <w:bookmarkStart w:id="98" w:name="section-37-compliance-framework"/>
    <w:p>
      <w:pPr>
        <w:pStyle w:val="Heading2"/>
      </w:pPr>
      <w:r>
        <w:t xml:space="preserve">Section 37: Compliance Framework</w:t>
      </w:r>
    </w:p>
    <w:p>
      <w:pPr>
        <w:pStyle w:val="FirstParagraph"/>
      </w:pPr>
      <w:r>
        <w:rPr>
          <w:bCs/>
          <w:b/>
          <w:color w:val="B08625"/>
          <w:sz w:val="20"/>
          <w:caps/>
          <w:spacing w:val="14"/>
        </w:rPr>
        <w:t xml:space="preserve">Rationale</w:t>
      </w:r>
    </w:p>
    <w:p>
      <w:pPr>
        <w:pStyle w:val="BodyText"/>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pPr>
      <w:r>
        <w:rPr>
          <w:bCs/>
          <w:b/>
          <w:color w:val="B08625"/>
          <w:sz w:val="20"/>
          <w:caps/>
          <w:spacing w:val="14"/>
        </w:rPr>
        <w:t xml:space="preserve">Global Best Practices</w:t>
      </w:r>
    </w:p>
    <w:p>
      <w:pPr>
        <w:numPr>
          <w:ilvl w:val="0"/>
          <w:numId w:val="1028"/>
        </w:numPr>
        <w:pStyle w:val="Compact"/>
      </w:pPr>
      <w:r>
        <w:t xml:space="preserve">Single compliance calendar maintained centrally (not per-department), reviewed by the Board Audit &amp; Risk Committee — standard nonprofit governance practice.</w:t>
      </w:r>
    </w:p>
    <w:p>
      <w:pPr>
        <w:numPr>
          <w:ilvl w:val="0"/>
          <w:numId w:val="1028"/>
        </w:numPr>
        <w:pStyle w:val="Compact"/>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pPr>
      <w:r>
        <w:t xml:space="preserve">Firewall-adjacent compliance (IRS commingling scrutiny) benefits from an annual independent legal-counsel letter, a light-touch practice common among nonprofit/for-profit sibling structures.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Formation Compliance</w:t>
            </w:r>
          </w:p>
        </w:tc>
        <w:tc>
          <w:tcPr/>
          <w:p>
            <w:pPr>
              <w:pStyle w:val="Compact"/>
              <w:jc w:val="left"/>
            </w:pPr>
            <w:r>
              <w:t xml:space="preserve">2027–2028</w:t>
            </w:r>
          </w:p>
        </w:tc>
        <w:tc>
          <w:tcPr/>
          <w:p>
            <w:pPr>
              <w:pStyle w:val="Compact"/>
              <w:jc w:val="left"/>
            </w:pPr>
            <w:r>
              <w:t xml:space="preserve">Texas Certificate of Formation, EIN, IRS Form 1023, TX tax exemption, TWC Ch.132, USPTO Class 41 trademark</w:t>
            </w:r>
          </w:p>
        </w:tc>
      </w:tr>
      <w:tr>
        <w:trPr>
          <w:cantSplit/>
        </w:trPr>
        <w:tc>
          <w:tcPr/>
          <w:p>
            <w:pPr>
              <w:pStyle w:val="Compact"/>
              <w:jc w:val="left"/>
            </w:pPr>
            <w:r>
              <w:t xml:space="preserve">II — Accreditation Onboarding</w:t>
            </w:r>
          </w:p>
        </w:tc>
        <w:tc>
          <w:tcPr/>
          <w:p>
            <w:pPr>
              <w:pStyle w:val="Compact"/>
              <w:jc w:val="left"/>
            </w:pPr>
            <w:r>
              <w:t xml:space="preserve">2029–2031 (Yr 2–4)</w:t>
            </w:r>
          </w:p>
        </w:tc>
        <w:tc>
          <w:tcPr/>
          <w:p>
            <w:pPr>
              <w:pStyle w:val="Compact"/>
              <w:jc w:val="left"/>
            </w:pPr>
            <w:r>
              <w:t xml:space="preserve">CPD (Yr 2), ISO 21001 (Yr 3), Gambia NAQAA registration and site visits</w:t>
            </w:r>
          </w:p>
        </w:tc>
      </w:tr>
      <w:tr>
        <w:trPr>
          <w:cantSplit/>
        </w:trPr>
        <w:tc>
          <w:tcPr/>
          <w:p>
            <w:pPr>
              <w:pStyle w:val="Compact"/>
              <w:jc w:val="left"/>
            </w:pPr>
            <w:r>
              <w:t xml:space="preserve">III — Steady-State Cycle</w:t>
            </w:r>
          </w:p>
        </w:tc>
        <w:tc>
          <w:tcPr/>
          <w:p>
            <w:pPr>
              <w:pStyle w:val="Compact"/>
              <w:jc w:val="left"/>
            </w:pPr>
            <w:r>
              <w:t xml:space="preserve">2032–2037 (Yr 5–10)</w:t>
            </w:r>
          </w:p>
        </w:tc>
        <w:tc>
          <w:tcPr/>
          <w:p>
            <w:pPr>
              <w:pStyle w:val="Compact"/>
              <w:jc w:val="left"/>
            </w:pPr>
            <w:r>
              <w:t xml:space="preserve">Annual 990 filings, ISO surveillance audits, CPD renewals, NAQAA reporting</w:t>
            </w:r>
          </w:p>
        </w:tc>
      </w:tr>
      <w:tr>
        <w:trPr>
          <w:cantSplit/>
        </w:trPr>
        <w:tc>
          <w:tcPr/>
          <w:p>
            <w:pPr>
              <w:pStyle w:val="Compact"/>
              <w:jc w:val="left"/>
            </w:pPr>
            <w:r>
              <w:t xml:space="preserve">IV — Secular/Regulatory Expansion</w:t>
            </w:r>
          </w:p>
        </w:tc>
        <w:tc>
          <w:tcPr/>
          <w:p>
            <w:pPr>
              <w:pStyle w:val="Compact"/>
              <w:jc w:val="left"/>
            </w:pPr>
            <w:r>
              <w:t xml:space="preserve">2038+ (Yr 11+)</w:t>
            </w:r>
          </w:p>
        </w:tc>
        <w:tc>
          <w:tcPr/>
          <w:p>
            <w:pPr>
              <w:pStyle w:val="Compact"/>
              <w:jc w:val="left"/>
            </w:pPr>
            <w:r>
              <w:t xml:space="preserve">US secular accreditor candidacy, Nigeria NUC, Gulf ministry recognition</w:t>
            </w:r>
          </w:p>
        </w:tc>
      </w:tr>
    </w:tbl>
    <w:p>
      <w:pPr>
        <w:pStyle w:val="BodyText"/>
      </w:pPr>
      <w:r>
        <w:rPr>
          <w:bCs/>
          <w:b/>
          <w:color w:val="B08625"/>
          <w:sz w:val="20"/>
          <w:caps/>
          <w:spacing w:val="14"/>
        </w:rPr>
        <w:t xml:space="preserve">Staffing Requirements</w:t>
      </w:r>
    </w:p>
    <w:p>
      <w:pPr>
        <w:pStyle w:val="BodyText"/>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Texas formation (one-time)</w:t>
            </w:r>
          </w:p>
        </w:tc>
        <w:tc>
          <w:tcPr/>
          <w:p>
            <w:pPr>
              <w:pStyle w:val="Compact"/>
              <w:jc w:val="left"/>
            </w:pPr>
            <w:r>
              <w:t xml:space="preserve">~$1,015</w:t>
            </w:r>
          </w:p>
        </w:tc>
        <w:tc>
          <w:tcPr/>
          <w:p>
            <w:pPr>
              <w:pStyle w:val="Compact"/>
              <w:jc w:val="left"/>
            </w:pPr>
            <w:r>
              <w:t xml:space="preserve">Year-1 OpEx ($11,237)</w:t>
            </w:r>
          </w:p>
        </w:tc>
      </w:tr>
      <w:tr>
        <w:trPr>
          <w:cantSplit/>
        </w:trPr>
        <w:tc>
          <w:tcPr/>
          <w:p>
            <w:pPr>
              <w:pStyle w:val="Compact"/>
              <w:jc w:val="left"/>
            </w:pPr>
            <w:r>
              <w:t xml:space="preserve">Registered agent</w:t>
            </w:r>
          </w:p>
        </w:tc>
        <w:tc>
          <w:tcPr/>
          <w:p>
            <w:pPr>
              <w:pStyle w:val="Compact"/>
              <w:jc w:val="left"/>
            </w:pPr>
            <w:r>
              <w:t xml:space="preserve">~$150/yr</w:t>
            </w:r>
          </w:p>
        </w:tc>
        <w:tc>
          <w:tcPr/>
          <w:p>
            <w:pPr>
              <w:pStyle w:val="Compact"/>
              <w:jc w:val="left"/>
            </w:pPr>
            <w:r>
              <w:t xml:space="preserve">OpEx</w:t>
            </w:r>
          </w:p>
        </w:tc>
      </w:tr>
      <w:tr>
        <w:trPr>
          <w:cantSplit/>
        </w:trPr>
        <w:tc>
          <w:tcPr/>
          <w:p>
            <w:pPr>
              <w:pStyle w:val="Compact"/>
              <w:jc w:val="left"/>
            </w:pPr>
            <w:r>
              <w:t xml:space="preserve">CPD accreditation</w:t>
            </w:r>
          </w:p>
        </w:tc>
        <w:tc>
          <w:tcPr/>
          <w:p>
            <w:pPr>
              <w:pStyle w:val="Compact"/>
              <w:jc w:val="left"/>
            </w:pPr>
            <w:r>
              <w:t xml:space="preserve">$4,000 initial (Yr 2) + $1,200/yr</w:t>
            </w:r>
          </w:p>
        </w:tc>
        <w:tc>
          <w:tcPr/>
          <w:p>
            <w:pPr>
              <w:pStyle w:val="Compact"/>
              <w:jc w:val="left"/>
            </w:pPr>
            <w:r>
              <w:t xml:space="preserve">OpEx</w:t>
            </w:r>
          </w:p>
        </w:tc>
      </w:tr>
      <w:tr>
        <w:trPr>
          <w:cantSplit/>
        </w:trPr>
        <w:tc>
          <w:tcPr/>
          <w:p>
            <w:pPr>
              <w:pStyle w:val="Compact"/>
              <w:jc w:val="left"/>
            </w:pPr>
            <w:r>
              <w:t xml:space="preserve">ISO 21001</w:t>
            </w:r>
          </w:p>
        </w:tc>
        <w:tc>
          <w:tcPr/>
          <w:p>
            <w:pPr>
              <w:pStyle w:val="Compact"/>
              <w:jc w:val="left"/>
            </w:pPr>
            <w:r>
              <w:t xml:space="preserve">$12,000 initial (Yr 3) + $3,500/yr</w:t>
            </w:r>
          </w:p>
        </w:tc>
        <w:tc>
          <w:tcPr/>
          <w:p>
            <w:pPr>
              <w:pStyle w:val="Compact"/>
              <w:jc w:val="left"/>
            </w:pPr>
            <w:r>
              <w:t xml:space="preserve">OpEx</w:t>
            </w:r>
          </w:p>
        </w:tc>
      </w:tr>
      <w:tr>
        <w:trPr>
          <w:cantSplit/>
        </w:trPr>
        <w:tc>
          <w:tcPr/>
          <w:p>
            <w:pPr>
              <w:pStyle w:val="Compact"/>
              <w:jc w:val="left"/>
            </w:pPr>
            <w:r>
              <w:t xml:space="preserve">Gambia registration/trust/NAQAA (Stage 3 ceiling)</w:t>
            </w:r>
          </w:p>
        </w:tc>
        <w:tc>
          <w:tcPr/>
          <w:p>
            <w:pPr>
              <w:pStyle w:val="Compact"/>
              <w:jc w:val="left"/>
            </w:pPr>
            <w:r>
              <w:t xml:space="preserve">$50,000 total (Yr 2–4)</w:t>
            </w:r>
          </w:p>
        </w:tc>
        <w:tc>
          <w:tcPr/>
          <w:p>
            <w:pPr>
              <w:pStyle w:val="Compact"/>
              <w:jc w:val="left"/>
            </w:pPr>
            <w:r>
              <w:t xml:space="preserve">Liquidity Reserve (35%)</w:t>
            </w:r>
          </w:p>
        </w:tc>
      </w:tr>
      <w:tr>
        <w:trPr>
          <w:cantSplit/>
        </w:trPr>
        <w:tc>
          <w:tcPr/>
          <w:p>
            <w:pPr>
              <w:pStyle w:val="Compact"/>
              <w:jc w:val="left"/>
            </w:pPr>
            <w:r>
              <w:t xml:space="preserve">Compliance coordinator time</w:t>
            </w:r>
          </w:p>
        </w:tc>
        <w:tc>
          <w:tcPr/>
          <w:p>
            <w:pPr>
              <w:pStyle w:val="Compact"/>
              <w:jc w:val="left"/>
            </w:pPr>
            <w:r>
              <w:t xml:space="preserve">Embedded, no separate line</w:t>
            </w:r>
          </w:p>
        </w:tc>
        <w:tc>
          <w:tcPr/>
          <w:p>
            <w:pPr>
              <w:pStyle w:val="Compact"/>
              <w:jc w:val="left"/>
            </w:pPr>
            <w:r>
              <w:t xml:space="preserve">Core Admin Staff (18% of Payroll)</w:t>
            </w:r>
          </w:p>
        </w:tc>
      </w:tr>
      <w:tr>
        <w:trPr>
          <w:cantSplit/>
        </w:trPr>
        <w:tc>
          <w:tcPr/>
          <w:p>
            <w:pPr>
              <w:pStyle w:val="Compact"/>
              <w:jc w:val="left"/>
            </w:pPr>
            <w:r>
              <w:t xml:space="preserve">Future secular-accreditor candidacy fees (Yr 11+)</w:t>
            </w:r>
          </w:p>
        </w:tc>
        <w:tc>
          <w:tcPr/>
          <w:p>
            <w:pPr>
              <w:pStyle w:val="Compact"/>
              <w:jc w:val="left"/>
            </w:pPr>
            <w:r>
              <w:t xml:space="preserve">Sized to that era’s OpEx/Liquidity Reserve</w:t>
            </w:r>
          </w:p>
        </w:tc>
        <w:tc>
          <w:tcPr/>
          <w:p>
            <w:pPr>
              <w:pStyle w:val="Compact"/>
              <w:jc w:val="left"/>
            </w:pPr>
            <w:r>
              <w:t xml:space="preserve">OpEx + Liquidity Reserve</w:t>
            </w:r>
          </w:p>
        </w:tc>
      </w:tr>
    </w:tbl>
    <w:p>
      <w:pPr>
        <w:pStyle w:val="BodyText"/>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pPr>
      <w:r>
        <w:rPr>
          <w:bCs/>
          <w:b/>
          <w:color w:val="B08625"/>
          <w:sz w:val="20"/>
          <w:caps/>
          <w:spacing w:val="14"/>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Period</w:t>
            </w:r>
          </w:p>
        </w:tc>
        <w:tc>
          <w:tcPr/>
          <w:p>
            <w:pPr>
              <w:pStyle w:val="Compact"/>
              <w:jc w:val="left"/>
            </w:pPr>
            <w:r>
              <w:t xml:space="preserve">Action</w:t>
            </w:r>
          </w:p>
        </w:tc>
      </w:tr>
      <w:tr>
        <w:trPr>
          <w:cantSplit/>
        </w:trPr>
        <w:tc>
          <w:tcPr/>
          <w:p>
            <w:pPr>
              <w:pStyle w:val="Compact"/>
              <w:jc w:val="left"/>
            </w:pPr>
            <w:r>
              <w:t xml:space="preserve">Q1</w:t>
            </w:r>
          </w:p>
        </w:tc>
        <w:tc>
          <w:tcPr/>
          <w:p>
            <w:pPr>
              <w:pStyle w:val="Compact"/>
              <w:jc w:val="left"/>
            </w:pPr>
            <w:r>
              <w:t xml:space="preserve">IRS Form 990 preparation; TX registered-agent renewal confirmation</w:t>
            </w:r>
          </w:p>
        </w:tc>
      </w:tr>
      <w:tr>
        <w:trPr>
          <w:cantSplit/>
        </w:trPr>
        <w:tc>
          <w:tcPr/>
          <w:p>
            <w:pPr>
              <w:pStyle w:val="Compact"/>
              <w:jc w:val="left"/>
            </w:pPr>
            <w:r>
              <w:t xml:space="preserve">Q2</w:t>
            </w:r>
          </w:p>
        </w:tc>
        <w:tc>
          <w:tcPr/>
          <w:p>
            <w:pPr>
              <w:pStyle w:val="Compact"/>
              <w:jc w:val="left"/>
            </w:pPr>
            <w:r>
              <w:t xml:space="preserve">ISO 21001 surveillance audit window (post-Yr 3); CPD renewal filing</w:t>
            </w:r>
          </w:p>
        </w:tc>
      </w:tr>
      <w:tr>
        <w:trPr>
          <w:cantSplit/>
        </w:trPr>
        <w:tc>
          <w:tcPr/>
          <w:p>
            <w:pPr>
              <w:pStyle w:val="Compact"/>
              <w:jc w:val="left"/>
            </w:pPr>
            <w:r>
              <w:t xml:space="preserve">Q3</w:t>
            </w:r>
          </w:p>
        </w:tc>
        <w:tc>
          <w:tcPr/>
          <w:p>
            <w:pPr>
              <w:pStyle w:val="Compact"/>
              <w:jc w:val="left"/>
            </w:pPr>
            <w:r>
              <w:t xml:space="preserve">Sharī’ah Advisory Board bi-annual re-certification (odd-numbered cycles) of Commercial Engine structures</w:t>
            </w:r>
          </w:p>
        </w:tc>
      </w:tr>
      <w:tr>
        <w:trPr>
          <w:cantSplit/>
        </w:trPr>
        <w:tc>
          <w:tcPr/>
          <w:p>
            <w:pPr>
              <w:pStyle w:val="Compact"/>
              <w:jc w:val="left"/>
            </w:pPr>
            <w:r>
              <w:t xml:space="preserve">Q4</w:t>
            </w:r>
          </w:p>
        </w:tc>
        <w:tc>
          <w:tcPr/>
          <w:p>
            <w:pPr>
              <w:pStyle w:val="Compact"/>
              <w:jc w:val="left"/>
            </w:pPr>
            <w:r>
              <w:t xml:space="preserve">Board Audit &amp; Risk Committee annual compliance-posture review; Gambia NAQAA annual reporting (post Stage 3); data-protection policy refresh</w:t>
            </w:r>
          </w:p>
        </w:tc>
      </w:tr>
      <w:tr>
        <w:trPr>
          <w:cantSplit/>
        </w:trPr>
        <w:tc>
          <w:tcPr/>
          <w:p>
            <w:pPr>
              <w:pStyle w:val="Compact"/>
              <w:jc w:val="left"/>
            </w:pPr>
            <w:r>
              <w:t xml:space="preserve">Ongoing</w:t>
            </w:r>
          </w:p>
        </w:tc>
        <w:tc>
          <w:tcPr/>
          <w:p>
            <w:pPr>
              <w:pStyle w:val="Compact"/>
              <w:jc w:val="left"/>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pPr>
      <w:r>
        <w:rPr>
          <w:bCs/>
          <w:b/>
          <w:color w:val="B08625"/>
          <w:sz w:val="20"/>
          <w:caps/>
          <w:spacing w:val="14"/>
        </w:rPr>
        <w:t xml:space="preserve">Timeline</w:t>
      </w:r>
    </w:p>
    <w:p>
      <w:pPr>
        <w:pStyle w:val="BodyText"/>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compliance accountability; approves Liquidity Reserve draws for Gambia/accreditation costs</w:t>
            </w:r>
          </w:p>
        </w:tc>
      </w:tr>
      <w:tr>
        <w:trPr>
          <w:cantSplit/>
        </w:trPr>
        <w:tc>
          <w:tcPr/>
          <w:p>
            <w:pPr>
              <w:pStyle w:val="Compact"/>
              <w:jc w:val="left"/>
            </w:pPr>
            <w:r>
              <w:t xml:space="preserve">Audit &amp; Risk Committee</w:t>
            </w:r>
          </w:p>
        </w:tc>
        <w:tc>
          <w:tcPr/>
          <w:p>
            <w:pPr>
              <w:pStyle w:val="Compact"/>
              <w:jc w:val="left"/>
            </w:pPr>
            <w:r>
              <w:t xml:space="preserve">Monitors calendar adherence; commissions independent legal-counsel opinions</w:t>
            </w:r>
          </w:p>
        </w:tc>
      </w:tr>
      <w:tr>
        <w:trPr>
          <w:cantSplit/>
        </w:trPr>
        <w:tc>
          <w:tcPr/>
          <w:p>
            <w:pPr>
              <w:pStyle w:val="Compact"/>
              <w:jc w:val="left"/>
            </w:pPr>
            <w:r>
              <w:t xml:space="preserve">University Senate</w:t>
            </w:r>
          </w:p>
        </w:tc>
        <w:tc>
          <w:tcPr/>
          <w:p>
            <w:pPr>
              <w:pStyle w:val="Compact"/>
              <w:jc w:val="left"/>
            </w:pPr>
            <w:r>
              <w:t xml:space="preserve">Owns academic-content compliance (TWC Ch.132 scope, future licensure-adjacent curricula)</w:t>
            </w:r>
          </w:p>
        </w:tc>
      </w:tr>
      <w:tr>
        <w:trPr>
          <w:cantSplit/>
        </w:trPr>
        <w:tc>
          <w:tcPr/>
          <w:p>
            <w:pPr>
              <w:pStyle w:val="Compact"/>
              <w:jc w:val="left"/>
            </w:pPr>
            <w:r>
              <w:t xml:space="preserve">Waqf &amp; Endowment Board</w:t>
            </w:r>
          </w:p>
        </w:tc>
        <w:tc>
          <w:tcPr/>
          <w:p>
            <w:pPr>
              <w:pStyle w:val="Compact"/>
              <w:jc w:val="left"/>
            </w:pPr>
            <w:r>
              <w:t xml:space="preserve">N/A directly, but reviewed for compliance of Waqf fund administration</w:t>
            </w:r>
          </w:p>
        </w:tc>
      </w:tr>
      <w:tr>
        <w:trPr>
          <w:cantSplit/>
        </w:trPr>
        <w:tc>
          <w:tcPr/>
          <w:p>
            <w:pPr>
              <w:pStyle w:val="Compact"/>
              <w:jc w:val="left"/>
            </w:pPr>
            <w:r>
              <w:t xml:space="preserve">Sharī’ah Advisory Board</w:t>
            </w:r>
          </w:p>
        </w:tc>
        <w:tc>
          <w:tcPr/>
          <w:p>
            <w:pPr>
              <w:pStyle w:val="Compact"/>
              <w:jc w:val="left"/>
            </w:pPr>
            <w:r>
              <w:t xml:space="preserve">Owns Commercial Engine Sharī’ah-compliance certification cycle</w:t>
            </w:r>
          </w:p>
        </w:tc>
      </w:tr>
    </w:tbl>
    <w:p>
      <w:pPr>
        <w:pStyle w:val="BodyText"/>
      </w:pPr>
      <w:r>
        <w:rPr>
          <w:bCs/>
          <w:b/>
          <w:color w:val="B08625"/>
          <w:sz w:val="20"/>
          <w:caps/>
          <w:spacing w:val="14"/>
        </w:rPr>
        <w:t xml:space="preserve">Measurable Success Indicators</w:t>
      </w:r>
    </w:p>
    <w:p>
      <w:pPr>
        <w:pStyle w:val="BodyText"/>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8"/>
    <w:bookmarkStart w:id="102" w:name="Xf79d756fd0b3e4e3e63a4bac5c102915244732a"/>
    <w:p>
      <w:pPr>
        <w:pStyle w:val="Heading2"/>
      </w:pPr>
      <w:r>
        <w:t xml:space="preserve">Section 38: Financial Sustainability Framework</w:t>
      </w:r>
    </w:p>
    <w:p>
      <w:pPr>
        <w:pStyle w:val="CaptionedFigure"/>
      </w:pPr>
      <w:r>
        <w:drawing>
          <wp:inline>
            <wp:extent cx="5292852" cy="3670321"/>
            <wp:effectExtent b="0" l="0" r="0" t="0"/>
            <wp:docPr descr="Figure 8. Revenue Allocation Framework — Fixed Annual Percentage of Gross Revenue" title="" id="100" name="Picture"/>
            <a:graphic>
              <a:graphicData uri="http://schemas.openxmlformats.org/drawingml/2006/picture">
                <pic:pic>
                  <pic:nvPicPr>
                    <pic:cNvPr descr="assets/figures/fig01_revenue_allocation.png" id="101" name="Picture"/>
                    <pic:cNvPicPr>
                      <a:picLocks noChangeArrowheads="1" noChangeAspect="1"/>
                    </pic:cNvPicPr>
                  </pic:nvPicPr>
                  <pic:blipFill>
                    <a:blip r:embed="rId99"/>
                    <a:stretch>
                      <a:fillRect/>
                    </a:stretch>
                  </pic:blipFill>
                  <pic:spPr bwMode="auto">
                    <a:xfrm>
                      <a:off x="0" y="0"/>
                      <a:ext cx="5292852" cy="36703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pPr>
      <w:r>
        <w:rPr>
          <w:iCs/>
          <w:i/>
        </w:rPr>
        <w:t xml:space="preserve">The seven-category fixed allocation adopted in AMIU-MP-001 §5.4; zero unallocated residual in any year.</w:t>
      </w:r>
    </w:p>
    <w:p>
      <w:pPr>
        <w:pStyle w:val="BodyText"/>
      </w:pPr>
      <w:r>
        <w:rPr>
          <w:bCs/>
          <w:b/>
          <w:color w:val="B08625"/>
          <w:sz w:val="20"/>
          <w:caps/>
          <w:spacing w:val="14"/>
        </w:rPr>
        <w:t xml:space="preserve">Rationale</w:t>
      </w:r>
    </w:p>
    <w:p>
      <w:pPr>
        <w:pStyle w:val="BodyText"/>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pPr>
      <w:r>
        <w:rPr>
          <w:bCs/>
          <w:b/>
          <w:color w:val="B08625"/>
          <w:sz w:val="20"/>
          <w:caps/>
          <w:spacing w:val="14"/>
        </w:rPr>
        <w:t xml:space="preserve">Global Best Practices</w:t>
      </w:r>
    </w:p>
    <w:p>
      <w:pPr>
        <w:numPr>
          <w:ilvl w:val="0"/>
          <w:numId w:val="1029"/>
        </w:numPr>
        <w:pStyle w:val="Compact"/>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pPr>
      <w:r>
        <w:t xml:space="preserve">Scenario planning (conservative/expected/growth bands around one structural model, not three different budgets) is standard in nonprofit financial resilience planning.</w:t>
      </w:r>
    </w:p>
    <w:p>
      <w:pPr>
        <w:numPr>
          <w:ilvl w:val="0"/>
          <w:numId w:val="1029"/>
        </w:numPr>
        <w:pStyle w:val="Compact"/>
      </w:pPr>
      <w:r>
        <w:t xml:space="preserve">Automatic-stabilizer compensation design (Faculty Honoraria scaling with revenue, no ceiling but also no fixed floor) is a recognized technique for aligning payroll cost with actual capacity to pay.</w:t>
      </w:r>
    </w:p>
    <w:p>
      <w:pPr>
        <w:pStyle w:val="FirstParagraph"/>
      </w:pPr>
      <w:r>
        <w:rPr>
          <w:bCs/>
          <w:b/>
          <w:color w:val="B08625"/>
          <w:sz w:val="20"/>
          <w:caps/>
          <w:spacing w:val="14"/>
        </w:rPr>
        <w:t xml:space="preserve">The Doctrine, Stated Plainly</w:t>
      </w:r>
    </w:p>
    <w:p>
      <w:pPr>
        <w:pStyle w:val="BodyText"/>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pPr>
      <w:r>
        <w:rPr>
          <w:bCs/>
          <w:b/>
          <w:color w:val="B08625"/>
          <w:sz w:val="20"/>
          <w:caps/>
          <w:spacing w:val="14"/>
        </w:rPr>
        <w:t xml:space="preserve">The Two-Reserve Architecture</w:t>
      </w:r>
    </w:p>
    <w:p>
      <w:pPr>
        <w:numPr>
          <w:ilvl w:val="0"/>
          <w:numId w:val="1030"/>
        </w:numPr>
        <w:pStyle w:val="Compact"/>
      </w:pPr>
      <w:r>
        <w:rPr>
          <w:bCs/>
          <w:b/>
          <w:color w:val="B08625"/>
          <w:sz w:val="20"/>
          <w:caps/>
          <w:spacing w:val="14"/>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pPr>
      <w:r>
        <w:rPr>
          <w:bCs/>
          <w:b/>
          <w:color w:val="B08625"/>
          <w:sz w:val="20"/>
          <w:caps/>
          <w:spacing w:val="14"/>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Model Validation</w:t>
            </w:r>
          </w:p>
        </w:tc>
        <w:tc>
          <w:tcPr/>
          <w:p>
            <w:pPr>
              <w:pStyle w:val="Compact"/>
              <w:jc w:val="left"/>
            </w:pPr>
            <w:r>
              <w:t xml:space="preserve">2028–2029</w:t>
            </w:r>
          </w:p>
        </w:tc>
        <w:tc>
          <w:tcPr/>
          <w:p>
            <w:pPr>
              <w:pStyle w:val="Compact"/>
              <w:jc w:val="left"/>
            </w:pPr>
            <w:r>
              <w:t xml:space="preserve">Confirm actual revenue tracks within Conservative–Growth band</w:t>
            </w:r>
          </w:p>
        </w:tc>
      </w:tr>
      <w:tr>
        <w:trPr>
          <w:cantSplit/>
        </w:trPr>
        <w:tc>
          <w:tcPr/>
          <w:p>
            <w:pPr>
              <w:pStyle w:val="Compact"/>
              <w:jc w:val="left"/>
            </w:pPr>
            <w:r>
              <w:t xml:space="preserve">II — Reserve Build</w:t>
            </w:r>
          </w:p>
        </w:tc>
        <w:tc>
          <w:tcPr/>
          <w:p>
            <w:pPr>
              <w:pStyle w:val="Compact"/>
              <w:jc w:val="left"/>
            </w:pPr>
            <w:r>
              <w:t xml:space="preserve">2030–2034</w:t>
            </w:r>
          </w:p>
        </w:tc>
        <w:tc>
          <w:tcPr/>
          <w:p>
            <w:pPr>
              <w:pStyle w:val="Compact"/>
              <w:jc w:val="left"/>
            </w:pPr>
            <w:r>
              <w:t xml:space="preserve">Liquidity Reserve and Strategic Business Reserve compound; first Gambia/accreditation draws</w:t>
            </w:r>
          </w:p>
        </w:tc>
      </w:tr>
      <w:tr>
        <w:trPr>
          <w:cantSplit/>
        </w:trPr>
        <w:tc>
          <w:tcPr/>
          <w:p>
            <w:pPr>
              <w:pStyle w:val="Compact"/>
              <w:jc w:val="left"/>
            </w:pPr>
            <w:r>
              <w:t xml:space="preserve">III — Decade Audit</w:t>
            </w:r>
          </w:p>
        </w:tc>
        <w:tc>
          <w:tcPr/>
          <w:p>
            <w:pPr>
              <w:pStyle w:val="Compact"/>
              <w:jc w:val="left"/>
            </w:pPr>
            <w:r>
              <w:t xml:space="preserve">2035–2037</w:t>
            </w:r>
          </w:p>
        </w:tc>
        <w:tc>
          <w:tcPr/>
          <w:p>
            <w:pPr>
              <w:pStyle w:val="Compact"/>
              <w:jc w:val="left"/>
            </w:pPr>
            <w:r>
              <w:t xml:space="preserve">Ten-year audited zero-deficit track record completed — precondition for Year-11 secular accreditation</w:t>
            </w:r>
          </w:p>
        </w:tc>
      </w:tr>
      <w:tr>
        <w:trPr>
          <w:cantSplit/>
        </w:trPr>
        <w:tc>
          <w:tcPr/>
          <w:p>
            <w:pPr>
              <w:pStyle w:val="Compact"/>
              <w:jc w:val="left"/>
            </w:pPr>
            <w:r>
              <w:t xml:space="preserve">IV — Scaled Sustainability</w:t>
            </w:r>
          </w:p>
        </w:tc>
        <w:tc>
          <w:tcPr/>
          <w:p>
            <w:pPr>
              <w:pStyle w:val="Compact"/>
              <w:jc w:val="left"/>
            </w:pPr>
            <w:r>
              <w:t xml:space="preserve">2038+</w:t>
            </w:r>
          </w:p>
        </w:tc>
        <w:tc>
          <w:tcPr/>
          <w:p>
            <w:pPr>
              <w:pStyle w:val="Compact"/>
              <w:jc w:val="left"/>
            </w:pPr>
            <w:r>
              <w:t xml:space="preserve">Model re-validated at $8M–$94M+ revenue scale through 2047</w:t>
            </w:r>
          </w:p>
        </w:tc>
      </w:tr>
    </w:tbl>
    <w:p>
      <w:pPr>
        <w:pStyle w:val="BodyText"/>
      </w:pPr>
      <w:r>
        <w:rPr>
          <w:bCs/>
          <w:b/>
          <w:color w:val="B08625"/>
          <w:sz w:val="20"/>
          <w:caps/>
          <w:spacing w:val="14"/>
        </w:rPr>
        <w:t xml:space="preserve">Staffing Requirements</w:t>
      </w:r>
    </w:p>
    <w:p>
      <w:pPr>
        <w:pStyle w:val="BodyText"/>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pPr>
      <w:r>
        <w:rPr>
          <w:bCs/>
          <w:b/>
          <w:color w:val="B08625"/>
          <w:sz w:val="20"/>
          <w:caps/>
          <w:spacing w:val="14"/>
        </w:rPr>
        <w:t xml:space="preserve">Annual Budget</w:t>
      </w:r>
    </w:p>
    <w:p>
      <w:pPr>
        <w:pStyle w:val="BodyText"/>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eight fixed categories with zero residual.</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numPr>
          <w:ilvl w:val="0"/>
          <w:numId w:val="1031"/>
        </w:numPr>
        <w:pStyle w:val="Compact"/>
        <w:shd w:val="clear" w:color="auto" w:fill="F7F3E8"/>
        <w:pBdr>
          <w:left w:val="single" w:sz="24" w:space="10" w:color="B08625"/>
        </w:pBdr>
        <w:ind w:left="300"/>
        <w:spacing w:before="0" w:after="0"/>
      </w:pPr>
      <w:r>
        <w:t xml:space="preserve">Actual annual revenue vs. the Conservative/Expected/Growth trendlines (tracked quarterly).</w:t>
      </w:r>
    </w:p>
    <w:p>
      <w:pPr>
        <w:numPr>
          <w:ilvl w:val="0"/>
          <w:numId w:val="1031"/>
        </w:numPr>
        <w:pStyle w:val="Compact"/>
        <w:shd w:val="clear" w:color="auto" w:fill="F7F3E8"/>
        <w:pBdr>
          <w:left w:val="single" w:sz="24" w:space="10" w:color="B08625"/>
        </w:pBdr>
        <w:ind w:left="300"/>
        <w:spacing w:before="0" w:after="0"/>
      </w:pPr>
      <w:r>
        <w:t xml:space="preserve">Reserve balances vs. modeled targets ($4,341,842 Liquidity / $1,240,527 Strategic Business Reserve at Yr 10).</w:t>
      </w:r>
    </w:p>
    <w:p>
      <w:pPr>
        <w:numPr>
          <w:ilvl w:val="0"/>
          <w:numId w:val="1031"/>
        </w:numPr>
        <w:pStyle w:val="Compact"/>
        <w:shd w:val="clear" w:color="auto" w:fill="F7F3E8"/>
        <w:pBdr>
          <w:left w:val="single" w:sz="24" w:space="10" w:color="B08625"/>
        </w:pBdr>
        <w:ind w:left="300"/>
        <w:spacing w:before="0" w:after="0"/>
      </w:pPr>
      <w:r>
        <w:t xml:space="preserve">Allocation-reconciliation audit: 100% of revenue accounted for to the dollar, every year, in every scenario.</w:t>
      </w:r>
    </w:p>
    <w:p>
      <w:pPr>
        <w:numPr>
          <w:ilvl w:val="0"/>
          <w:numId w:val="1031"/>
        </w:numPr>
        <w:pStyle w:val="Compact"/>
        <w:shd w:val="clear" w:color="auto" w:fill="F7F3E8"/>
        <w:pBdr>
          <w:left w:val="single" w:sz="24" w:space="10" w:color="B08625"/>
        </w:pBdr>
        <w:ind w:left="300"/>
        <w:spacing w:before="0"/>
      </w:pPr>
      <w:r>
        <w:t xml:space="preserve">Zero deficit years, cumulative, 2028–2037 and beyond.</w:t>
      </w:r>
    </w:p>
    <w:p>
      <w:pPr>
        <w:pStyle w:val="FirstParagraph"/>
      </w:pPr>
      <w:r>
        <w:rPr>
          <w:bCs/>
          <w:b/>
          <w:color w:val="B08625"/>
          <w:sz w:val="20"/>
          <w:caps/>
          <w:spacing w:val="14"/>
        </w:rPr>
        <w:t xml:space="preserve">Sensitivity Analysis Logic</w:t>
      </w:r>
    </w:p>
    <w:p>
      <w:pPr>
        <w:pStyle w:val="BodyText"/>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pPr>
      <w:r>
        <w:rPr>
          <w:bCs/>
          <w:b/>
          <w:color w:val="B08625"/>
          <w:sz w:val="20"/>
          <w:caps/>
          <w:spacing w:val="14"/>
        </w:rPr>
        <w:t xml:space="preserve">Downside Shock Response</w:t>
      </w:r>
    </w:p>
    <w:p>
      <w:pPr>
        <w:pStyle w:val="BodyText"/>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pPr>
      <w:r>
        <w:rPr>
          <w:bCs/>
          <w:b/>
          <w:color w:val="B08625"/>
          <w:sz w:val="20"/>
          <w:caps/>
          <w:spacing w:val="14"/>
        </w:rPr>
        <w:t xml:space="preserve">Timeline</w:t>
      </w:r>
    </w:p>
    <w:p>
      <w:pPr>
        <w:pStyle w:val="BodyText"/>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Exclusive tuition-setting authority; approves Liquidity Reserve draws</w:t>
            </w:r>
          </w:p>
        </w:tc>
      </w:tr>
      <w:tr>
        <w:trPr>
          <w:cantSplit/>
        </w:trPr>
        <w:tc>
          <w:tcPr/>
          <w:p>
            <w:pPr>
              <w:pStyle w:val="Compact"/>
              <w:jc w:val="left"/>
            </w:pPr>
            <w:r>
              <w:t xml:space="preserve">Audit &amp; Risk Committee</w:t>
            </w:r>
          </w:p>
        </w:tc>
        <w:tc>
          <w:tcPr/>
          <w:p>
            <w:pPr>
              <w:pStyle w:val="Compact"/>
              <w:jc w:val="left"/>
            </w:pPr>
            <w:r>
              <w:t xml:space="preserve">Monitors reconciliation-to-the-dollar; triggers Downside Review</w:t>
            </w:r>
          </w:p>
        </w:tc>
      </w:tr>
      <w:tr>
        <w:trPr>
          <w:cantSplit/>
        </w:trPr>
        <w:tc>
          <w:tcPr/>
          <w:p>
            <w:pPr>
              <w:pStyle w:val="Compact"/>
              <w:jc w:val="left"/>
            </w:pPr>
            <w:r>
              <w:t xml:space="preserve">University Senate</w:t>
            </w:r>
          </w:p>
        </w:tc>
        <w:tc>
          <w:tcPr/>
          <w:p>
            <w:pPr>
              <w:pStyle w:val="Compact"/>
              <w:jc w:val="left"/>
            </w:pPr>
            <w:r>
              <w:t xml:space="preserve">Reviews Payroll-line implications (Faculty Honoraria, Senate Stipends)</w:t>
            </w:r>
          </w:p>
        </w:tc>
      </w:tr>
      <w:tr>
        <w:trPr>
          <w:cantSplit/>
        </w:trPr>
        <w:tc>
          <w:tcPr/>
          <w:p>
            <w:pPr>
              <w:pStyle w:val="Compact"/>
              <w:jc w:val="left"/>
            </w:pPr>
            <w:r>
              <w:t xml:space="preserve">Waqf &amp; Endowment Board</w:t>
            </w:r>
          </w:p>
        </w:tc>
        <w:tc>
          <w:tcPr/>
          <w:p>
            <w:pPr>
              <w:pStyle w:val="Compact"/>
              <w:jc w:val="left"/>
            </w:pPr>
            <w:r>
              <w:t xml:space="preserve">Fiduciary over Strategic Business Reserve investment discipline</w:t>
            </w:r>
          </w:p>
        </w:tc>
      </w:tr>
      <w:tr>
        <w:trPr>
          <w:cantSplit/>
        </w:trPr>
        <w:tc>
          <w:tcPr/>
          <w:p>
            <w:pPr>
              <w:pStyle w:val="Compact"/>
              <w:jc w:val="left"/>
            </w:pPr>
            <w:r>
              <w:t xml:space="preserve">Sharī’ah Advisory Board</w:t>
            </w:r>
          </w:p>
        </w:tc>
        <w:tc>
          <w:tcPr/>
          <w:p>
            <w:pPr>
              <w:pStyle w:val="Compact"/>
              <w:jc w:val="left"/>
            </w:pPr>
            <w:r>
              <w:t xml:space="preserve">Certifies Strategic Business Reserve investment vehicles as Sharī’ah-compliant</w:t>
            </w:r>
          </w:p>
        </w:tc>
      </w:tr>
    </w:tbl>
    <w:p>
      <w:pPr>
        <w:pStyle w:val="BodyText"/>
      </w:pPr>
      <w:r>
        <w:rPr>
          <w:bCs/>
          <w:b/>
          <w:color w:val="B08625"/>
          <w:sz w:val="20"/>
          <w:caps/>
          <w:spacing w:val="14"/>
        </w:rPr>
        <w:t xml:space="preserve">Measurable Success Indicators</w:t>
      </w:r>
    </w:p>
    <w:p>
      <w:pPr>
        <w:pStyle w:val="BodyText"/>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2"/>
    <w:bookmarkStart w:id="106" w:name="section-39-capital-development-framework"/>
    <w:p>
      <w:pPr>
        <w:pStyle w:val="Heading2"/>
      </w:pPr>
      <w:r>
        <w:t xml:space="preserve">Section 39: Capital Development Framework</w:t>
      </w:r>
    </w:p>
    <w:p>
      <w:pPr>
        <w:pStyle w:val="CaptionedFigure"/>
      </w:pPr>
      <w:r>
        <w:drawing>
          <wp:inline>
            <wp:extent cx="5292852" cy="3697745"/>
            <wp:effectExtent b="0" l="0" r="0" t="0"/>
            <wp:docPr descr="Figure 9. Capital Architecture: The Tuition Firewall" title="" id="104" name="Picture"/>
            <a:graphic>
              <a:graphicData uri="http://schemas.openxmlformats.org/drawingml/2006/picture">
                <pic:pic>
                  <pic:nvPicPr>
                    <pic:cNvPr descr="assets/figures/fig08_capital_firewall.png" id="105" name="Picture"/>
                    <pic:cNvPicPr>
                      <a:picLocks noChangeArrowheads="1" noChangeAspect="1"/>
                    </pic:cNvPicPr>
                  </pic:nvPicPr>
                  <pic:blipFill>
                    <a:blip r:embed="rId103"/>
                    <a:stretch>
                      <a:fillRect/>
                    </a:stretch>
                  </pic:blipFill>
                  <pic:spPr bwMode="auto">
                    <a:xfrm>
                      <a:off x="0" y="0"/>
                      <a:ext cx="5292852" cy="369774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pPr>
      <w:r>
        <w:rPr>
          <w:iCs/>
          <w:i/>
        </w:rPr>
        <w:t xml:space="preserve">Permanent structural separation between academic revenue and commercial capital (AMIU-MP-001 §7).</w:t>
      </w:r>
    </w:p>
    <w:p>
      <w:pPr>
        <w:pStyle w:val="BodyText"/>
      </w:pPr>
      <w:r>
        <w:rPr>
          <w:bCs/>
          <w:b/>
          <w:color w:val="B08625"/>
          <w:sz w:val="20"/>
          <w:caps/>
          <w:spacing w:val="14"/>
        </w:rPr>
        <w:t xml:space="preserve">Rationale</w:t>
      </w:r>
    </w:p>
    <w:p>
      <w:pPr>
        <w:pStyle w:val="BodyText"/>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pPr>
      <w:r>
        <w:rPr>
          <w:bCs/>
          <w:b/>
          <w:color w:val="B08625"/>
          <w:sz w:val="20"/>
          <w:caps/>
          <w:spacing w:val="14"/>
        </w:rPr>
        <w:t xml:space="preserve">Global Best Practices</w:t>
      </w:r>
    </w:p>
    <w:p>
      <w:pPr>
        <w:numPr>
          <w:ilvl w:val="0"/>
          <w:numId w:val="1032"/>
        </w:numPr>
        <w:pStyle w:val="Compact"/>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pPr>
      <w:r>
        <w:t xml:space="preserve">Phased capital ceilings (a board-approved not-to-exceed figure before groundbreaking) rather than open-ended construction budgets — exactly the Gambia $50,000 model.</w:t>
      </w:r>
    </w:p>
    <w:p>
      <w:pPr>
        <w:numPr>
          <w:ilvl w:val="0"/>
          <w:numId w:val="1032"/>
        </w:numPr>
        <w:pStyle w:val="Compact"/>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pPr>
      <w:r>
        <w:t xml:space="preserve">Arm’s-length shared-services pricing for any facility that might serve both University and Commercial Engine functions, fair-market-value documented, to preserve firewall integrity (Risk 8 mitigation).</w:t>
      </w:r>
    </w:p>
    <w:p>
      <w:pPr>
        <w:pStyle w:val="FirstParagraph"/>
      </w:pPr>
      <w:r>
        <w:rPr>
          <w:bCs/>
          <w:b/>
          <w:color w:val="B08625"/>
          <w:sz w:val="20"/>
          <w:caps/>
          <w:spacing w:val="14"/>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Project</w:t>
            </w:r>
          </w:p>
        </w:tc>
        <w:tc>
          <w:tcPr/>
          <w:p>
            <w:pPr>
              <w:pStyle w:val="Compact"/>
              <w:jc w:val="left"/>
            </w:pPr>
            <w:r>
              <w:t xml:space="preserve">Years</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Gambia Branch Campus build-out</w:t>
            </w:r>
          </w:p>
        </w:tc>
        <w:tc>
          <w:tcPr/>
          <w:p>
            <w:pPr>
              <w:pStyle w:val="Compact"/>
              <w:jc w:val="left"/>
            </w:pPr>
            <w:r>
              <w:t xml:space="preserve">Yr 2–4 (2029–2031)</w:t>
            </w:r>
          </w:p>
        </w:tc>
        <w:tc>
          <w:tcPr/>
          <w:p>
            <w:pPr>
              <w:pStyle w:val="Compact"/>
              <w:jc w:val="left"/>
            </w:pPr>
            <w:r>
              <w:t xml:space="preserve">University Liquidity Reserve (35% line)</w:t>
            </w:r>
          </w:p>
        </w:tc>
        <w:tc>
          <w:tcPr/>
          <w:p>
            <w:pPr>
              <w:pStyle w:val="Compact"/>
              <w:jc w:val="left"/>
            </w:pPr>
            <w:r>
              <w:t xml:space="preserve">$50,000 board-approved ceiling: registration $3,000, office lease $2,000, statutory trust capitalization $10,000, NAQAA accreditation $30,000, local counsel $5,000</w:t>
            </w:r>
          </w:p>
        </w:tc>
      </w:tr>
      <w:tr>
        <w:trPr>
          <w:cantSplit/>
        </w:trPr>
        <w:tc>
          <w:tcPr/>
          <w:p>
            <w:pPr>
              <w:pStyle w:val="Compact"/>
              <w:jc w:val="left"/>
            </w:pPr>
            <w:r>
              <w:t xml:space="preserve">Nigeria Mega-University land/seed capital</w:t>
            </w:r>
          </w:p>
        </w:tc>
        <w:tc>
          <w:tcPr/>
          <w:p>
            <w:pPr>
              <w:pStyle w:val="Compact"/>
              <w:jc w:val="left"/>
            </w:pPr>
            <w:r>
              <w:t xml:space="preserve">Yr 6+ (2033+), target maturity 2040s</w:t>
            </w:r>
          </w:p>
        </w:tc>
        <w:tc>
          <w:tcPr/>
          <w:p>
            <w:pPr>
              <w:pStyle w:val="Compact"/>
              <w:jc w:val="left"/>
            </w:pPr>
            <w:r>
              <w:t xml:space="preserve">Waqf Nigeria Mega-University Reserve sub-line (20% of the 50% distributed Waqf pool = 2% of gross revenue; 10-yr cumulative ≈ $333,384)</w:t>
            </w:r>
          </w:p>
        </w:tc>
        <w:tc>
          <w:tcPr/>
          <w:p>
            <w:pPr>
              <w:pStyle w:val="Compact"/>
              <w:jc w:val="left"/>
            </w:pPr>
            <w:r>
              <w:t xml:space="preserve">Framed per Risk 6 as a funding target, not a guarantee; delay does not affect University solvency</w:t>
            </w:r>
          </w:p>
        </w:tc>
      </w:tr>
      <w:tr>
        <w:trPr>
          <w:cantSplit/>
        </w:trPr>
        <w:tc>
          <w:tcPr/>
          <w:p>
            <w:pPr>
              <w:pStyle w:val="Compact"/>
              <w:jc w:val="left"/>
            </w:pPr>
            <w:r>
              <w:t xml:space="preserve">Nigeria residential colleges/library (full build-out)</w:t>
            </w:r>
          </w:p>
        </w:tc>
        <w:tc>
          <w:tcPr/>
          <w:p>
            <w:pPr>
              <w:pStyle w:val="Compact"/>
              <w:jc w:val="left"/>
            </w:pPr>
            <w:r>
              <w:t xml:space="preserve">Post Yr 11 (2038+)</w:t>
            </w:r>
          </w:p>
        </w:tc>
        <w:tc>
          <w:tcPr/>
          <w:p>
            <w:pPr>
              <w:pStyle w:val="Compact"/>
              <w:jc w:val="left"/>
            </w:pPr>
            <w:r>
              <w:t xml:space="preserve">Waqf Nigeria Reserve continuing accrual + possible dedicated Waqf capital campaign</w:t>
            </w:r>
          </w:p>
        </w:tc>
        <w:tc>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pPr>
            <w:r>
              <w:t xml:space="preserve">Future Tier-1-region facilities</w:t>
            </w:r>
          </w:p>
        </w:tc>
        <w:tc>
          <w:tcPr/>
          <w:p>
            <w:pPr>
              <w:pStyle w:val="Compact"/>
              <w:jc w:val="left"/>
            </w:pPr>
            <w:r>
              <w:t xml:space="preserve">Yr 15+ (2042+), illustrative only</w:t>
            </w:r>
          </w:p>
        </w:tc>
        <w:tc>
          <w:tcPr/>
          <w:p>
            <w:pPr>
              <w:pStyle w:val="Compact"/>
              <w:jc w:val="left"/>
            </w:pPr>
            <w:r>
              <w:t xml:space="preserve">Primarily Commercial Engine (Gate B real-estate acquisition, independently raised investor capital)</w:t>
            </w:r>
          </w:p>
        </w:tc>
        <w:tc>
          <w:tcPr/>
          <w:p>
            <w:pPr>
              <w:pStyle w:val="Compact"/>
              <w:jc w:val="left"/>
            </w:pPr>
            <w:r>
              <w:t xml:space="preserve">University may only participate via fair-market-value lease-back, never capital contribution</w:t>
            </w:r>
          </w:p>
        </w:tc>
      </w:tr>
      <w:tr>
        <w:trPr>
          <w:cantSplit/>
        </w:trPr>
        <w:tc>
          <w:tcPr/>
          <w:p>
            <w:pPr>
              <w:pStyle w:val="Compact"/>
              <w:jc w:val="left"/>
            </w:pPr>
            <w:r>
              <w:t xml:space="preserve">Accreditation-linked capital costs (ISO surveillance, future US secular-accreditor site visits)</w:t>
            </w:r>
          </w:p>
        </w:tc>
        <w:tc>
          <w:tcPr/>
          <w:p>
            <w:pPr>
              <w:pStyle w:val="Compact"/>
              <w:jc w:val="left"/>
            </w:pPr>
            <w:r>
              <w:t xml:space="preserve">Ongoing / Yr 11–12</w:t>
            </w:r>
          </w:p>
        </w:tc>
        <w:tc>
          <w:tcPr/>
          <w:p>
            <w:pPr>
              <w:pStyle w:val="Compact"/>
              <w:jc w:val="left"/>
            </w:pPr>
            <w:r>
              <w:t xml:space="preserve">OpEx (5%) for recurring; Liquidity Reserve for larger one-off candidacy costs</w:t>
            </w:r>
          </w:p>
        </w:tc>
        <w:tc>
          <w:tcPr/>
          <w:p>
            <w:pPr>
              <w:pStyle w:val="Compact"/>
              <w:jc w:val="left"/>
            </w:pPr>
            <w:r>
              <w:t xml:space="preserve">See Section 37</w:t>
            </w:r>
          </w:p>
        </w:tc>
      </w:tr>
    </w:tbl>
    <w:p>
      <w:pPr>
        <w:pStyle w:val="BodyText"/>
      </w:pPr>
      <w:r>
        <w:rPr>
          <w:bCs/>
          <w:b/>
          <w:color w:val="B08625"/>
          <w:sz w:val="20"/>
          <w:caps/>
          <w:spacing w:val="14"/>
        </w:rPr>
        <w:t xml:space="preserve">The Firewall, Restated for Capital</w:t>
      </w:r>
    </w:p>
    <w:p>
      <w:pPr>
        <w:pStyle w:val="BodyText"/>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Gambia Build-out</w:t>
            </w:r>
          </w:p>
        </w:tc>
        <w:tc>
          <w:tcPr/>
          <w:p>
            <w:pPr>
              <w:pStyle w:val="Compact"/>
              <w:jc w:val="left"/>
            </w:pPr>
            <w:r>
              <w:t xml:space="preserve">2029–2031</w:t>
            </w:r>
          </w:p>
        </w:tc>
        <w:tc>
          <w:tcPr/>
          <w:p>
            <w:pPr>
              <w:pStyle w:val="Compact"/>
              <w:jc w:val="left"/>
            </w:pPr>
            <w:r>
              <w:t xml:space="preserve">$50,000 ceiling spent, NAQAA accreditation earned independently of Texas parent</w:t>
            </w:r>
          </w:p>
        </w:tc>
      </w:tr>
      <w:tr>
        <w:trPr>
          <w:cantSplit/>
        </w:trPr>
        <w:tc>
          <w:tcPr/>
          <w:p>
            <w:pPr>
              <w:pStyle w:val="Compact"/>
              <w:jc w:val="left"/>
            </w:pPr>
            <w:r>
              <w:t xml:space="preserve">II — Nigeria Reserve Accrual</w:t>
            </w:r>
          </w:p>
        </w:tc>
        <w:tc>
          <w:tcPr/>
          <w:p>
            <w:pPr>
              <w:pStyle w:val="Compact"/>
              <w:jc w:val="left"/>
            </w:pPr>
            <w:r>
              <w:t xml:space="preserve">2033–2037</w:t>
            </w:r>
          </w:p>
        </w:tc>
        <w:tc>
          <w:tcPr/>
          <w:p>
            <w:pPr>
              <w:pStyle w:val="Compact"/>
              <w:jc w:val="left"/>
            </w:pPr>
            <w:r>
              <w:t xml:space="preserve">Waqf Nigeria sub-line compounds; feasibility study conducted, funded from OpEx</w:t>
            </w:r>
          </w:p>
        </w:tc>
      </w:tr>
      <w:tr>
        <w:trPr>
          <w:cantSplit/>
        </w:trPr>
        <w:tc>
          <w:tcPr/>
          <w:p>
            <w:pPr>
              <w:pStyle w:val="Compact"/>
              <w:jc w:val="left"/>
            </w:pPr>
            <w:r>
              <w:t xml:space="preserve">III — Nigeria Capital Deployment</w:t>
            </w:r>
          </w:p>
        </w:tc>
        <w:tc>
          <w:tcPr/>
          <w:p>
            <w:pPr>
              <w:pStyle w:val="Compact"/>
              <w:jc w:val="left"/>
            </w:pPr>
            <w:r>
              <w:t xml:space="preserve">2038–2044 (indicative)</w:t>
            </w:r>
          </w:p>
        </w:tc>
        <w:tc>
          <w:tcPr/>
          <w:p>
            <w:pPr>
              <w:pStyle w:val="Compact"/>
              <w:jc w:val="left"/>
            </w:pPr>
            <w:r>
              <w:t xml:space="preserve">Land/seed capital deployed if Reserve + campaign sufficient; framed as target throughout</w:t>
            </w:r>
          </w:p>
        </w:tc>
      </w:tr>
      <w:tr>
        <w:trPr>
          <w:cantSplit/>
        </w:trPr>
        <w:tc>
          <w:tcPr/>
          <w:p>
            <w:pPr>
              <w:pStyle w:val="Compact"/>
              <w:jc w:val="left"/>
            </w:pPr>
            <w:r>
              <w:t xml:space="preserve">IV — Tier-1 Facilities (illustrative)</w:t>
            </w:r>
          </w:p>
        </w:tc>
        <w:tc>
          <w:tcPr/>
          <w:p>
            <w:pPr>
              <w:pStyle w:val="Compact"/>
              <w:jc w:val="left"/>
            </w:pPr>
            <w:r>
              <w:t xml:space="preserve">2042+</w:t>
            </w:r>
          </w:p>
        </w:tc>
        <w:tc>
          <w:tcPr/>
          <w:p>
            <w:pPr>
              <w:pStyle w:val="Compact"/>
              <w:jc w:val="left"/>
            </w:pPr>
            <w:r>
              <w:t xml:space="preserve">Commercial-Engine-led, University firewall-observant participation only</w:t>
            </w:r>
          </w:p>
        </w:tc>
      </w:tr>
    </w:tbl>
    <w:p>
      <w:pPr>
        <w:pStyle w:val="BodyText"/>
      </w:pPr>
      <w:r>
        <w:rPr>
          <w:bCs/>
          <w:b/>
          <w:color w:val="B08625"/>
          <w:sz w:val="20"/>
          <w:caps/>
          <w:spacing w:val="14"/>
        </w:rPr>
        <w:t xml:space="preserve">Staffing Requirements</w:t>
      </w:r>
    </w:p>
    <w:p>
      <w:pPr>
        <w:pStyle w:val="BodyText"/>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pPr>
      <w:r>
        <w:rPr>
          <w:bCs/>
          <w:b/>
          <w:color w:val="B08625"/>
          <w:sz w:val="20"/>
          <w:caps/>
          <w:spacing w:val="14"/>
        </w:rPr>
        <w:t xml:space="preserve">Annual Budget</w:t>
      </w:r>
    </w:p>
    <w:p>
      <w:pPr>
        <w:pStyle w:val="BodyText"/>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$333,384) — explicitly a target-building sub-line, not a construction-ready budget on its own.</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pPr>
      <w:r>
        <w:rPr>
          <w:bCs/>
          <w:b/>
          <w:color w:val="B08625"/>
          <w:sz w:val="20"/>
          <w:caps/>
          <w:spacing w:val="14"/>
        </w:rPr>
        <w:t xml:space="preserve">Timeline</w:t>
      </w:r>
    </w:p>
    <w:p>
      <w:pPr>
        <w:pStyle w:val="BodyText"/>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all capital ceilings; enforces firewall on every project</w:t>
            </w:r>
          </w:p>
        </w:tc>
      </w:tr>
      <w:tr>
        <w:trPr>
          <w:cantSplit/>
        </w:trPr>
        <w:tc>
          <w:tcPr/>
          <w:p>
            <w:pPr>
              <w:pStyle w:val="Compact"/>
              <w:jc w:val="left"/>
            </w:pPr>
            <w:r>
              <w:t xml:space="preserve">Audit &amp; Risk Committee</w:t>
            </w:r>
          </w:p>
        </w:tc>
        <w:tc>
          <w:tcPr/>
          <w:p>
            <w:pPr>
              <w:pStyle w:val="Compact"/>
              <w:jc w:val="left"/>
            </w:pPr>
            <w:r>
              <w:t xml:space="preserve">Audits source-of-funds tagging annually</w:t>
            </w:r>
          </w:p>
        </w:tc>
      </w:tr>
      <w:tr>
        <w:trPr>
          <w:cantSplit/>
        </w:trPr>
        <w:tc>
          <w:tcPr/>
          <w:p>
            <w:pPr>
              <w:pStyle w:val="Compact"/>
              <w:jc w:val="left"/>
            </w:pPr>
            <w:r>
              <w:t xml:space="preserve">University Senate</w:t>
            </w:r>
          </w:p>
        </w:tc>
        <w:tc>
          <w:tcPr/>
          <w:p>
            <w:pPr>
              <w:pStyle w:val="Compact"/>
              <w:jc w:val="left"/>
            </w:pPr>
            <w:r>
              <w:t xml:space="preserve">No direct capital authority; informed of academic-capacity implications</w:t>
            </w:r>
          </w:p>
        </w:tc>
      </w:tr>
      <w:tr>
        <w:trPr>
          <w:cantSplit/>
        </w:trPr>
        <w:tc>
          <w:tcPr/>
          <w:p>
            <w:pPr>
              <w:pStyle w:val="Compact"/>
              <w:jc w:val="left"/>
            </w:pPr>
            <w:r>
              <w:t xml:space="preserve">Waqf &amp; Endowment Board</w:t>
            </w:r>
          </w:p>
        </w:tc>
        <w:tc>
          <w:tcPr/>
          <w:p>
            <w:pPr>
              <w:pStyle w:val="Compact"/>
              <w:jc w:val="left"/>
            </w:pPr>
            <w:r>
              <w:t xml:space="preserve">Fiduciary owner of the Nigeria Reserve sub-line and any Waqf capital campaign</w:t>
            </w:r>
          </w:p>
        </w:tc>
      </w:tr>
      <w:tr>
        <w:trPr>
          <w:cantSplit/>
        </w:trPr>
        <w:tc>
          <w:tcPr/>
          <w:p>
            <w:pPr>
              <w:pStyle w:val="Compact"/>
              <w:jc w:val="left"/>
            </w:pPr>
            <w:r>
              <w:t xml:space="preserve">Sharī’ah Advisory Board</w:t>
            </w:r>
          </w:p>
        </w:tc>
        <w:tc>
          <w:tcPr/>
          <w:p>
            <w:pPr>
              <w:pStyle w:val="Compact"/>
              <w:jc w:val="left"/>
            </w:pPr>
            <w:r>
              <w:t xml:space="preserve">Certifies any Commercial-Engine-side real estate structure (Gate B) as Sharī’ah-compliant</w:t>
            </w:r>
          </w:p>
        </w:tc>
      </w:tr>
    </w:tbl>
    <w:p>
      <w:pPr>
        <w:pStyle w:val="BodyText"/>
      </w:pPr>
      <w:r>
        <w:rPr>
          <w:bCs/>
          <w:b/>
          <w:color w:val="B08625"/>
          <w:sz w:val="20"/>
          <w:caps/>
          <w:spacing w:val="14"/>
        </w:rPr>
        <w:t xml:space="preserve">Measurable Success Indicators</w:t>
      </w:r>
    </w:p>
    <w:p>
      <w:pPr>
        <w:pStyle w:val="BodyText"/>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6"/>
    <w:bookmarkStart w:id="110" w:name="section-40-twenty-year-strategic-roadmap"/>
    <w:p>
      <w:pPr>
        <w:pStyle w:val="Heading2"/>
      </w:pPr>
      <w:r>
        <w:t xml:space="preserve">Section 40: Twenty-Year Strategic Roadmap</w:t>
      </w:r>
    </w:p>
    <w:p>
      <w:pPr>
        <w:pStyle w:val="CaptionedFigure"/>
      </w:pPr>
      <w:r>
        <w:drawing>
          <wp:inline>
            <wp:extent cx="5292852" cy="3043005"/>
            <wp:effectExtent b="0" l="0" r="0" t="0"/>
            <wp:docPr descr="Figure 10. Twenty-Year Illustrative Revenue Trajectory, 2028–2047" title="" id="108" name="Picture"/>
            <a:graphic>
              <a:graphicData uri="http://schemas.openxmlformats.org/drawingml/2006/picture">
                <pic:pic>
                  <pic:nvPicPr>
                    <pic:cNvPr descr="assets/figures/fig04_twenty_year_trajectory.png" id="109" name="Picture"/>
                    <pic:cNvPicPr>
                      <a:picLocks noChangeArrowheads="1" noChangeAspect="1"/>
                    </pic:cNvPicPr>
                  </pic:nvPicPr>
                  <pic:blipFill>
                    <a:blip r:embed="rId107"/>
                    <a:stretch>
                      <a:fillRect/>
                    </a:stretch>
                  </pic:blipFill>
                  <pic:spPr bwMode="auto">
                    <a:xfrm>
                      <a:off x="0" y="0"/>
                      <a:ext cx="5292852" cy="304300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pPr>
      <w:r>
        <w:rPr>
          <w:iCs/>
          <w:i/>
        </w:rPr>
        <w:t xml:space="preserve">Years 11–20 are directional planning estimates, contingent on the adopted accreditation sequencing.</w:t>
      </w:r>
    </w:p>
    <w:p>
      <w:pPr>
        <w:pStyle w:val="BodyText"/>
      </w:pPr>
      <w:r>
        <w:rPr>
          <w:bCs/>
          <w:b/>
          <w:color w:val="B08625"/>
          <w:sz w:val="20"/>
          <w:caps/>
          <w:spacing w:val="14"/>
        </w:rPr>
        <w:t xml:space="preserve">Rationale</w:t>
      </w:r>
    </w:p>
    <w:p>
      <w:pPr>
        <w:pStyle w:val="BodyText"/>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pPr>
      <w:r>
        <w:rPr>
          <w:bCs/>
          <w:b/>
          <w:color w:val="B08625"/>
          <w:sz w:val="20"/>
          <w:caps/>
          <w:spacing w:val="14"/>
        </w:rPr>
        <w:t xml:space="preserve">Global Best Practices</w:t>
      </w:r>
    </w:p>
    <w:p>
      <w:pPr>
        <w:pStyle w:val="BodyText"/>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pPr>
      <w:r>
        <w:rPr>
          <w:bCs/>
          <w:b/>
          <w:color w:val="B08625"/>
          <w:sz w:val="20"/>
          <w:caps/>
          <w:spacing w:val="14"/>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Sections</w:t>
            </w:r>
          </w:p>
        </w:tc>
      </w:tr>
      <w:tr>
        <w:trPr>
          <w:cantSplit/>
        </w:trPr>
        <w:tc>
          <w:tcPr/>
          <w:p>
            <w:pPr>
              <w:pStyle w:val="Compact"/>
              <w:jc w:val="left"/>
            </w:pPr>
            <w:r>
              <w:t xml:space="preserve">2027 (Dec 6)</w:t>
            </w:r>
          </w:p>
        </w:tc>
        <w:tc>
          <w:tcPr/>
          <w:p>
            <w:pPr>
              <w:pStyle w:val="Compact"/>
              <w:jc w:val="left"/>
            </w:pPr>
            <w:r>
              <w:t xml:space="preserve">Incorporation, Texas Nonprofit Corp, 501c3 religious-exempt</w:t>
            </w:r>
          </w:p>
        </w:tc>
        <w:tc>
          <w:tcPr/>
          <w:p>
            <w:pPr>
              <w:pStyle w:val="Compact"/>
              <w:jc w:val="left"/>
            </w:pPr>
            <w:r>
              <w:t xml:space="preserve">3–5; 37</w:t>
            </w:r>
          </w:p>
        </w:tc>
      </w:tr>
      <w:tr>
        <w:trPr>
          <w:cantSplit/>
        </w:trPr>
        <w:tc>
          <w:tcPr/>
          <w:p>
            <w:pPr>
              <w:pStyle w:val="Compact"/>
              <w:jc w:val="left"/>
            </w:pPr>
            <w:r>
              <w:t xml:space="preserve">2028 (Yr 1)</w:t>
            </w:r>
          </w:p>
        </w:tc>
        <w:tc>
          <w:tcPr/>
          <w:p>
            <w:pPr>
              <w:pStyle w:val="Compact"/>
              <w:jc w:val="left"/>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pPr>
            <w:r>
              <w:t xml:space="preserve">1–5; 36–38</w:t>
            </w:r>
          </w:p>
        </w:tc>
      </w:tr>
      <w:tr>
        <w:trPr>
          <w:cantSplit/>
        </w:trPr>
        <w:tc>
          <w:tcPr/>
          <w:p>
            <w:pPr>
              <w:pStyle w:val="Compact"/>
              <w:jc w:val="left"/>
            </w:pPr>
            <w:r>
              <w:t xml:space="preserve">2029 (Yr 2)</w:t>
            </w:r>
          </w:p>
        </w:tc>
        <w:tc>
          <w:tcPr/>
          <w:p>
            <w:pPr>
              <w:pStyle w:val="Compact"/>
              <w:jc w:val="left"/>
            </w:pPr>
            <w:r>
              <w:t xml:space="preserve">CPD accreditation achieved ($4,000 initial); Gambia Branch Campus Stage 3 begins ($50,000 ceiling)</w:t>
            </w:r>
          </w:p>
        </w:tc>
        <w:tc>
          <w:tcPr/>
          <w:p>
            <w:pPr>
              <w:pStyle w:val="Compact"/>
              <w:jc w:val="left"/>
            </w:pPr>
            <w:r>
              <w:t xml:space="preserve">19–20; 30; 37; 39</w:t>
            </w:r>
          </w:p>
        </w:tc>
      </w:tr>
      <w:tr>
        <w:trPr>
          <w:cantSplit/>
        </w:trPr>
        <w:tc>
          <w:tcPr/>
          <w:p>
            <w:pPr>
              <w:pStyle w:val="Compact"/>
              <w:jc w:val="left"/>
            </w:pPr>
            <w:r>
              <w:t xml:space="preserve">2030 (Yr 3)</w:t>
            </w:r>
          </w:p>
        </w:tc>
        <w:tc>
          <w:tcPr/>
          <w:p>
            <w:pPr>
              <w:pStyle w:val="Compact"/>
              <w:jc w:val="left"/>
            </w:pPr>
            <w:r>
              <w:t xml:space="preserve">ISO 21001 achieved ($12,000 initial); PhD tier launches; Senate succession plans documented for founder-linked seats 2–4 (Risk 12 closes)</w:t>
            </w:r>
          </w:p>
        </w:tc>
        <w:tc>
          <w:tcPr/>
          <w:p>
            <w:pPr>
              <w:pStyle w:val="Compact"/>
              <w:jc w:val="left"/>
            </w:pPr>
            <w:r>
              <w:t xml:space="preserve">7; 16; 19–20; 36–37</w:t>
            </w:r>
          </w:p>
        </w:tc>
      </w:tr>
      <w:tr>
        <w:trPr>
          <w:cantSplit/>
        </w:trPr>
        <w:tc>
          <w:tcPr/>
          <w:p>
            <w:pPr>
              <w:pStyle w:val="Compact"/>
              <w:jc w:val="left"/>
            </w:pPr>
            <w:r>
              <w:t xml:space="preserve">2031 (Yr 4)</w:t>
            </w:r>
          </w:p>
        </w:tc>
        <w:tc>
          <w:tcPr/>
          <w:p>
            <w:pPr>
              <w:pStyle w:val="Compact"/>
              <w:jc w:val="left"/>
            </w:pPr>
            <w:r>
              <w:t xml:space="preserve">Gambia Branch Campus NAQAA-accredited, independent of Texas parent</w:t>
            </w:r>
          </w:p>
        </w:tc>
        <w:tc>
          <w:tcPr/>
          <w:p>
            <w:pPr>
              <w:pStyle w:val="Compact"/>
              <w:jc w:val="left"/>
            </w:pPr>
            <w:r>
              <w:t xml:space="preserve">30; 39</w:t>
            </w:r>
          </w:p>
        </w:tc>
      </w:tr>
      <w:tr>
        <w:trPr>
          <w:cantSplit/>
        </w:trPr>
        <w:tc>
          <w:tcPr/>
          <w:p>
            <w:pPr>
              <w:pStyle w:val="Compact"/>
              <w:jc w:val="left"/>
            </w:pPr>
            <w:r>
              <w:t xml:space="preserve">2032 (Yr 5)</w:t>
            </w:r>
          </w:p>
        </w:tc>
        <w:tc>
          <w:tcPr/>
          <w:p>
            <w:pPr>
              <w:pStyle w:val="Compact"/>
              <w:jc w:val="left"/>
            </w:pPr>
            <w:r>
              <w:t xml:space="preserve">3,493 students / $1,290,784 revenue; reserves compounding on schedule</w:t>
            </w:r>
          </w:p>
        </w:tc>
        <w:tc>
          <w:tcPr/>
          <w:p>
            <w:pPr>
              <w:pStyle w:val="Compact"/>
              <w:jc w:val="left"/>
            </w:pPr>
            <w:r>
              <w:t xml:space="preserve">1; 38</w:t>
            </w:r>
          </w:p>
        </w:tc>
      </w:tr>
      <w:tr>
        <w:trPr>
          <w:cantSplit/>
        </w:trPr>
        <w:tc>
          <w:tcPr/>
          <w:p>
            <w:pPr>
              <w:pStyle w:val="Compact"/>
              <w:jc w:val="left"/>
            </w:pPr>
            <w:r>
              <w:t xml:space="preserve">2033 (Yr 6)</w:t>
            </w:r>
          </w:p>
        </w:tc>
        <w:tc>
          <w:tcPr/>
          <w:p>
            <w:pPr>
              <w:pStyle w:val="Compact"/>
              <w:jc w:val="left"/>
            </w:pPr>
            <w:r>
              <w:t xml:space="preserve">Post-Doctoral Fellowship tier launches</w:t>
            </w:r>
          </w:p>
        </w:tc>
        <w:tc>
          <w:tcPr/>
          <w:p>
            <w:pPr>
              <w:pStyle w:val="Compact"/>
              <w:jc w:val="left"/>
            </w:pPr>
            <w:r>
              <w:t xml:space="preserve">7; 16</w:t>
            </w:r>
          </w:p>
        </w:tc>
      </w:tr>
      <w:tr>
        <w:trPr>
          <w:cantSplit/>
        </w:trPr>
        <w:tc>
          <w:tcPr/>
          <w:p>
            <w:pPr>
              <w:pStyle w:val="Compact"/>
              <w:jc w:val="left"/>
            </w:pPr>
            <w:r>
              <w:t xml:space="preserve">2033–2036 (Yr 6–9)</w:t>
            </w:r>
          </w:p>
        </w:tc>
        <w:tc>
          <w:tcPr/>
          <w:p>
            <w:pPr>
              <w:pStyle w:val="Compact"/>
              <w:jc w:val="left"/>
            </w:pPr>
            <w:r>
              <w:t xml:space="preserve">Risk/Compliance coordinator scales to 1.0 FTE; Nigeria feasibility study initiated; steady-state compliance cycle in force</w:t>
            </w:r>
          </w:p>
        </w:tc>
        <w:tc>
          <w:tcPr/>
          <w:p>
            <w:pPr>
              <w:pStyle w:val="Compact"/>
              <w:jc w:val="left"/>
            </w:pPr>
            <w:r>
              <w:t xml:space="preserve">31; 36–39</w:t>
            </w:r>
          </w:p>
        </w:tc>
      </w:tr>
      <w:tr>
        <w:trPr>
          <w:cantSplit/>
        </w:trPr>
        <w:tc>
          <w:tcPr/>
          <w:p>
            <w:pPr>
              <w:pStyle w:val="Compact"/>
              <w:jc w:val="left"/>
            </w:pPr>
            <w:r>
              <w:t xml:space="preserve">2037 (Yr 10)</w:t>
            </w:r>
          </w:p>
        </w:tc>
        <w:tc>
          <w:tcPr/>
          <w:p>
            <w:pPr>
              <w:pStyle w:val="Compact"/>
              <w:jc w:val="left"/>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pPr>
            <w:r>
              <w:t xml:space="preserve">1; 31; 38–39</w:t>
            </w:r>
          </w:p>
        </w:tc>
      </w:tr>
      <w:tr>
        <w:trPr>
          <w:cantSplit/>
        </w:trPr>
        <w:tc>
          <w:tcPr/>
          <w:p>
            <w:pPr>
              <w:pStyle w:val="Compact"/>
              <w:jc w:val="left"/>
            </w:pPr>
            <w:r>
              <w:t xml:space="preserve">2038 (Yr 11)</w:t>
            </w:r>
          </w:p>
        </w:tc>
        <w:tc>
          <w:tcPr/>
          <w:p>
            <w:pPr>
              <w:pStyle w:val="Compact"/>
              <w:jc w:val="left"/>
            </w:pPr>
            <w:r>
              <w:t xml:space="preserve">Secular accreditation era begins: 28 secular programs (#72–99), 7 new schools, launch; revenue $8.36M; Risks 15–17 (licensure, NUC, Gulf recognition) formally added to register</w:t>
            </w:r>
          </w:p>
        </w:tc>
        <w:tc>
          <w:tcPr/>
          <w:p>
            <w:pPr>
              <w:pStyle w:val="Compact"/>
              <w:jc w:val="left"/>
            </w:pPr>
            <w:r>
              <w:t xml:space="preserve">6–11; 19; 36–37</w:t>
            </w:r>
          </w:p>
        </w:tc>
      </w:tr>
      <w:tr>
        <w:trPr>
          <w:cantSplit/>
        </w:trPr>
        <w:tc>
          <w:tcPr/>
          <w:p>
            <w:pPr>
              <w:pStyle w:val="Compact"/>
              <w:jc w:val="left"/>
            </w:pPr>
            <w:r>
              <w:t xml:space="preserve">2039 (Yr 12)</w:t>
            </w:r>
          </w:p>
        </w:tc>
        <w:tc>
          <w:tcPr/>
          <w:p>
            <w:pPr>
              <w:pStyle w:val="Compact"/>
              <w:jc w:val="left"/>
            </w:pPr>
            <w:r>
              <w:t xml:space="preserve">Revenue $14.6M; Texas secular accreditation targeted complete</w:t>
            </w:r>
          </w:p>
        </w:tc>
        <w:tc>
          <w:tcPr/>
          <w:p>
            <w:pPr>
              <w:pStyle w:val="Compact"/>
              <w:jc w:val="left"/>
            </w:pPr>
            <w:r>
              <w:t xml:space="preserve">19; 37</w:t>
            </w:r>
          </w:p>
        </w:tc>
      </w:tr>
      <w:tr>
        <w:trPr>
          <w:cantSplit/>
        </w:trPr>
        <w:tc>
          <w:tcPr/>
          <w:p>
            <w:pPr>
              <w:pStyle w:val="Compact"/>
              <w:jc w:val="left"/>
            </w:pPr>
            <w:r>
              <w:t xml:space="preserve">2040 (Yr 13)</w:t>
            </w:r>
          </w:p>
        </w:tc>
        <w:tc>
          <w:tcPr/>
          <w:p>
            <w:pPr>
              <w:pStyle w:val="Compact"/>
              <w:jc w:val="left"/>
            </w:pPr>
            <w:r>
              <w:t xml:space="preserve">Revenue $22.7M; first Gulf ministry recognition targeted</w:t>
            </w:r>
          </w:p>
        </w:tc>
        <w:tc>
          <w:tcPr/>
          <w:p>
            <w:pPr>
              <w:pStyle w:val="Compact"/>
              <w:jc w:val="left"/>
            </w:pPr>
            <w:r>
              <w:t xml:space="preserve">19; 32</w:t>
            </w:r>
          </w:p>
        </w:tc>
      </w:tr>
      <w:tr>
        <w:trPr>
          <w:cantSplit/>
        </w:trPr>
        <w:tc>
          <w:tcPr/>
          <w:p>
            <w:pPr>
              <w:pStyle w:val="Compact"/>
              <w:jc w:val="left"/>
            </w:pPr>
            <w:r>
              <w:t xml:space="preserve">2041 (Yr 14)</w:t>
            </w:r>
          </w:p>
        </w:tc>
        <w:tc>
          <w:tcPr/>
          <w:p>
            <w:pPr>
              <w:pStyle w:val="Compact"/>
              <w:jc w:val="left"/>
            </w:pPr>
            <w:r>
              <w:t xml:space="preserve">Revenue $32.2M; Nigeria capital-deployment phase evaluated against Reserve sufficiency</w:t>
            </w:r>
          </w:p>
        </w:tc>
        <w:tc>
          <w:tcPr/>
          <w:p>
            <w:pPr>
              <w:pStyle w:val="Compact"/>
              <w:jc w:val="left"/>
            </w:pPr>
            <w:r>
              <w:t xml:space="preserve">31; 39</w:t>
            </w:r>
          </w:p>
        </w:tc>
      </w:tr>
      <w:tr>
        <w:trPr>
          <w:cantSplit/>
        </w:trPr>
        <w:tc>
          <w:tcPr/>
          <w:p>
            <w:pPr>
              <w:pStyle w:val="Compact"/>
              <w:jc w:val="left"/>
            </w:pPr>
            <w:r>
              <w:t xml:space="preserve">2042 (Yr 15)</w:t>
            </w:r>
          </w:p>
        </w:tc>
        <w:tc>
          <w:tcPr/>
          <w:p>
            <w:pPr>
              <w:pStyle w:val="Compact"/>
              <w:jc w:val="left"/>
            </w:pPr>
            <w:r>
              <w:t xml:space="preserve">Revenue $43.1M; Vision trajectory re-forecast checkpoint; illustrative Tier-1-region Commercial Engine facilities phase begins (firewall-observant)</w:t>
            </w:r>
          </w:p>
        </w:tc>
        <w:tc>
          <w:tcPr/>
          <w:p>
            <w:pPr>
              <w:pStyle w:val="Compact"/>
              <w:jc w:val="left"/>
            </w:pPr>
            <w:r>
              <w:t xml:space="preserve">1; 39</w:t>
            </w:r>
          </w:p>
        </w:tc>
      </w:tr>
      <w:tr>
        <w:trPr>
          <w:cantSplit/>
        </w:trPr>
        <w:tc>
          <w:tcPr/>
          <w:p>
            <w:pPr>
              <w:pStyle w:val="Compact"/>
              <w:jc w:val="left"/>
            </w:pPr>
            <w:r>
              <w:t xml:space="preserve">2043–2046 (Yr 16–19)</w:t>
            </w:r>
          </w:p>
        </w:tc>
        <w:tc>
          <w:tcPr/>
          <w:p>
            <w:pPr>
              <w:pStyle w:val="Compact"/>
              <w:jc w:val="left"/>
            </w:pPr>
            <w:r>
              <w:t xml:space="preserve">Revenue trajectory $54.8M → $86.1M; Nigeria Mega-University residential colleges/library targeted toward operational maturity</w:t>
            </w:r>
          </w:p>
        </w:tc>
        <w:tc>
          <w:tcPr/>
          <w:p>
            <w:pPr>
              <w:pStyle w:val="Compact"/>
              <w:jc w:val="left"/>
            </w:pPr>
            <w:r>
              <w:t xml:space="preserve">31; 39</w:t>
            </w:r>
          </w:p>
        </w:tc>
      </w:tr>
      <w:tr>
        <w:trPr>
          <w:cantSplit/>
        </w:trPr>
        <w:tc>
          <w:tcPr/>
          <w:p>
            <w:pPr>
              <w:pStyle w:val="Compact"/>
              <w:jc w:val="left"/>
            </w:pPr>
            <w:r>
              <w:t xml:space="preserve">2047 (Yr 20)</w:t>
            </w:r>
          </w:p>
        </w:tc>
        <w:tc>
          <w:tcPr/>
          <w:p>
            <w:pPr>
              <w:pStyle w:val="Compact"/>
              <w:jc w:val="left"/>
            </w:pPr>
            <w:r>
              <w:t xml:space="preserve">Revenue $93.9M, within the $90–150M institutional-economy target; twenty-year audited firewall track record complete</w:t>
            </w:r>
          </w:p>
        </w:tc>
        <w:tc>
          <w:tcPr/>
          <w:p>
            <w:pPr>
              <w:pStyle w:val="Compact"/>
              <w:jc w:val="left"/>
            </w:pPr>
            <w:r>
              <w:t xml:space="preserve">1; 38</w:t>
            </w:r>
          </w:p>
        </w:tc>
      </w:tr>
      <w:tr>
        <w:trPr>
          <w:cantSplit/>
        </w:trPr>
        <w:tc>
          <w:tcPr/>
          <w:p>
            <w:pPr>
              <w:pStyle w:val="Compact"/>
              <w:jc w:val="left"/>
            </w:pPr>
            <w:r>
              <w:t xml:space="preserve">2048–2050</w:t>
            </w:r>
          </w:p>
        </w:tc>
        <w:tc>
          <w:tcPr/>
          <w:p>
            <w:pPr>
              <w:pStyle w:val="Compact"/>
              <w:jc w:val="left"/>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pPr>
            <w:r>
              <w:t xml:space="preserve">1; 36–39</w:t>
            </w:r>
          </w:p>
        </w:tc>
      </w:tr>
    </w:tbl>
    <w:p>
      <w:pPr>
        <w:pStyle w:val="BodyText"/>
      </w:pPr>
      <w:r>
        <w:rPr>
          <w:bCs/>
          <w:b/>
          <w:color w:val="B08625"/>
          <w:sz w:val="20"/>
          <w:caps/>
          <w:spacing w:val="14"/>
        </w:rPr>
        <w:t xml:space="preserve">Implementation Phases</w:t>
      </w:r>
    </w:p>
    <w:p>
      <w:pPr>
        <w:pStyle w:val="BodyText"/>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pPr>
      <w:r>
        <w:rPr>
          <w:bCs/>
          <w:b/>
          <w:color w:val="B08625"/>
          <w:sz w:val="20"/>
          <w:caps/>
          <w:spacing w:val="14"/>
        </w:rPr>
        <w:t xml:space="preserve">Staffing Requirements</w:t>
      </w:r>
    </w:p>
    <w:p>
      <w:pPr>
        <w:pStyle w:val="BodyText"/>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pPr>
      <w:r>
        <w:rPr>
          <w:bCs/>
          <w:b/>
          <w:color w:val="B08625"/>
          <w:sz w:val="20"/>
          <w:caps/>
          <w:spacing w:val="14"/>
        </w:rPr>
        <w:t xml:space="preserve">Annual Budget</w:t>
      </w:r>
    </w:p>
    <w:p>
      <w:pPr>
        <w:pStyle w:val="BodyText"/>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pPr>
      <w:r>
        <w:rPr>
          <w:bCs/>
          <w:b/>
          <w:color w:val="B08625"/>
          <w:sz w:val="20"/>
          <w:caps/>
          <w:spacing w:val="14"/>
        </w:rPr>
        <w:t xml:space="preserve">Timeline</w:t>
      </w:r>
    </w:p>
    <w:p>
      <w:pPr>
        <w:pStyle w:val="BodyText"/>
      </w:pPr>
      <w:r>
        <w:t xml:space="preserve">As tabulated above — the single consolidated table is this section’s timeline.</w:t>
      </w:r>
    </w:p>
    <w:p>
      <w:pPr>
        <w:pStyle w:val="BodyText"/>
      </w:pPr>
      <w:r>
        <w:rPr>
          <w:bCs/>
          <w:b/>
          <w:color w:val="B08625"/>
          <w:sz w:val="20"/>
          <w:caps/>
          <w:spacing w:val="14"/>
        </w:rPr>
        <w:t xml:space="preserve">Governance Responsibilities</w:t>
      </w:r>
    </w:p>
    <w:p>
      <w:pPr>
        <w:pStyle w:val="BodyText"/>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pPr>
      <w:r>
        <w:rPr>
          <w:bCs/>
          <w:b/>
          <w:color w:val="B08625"/>
          <w:sz w:val="20"/>
          <w:caps/>
          <w:spacing w:val="14"/>
        </w:rPr>
        <w:t xml:space="preserve">Measurable Success Indicators</w:t>
      </w:r>
    </w:p>
    <w:p>
      <w:pPr>
        <w:pStyle w:val="BodyText"/>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0"/>
    <w:bookmarkStart w:id="111" w:name="X8b8cf297de2f77fa6413774a8514840e8d88cb7"/>
    <w:p>
      <w:pPr>
        <w:pStyle w:val="Heading2"/>
      </w:pPr>
      <w:r>
        <w:t xml:space="preserve">Section 41: Founding Access &amp; Waqf-First Strategy</w:t>
      </w:r>
    </w:p>
    <w:p>
      <w:pPr>
        <w:pStyle w:val="FirstParagraph"/>
      </w:pPr>
      <w:r>
        <w:rPr>
          <w:bCs/>
          <w:b/>
          <w:color w:val="B08625"/>
          <w:sz w:val="20"/>
          <w:caps/>
          <w:spacing w:val="14"/>
        </w:rPr>
        <w:t xml:space="preserve">Rationale</w:t>
      </w:r>
    </w:p>
    <w:p>
      <w:pPr>
        <w:pStyle w:val="BodyText"/>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pPr>
      <w:r>
        <w:rPr>
          <w:bCs/>
          <w:b/>
          <w:color w:val="B08625"/>
          <w:sz w:val="20"/>
          <w:caps/>
          <w:spacing w:val="14"/>
        </w:rPr>
        <w:t xml:space="preserve">Global Best Practices</w:t>
      </w:r>
    </w:p>
    <w:p>
      <w:pPr>
        <w:pStyle w:val="BodyText"/>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pPr>
      <w:r>
        <w:rPr>
          <w:bCs/>
          <w:b/>
          <w:color w:val="B08625"/>
          <w:sz w:val="20"/>
          <w:caps/>
          <w:spacing w:val="14"/>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Calendar</w:t>
            </w:r>
          </w:p>
        </w:tc>
        <w:tc>
          <w:tcPr/>
          <w:p>
            <w:pPr>
              <w:pStyle w:val="Compact"/>
              <w:jc w:val="left"/>
            </w:pPr>
            <w:r>
              <w:t xml:space="preserve">Phase</w:t>
            </w:r>
          </w:p>
        </w:tc>
        <w:tc>
          <w:tcPr/>
          <w:p>
            <w:pPr>
              <w:pStyle w:val="Compact"/>
              <w:jc w:val="left"/>
            </w:pPr>
            <w:r>
              <w:t xml:space="preserve">Status</w:t>
            </w:r>
          </w:p>
        </w:tc>
        <w:tc>
          <w:tcPr/>
          <w:p>
            <w:pPr>
              <w:pStyle w:val="Compact"/>
              <w:jc w:val="left"/>
            </w:pPr>
            <w:r>
              <w:t xml:space="preserve">What This Means</w:t>
            </w:r>
          </w:p>
        </w:tc>
      </w:tr>
      <w:tr>
        <w:trPr>
          <w:cantSplit/>
        </w:trPr>
        <w:tc>
          <w:tcPr/>
          <w:p>
            <w:pPr>
              <w:pStyle w:val="Compact"/>
              <w:jc w:val="left"/>
            </w:pPr>
            <w:r>
              <w:t xml:space="preserve">1</w:t>
            </w:r>
          </w:p>
        </w:tc>
        <w:tc>
          <w:tcPr/>
          <w:p>
            <w:pPr>
              <w:pStyle w:val="Compact"/>
              <w:jc w:val="left"/>
            </w:pPr>
            <w:r>
              <w:t xml:space="preserve">2028</w:t>
            </w:r>
          </w:p>
        </w:tc>
        <w:tc>
          <w:tcPr/>
          <w:p>
            <w:pPr>
              <w:pStyle w:val="Compact"/>
              <w:jc w:val="left"/>
            </w:pPr>
            <w:r>
              <w:t xml:space="preserve">Foundation &amp; Struggle</w:t>
            </w:r>
          </w:p>
        </w:tc>
        <w:tc>
          <w:tcPr/>
          <w:p>
            <w:pPr>
              <w:pStyle w:val="Compact"/>
              <w:jc w:val="left"/>
            </w:pPr>
            <w:r>
              <w:t xml:space="preserve">RED</w:t>
            </w:r>
          </w:p>
        </w:tc>
        <w:tc>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pPr>
            <w:r>
              <w:t xml:space="preserve">2</w:t>
            </w:r>
          </w:p>
        </w:tc>
        <w:tc>
          <w:tcPr/>
          <w:p>
            <w:pPr>
              <w:pStyle w:val="Compact"/>
              <w:jc w:val="left"/>
            </w:pPr>
            <w:r>
              <w:t xml:space="preserve">2029</w:t>
            </w:r>
          </w:p>
        </w:tc>
        <w:tc>
          <w:tcPr/>
          <w:p>
            <w:pPr>
              <w:pStyle w:val="Compact"/>
              <w:jc w:val="left"/>
            </w:pPr>
            <w:r>
              <w:t xml:space="preserve">Stabilisation &amp; Survival</w:t>
            </w:r>
          </w:p>
        </w:tc>
        <w:tc>
          <w:tcPr/>
          <w:p>
            <w:pPr>
              <w:pStyle w:val="Compact"/>
              <w:jc w:val="left"/>
            </w:pPr>
            <w:r>
              <w:t xml:space="preserve">RED</w:t>
            </w:r>
          </w:p>
        </w:tc>
        <w:tc>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pPr>
            <w:r>
              <w:t xml:space="preserve">3</w:t>
            </w:r>
          </w:p>
        </w:tc>
        <w:tc>
          <w:tcPr/>
          <w:p>
            <w:pPr>
              <w:pStyle w:val="Compact"/>
              <w:jc w:val="left"/>
            </w:pPr>
            <w:r>
              <w:t xml:space="preserve">2030</w:t>
            </w:r>
          </w:p>
        </w:tc>
        <w:tc>
          <w:tcPr/>
          <w:p>
            <w:pPr>
              <w:pStyle w:val="Compact"/>
              <w:jc w:val="left"/>
            </w:pPr>
            <w:r>
              <w:t xml:space="preserve">Controlled Growth</w:t>
            </w:r>
          </w:p>
        </w:tc>
        <w:tc>
          <w:tcPr/>
          <w:p>
            <w:pPr>
              <w:pStyle w:val="Compact"/>
              <w:jc w:val="left"/>
            </w:pPr>
            <w:r>
              <w:t xml:space="preserve">AMBER</w:t>
            </w:r>
          </w:p>
        </w:tc>
        <w:tc>
          <w:tcPr/>
          <w:p>
            <w:pPr>
              <w:pStyle w:val="Compact"/>
              <w:jc w:val="left"/>
            </w:pPr>
            <w:r>
              <w:t xml:space="preserve">Formation stack complete; still zero tuition increase assumed (AMIU-MP-001 §5.8 — no fee review before Year 4).</w:t>
            </w:r>
          </w:p>
        </w:tc>
      </w:tr>
      <w:tr>
        <w:trPr>
          <w:cantSplit/>
        </w:trPr>
        <w:tc>
          <w:tcPr/>
          <w:p>
            <w:pPr>
              <w:pStyle w:val="Compact"/>
              <w:jc w:val="left"/>
            </w:pPr>
            <w:r>
              <w:t xml:space="preserve">4–5</w:t>
            </w:r>
          </w:p>
        </w:tc>
        <w:tc>
          <w:tcPr/>
          <w:p>
            <w:pPr>
              <w:pStyle w:val="Compact"/>
              <w:jc w:val="left"/>
            </w:pPr>
            <w:r>
              <w:t xml:space="preserve">2031–2032</w:t>
            </w:r>
          </w:p>
        </w:tc>
        <w:tc>
          <w:tcPr/>
          <w:p>
            <w:pPr>
              <w:pStyle w:val="Compact"/>
              <w:jc w:val="left"/>
            </w:pPr>
            <w:r>
              <w:t xml:space="preserve">Institutional Consolidation</w:t>
            </w:r>
          </w:p>
        </w:tc>
        <w:tc>
          <w:tcPr/>
          <w:p>
            <w:pPr>
              <w:pStyle w:val="Compact"/>
              <w:jc w:val="left"/>
            </w:pPr>
            <w:r>
              <w:t xml:space="preserve">AMBER→GREEN</w:t>
            </w:r>
          </w:p>
        </w:tc>
        <w:tc>
          <w:tcPr/>
          <w:p>
            <w:pPr>
              <w:pStyle w:val="Compact"/>
              <w:jc w:val="left"/>
            </w:pPr>
            <w:r>
              <w:t xml:space="preserve">First governance-approved fee review; Liquidity Reserve crosses $1.29M cumulative.</w:t>
            </w:r>
          </w:p>
        </w:tc>
      </w:tr>
      <w:tr>
        <w:trPr>
          <w:cantSplit/>
        </w:trPr>
        <w:tc>
          <w:tcPr/>
          <w:p>
            <w:pPr>
              <w:pStyle w:val="Compact"/>
              <w:jc w:val="left"/>
            </w:pPr>
            <w:r>
              <w:t xml:space="preserve">6–10</w:t>
            </w:r>
          </w:p>
        </w:tc>
        <w:tc>
          <w:tcPr/>
          <w:p>
            <w:pPr>
              <w:pStyle w:val="Compact"/>
              <w:jc w:val="left"/>
            </w:pPr>
            <w:r>
              <w:t xml:space="preserve">2033–2037</w:t>
            </w:r>
          </w:p>
        </w:tc>
        <w:tc>
          <w:tcPr/>
          <w:p>
            <w:pPr>
              <w:pStyle w:val="Compact"/>
              <w:jc w:val="left"/>
            </w:pPr>
            <w:r>
              <w:t xml:space="preserve">Expansion</w:t>
            </w:r>
          </w:p>
        </w:tc>
        <w:tc>
          <w:tcPr/>
          <w:p>
            <w:pPr>
              <w:pStyle w:val="Compact"/>
              <w:jc w:val="left"/>
            </w:pPr>
            <w:r>
              <w:t xml:space="preserve">GREEN</w:t>
            </w:r>
          </w:p>
        </w:tc>
        <w:tc>
          <w:tcPr/>
          <w:p>
            <w:pPr>
              <w:pStyle w:val="Compact"/>
              <w:jc w:val="left"/>
            </w:pPr>
            <w:r>
              <w:t xml:space="preserve">Reserves compound to $5.83M (Liquidity) and $3.33M (Waqf) by Year 10; founding decade closes with a ten-year audited zero-deficit record (Section 38).</w:t>
            </w:r>
          </w:p>
        </w:tc>
      </w:tr>
    </w:tbl>
    <w:p>
      <w:pPr>
        <w:pStyle w:val="BodyText"/>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pPr>
      <w:r>
        <w:rPr>
          <w:bCs/>
          <w:b/>
          <w:color w:val="B08625"/>
          <w:sz w:val="20"/>
          <w:caps/>
          <w:spacing w:val="14"/>
        </w:rPr>
        <w:t xml:space="preserve">Implementation Phases — The Founding Registration Sequence</w:t>
      </w:r>
    </w:p>
    <w:p>
      <w:pPr>
        <w:pStyle w:val="BodyText"/>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Window</w:t>
            </w:r>
          </w:p>
        </w:tc>
        <w:tc>
          <w:tcPr/>
          <w:p>
            <w:pPr>
              <w:pStyle w:val="Compact"/>
              <w:jc w:val="left"/>
            </w:pPr>
            <w:r>
              <w:t xml:space="preserve">Designation</w:t>
            </w:r>
          </w:p>
        </w:tc>
        <w:tc>
          <w:tcPr/>
          <w:p>
            <w:pPr>
              <w:pStyle w:val="Compact"/>
              <w:jc w:val="left"/>
            </w:pPr>
            <w:r>
              <w:t xml:space="preserve">Acting Party</w:t>
            </w:r>
          </w:p>
        </w:tc>
        <w:tc>
          <w:tcPr/>
          <w:p>
            <w:pPr>
              <w:pStyle w:val="Compact"/>
              <w:jc w:val="left"/>
            </w:pPr>
            <w:r>
              <w:t xml:space="preserve">Cost to Registrant</w:t>
            </w:r>
          </w:p>
        </w:tc>
        <w:tc>
          <w:tcPr/>
          <w:p>
            <w:pPr>
              <w:pStyle w:val="Compact"/>
              <w:jc w:val="left"/>
            </w:pPr>
            <w:r>
              <w:t xml:space="preserve">Purpose</w:t>
            </w:r>
          </w:p>
        </w:tc>
      </w:tr>
      <w:tr>
        <w:trPr>
          <w:cantSplit/>
        </w:trPr>
        <w:tc>
          <w:tcPr/>
          <w:p>
            <w:pPr>
              <w:pStyle w:val="Compact"/>
              <w:jc w:val="left"/>
            </w:pPr>
            <w:r>
              <w:t xml:space="preserve">~Mid-2027 – 6 Dec 2027</w:t>
            </w:r>
          </w:p>
        </w:tc>
        <w:tc>
          <w:tcPr/>
          <w:p>
            <w:pPr>
              <w:pStyle w:val="Compact"/>
              <w:jc w:val="left"/>
            </w:pPr>
            <w:r>
              <w:t xml:space="preserve">Founding Registration &amp; Outreach</w:t>
            </w:r>
          </w:p>
        </w:tc>
        <w:tc>
          <w:tcPr/>
          <w:p>
            <w:pPr>
              <w:pStyle w:val="Compact"/>
              <w:jc w:val="left"/>
            </w:pPr>
            <w:r>
              <w:t xml:space="preserve">Founding Committee (pre-incorporation; trustees-designate, in a founding rather than institutional capacity)</w:t>
            </w:r>
          </w:p>
        </w:tc>
        <w:tc>
          <w:tcPr/>
          <w:p>
            <w:pPr>
              <w:pStyle w:val="Compact"/>
              <w:jc w:val="left"/>
            </w:pPr>
            <w:r>
              <w:t xml:space="preserve">Free — registration of interest only; no admission decision issued</w:t>
            </w:r>
          </w:p>
        </w:tc>
        <w:tc>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pPr>
            <w:r>
              <w:t xml:space="preserve">6 Dec 2027 – 31 Dec 2027</w:t>
            </w:r>
          </w:p>
        </w:tc>
        <w:tc>
          <w:tcPr/>
          <w:p>
            <w:pPr>
              <w:pStyle w:val="Compact"/>
              <w:jc w:val="left"/>
            </w:pPr>
            <w:r>
              <w:t xml:space="preserve">Incorporation-to-Launch Bridge</w:t>
            </w:r>
          </w:p>
        </w:tc>
        <w:tc>
          <w:tcPr/>
          <w:p>
            <w:pPr>
              <w:pStyle w:val="Compact"/>
              <w:jc w:val="left"/>
            </w:pPr>
            <w:r>
              <w:t xml:space="preserve">AMIU (newly incorporated)</w:t>
            </w:r>
          </w:p>
        </w:tc>
        <w:tc>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pPr>
            <w:r>
              <w:t xml:space="preserve">Convert the registration pipeline into verified, fee-eligible applications; fund admissions-office setup ahead of Day 1</w:t>
            </w:r>
          </w:p>
        </w:tc>
      </w:tr>
      <w:tr>
        <w:trPr>
          <w:cantSplit/>
        </w:trPr>
        <w:tc>
          <w:tcPr/>
          <w:p>
            <w:pPr>
              <w:pStyle w:val="Compact"/>
              <w:jc w:val="left"/>
            </w:pPr>
            <w:r>
              <w:t xml:space="preserve">1 Jan 2028 →</w:t>
            </w:r>
          </w:p>
        </w:tc>
        <w:tc>
          <w:tcPr/>
          <w:p>
            <w:pPr>
              <w:pStyle w:val="Compact"/>
              <w:jc w:val="left"/>
            </w:pPr>
            <w:r>
              <w:t xml:space="preserve">Founding Academic Year</w:t>
            </w:r>
          </w:p>
        </w:tc>
        <w:tc>
          <w:tcPr/>
          <w:p>
            <w:pPr>
              <w:pStyle w:val="Compact"/>
              <w:jc w:val="left"/>
            </w:pPr>
            <w:r>
              <w:t xml:space="preserve">AMIU</w:t>
            </w:r>
          </w:p>
        </w:tc>
        <w:tc>
          <w:tcPr/>
          <w:p>
            <w:pPr>
              <w:pStyle w:val="Compact"/>
              <w:jc w:val="left"/>
            </w:pPr>
            <w:r>
              <w:t xml:space="preserve">Full Section 2 tuition architecture; Section 15 Founding Cohort incentive stack (15% upfront discount, 10%→15% affiliate commission in the first 90 days)</w:t>
            </w:r>
          </w:p>
        </w:tc>
        <w:tc>
          <w:tcPr/>
          <w:p>
            <w:pPr>
              <w:pStyle w:val="Compact"/>
              <w:jc w:val="left"/>
            </w:pPr>
            <w:r>
              <w:t xml:space="preserve">Formal matriculation begins</w:t>
            </w:r>
          </w:p>
        </w:tc>
      </w:tr>
    </w:tbl>
    <w:p>
      <w:pPr>
        <w:pStyle w:val="BodyText"/>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pPr>
      <w:r>
        <w:rPr>
          <w:bCs/>
          <w:b/>
          <w:color w:val="B08625"/>
          <w:sz w:val="20"/>
          <w:caps/>
          <w:spacing w:val="14"/>
        </w:rPr>
        <w:t xml:space="preserve">The No-Investment Baseline</w:t>
      </w:r>
    </w:p>
    <w:p>
      <w:pPr>
        <w:pStyle w:val="BodyText"/>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pPr>
      <w:r>
        <w:rPr>
          <w:bCs/>
          <w:b/>
          <w:color w:val="B08625"/>
          <w:sz w:val="20"/>
          <w:caps/>
          <w:spacing w:val="14"/>
        </w:rPr>
        <w:t xml:space="preserve">Maximum Sustainable Generosity</w:t>
      </w:r>
    </w:p>
    <w:p>
      <w:pPr>
        <w:pStyle w:val="BodyText"/>
      </w:pPr>
      <w:r>
        <w:t xml:space="preserve">The Founding Scholarship Reweighting Model below is the evidence the Founding Council asked for — not a refusal, and not an invented percentage, but a model built entirely from dollars AMIU-MP-001 has already adopted.</w:t>
      </w:r>
    </w:p>
    <w:p>
      <w:pPr>
        <w:pStyle w:val="BodyText"/>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pPr>
          </w:p>
        </w:tc>
        <w:tc>
          <w:tcPr/>
          <w:p>
            <w:pPr>
              <w:pStyle w:val="Compact"/>
              <w:jc w:val="left"/>
            </w:pPr>
            <w:r>
              <w:t xml:space="preserve">Standard Split (20% of Distributed Half)</w:t>
            </w:r>
          </w:p>
        </w:tc>
        <w:tc>
          <w:tcPr/>
          <w:p>
            <w:pPr>
              <w:pStyle w:val="Compact"/>
              <w:jc w:val="left"/>
            </w:pPr>
            <w:r>
              <w:t xml:space="preserve">Reweighted for Yrs 1–2 (50% of Distributed Half)</w:t>
            </w:r>
          </w:p>
        </w:tc>
      </w:tr>
      <w:tr>
        <w:trPr>
          <w:cantSplit/>
        </w:trPr>
        <w:tc>
          <w:tcPr/>
          <w:p>
            <w:pPr>
              <w:pStyle w:val="Compact"/>
              <w:jc w:val="left"/>
            </w:pPr>
            <w:r>
              <w:t xml:space="preserve">Year 1 Scholarship Block ($22,475 distributed)</w:t>
            </w:r>
          </w:p>
        </w:tc>
        <w:tc>
          <w:tcPr/>
          <w:p>
            <w:pPr>
              <w:pStyle w:val="Compact"/>
              <w:jc w:val="left"/>
            </w:pPr>
            <w:r>
              <w:t xml:space="preserve">$4,495</w:t>
            </w:r>
          </w:p>
        </w:tc>
        <w:tc>
          <w:tcPr/>
          <w:p>
            <w:pPr>
              <w:pStyle w:val="Compact"/>
              <w:jc w:val="left"/>
            </w:pPr>
            <w:r>
              <w:t xml:space="preserve">$11,238</w:t>
            </w:r>
          </w:p>
        </w:tc>
      </w:tr>
      <w:tr>
        <w:trPr>
          <w:cantSplit/>
        </w:trPr>
        <w:tc>
          <w:tcPr/>
          <w:p>
            <w:pPr>
              <w:pStyle w:val="Compact"/>
              <w:jc w:val="left"/>
            </w:pPr>
            <w:r>
              <w:t xml:space="preserve">Year 2 Scholarship Block ($45,139 distributed)</w:t>
            </w:r>
          </w:p>
        </w:tc>
        <w:tc>
          <w:tcPr/>
          <w:p>
            <w:pPr>
              <w:pStyle w:val="Compact"/>
              <w:jc w:val="left"/>
            </w:pPr>
            <w:r>
              <w:t xml:space="preserve">$9,028</w:t>
            </w:r>
          </w:p>
        </w:tc>
        <w:tc>
          <w:tcPr/>
          <w:p>
            <w:pPr>
              <w:pStyle w:val="Compact"/>
              <w:jc w:val="left"/>
            </w:pPr>
            <w:r>
              <w:t xml:space="preserve">$22,570</w:t>
            </w:r>
          </w:p>
        </w:tc>
      </w:tr>
      <w:tr>
        <w:trPr>
          <w:cantSplit/>
        </w:trPr>
        <w:tc>
          <w:tcPr/>
          <w:p>
            <w:pPr>
              <w:pStyle w:val="Compact"/>
              <w:jc w:val="left"/>
            </w:pPr>
            <w:r>
              <w:t xml:space="preserve">Two-Year Total</w:t>
            </w:r>
          </w:p>
        </w:tc>
        <w:tc>
          <w:tcPr/>
          <w:p>
            <w:pPr>
              <w:pStyle w:val="Compact"/>
              <w:jc w:val="left"/>
            </w:pPr>
            <w:r>
              <w:t xml:space="preserve">$13,523</w:t>
            </w:r>
          </w:p>
        </w:tc>
        <w:tc>
          <w:tcPr/>
          <w:p>
            <w:pPr>
              <w:pStyle w:val="Compact"/>
              <w:jc w:val="left"/>
            </w:pPr>
            <w:r>
              <w:t xml:space="preserve">$33,808</w:t>
            </w:r>
          </w:p>
        </w:tc>
      </w:tr>
    </w:tbl>
    <w:p>
      <w:pPr>
        <w:pStyle w:val="BodyText"/>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pPr>
          </w:p>
        </w:tc>
        <w:tc>
          <w:tcPr/>
          <w:p>
            <w:pPr>
              <w:pStyle w:val="Compact"/>
              <w:jc w:val="left"/>
            </w:pPr>
            <w:r>
              <w:t xml:space="preserve">Low Estimate (Tier 3 Associate, $340/seat)</w:t>
            </w:r>
          </w:p>
        </w:tc>
        <w:tc>
          <w:tcPr/>
          <w:p>
            <w:pPr>
              <w:pStyle w:val="Compact"/>
              <w:jc w:val="left"/>
            </w:pPr>
            <w:r>
              <w:t xml:space="preserve">Blended Estimate ($175/seat)</w:t>
            </w:r>
          </w:p>
        </w:tc>
        <w:tc>
          <w:tcPr/>
          <w:p>
            <w:pPr>
              <w:pStyle w:val="Compact"/>
              <w:jc w:val="left"/>
            </w:pPr>
            <w:r>
              <w:t xml:space="preserve">High Estimate (Tier 4 Diploma, $80/seat)</w:t>
            </w:r>
          </w:p>
        </w:tc>
      </w:tr>
      <w:tr>
        <w:trPr>
          <w:cantSplit/>
        </w:trPr>
        <w:tc>
          <w:tcPr/>
          <w:p>
            <w:pPr>
              <w:pStyle w:val="Compact"/>
              <w:jc w:val="left"/>
            </w:pPr>
            <w:r>
              <w:t xml:space="preserve">Year 1 (~33 to ~140 seats)</w:t>
            </w:r>
          </w:p>
        </w:tc>
        <w:tc>
          <w:tcPr/>
          <w:p>
            <w:pPr>
              <w:pStyle w:val="Compact"/>
              <w:jc w:val="left"/>
            </w:pPr>
            <w:r>
              <w:t xml:space="preserve">33</w:t>
            </w:r>
          </w:p>
        </w:tc>
        <w:tc>
          <w:tcPr/>
          <w:p>
            <w:pPr>
              <w:pStyle w:val="Compact"/>
              <w:jc w:val="left"/>
            </w:pPr>
            <w:r>
              <w:t xml:space="preserve">64</w:t>
            </w:r>
          </w:p>
        </w:tc>
        <w:tc>
          <w:tcPr/>
          <w:p>
            <w:pPr>
              <w:pStyle w:val="Compact"/>
              <w:jc w:val="left"/>
            </w:pPr>
            <w:r>
              <w:t xml:space="preserve">140</w:t>
            </w:r>
          </w:p>
        </w:tc>
      </w:tr>
      <w:tr>
        <w:trPr>
          <w:cantSplit/>
        </w:trPr>
        <w:tc>
          <w:tcPr/>
          <w:p>
            <w:pPr>
              <w:pStyle w:val="Compact"/>
              <w:jc w:val="left"/>
            </w:pPr>
            <w:r>
              <w:t xml:space="preserve">Year 2 (~66 to ~282 seats)</w:t>
            </w:r>
          </w:p>
        </w:tc>
        <w:tc>
          <w:tcPr/>
          <w:p>
            <w:pPr>
              <w:pStyle w:val="Compact"/>
              <w:jc w:val="left"/>
            </w:pPr>
            <w:r>
              <w:t xml:space="preserve">66</w:t>
            </w:r>
          </w:p>
        </w:tc>
        <w:tc>
          <w:tcPr/>
          <w:p>
            <w:pPr>
              <w:pStyle w:val="Compact"/>
              <w:jc w:val="left"/>
            </w:pPr>
            <w:r>
              <w:t xml:space="preserve">129</w:t>
            </w:r>
          </w:p>
        </w:tc>
        <w:tc>
          <w:tcPr/>
          <w:p>
            <w:pPr>
              <w:pStyle w:val="Compact"/>
              <w:jc w:val="left"/>
            </w:pPr>
            <w:r>
              <w:t xml:space="preserve">282</w:t>
            </w:r>
          </w:p>
        </w:tc>
      </w:tr>
    </w:tbl>
    <w:p>
      <w:pPr>
        <w:pStyle w:val="BodyText"/>
      </w:pPr>
      <w:r>
        <w:rPr>
          <w:bCs/>
          <w:b/>
          <w:color w:val="B08625"/>
          <w:sz w:val="20"/>
          <w:caps/>
          <w:spacing w:val="14"/>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pPr>
      <w:r>
        <w:rPr>
          <w:bCs/>
          <w:b/>
          <w:color w:val="B08625"/>
          <w:sz w:val="20"/>
          <w:caps/>
          <w:spacing w:val="14"/>
        </w:rPr>
        <w:t xml:space="preserve">Where This Section Declines the Directive</w:t>
      </w:r>
    </w:p>
    <w:p>
      <w:pPr>
        <w:pStyle w:val="BodyText"/>
      </w:pPr>
      <w:r>
        <w:t xml:space="preserve">On scholarship bands: the Founding Council’s originally proposed bands (Founding 100%; Merit, Need-Based, Community Leadership, Qur’an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pPr>
      <w:r>
        <w:rPr>
          <w:bCs/>
          <w:b/>
          <w:color w:val="B08625"/>
          <w:sz w:val="20"/>
          <w:caps/>
          <w:spacing w:val="14"/>
        </w:rPr>
        <w:t xml:space="preserve">Staffing</w:t>
      </w:r>
    </w:p>
    <w:p>
      <w:pPr>
        <w:pStyle w:val="BodyText"/>
      </w:pPr>
      <w:r>
        <w:t xml:space="preserve">No dedicated staff role is created for the Founding Registration phase — it runs on Founding Committee volunteer capacity, the same trustees-designate who staff every other pre-incorporation formation activity (Section 9).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pPr>
      <w:r>
        <w:rPr>
          <w:bCs/>
          <w:b/>
          <w:color w:val="B08625"/>
          <w:sz w:val="20"/>
          <w:caps/>
          <w:spacing w:val="14"/>
        </w:rPr>
        <w:t xml:space="preserve">Annual Budget</w:t>
      </w:r>
    </w:p>
    <w:p>
      <w:pPr>
        <w:pStyle w:val="BodyText"/>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pPr>
      <w:r>
        <w:rPr>
          <w:bCs/>
          <w:b/>
          <w:color w:val="B08625"/>
          <w:sz w:val="20"/>
          <w:caps/>
          <w:spacing w:val="14"/>
        </w:rPr>
        <w:t xml:space="preserve">KPIs</w:t>
      </w:r>
    </w:p>
    <w:p>
      <w:pPr>
        <w:pStyle w:val="BodyText"/>
        <w:shd w:val="clear" w:color="auto" w:fill="F7F3E8"/>
        <w:pBdr>
          <w:left w:val="single" w:sz="24" w:space="10" w:color="B08625"/>
        </w:pBdr>
        <w:ind w:left="300"/>
        <w:spacing w:before="0"/>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Emergency Relief sub-line deferred in Years 1–2 leaves a mission-specific buffer thin</w:t>
            </w:r>
          </w:p>
        </w:tc>
        <w:tc>
          <w:tcPr/>
          <w:p>
            <w:pPr>
              <w:pStyle w:val="Compact"/>
              <w:jc w:val="left"/>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pPr>
            <w:r>
              <w:t xml:space="preserve">Nigeria Reserve deferred in Years 1–2</w:t>
            </w:r>
          </w:p>
        </w:tc>
        <w:tc>
          <w:tcPr/>
          <w:p>
            <w:pPr>
              <w:pStyle w:val="Compact"/>
              <w:jc w:val="left"/>
            </w:pPr>
            <w:r>
              <w:t xml:space="preserve">No effect on the funding target, which is Year 10 (§6.2.1) — eight years of runway remain to rebuild the sub-line from Year 3</w:t>
            </w:r>
          </w:p>
        </w:tc>
      </w:tr>
      <w:tr>
        <w:trPr>
          <w:cantSplit/>
        </w:trPr>
        <w:tc>
          <w:tcPr/>
          <w:p>
            <w:pPr>
              <w:pStyle w:val="Compact"/>
              <w:jc w:val="left"/>
            </w:pPr>
            <w:r>
              <w:t xml:space="preserve">Founding Registration pipeline overperforms, creating expectations the Founding Scholarship pool cannot meet at launch</w:t>
            </w:r>
          </w:p>
        </w:tc>
        <w:tc>
          <w:tcPr/>
          <w:p>
            <w:pPr>
              <w:pStyle w:val="Compact"/>
              <w:jc w:val="left"/>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pPr>
            <w:r>
              <w:t xml:space="preserve">Fee applies only after incorporation, is illustrative and Board-ratified, and funds admissions-office setup, not a revenue target — communicated as distinct from the free pre-incorporation phase</w:t>
            </w:r>
          </w:p>
        </w:tc>
      </w:tr>
    </w:tbl>
    <w:p>
      <w:pPr>
        <w:pStyle w:val="BodyText"/>
      </w:pPr>
      <w:r>
        <w:rPr>
          <w:bCs/>
          <w:b/>
          <w:color w:val="B08625"/>
          <w:sz w:val="20"/>
          <w:caps/>
          <w:spacing w:val="14"/>
        </w:rPr>
        <w:t xml:space="preserve">Timeline</w:t>
      </w:r>
    </w:p>
    <w:p>
      <w:pPr>
        <w:pStyle w:val="BodyText"/>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Ratifies (or declines) the illustrative bridge-phase fee; retains exclusive tuition-setting authority (§11.3)</w:t>
            </w:r>
          </w:p>
        </w:tc>
      </w:tr>
      <w:tr>
        <w:trPr>
          <w:cantSplit/>
        </w:trPr>
        <w:tc>
          <w:tcPr/>
          <w:p>
            <w:pPr>
              <w:pStyle w:val="Compact"/>
              <w:jc w:val="left"/>
            </w:pPr>
            <w:r>
              <w:t xml:space="preserve">Waqf &amp; Endowment Board</w:t>
            </w:r>
          </w:p>
        </w:tc>
        <w:tc>
          <w:tcPr/>
          <w:p>
            <w:pPr>
              <w:pStyle w:val="Compact"/>
              <w:jc w:val="left"/>
            </w:pPr>
            <w:r>
              <w:t xml:space="preserve">Approves the Years 1–2 Scholarship Block reweighting, within its ordinary fiduciary discretion (under the $250,000/yr supermajority threshold)</w:t>
            </w:r>
          </w:p>
        </w:tc>
      </w:tr>
      <w:tr>
        <w:trPr>
          <w:cantSplit/>
        </w:trPr>
        <w:tc>
          <w:tcPr/>
          <w:p>
            <w:pPr>
              <w:pStyle w:val="Compact"/>
              <w:jc w:val="left"/>
            </w:pPr>
            <w:r>
              <w:t xml:space="preserve">Registrar / Admissions (Section 14)</w:t>
            </w:r>
          </w:p>
        </w:tc>
        <w:tc>
          <w:tcPr/>
          <w:p>
            <w:pPr>
              <w:pStyle w:val="Compact"/>
              <w:jc w:val="left"/>
            </w:pPr>
            <w:r>
              <w:t xml:space="preserve">Administers Founding Registration and the transition to formal admissions</w:t>
            </w:r>
          </w:p>
        </w:tc>
      </w:tr>
      <w:tr>
        <w:trPr>
          <w:cantSplit/>
        </w:trPr>
        <w:tc>
          <w:tcPr/>
          <w:p>
            <w:pPr>
              <w:pStyle w:val="Compact"/>
              <w:jc w:val="left"/>
            </w:pPr>
            <w:r>
              <w:t xml:space="preserve">University Senate</w:t>
            </w:r>
          </w:p>
        </w:tc>
        <w:tc>
          <w:tcPr/>
          <w:p>
            <w:pPr>
              <w:pStyle w:val="Compact"/>
              <w:jc w:val="left"/>
            </w:pPr>
            <w:r>
              <w:t xml:space="preserve">No pricing authority; may advise on the academic-quality implications of the Founding Cohort, consistent with §11.4</w:t>
            </w:r>
          </w:p>
        </w:tc>
      </w:tr>
    </w:tbl>
    <w:p>
      <w:pPr>
        <w:pStyle w:val="BodyText"/>
      </w:pPr>
      <w:r>
        <w:rPr>
          <w:bCs/>
          <w:b/>
          <w:color w:val="B08625"/>
          <w:sz w:val="20"/>
          <w:caps/>
          <w:spacing w:val="14"/>
        </w:rPr>
        <w:t xml:space="preserve">Measurable Success Indicators</w:t>
      </w:r>
    </w:p>
    <w:p>
      <w:pPr>
        <w:pStyle w:val="BodyText"/>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Cormorant Garamond" w:hAnsi="Cormorant Garamond"/>
                <w:color w:val="B08625"/>
                <w:sz w:val="64"/>
              </w:rPr>
              <w:t>“</w:t>
            </w:r>
          </w:p>
          <w:p>
            <w:pPr>
              <w:jc w:val="center"/>
              <w:spacing w:before="0" w:after="320"/>
            </w:pPr>
            <w:r>
              <w:rPr>
                <w:rFonts w:ascii="Cormorant Garamond" w:hAnsi="Cormorant Garamond"/>
                <w:i/>
                <w:color w:val="FFFFFF"/>
                <w:sz w:val="34"/>
              </w:rPr>
              <w:t>Every ambition in this Blueprint is priced against a revenue line AMIU has actually adopted — never a revenue line we wished it had.</w:t>
            </w:r>
          </w:p>
          <w:p>
            <w:pPr>
              <w:jc w:val="center"/>
              <w:spacing w:before="0" w:after="0"/>
            </w:pPr>
            <w:r>
              <w:rPr>
                <w:rFonts w:ascii="Liberation Sans" w:hAnsi="Liberation Sans"/>
                <w:b/>
                <w:sz w:val="20"/>
                <w:color w:val="B08625"/>
                <w:spacing w:val="14"/>
                <w:caps/>
              </w:rPr>
              <w:t>FOREWORD · THE SUPREME STRATEGIC PLANNING COUNCIL</w:t>
            </w:r>
          </w:p>
        </w:tc>
      </w:tr>
    </w:tbl>
    <w:p>
      <w:r>
        <w:br w:type="page"/>
      </w:r>
    </w:p>
    <w:bookmarkEnd w:id="111"/>
    <w:bookmarkEnd w:id="112"/>
    <w:bookmarkStart w:id="117" w:name="appendices"/>
    <w:p>
      <w:pPr>
        <w:pStyle w:val="Heading1"/>
      </w:pPr>
      <w:r>
        <w:t xml:space="preserve">Appendices</w:t>
      </w:r>
    </w:p>
    <w:bookmarkStart w:id="113" w:name="Xcc6a4e6a798d0801eefb1a2c9f1a0cc841d8045"/>
    <w:p>
      <w:pPr>
        <w:pStyle w:val="Heading2"/>
      </w:pPr>
      <w:r>
        <w:t xml:space="preserve">Appendix A — Cross-Reference to the Ten-Year Master Plan (AMIU-MP-001)</w:t>
      </w:r>
    </w:p>
    <w:p>
      <w:pPr>
        <w:pStyle w:val="FirstParagrap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This Blueprint</w:t>
            </w:r>
          </w:p>
        </w:tc>
        <w:tc>
          <w:tcPr/>
          <w:p>
            <w:pPr>
              <w:pStyle w:val="Compact"/>
              <w:jc w:val="left"/>
            </w:pPr>
            <w:r>
              <w:t xml:space="preserve">AMIU-MP-001 Reference</w:t>
            </w:r>
          </w:p>
        </w:tc>
        <w:tc>
          <w:tcPr/>
          <w:p>
            <w:pPr>
              <w:pStyle w:val="Compact"/>
              <w:jc w:val="left"/>
            </w:pPr>
            <w:r>
              <w:t xml:space="preserve">Relationship</w:t>
            </w:r>
          </w:p>
        </w:tc>
      </w:tr>
      <w:tr>
        <w:trPr>
          <w:cantSplit/>
        </w:trPr>
        <w:tc>
          <w:tcPr/>
          <w:p>
            <w:pPr>
              <w:pStyle w:val="Compact"/>
              <w:jc w:val="left"/>
            </w:pPr>
            <w:r>
              <w:rPr>
                <w:bCs/>
                <w:b/>
                <w:color w:val="B08625"/>
                <w:sz w:val="20"/>
                <w:caps/>
                <w:spacing w:val="14"/>
              </w:rPr>
              <w:t xml:space="preserve">Part I</w:t>
            </w:r>
            <w:r>
              <w:t xml:space="preserve"> </w:t>
            </w:r>
            <w:r>
              <w:t xml:space="preserve">(Governance &amp; Institutional Foundations)</w:t>
            </w:r>
          </w:p>
        </w:tc>
        <w:tc>
          <w:tcPr/>
          <w:p>
            <w:pPr>
              <w:pStyle w:val="Compact"/>
              <w:jc w:val="left"/>
            </w:pPr>
            <w:r>
              <w:t xml:space="preserve">§10–11 (Governance: University Senate &amp; Delegation of Authority)</w:t>
            </w:r>
          </w:p>
        </w:tc>
        <w:tc>
          <w:tcPr/>
          <w:p>
            <w:pPr>
              <w:pStyle w:val="Compact"/>
              <w:jc w:val="left"/>
            </w:pPr>
            <w:r>
              <w:t xml:space="preserve">Operationalizes committee structure, elections, and succession beneath the fixed 18-seat charter</w:t>
            </w:r>
          </w:p>
        </w:tc>
      </w:tr>
      <w:tr>
        <w:trPr>
          <w:cantSplit/>
        </w:trPr>
        <w:tc>
          <w:tcPr/>
          <w:p>
            <w:pPr>
              <w:pStyle w:val="Compact"/>
              <w:jc w:val="left"/>
            </w:pPr>
            <w:r>
              <w:rPr>
                <w:bCs/>
                <w:b/>
                <w:color w:val="B08625"/>
                <w:sz w:val="20"/>
                <w:caps/>
                <w:spacing w:val="14"/>
              </w:rPr>
              <w:t xml:space="preserve">Part II</w:t>
            </w:r>
            <w:r>
              <w:t xml:space="preserve"> </w:t>
            </w:r>
            <w:r>
              <w:t xml:space="preserve">(Organizational &amp; Academic Structure)</w:t>
            </w:r>
          </w:p>
        </w:tc>
        <w:tc>
          <w:tcPr/>
          <w:p>
            <w:pPr>
              <w:pStyle w:val="Compact"/>
              <w:jc w:val="left"/>
            </w:pPr>
            <w:r>
              <w:t xml:space="preserve">§1 (Academic Credit-Hour Architecture)</w:t>
            </w:r>
          </w:p>
        </w:tc>
        <w:tc>
          <w:tcPr/>
          <w:p>
            <w:pPr>
              <w:pStyle w:val="Compact"/>
              <w:jc w:val="left"/>
            </w:pPr>
            <w:r>
              <w:t xml:space="preserve">Operationalizes staffing, college, department, and faculty-rank structure beneath the 71-program catalog</w:t>
            </w:r>
          </w:p>
        </w:tc>
      </w:tr>
      <w:tr>
        <w:trPr>
          <w:cantSplit/>
        </w:trPr>
        <w:tc>
          <w:tcPr/>
          <w:p>
            <w:pPr>
              <w:pStyle w:val="Compact"/>
              <w:jc w:val="left"/>
            </w:pPr>
            <w:r>
              <w:rPr>
                <w:bCs/>
                <w:b/>
                <w:color w:val="B08625"/>
                <w:sz w:val="20"/>
                <w:caps/>
                <w:spacing w:val="14"/>
              </w:rPr>
              <w:t xml:space="preserve">Part III</w:t>
            </w:r>
            <w:r>
              <w:t xml:space="preserve"> </w:t>
            </w:r>
            <w:r>
              <w:t xml:space="preserve">(Curriculum &amp; Student Journey)</w:t>
            </w:r>
          </w:p>
        </w:tc>
        <w:tc>
          <w:tcPr/>
          <w:p>
            <w:pPr>
              <w:pStyle w:val="Compact"/>
              <w:jc w:val="left"/>
            </w:pPr>
            <w:r>
              <w:t xml:space="preserve">§1–3 (Academic Architecture, Tuition &amp; Fees, Scholarships)</w:t>
            </w:r>
          </w:p>
        </w:tc>
        <w:tc>
          <w:tcPr/>
          <w:p>
            <w:pPr>
              <w:pStyle w:val="Compact"/>
              <w:jc w:val="left"/>
            </w:pPr>
            <w:r>
              <w:t xml:space="preserve">Operationalizes admissions, curriculum mapping, and recruitment beneath fixed CH totals and tuition tiers</w:t>
            </w:r>
          </w:p>
        </w:tc>
      </w:tr>
      <w:tr>
        <w:trPr>
          <w:cantSplit/>
        </w:trPr>
        <w:tc>
          <w:tcPr/>
          <w:p>
            <w:pPr>
              <w:pStyle w:val="Compact"/>
              <w:jc w:val="left"/>
            </w:pPr>
            <w:r>
              <w:rPr>
                <w:bCs/>
                <w:b/>
                <w:color w:val="B08625"/>
                <w:sz w:val="20"/>
                <w:caps/>
                <w:spacing w:val="14"/>
              </w:rPr>
              <w:t xml:space="preserve">Part IV</w:t>
            </w:r>
            <w:r>
              <w:t xml:space="preserve"> </w:t>
            </w:r>
            <w:r>
              <w:t xml:space="preserve">(Research, Publishing, Partnerships &amp; Accreditation)</w:t>
            </w:r>
          </w:p>
        </w:tc>
        <w:tc>
          <w:tcPr/>
          <w:p>
            <w:pPr>
              <w:pStyle w:val="Compact"/>
              <w:jc w:val="left"/>
            </w:pPr>
            <w:r>
              <w:t xml:space="preserve">§9.4 (ISO 21001 &amp; CPD), §9.3 (Gambia), §16 (Twenty-Year Horizon)</w:t>
            </w:r>
          </w:p>
        </w:tc>
        <w:tc>
          <w:tcPr/>
          <w:p>
            <w:pPr>
              <w:pStyle w:val="Compact"/>
              <w:jc w:val="left"/>
            </w:pPr>
            <w:r>
              <w:t xml:space="preserve">Operationalizes the accreditation pipeline within its adopted sequencing and cost figures</w:t>
            </w:r>
          </w:p>
        </w:tc>
      </w:tr>
      <w:tr>
        <w:trPr>
          <w:cantSplit/>
        </w:trPr>
        <w:tc>
          <w:tcPr/>
          <w:p>
            <w:pPr>
              <w:pStyle w:val="Compact"/>
              <w:jc w:val="left"/>
            </w:pPr>
            <w:r>
              <w:rPr>
                <w:bCs/>
                <w:b/>
                <w:color w:val="B08625"/>
                <w:sz w:val="20"/>
                <w:caps/>
                <w:spacing w:val="14"/>
              </w:rPr>
              <w:t xml:space="preserve">Part V</w:t>
            </w:r>
            <w:r>
              <w:t xml:space="preserve"> </w:t>
            </w:r>
            <w:r>
              <w:t xml:space="preserve">(Digital Infrastructure, AI &amp; Waqf Development)</w:t>
            </w:r>
          </w:p>
        </w:tc>
        <w:tc>
          <w:tcPr/>
          <w:p>
            <w:pPr>
              <w:pStyle w:val="Compact"/>
              <w:jc w:val="left"/>
            </w:pPr>
            <w:r>
              <w:t xml:space="preserve">§5.4 (LMS &amp; Tech allocation), §6 (Waqf &amp; Endowment)</w:t>
            </w:r>
          </w:p>
        </w:tc>
        <w:tc>
          <w:tcPr/>
          <w:p>
            <w:pPr>
              <w:pStyle w:val="Compact"/>
              <w:jc w:val="left"/>
            </w:pPr>
            <w:r>
              <w:t xml:space="preserve">Operationalizes digital infrastructure and Waqf development within fixed allocation lines</w:t>
            </w:r>
          </w:p>
        </w:tc>
      </w:tr>
      <w:tr>
        <w:trPr>
          <w:cantSplit/>
        </w:trPr>
        <w:tc>
          <w:tcPr/>
          <w:p>
            <w:pPr>
              <w:pStyle w:val="Compact"/>
              <w:jc w:val="left"/>
            </w:pPr>
            <w:r>
              <w:rPr>
                <w:bCs/>
                <w:b/>
                <w:color w:val="B08625"/>
                <w:sz w:val="20"/>
                <w:caps/>
                <w:spacing w:val="14"/>
              </w:rPr>
              <w:t xml:space="preserve">Part VI</w:t>
            </w:r>
            <w:r>
              <w:t xml:space="preserve"> </w:t>
            </w:r>
            <w:r>
              <w:t xml:space="preserve">(Financial Growth, Marketing &amp; Branding)</w:t>
            </w:r>
          </w:p>
        </w:tc>
        <w:tc>
          <w:tcPr/>
          <w:p>
            <w:pPr>
              <w:pStyle w:val="Compact"/>
              <w:jc w:val="left"/>
            </w:pPr>
            <w:r>
              <w:t xml:space="preserve">§2–3 (Tuition &amp; Fees, Scholarships), §5.4 (Marketing allocation)</w:t>
            </w:r>
          </w:p>
        </w:tc>
        <w:tc>
          <w:tcPr/>
          <w:p>
            <w:pPr>
              <w:pStyle w:val="Compact"/>
              <w:jc w:val="left"/>
            </w:pPr>
            <w:r>
              <w:t xml:space="preserve">Operationalizes scholarship, marketing, and branding execution within fixed tuition and allocation architecture</w:t>
            </w:r>
          </w:p>
        </w:tc>
      </w:tr>
      <w:tr>
        <w:trPr>
          <w:cantSplit/>
        </w:trPr>
        <w:tc>
          <w:tcPr/>
          <w:p>
            <w:pPr>
              <w:pStyle w:val="Compact"/>
              <w:jc w:val="left"/>
            </w:pPr>
            <w:r>
              <w:rPr>
                <w:bCs/>
                <w:b/>
                <w:color w:val="B08625"/>
                <w:sz w:val="20"/>
                <w:caps/>
                <w:spacing w:val="14"/>
              </w:rPr>
              <w:t xml:space="preserve">Part VII</w:t>
            </w:r>
            <w:r>
              <w:t xml:space="preserve"> </w:t>
            </w:r>
            <w:r>
              <w:t xml:space="preserve">(Regional Campuses &amp; Student Lifecycle)</w:t>
            </w:r>
          </w:p>
        </w:tc>
        <w:tc>
          <w:tcPr/>
          <w:p>
            <w:pPr>
              <w:pStyle w:val="Compact"/>
              <w:jc w:val="left"/>
            </w:pPr>
            <w:r>
              <w:t xml:space="preserve">§6.2.1 (Nigeria Mega-University), §9.3 (Gambia Branch)</w:t>
            </w:r>
          </w:p>
        </w:tc>
        <w:tc>
          <w:tcPr/>
          <w:p>
            <w:pPr>
              <w:pStyle w:val="Compact"/>
              <w:jc w:val="left"/>
            </w:pPr>
            <w:r>
              <w:t xml:space="preserve">Operationalizes regional expansion within Waqf Reserve sub-lines and Board-approved ceilings</w:t>
            </w:r>
          </w:p>
        </w:tc>
      </w:tr>
      <w:tr>
        <w:trPr>
          <w:cantSplit/>
        </w:trPr>
        <w:tc>
          <w:tcPr/>
          <w:p>
            <w:pPr>
              <w:pStyle w:val="Compact"/>
              <w:jc w:val="left"/>
            </w:pPr>
            <w:r>
              <w:rPr>
                <w:bCs/>
                <w:b/>
                <w:color w:val="B08625"/>
                <w:sz w:val="20"/>
                <w:caps/>
                <w:spacing w:val="14"/>
              </w:rPr>
              <w:t xml:space="preserve">Part VIII</w:t>
            </w:r>
            <w:r>
              <w:t xml:space="preserve"> </w:t>
            </w:r>
            <w:r>
              <w:t xml:space="preserve">(Risk, Compliance, Sustainability, the 20-Year Roadmap &amp; the Founding Access Philosophy)</w:t>
            </w:r>
          </w:p>
        </w:tc>
        <w:tc>
          <w:tcPr/>
          <w:p>
            <w:pPr>
              <w:pStyle w:val="Compact"/>
              <w:jc w:val="left"/>
            </w:pPr>
            <w:r>
              <w:t xml:space="preserve">§14 (Risk Register), §5 (Financial Audit), §16 (Twenty-Year Horizon), §3 &amp; §6.3 (Scholarship &amp; External Waqf Donor Contributions)</w:t>
            </w:r>
          </w:p>
        </w:tc>
        <w:tc>
          <w:tcPr/>
          <w:p>
            <w:pPr>
              <w:pStyle w:val="Compact"/>
              <w:jc w:val="left"/>
            </w:pPr>
            <w:r>
              <w:t xml:space="preserve">Extends the 14-risk register and financial model into a full risk/compliance operating system and 2050 roadmap, closing with a founding-access strategy modeled entirely from the adopted Waqf allocation</w:t>
            </w:r>
          </w:p>
        </w:tc>
      </w:tr>
    </w:tbl>
    <w:bookmarkEnd w:id="113"/>
    <w:bookmarkStart w:id="114" w:name="X813fab9930c613e0f060a2240fac221b0eb2572"/>
    <w:p>
      <w:pPr>
        <w:pStyle w:val="Heading2"/>
      </w:pPr>
      <w:r>
        <w:t xml:space="preserve">Appendix B — Master Plan Exhibit Checklist (AMIU-MP-001 §17)</w:t>
      </w:r>
    </w:p>
    <w:p>
      <w:pPr>
        <w:pStyle w:val="FirstParagrap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Exhibit</w:t>
            </w:r>
          </w:p>
        </w:tc>
        <w:tc>
          <w:tcPr/>
          <w:p>
            <w:pPr>
              <w:pStyle w:val="Compact"/>
              <w:jc w:val="left"/>
            </w:pPr>
            <w:r>
              <w:t xml:space="preserve">Document</w:t>
            </w:r>
          </w:p>
        </w:tc>
        <w:tc>
          <w:tcPr/>
          <w:p>
            <w:pPr>
              <w:pStyle w:val="Compact"/>
              <w:jc w:val="left"/>
            </w:pPr>
            <w:r>
              <w:t xml:space="preserve">Status</w:t>
            </w:r>
          </w:p>
        </w:tc>
      </w:tr>
      <w:tr>
        <w:trPr>
          <w:cantSplit/>
        </w:trPr>
        <w:tc>
          <w:tcPr/>
          <w:p>
            <w:pPr>
              <w:pStyle w:val="Compact"/>
              <w:jc w:val="left"/>
            </w:pPr>
            <w:r>
              <w:t xml:space="preserve">A</w:t>
            </w:r>
          </w:p>
        </w:tc>
        <w:tc>
          <w:tcPr/>
          <w:p>
            <w:pPr>
              <w:pStyle w:val="Compact"/>
              <w:jc w:val="left"/>
            </w:pPr>
            <w:r>
              <w:t xml:space="preserve">AMIU Constitution and Bylaws</w:t>
            </w:r>
          </w:p>
        </w:tc>
        <w:tc>
          <w:tcPr/>
          <w:p>
            <w:pPr>
              <w:pStyle w:val="Compact"/>
              <w:jc w:val="left"/>
            </w:pPr>
            <w:r>
              <w:t xml:space="preserve">Attached to AMIU-MP-001</w:t>
            </w:r>
          </w:p>
        </w:tc>
      </w:tr>
      <w:tr>
        <w:trPr>
          <w:cantSplit/>
        </w:trPr>
        <w:tc>
          <w:tcPr/>
          <w:p>
            <w:pPr>
              <w:pStyle w:val="Compact"/>
              <w:jc w:val="left"/>
            </w:pPr>
            <w:r>
              <w:t xml:space="preserve">B</w:t>
            </w:r>
          </w:p>
        </w:tc>
        <w:tc>
          <w:tcPr/>
          <w:p>
            <w:pPr>
              <w:pStyle w:val="Compact"/>
              <w:jc w:val="left"/>
            </w:pPr>
            <w:r>
              <w:t xml:space="preserve">Institutional Governance Compendium</w:t>
            </w:r>
          </w:p>
        </w:tc>
        <w:tc>
          <w:tcPr/>
          <w:p>
            <w:pPr>
              <w:pStyle w:val="Compact"/>
              <w:jc w:val="left"/>
            </w:pPr>
            <w:r>
              <w:t xml:space="preserve">Attached to AMIU-MP-001</w:t>
            </w:r>
          </w:p>
        </w:tc>
      </w:tr>
      <w:tr>
        <w:trPr>
          <w:cantSplit/>
        </w:trPr>
        <w:tc>
          <w:tcPr/>
          <w:p>
            <w:pPr>
              <w:pStyle w:val="Compact"/>
              <w:jc w:val="left"/>
            </w:pPr>
            <w:r>
              <w:t xml:space="preserve">C</w:t>
            </w:r>
          </w:p>
        </w:tc>
        <w:tc>
          <w:tcPr/>
          <w:p>
            <w:pPr>
              <w:pStyle w:val="Compact"/>
              <w:jc w:val="left"/>
            </w:pPr>
            <w:r>
              <w:t xml:space="preserve">Academic Program Syllabi — All 71 Named Programs</w:t>
            </w:r>
          </w:p>
        </w:tc>
        <w:tc>
          <w:tcPr/>
          <w:p>
            <w:pPr>
              <w:pStyle w:val="Compact"/>
              <w:jc w:val="left"/>
            </w:pPr>
            <w:r>
              <w:t xml:space="preserve">Attached to AMIU-MP-001</w:t>
            </w:r>
          </w:p>
        </w:tc>
      </w:tr>
      <w:tr>
        <w:trPr>
          <w:cantSplit/>
        </w:trPr>
        <w:tc>
          <w:tcPr/>
          <w:p>
            <w:pPr>
              <w:pStyle w:val="Compact"/>
              <w:jc w:val="left"/>
            </w:pPr>
            <w:r>
              <w:t xml:space="preserve">D</w:t>
            </w:r>
          </w:p>
        </w:tc>
        <w:tc>
          <w:tcPr/>
          <w:p>
            <w:pPr>
              <w:pStyle w:val="Compact"/>
              <w:jc w:val="left"/>
            </w:pPr>
            <w:r>
              <w:t xml:space="preserve">AMIU Global Services LLC — Offering Documents</w:t>
            </w:r>
          </w:p>
        </w:tc>
        <w:tc>
          <w:tcPr/>
          <w:p>
            <w:pPr>
              <w:pStyle w:val="Compact"/>
              <w:jc w:val="left"/>
            </w:pPr>
            <w:r>
              <w:t xml:space="preserve">Attached to AMIU-MP-001</w:t>
            </w:r>
          </w:p>
        </w:tc>
      </w:tr>
      <w:tr>
        <w:trPr>
          <w:cantSplit/>
        </w:trPr>
        <w:tc>
          <w:tcPr/>
          <w:p>
            <w:pPr>
              <w:pStyle w:val="Compact"/>
              <w:jc w:val="left"/>
            </w:pPr>
            <w:r>
              <w:t xml:space="preserve">E</w:t>
            </w:r>
          </w:p>
        </w:tc>
        <w:tc>
          <w:tcPr/>
          <w:p>
            <w:pPr>
              <w:pStyle w:val="Compact"/>
              <w:jc w:val="left"/>
            </w:pPr>
            <w:r>
              <w:t xml:space="preserve">Waqf &amp; Endowment Board Charter</w:t>
            </w:r>
          </w:p>
        </w:tc>
        <w:tc>
          <w:tcPr/>
          <w:p>
            <w:pPr>
              <w:pStyle w:val="Compact"/>
              <w:jc w:val="left"/>
            </w:pPr>
            <w:r>
              <w:t xml:space="preserve">Attached to AMIU-MP-001</w:t>
            </w:r>
          </w:p>
        </w:tc>
      </w:tr>
      <w:tr>
        <w:trPr>
          <w:cantSplit/>
        </w:trPr>
        <w:tc>
          <w:tcPr/>
          <w:p>
            <w:pPr>
              <w:pStyle w:val="Compact"/>
              <w:jc w:val="left"/>
            </w:pPr>
            <w:r>
              <w:t xml:space="preserve">F–G</w:t>
            </w:r>
          </w:p>
        </w:tc>
        <w:tc>
          <w:tcPr/>
          <w:p>
            <w:pPr>
              <w:pStyle w:val="Compact"/>
              <w:jc w:val="left"/>
            </w:pPr>
            <w:r>
              <w:t xml:space="preserve">Certificates of Formation — University &amp; LLC (Texas)</w:t>
            </w:r>
          </w:p>
        </w:tc>
        <w:tc>
          <w:tcPr/>
          <w:p>
            <w:pPr>
              <w:pStyle w:val="Compact"/>
              <w:jc w:val="left"/>
            </w:pPr>
            <w:r>
              <w:t xml:space="preserve">Attached to AMIU-MP-001</w:t>
            </w:r>
          </w:p>
        </w:tc>
      </w:tr>
      <w:tr>
        <w:trPr>
          <w:cantSplit/>
        </w:trPr>
        <w:tc>
          <w:tcPr/>
          <w:p>
            <w:pPr>
              <w:pStyle w:val="Compact"/>
              <w:jc w:val="left"/>
            </w:pPr>
            <w:r>
              <w:t xml:space="preserve">H</w:t>
            </w:r>
          </w:p>
        </w:tc>
        <w:tc>
          <w:tcPr/>
          <w:p>
            <w:pPr>
              <w:pStyle w:val="Compact"/>
              <w:jc w:val="left"/>
            </w:pPr>
            <w:r>
              <w:t xml:space="preserve">IRS Form 1023 Application — 501(c)(3) Status</w:t>
            </w:r>
          </w:p>
        </w:tc>
        <w:tc>
          <w:tcPr/>
          <w:p>
            <w:pPr>
              <w:pStyle w:val="Compact"/>
              <w:jc w:val="left"/>
            </w:pPr>
            <w:r>
              <w:t xml:space="preserve">Filed / pending confirmation</w:t>
            </w:r>
          </w:p>
        </w:tc>
      </w:tr>
      <w:tr>
        <w:trPr>
          <w:cantSplit/>
        </w:trPr>
        <w:tc>
          <w:tcPr/>
          <w:p>
            <w:pPr>
              <w:pStyle w:val="Compact"/>
              <w:jc w:val="left"/>
            </w:pPr>
            <w:r>
              <w:t xml:space="preserve">I</w:t>
            </w:r>
          </w:p>
        </w:tc>
        <w:tc>
          <w:tcPr/>
          <w:p>
            <w:pPr>
              <w:pStyle w:val="Compact"/>
              <w:jc w:val="left"/>
            </w:pPr>
            <w:r>
              <w:t xml:space="preserve">Financial Model — Full Audited Workbook</w:t>
            </w:r>
          </w:p>
        </w:tc>
        <w:tc>
          <w:tcPr/>
          <w:p>
            <w:pPr>
              <w:pStyle w:val="Compact"/>
              <w:jc w:val="left"/>
            </w:pPr>
            <w:r>
              <w:t xml:space="preserve">Attached to AMIU-MP-001</w:t>
            </w:r>
          </w:p>
        </w:tc>
      </w:tr>
      <w:tr>
        <w:trPr>
          <w:cantSplit/>
        </w:trPr>
        <w:tc>
          <w:tcPr/>
          <w:p>
            <w:pPr>
              <w:pStyle w:val="Compact"/>
              <w:jc w:val="left"/>
            </w:pPr>
            <w:r>
              <w:t xml:space="preserve">J</w:t>
            </w:r>
          </w:p>
        </w:tc>
        <w:tc>
          <w:tcPr/>
          <w:p>
            <w:pPr>
              <w:pStyle w:val="Compact"/>
              <w:jc w:val="left"/>
            </w:pPr>
            <w:r>
              <w:t xml:space="preserve">NAQAA Accreditation Application — Gambia Branch Campus</w:t>
            </w:r>
          </w:p>
        </w:tc>
        <w:tc>
          <w:tcPr/>
          <w:p>
            <w:pPr>
              <w:pStyle w:val="Compact"/>
              <w:jc w:val="left"/>
            </w:pPr>
            <w:r>
              <w:t xml:space="preserve">Stage 3 preparation</w:t>
            </w:r>
          </w:p>
        </w:tc>
      </w:tr>
      <w:tr>
        <w:trPr>
          <w:cantSplit/>
        </w:trPr>
        <w:tc>
          <w:tcPr/>
          <w:p>
            <w:pPr>
              <w:pStyle w:val="Compact"/>
              <w:jc w:val="left"/>
            </w:pPr>
            <w:r>
              <w:t xml:space="preserve">K</w:t>
            </w:r>
          </w:p>
        </w:tc>
        <w:tc>
          <w:tcPr/>
          <w:p>
            <w:pPr>
              <w:pStyle w:val="Compact"/>
              <w:jc w:val="left"/>
            </w:pPr>
            <w:r>
              <w:t xml:space="preserve">Nigeria NUC Charter Application</w:t>
            </w:r>
          </w:p>
        </w:tc>
        <w:tc>
          <w:tcPr/>
          <w:p>
            <w:pPr>
              <w:pStyle w:val="Compact"/>
              <w:jc w:val="left"/>
            </w:pPr>
            <w:r>
              <w:t xml:space="preserve">Preparation begins Year 8</w:t>
            </w:r>
          </w:p>
        </w:tc>
      </w:tr>
      <w:tr>
        <w:trPr>
          <w:cantSplit/>
        </w:trPr>
        <w:tc>
          <w:tcPr/>
          <w:p>
            <w:pPr>
              <w:pStyle w:val="Compact"/>
              <w:jc w:val="left"/>
            </w:pPr>
            <w:r>
              <w:t xml:space="preserve">L–M</w:t>
            </w:r>
          </w:p>
        </w:tc>
        <w:tc>
          <w:tcPr/>
          <w:p>
            <w:pPr>
              <w:pStyle w:val="Compact"/>
              <w:jc w:val="left"/>
            </w:pPr>
            <w:r>
              <w:t xml:space="preserve">ISO 21001 / CPD Accreditation Application Documentation</w:t>
            </w:r>
          </w:p>
        </w:tc>
        <w:tc>
          <w:tcPr/>
          <w:p>
            <w:pPr>
              <w:pStyle w:val="Compact"/>
              <w:jc w:val="left"/>
            </w:pPr>
            <w:r>
              <w:t xml:space="preserve">Preparation per Blueprint Sections 19–20</w:t>
            </w:r>
          </w:p>
        </w:tc>
      </w:tr>
      <w:tr>
        <w:trPr>
          <w:cantSplit/>
        </w:trPr>
        <w:tc>
          <w:tcPr/>
          <w:p>
            <w:pPr>
              <w:pStyle w:val="Compact"/>
              <w:jc w:val="left"/>
            </w:pPr>
            <w:r>
              <w:t xml:space="preserve">N</w:t>
            </w:r>
          </w:p>
        </w:tc>
        <w:tc>
          <w:tcPr/>
          <w:p>
            <w:pPr>
              <w:pStyle w:val="Compact"/>
              <w:jc w:val="left"/>
            </w:pPr>
            <w:r>
              <w:t xml:space="preserve">Independent Sharī’ah Advisory Board Charter</w:t>
            </w:r>
          </w:p>
        </w:tc>
        <w:tc>
          <w:tcPr/>
          <w:p>
            <w:pPr>
              <w:pStyle w:val="Compact"/>
              <w:jc w:val="left"/>
            </w:pPr>
            <w:r>
              <w:t xml:space="preserve">Attached to AMIU-MP-001</w:t>
            </w:r>
          </w:p>
        </w:tc>
      </w:tr>
      <w:tr>
        <w:trPr>
          <w:cantSplit/>
        </w:trPr>
        <w:tc>
          <w:tcPr/>
          <w:p>
            <w:pPr>
              <w:pStyle w:val="Compact"/>
              <w:jc w:val="left"/>
            </w:pPr>
            <w:r>
              <w:t xml:space="preserve">O</w:t>
            </w:r>
          </w:p>
        </w:tc>
        <w:tc>
          <w:tcPr/>
          <w:p>
            <w:pPr>
              <w:pStyle w:val="Compact"/>
              <w:jc w:val="left"/>
            </w:pPr>
            <w:r>
              <w:t xml:space="preserve">Student Handbook, Grading Policy &amp; Grievance Procedures</w:t>
            </w:r>
          </w:p>
        </w:tc>
        <w:tc>
          <w:tcPr/>
          <w:p>
            <w:pPr>
              <w:pStyle w:val="Compact"/>
              <w:jc w:val="left"/>
            </w:pPr>
            <w:r>
              <w:t xml:space="preserve">Attached to AMIU-MP-001</w:t>
            </w:r>
          </w:p>
        </w:tc>
      </w:tr>
      <w:tr>
        <w:trPr>
          <w:cantSplit/>
        </w:trPr>
        <w:tc>
          <w:tcPr/>
          <w:p>
            <w:pPr>
              <w:pStyle w:val="Compact"/>
              <w:jc w:val="left"/>
            </w:pPr>
            <w:r>
              <w:t xml:space="preserve">P</w:t>
            </w:r>
          </w:p>
        </w:tc>
        <w:tc>
          <w:tcPr/>
          <w:p>
            <w:pPr>
              <w:pStyle w:val="Compact"/>
              <w:jc w:val="left"/>
            </w:pPr>
            <w:r>
              <w:t xml:space="preserve">Faculty Handbook &amp; Honoraria Schedule</w:t>
            </w:r>
          </w:p>
        </w:tc>
        <w:tc>
          <w:tcPr/>
          <w:p>
            <w:pPr>
              <w:pStyle w:val="Compact"/>
              <w:jc w:val="left"/>
            </w:pPr>
            <w:r>
              <w:t xml:space="preserve">Attached to AMIU-MP-001</w:t>
            </w:r>
          </w:p>
        </w:tc>
      </w:tr>
    </w:tbl>
    <w:bookmarkEnd w:id="114"/>
    <w:bookmarkStart w:id="115"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Category</w:t>
            </w:r>
          </w:p>
        </w:tc>
        <w:tc>
          <w:tcPr/>
          <w:p>
            <w:pPr>
              <w:pStyle w:val="Compact"/>
              <w:jc w:val="left"/>
            </w:pPr>
            <w:r>
              <w:t xml:space="preserve">% of Gross Revenue</w:t>
            </w:r>
          </w:p>
        </w:tc>
        <w:tc>
          <w:tcPr/>
          <w:p>
            <w:pPr>
              <w:pStyle w:val="Compact"/>
              <w:jc w:val="left"/>
            </w:pPr>
            <w:r>
              <w:t xml:space="preserve">Governing Body</w:t>
            </w:r>
          </w:p>
        </w:tc>
      </w:tr>
      <w:tr>
        <w:trPr>
          <w:cantSplit/>
        </w:trPr>
        <w:tc>
          <w:tcPr/>
          <w:p>
            <w:pPr>
              <w:pStyle w:val="Compact"/>
              <w:jc w:val="left"/>
            </w:pPr>
            <w:r>
              <w:t xml:space="preserve">Liquidity Reserve</w:t>
            </w:r>
          </w:p>
        </w:tc>
        <w:tc>
          <w:tcPr/>
          <w:p>
            <w:pPr>
              <w:pStyle w:val="Compact"/>
              <w:jc w:val="left"/>
            </w:pPr>
            <w:r>
              <w:t xml:space="preserve">35%</w:t>
            </w:r>
          </w:p>
        </w:tc>
        <w:tc>
          <w:tcPr/>
          <w:p>
            <w:pPr>
              <w:pStyle w:val="Compact"/>
              <w:jc w:val="left"/>
            </w:pPr>
            <w:r>
              <w:t xml:space="preserve">Board of Trustees</w:t>
            </w:r>
          </w:p>
        </w:tc>
      </w:tr>
      <w:tr>
        <w:trPr>
          <w:cantSplit/>
        </w:trPr>
        <w:tc>
          <w:tcPr/>
          <w:p>
            <w:pPr>
              <w:pStyle w:val="Compact"/>
              <w:jc w:val="left"/>
            </w:pPr>
            <w:r>
              <w:t xml:space="preserve">Payroll (Faculty Honoraria 40% · Founders 24% · Senate 18% · Core Admin 18%)</w:t>
            </w:r>
          </w:p>
        </w:tc>
        <w:tc>
          <w:tcPr/>
          <w:p>
            <w:pPr>
              <w:pStyle w:val="Compact"/>
              <w:jc w:val="left"/>
            </w:pPr>
            <w:r>
              <w:t xml:space="preserve">20%</w:t>
            </w:r>
          </w:p>
        </w:tc>
        <w:tc>
          <w:tcPr/>
          <w:p>
            <w:pPr>
              <w:pStyle w:val="Compact"/>
              <w:jc w:val="left"/>
            </w:pPr>
            <w:r>
              <w:t xml:space="preserve">Board (budget) / Senate (stipends, 4-independent-seat compensation check)</w:t>
            </w:r>
          </w:p>
        </w:tc>
      </w:tr>
      <w:tr>
        <w:trPr>
          <w:cantSplit/>
        </w:trPr>
        <w:tc>
          <w:tcPr/>
          <w:p>
            <w:pPr>
              <w:pStyle w:val="Compact"/>
              <w:jc w:val="left"/>
            </w:pPr>
            <w:r>
              <w:t xml:space="preserve">Waqf &amp; Stakeholder Reserve</w:t>
            </w:r>
          </w:p>
        </w:tc>
        <w:tc>
          <w:tcPr/>
          <w:p>
            <w:pPr>
              <w:pStyle w:val="Compact"/>
              <w:jc w:val="left"/>
            </w:pPr>
            <w:r>
              <w:t xml:space="preserve">20%</w:t>
            </w:r>
          </w:p>
        </w:tc>
        <w:tc>
          <w:tcPr/>
          <w:p>
            <w:pPr>
              <w:pStyle w:val="Compact"/>
              <w:jc w:val="left"/>
            </w:pPr>
            <w:r>
              <w:t xml:space="preserve">Waqf &amp; Endowment Board (fiduciary)</w:t>
            </w:r>
          </w:p>
        </w:tc>
      </w:tr>
      <w:tr>
        <w:trPr>
          <w:cantSplit/>
        </w:trPr>
        <w:tc>
          <w:tcPr/>
          <w:p>
            <w:pPr>
              <w:pStyle w:val="Compact"/>
              <w:jc w:val="left"/>
            </w:pPr>
            <w:r>
              <w:t xml:space="preserve">Marketing &amp; Student Acquisition</w:t>
            </w:r>
          </w:p>
        </w:tc>
        <w:tc>
          <w:tcPr/>
          <w:p>
            <w:pPr>
              <w:pStyle w:val="Compact"/>
              <w:jc w:val="left"/>
            </w:pPr>
            <w:r>
              <w:t xml:space="preserve">10%</w:t>
            </w:r>
          </w:p>
        </w:tc>
        <w:tc>
          <w:tcPr/>
          <w:p>
            <w:pPr>
              <w:pStyle w:val="Compact"/>
              <w:jc w:val="left"/>
            </w:pPr>
            <w:r>
              <w:t xml:space="preserve">DVC Administration &amp; Finance</w:t>
            </w:r>
          </w:p>
        </w:tc>
      </w:tr>
      <w:tr>
        <w:trPr>
          <w:cantSplit/>
        </w:trPr>
        <w:tc>
          <w:tcPr/>
          <w:p>
            <w:pPr>
              <w:pStyle w:val="Compact"/>
              <w:jc w:val="left"/>
            </w:pPr>
            <w:r>
              <w:t xml:space="preserve">Operating Expenses</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t xml:space="preserve">LMS &amp; Technology Infrastructure</w:t>
            </w:r>
          </w:p>
        </w:tc>
        <w:tc>
          <w:tcPr/>
          <w:p>
            <w:pPr>
              <w:pStyle w:val="Compact"/>
              <w:jc w:val="left"/>
            </w:pPr>
            <w:r>
              <w:t xml:space="preserve">5%</w:t>
            </w:r>
          </w:p>
        </w:tc>
        <w:tc>
          <w:tcPr/>
          <w:p>
            <w:pPr>
              <w:pStyle w:val="Compact"/>
              <w:jc w:val="left"/>
            </w:pPr>
            <w:r>
              <w:t xml:space="preserve">Senate Group IV</w:t>
            </w:r>
          </w:p>
        </w:tc>
      </w:tr>
      <w:tr>
        <w:trPr>
          <w:cantSplit/>
        </w:trPr>
        <w:tc>
          <w:tcPr/>
          <w:p>
            <w:pPr>
              <w:pStyle w:val="Compact"/>
              <w:jc w:val="left"/>
            </w:pPr>
            <w:r>
              <w:t xml:space="preserve">Da’wah &amp; Community Outreach</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rPr>
                <w:bCs/>
                <w:b/>
                <w:color w:val="B08625"/>
                <w:sz w:val="20"/>
                <w:caps/>
                <w:spacing w:val="14"/>
              </w:rPr>
              <w:t xml:space="preserve">Total</w:t>
            </w:r>
          </w:p>
        </w:tc>
        <w:tc>
          <w:tcPr/>
          <w:p>
            <w:pPr>
              <w:pStyle w:val="Compact"/>
              <w:jc w:val="left"/>
            </w:pPr>
            <w:r>
              <w:rPr>
                <w:bCs/>
                <w:b/>
                <w:color w:val="B08625"/>
                <w:sz w:val="20"/>
                <w:caps/>
                <w:spacing w:val="14"/>
              </w:rPr>
              <w:t xml:space="preserve">100%, zero unallocated residual</w:t>
            </w:r>
          </w:p>
        </w:tc>
        <w:tc>
          <w:tcPr/>
          <w:p>
            <w:pPr>
              <w:pStyle w:val="Compact"/>
              <w:jc w:val="left"/>
            </w:pPr>
            <w:r>
              <w:t xml:space="preserve">—</w:t>
            </w:r>
          </w:p>
        </w:tc>
      </w:tr>
    </w:tbl>
    <w:bookmarkEnd w:id="115"/>
    <w:bookmarkStart w:id="116" w:name="appendix-d-programme-catalog-reference"/>
    <w:p>
      <w:pPr>
        <w:pStyle w:val="Heading2"/>
      </w:pPr>
      <w:r>
        <w:t xml:space="preserve">Appendix D — Programme Catalog Reference</w:t>
      </w:r>
    </w:p>
    <w:p>
      <w:pPr>
        <w:pStyle w:val="FirstParagrap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(Programme Portfolio) of this Blueprint governs the lifecycle management — review cycle, sunset policy, balance guardrails — under which that catalog operates, and Section 7 (Academic Master Plan) governs its rollout sequencing.</w:t>
      </w:r>
    </w:p>
    <w:p>
      <w:r>
        <w:pict>
          <v:rect style="width:0;height:1.5pt" o:hralign="center" o:hrstd="t" o:hr="t"/>
        </w:pict>
      </w:r>
    </w:p>
    <w:p>
      <w:r>
        <w:br w:type="page"/>
      </w:r>
    </w:p>
    <w:bookmarkEnd w:id="116"/>
    <w:bookmarkEnd w:id="117"/>
    <w:bookmarkStart w:id="118" w:name="references"/>
    <w:p>
      <w:pPr>
        <w:pStyle w:val="Heading1"/>
      </w:pPr>
      <w:r>
        <w:t xml:space="preserve">References</w:t>
      </w:r>
    </w:p>
    <w:p>
      <w:pPr>
        <w:pStyle w:val="FirstParagrap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7).</w:t>
      </w:r>
    </w:p>
    <w:p>
      <w:pPr>
        <w:numPr>
          <w:ilvl w:val="0"/>
          <w:numId w:val="1033"/>
        </w:numPr>
        <w:pStyle w:val="Compact"/>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r>
        <w:pict>
          <v:rect style="width:0;height:1.5pt" o:hralign="center" o:hrstd="t" o:hr="t"/>
        </w:pict>
      </w:r>
    </w:p>
    <w:p>
      <w:r>
        <w:br w:type="page"/>
      </w:r>
    </w:p>
    <w:bookmarkEnd w:id="118"/>
    <w:bookmarkStart w:id="119" w:name="index"/>
    <w:p>
      <w:pPr>
        <w:pStyle w:val="Heading1"/>
      </w:pPr>
      <w:r>
        <w:t xml:space="preserve">Index</w:t>
      </w:r>
    </w:p>
    <w:p>
      <w:pPr>
        <w:pStyle w:val="FirstParagraph"/>
      </w:pPr>
      <w:r>
        <w:rPr>
          <w:iCs/>
          <w:i/>
        </w:rPr>
        <w:t xml:space="preserve">This index references Sections (1–41) and front-matter pages, not final print page numbers, consistent with this Blueprint’s status as a living planning document subject to re-pagination on revision.</w:t>
      </w:r>
    </w:p>
    <w:p>
      <w:pPr>
        <w:pStyle w:val="BodyText"/>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pPr>
      <w:r>
        <w:rPr>
          <w:bCs/>
          <w:b/>
        </w:rPr>
        <w:t xml:space="preserve">B</w:t>
      </w:r>
      <w:r>
        <w:t xml:space="preserve"> </w:t>
      </w:r>
      <w:r>
        <w:t xml:space="preserve">Board of Trustees, Sections 3, 5 · Board composition &amp; term limits, Section 5 · Branding Strategy, Section 29</w:t>
      </w:r>
    </w:p>
    <w:p>
      <w:pPr>
        <w:pStyle w:val="BodyText"/>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Framework, Section 37 · Compliance calendar, Section 37 · CPD Accreditation, Sections 19–20 · Curriculum Architecture, Section 12</w:t>
      </w:r>
    </w:p>
    <w:p>
      <w:pPr>
        <w:pStyle w:val="BodyText"/>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pPr>
      <w:r>
        <w:rPr>
          <w:bCs/>
          <w:b/>
        </w:rPr>
        <w:t xml:space="preserve">E</w:t>
      </w:r>
      <w:r>
        <w:t xml:space="preserve"> </w:t>
      </w:r>
      <w:r>
        <w:t xml:space="preserve">Endowment (see Waqf &amp; Stakeholder Reserve) · English-Medium Instruction, Sections 12, 14 · Executive Summary</w:t>
      </w:r>
    </w:p>
    <w:p>
      <w:pPr>
        <w:pStyle w:val="BodyText"/>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pPr>
      <w:r>
        <w:rPr>
          <w:bCs/>
          <w:b/>
        </w:rPr>
        <w:t xml:space="preserve">H</w:t>
      </w:r>
      <w:r>
        <w:t xml:space="preserve"> </w:t>
      </w:r>
      <w:r>
        <w:t xml:space="preserve">Head of Department (HoD) structure, Section 10 · Honoraria (Faculty), Sections 9, 15</w:t>
      </w:r>
    </w:p>
    <w:p>
      <w:pPr>
        <w:pStyle w:val="BodyText"/>
      </w:pPr>
      <w:r>
        <w:rPr>
          <w:bCs/>
          <w:b/>
        </w:rPr>
        <w:t xml:space="preserve">I</w:t>
      </w:r>
      <w:r>
        <w:t xml:space="preserve"> </w:t>
      </w:r>
      <w:r>
        <w:t xml:space="preserve">Independent Sharī’ah Advisory Board, Sections 2–3, 16–17, 22, 25 · International Expansion Strategy, Section 30 · ISO 21001 Roadmap, Section 20 · ISLAMIC values framework, Section 2</w:t>
      </w:r>
    </w:p>
    <w:p>
      <w:pPr>
        <w:pStyle w:val="BodyText"/>
      </w:pPr>
      <w:r>
        <w:rPr>
          <w:bCs/>
          <w:b/>
        </w:rPr>
        <w:t xml:space="preserve">K</w:t>
      </w:r>
      <w:r>
        <w:t xml:space="preserve"> </w:t>
      </w:r>
      <w:r>
        <w:t xml:space="preserve">KPIs (see individual section headers — every section, Sections 1–41)</w:t>
      </w:r>
    </w:p>
    <w:p>
      <w:pPr>
        <w:pStyle w:val="BodyText"/>
      </w:pPr>
      <w:r>
        <w:rPr>
          <w:bCs/>
          <w:b/>
        </w:rPr>
        <w:t xml:space="preserve">L</w:t>
      </w:r>
      <w:r>
        <w:t xml:space="preserve"> </w:t>
      </w:r>
      <w:r>
        <w:t xml:space="preserve">Library Strategy, Section 24 · Liquidity Reserve, Sections 5, 30, 38–39 · LMS Ecosystem, Section 21</w:t>
      </w:r>
    </w:p>
    <w:p>
      <w:pPr>
        <w:pStyle w:val="BodyText"/>
      </w:pPr>
      <w:r>
        <w:rPr>
          <w:bCs/>
          <w:b/>
        </w:rPr>
        <w:t xml:space="preserve">M</w:t>
      </w:r>
      <w:r>
        <w:t xml:space="preserve"> </w:t>
      </w:r>
      <w:r>
        <w:t xml:space="preserve">Marketing Strategy, Section 28 · Master Plan cross-reference, Appendix A · Mission, Values, and Identity, Section 2</w:t>
      </w:r>
    </w:p>
    <w:p>
      <w:pPr>
        <w:pStyle w:val="BodyText"/>
      </w:pPr>
      <w:r>
        <w:rPr>
          <w:bCs/>
          <w:b/>
        </w:rPr>
        <w:t xml:space="preserve">N</w:t>
      </w:r>
      <w:r>
        <w:t xml:space="preserve"> </w:t>
      </w:r>
      <w:r>
        <w:t xml:space="preserve">Nigeria Mega-University Initiative, Sections 18–19, 25, 31, 39 · Nigeria NUC charter, Sections 19, 31</w:t>
      </w:r>
    </w:p>
    <w:p>
      <w:pPr>
        <w:pStyle w:val="BodyText"/>
      </w:pPr>
      <w:r>
        <w:rPr>
          <w:bCs/>
          <w:b/>
        </w:rPr>
        <w:t xml:space="preserve">O</w:t>
      </w:r>
      <w:r>
        <w:t xml:space="preserve"> </w:t>
      </w:r>
      <w:r>
        <w:t xml:space="preserve">Organizational Chart, Section 6</w:t>
      </w:r>
    </w:p>
    <w:p>
      <w:pPr>
        <w:pStyle w:val="BodyText"/>
      </w:pPr>
      <w:r>
        <w:rPr>
          <w:bCs/>
          <w:b/>
        </w:rPr>
        <w:t xml:space="preserve">P</w:t>
      </w:r>
      <w:r>
        <w:t xml:space="preserve"> </w:t>
      </w:r>
      <w:r>
        <w:t xml:space="preserve">Payroll allocation (sub-splits), Sections 5, 9, 15 · Post-Doctoral Research Fellowship (Tier VII), Sections 7, 16 · Programme Portfolio, Section 11 · Publishing Strategy, Section 17</w:t>
      </w:r>
    </w:p>
    <w:p>
      <w:pPr>
        <w:pStyle w:val="BodyText"/>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register (Years 11+ additions), Section 36 · Risk Phase Classification (Years 1–10, RAG), Section 41</w:t>
      </w:r>
    </w:p>
    <w:p>
      <w:pPr>
        <w:pStyle w:val="BodyText"/>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pPr>
      <w:r>
        <w:rPr>
          <w:bCs/>
          <w:b/>
        </w:rPr>
        <w:t xml:space="preserve">T</w:t>
      </w:r>
      <w:r>
        <w:t xml:space="preserve"> </w:t>
      </w:r>
      <w:r>
        <w:t xml:space="preserve">Tables, List of · Tier system (tuition), Sections 14, 28; Glossary · Twenty-Year Strategic Roadmap, Section 40; Figure 10</w:t>
      </w:r>
    </w:p>
    <w:p>
      <w:pPr>
        <w:pStyle w:val="BodyText"/>
      </w:pPr>
      <w:r>
        <w:rPr>
          <w:bCs/>
          <w:b/>
        </w:rPr>
        <w:t xml:space="preserve">W</w:t>
      </w:r>
      <w:r>
        <w:t xml:space="preserve"> </w:t>
      </w:r>
      <w:r>
        <w:t xml:space="preserve">Waqf &amp; Stakeholder Reserve, Sections 2, 25–26, 31, 38–39; Figure 7 · Waqf Development Strategy, Section 25 · Waqf Scholarship Block, Sections 25–26</w:t>
      </w:r>
    </w:p>
    <w:p>
      <w:r>
        <w:pict>
          <v:rect style="width:0;height:1.5pt" o:hralign="center" o:hrstd="t" o:hr="t"/>
        </w:pict>
      </w:r>
    </w:p>
    <w:p>
      <w:r>
        <w:br w:type="page"/>
      </w:r>
    </w:p>
    <w:bookmarkEnd w:id="119"/>
    <w:bookmarkStart w:id="120" w:name="closing-statement"/>
    <w:p>
      <w:pPr>
        <w:pStyle w:val="Heading1"/>
      </w:pPr>
      <w:r>
        <w:t xml:space="preserve">Closing Statement</w:t>
      </w:r>
    </w:p>
    <w:p>
      <w:pPr>
        <w:pStyle w:val="FirstParagrap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explicitly-labelled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pPr>
      <w:r>
        <w:t xml:space="preserve">Presented for review by the Board of Trustees, the University Senate, and the Supreme Strategic Planning Council in accordance with the constitutional provisions of the AMIU Constitution.</w:t>
      </w:r>
    </w:p>
    <w:p>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pPr>
            <w:r>
              <w:rPr>
                <w:rFonts w:ascii="Cinzel" w:hAnsi="Cinzel"/>
                <w:b/>
                <w:color w:val="B08625"/>
                <w:sz w:val="20"/>
                <w:caps/>
                <w:spacing w:val="14"/>
              </w:rPr>
              <w:t>AL-MULK INTERNATIONAL UNIVERSITY</w:t>
            </w:r>
          </w:p>
          <w:p>
            <w:pPr>
              <w:jc w:val="center"/>
              <w:spacing w:before="0" w:after="500"/>
            </w:pPr>
            <w:r>
              <w:rPr>
                <w:rFonts w:ascii="Cormorant Garamond" w:hAnsi="Cormorant Garamond"/>
                <w:i/>
                <w:color w:val="DCE3F0"/>
                <w:sz w:val="22"/>
              </w:rPr>
              <w:t>“Spreading Islamic Education Worldwide, at Every Pace”</w:t>
            </w:r>
          </w:p>
          <w:p>
            <w:pPr>
              <w:jc w:val="center"/>
              <w:spacing w:before="0" w:after="80"/>
            </w:pPr>
            <w:r>
              <w:rPr>
                <w:rFonts w:ascii="Liberation Sans" w:hAnsi="Liberation Sans"/>
                <w:color w:val="B08625"/>
                <w:sz w:val="18"/>
              </w:rPr>
              <w:t>Strategic Implementation Blueprint · 2028–2050 · AMIU-SB-002</w:t>
            </w:r>
          </w:p>
          <w:p>
            <w:pPr>
              <w:jc w:val="center"/>
              <w:spacing w:before="0" w:after="0"/>
            </w:pPr>
            <w:r>
              <w:rPr>
                <w:rFonts w:ascii="Liberation Sans" w:hAnsi="Liberation Sans"/>
                <w:color w:val="8C97AB"/>
                <w:sz w:val="16"/>
              </w:rPr>
              <w:t>edu.amiu.com  ·  info@edu.amiu.com  ·  Texas-Domiciled, Religiously Exempt  ·  Incorporated 6 December 2027</w:t>
            </w:r>
          </w:p>
          <w:p>
            <w:pPr>
              <w:jc w:val="center"/>
              <w:spacing w:before="240" w:after="0"/>
            </w:pPr>
            <w:r>
              <w:rPr>
                <w:rFonts w:ascii="Liberation Sans" w:hAnsi="Liberation Sans"/>
                <w:i/>
                <w:color w:val="8C97AB"/>
                <w:sz w:val="15"/>
              </w:rPr>
              <w:t>This document is a strategic planning model prepared for Board, Senate, and accreditation-body decision-making.</w:t>
            </w:r>
          </w:p>
          <w:p>
            <w:pPr>
              <w:jc w:val="center"/>
              <w:spacing w:before="0" w:after="0"/>
            </w:pPr>
            <w:r>
              <w:rPr>
                <w:rFonts w:ascii="Liberation Sans" w:hAnsi="Liberation Sans"/>
                <w:i/>
                <w:color w:val="8C97AB"/>
                <w:sz w:val="15"/>
              </w:rPr>
              <w:t>It does not constitute a certified financial audit or an offer of investment.</w:t>
            </w:r>
          </w:p>
        </w:tc>
      </w:tr>
    </w:tbl>
    <w:bookmarkEnd w:id="120"/>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
      <w:rPr>
        <w:rFonts w:ascii="Liberation Sans" w:hAnsi="Liberation Sans"/>
        <w:color w:val="5B6372"/>
        <w:sz w:val="16"/>
      </w:rPr>
      <w:t xml:space="preserve">AMIU-SB-002  ·  </w:t>
    </w:r>
    <w:r>
      <w:rPr>
        <w:rFonts w:ascii="Liberation Sans" w:hAnsi="Liberation Sans"/>
        <w:b/>
        <w:color w:val="122A4E"/>
        <w:sz w:val="17"/>
      </w:rPr>
      <w:fldChar w:fldCharType="begin"/>
      <w:instrText xml:space="preserve">PAGE</w:instrText>
      <w:fldChar w:fldCharType="end"/>
    </w:r>
    <w:r>
      <w:rPr>
        <w:rFonts w:ascii="Liberation Sans" w:hAnsi="Liberation Sans"/>
        <w:color w:val="5B6372"/>
        <w:sz w:val="16"/>
      </w:rPr>
      <w:t xml:space="preserve">  of  </w:t>
    </w:r>
    <w:r>
      <w:rPr>
        <w:rFonts w:ascii="Liberation Sans" w:hAnsi="Liberation Sans"/>
        <w:b/>
        <w:color w:val="122A4E"/>
        <w:sz w:val="17"/>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4" w:space="4" w:color="D8DCE5"/>
      </w:pBdr>
    </w:pPr>
    <w:r/>
    <w:r>
      <w:rPr>
        <w:rFonts w:ascii="Cinzel" w:hAnsi="Cinzel"/>
        <w:b w:val="0"/>
        <w:caps/>
        <w:smallCaps/>
        <w:color w:val="122A4E"/>
        <w:sz w:val="17"/>
        <w:spacing w:val="14"/>
      </w:rPr>
      <w:t>Al-Mulk International University</w:t>
    </w:r>
    <w:r>
      <w:tab/>
    </w:r>
    <w:r>
      <w:rPr>
        <w:rFonts w:ascii="Cormorant Garamond" w:hAnsi="Cormorant Garamond"/>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160" w:before="0" w:line="283" w:lineRule="auto"/>
    </w:pPr>
    <w:rPr>
      <w:rFonts w:ascii="Bitstream Charter" w:cs="Bitstream Charter" w:eastAsia="Bitstream Charter" w:hAnsi="Bitstream Charter"/>
      <w:b w:val="0"/>
      <w:i w:val="0"/>
      <w:caps w:val="0"/>
      <w:smallCaps w:val="0"/>
      <w:color w:val="1A1F2B"/>
      <w:sz w:val="21"/>
    </w:rPr>
  </w:style>
  <w:style w:styleId="BodyText" w:type="paragraph">
    <w:name w:val="Body Text"/>
    <w:basedOn w:val="Normal"/>
    <w:link w:val="BodyTextChar"/>
    <w:pPr>
      <w:keepNext w:val="0"/>
      <w:spacing w:after="120" w:before="0" w:line="283" w:lineRule="auto"/>
    </w:pPr>
    <w:qFormat/>
    <w:rPr>
      <w:rFonts w:ascii="Bitstream Charter" w:cs="Bitstream Charter" w:eastAsia="Bitstream Charter" w:hAnsi="Bitstream Charter"/>
      <w:b w:val="0"/>
      <w:i w:val="0"/>
      <w:caps w:val="0"/>
      <w:smallCaps w:val="0"/>
      <w:color w:val="1A1F2B"/>
      <w:sz w:val="21"/>
    </w:rPr>
  </w:style>
  <w:style w:customStyle="1" w:styleId="FirstParagraph" w:type="paragraph">
    <w:name w:val="First Paragraph"/>
    <w:basedOn w:val="BodyText"/>
    <w:next w:val="BodyText"/>
    <w:qFormat/>
    <w:pPr>
      <w:keepNext w:val="0"/>
      <w:spacing w:after="120" w:before="0" w:line="283" w:lineRule="auto"/>
    </w:pPr>
    <w:rPr>
      <w:rFonts w:ascii="Bitstream Charter" w:cs="Bitstream Charter" w:eastAsia="Bitstream Charter" w:hAnsi="Bitstream Charter"/>
      <w:b w:val="0"/>
      <w:i w:val="0"/>
      <w:caps w:val="0"/>
      <w:smallCaps w:val="0"/>
      <w:color w:val="1A1F2B"/>
      <w:sz w:val="21"/>
    </w:rPr>
  </w:style>
  <w:style w:customStyle="1" w:styleId="Compact" w:type="paragraph">
    <w:name w:val="Compact"/>
    <w:basedOn w:val="BodyText"/>
    <w:qFormat/>
    <w:pPr>
      <w:keepNext w:val="0"/>
      <w:spacing w:after="120" w:before="0" w:line="283" w:lineRule="auto"/>
    </w:pPr>
    <w:rPr>
      <w:rFonts w:ascii="Bitstream Charter" w:cs="Bitstream Charter" w:eastAsia="Bitstream Charter" w:hAnsi="Bitstream Charter"/>
      <w:b w:val="0"/>
      <w:i w:val="0"/>
      <w:caps w:val="0"/>
      <w:smallCaps w:val="0"/>
      <w:color w:val="1A1F2B"/>
      <w:sz w:val="21"/>
    </w:rPr>
  </w:style>
  <w:style w:styleId="Title" w:type="paragraph">
    <w:name w:val="Title"/>
    <w:basedOn w:val="Normal"/>
    <w:next w:val="BodyText"/>
    <w:qFormat/>
    <w:pPr>
      <w:keepNext w:val="0"/>
      <w:keepLines/>
      <w:spacing w:after="120" w:before="0" w:line="252" w:lineRule="auto"/>
      <w:jc w:val="left"/>
    </w:pPr>
    <w:rPr>
      <w:rFonts w:ascii="Cormorant Garamond" w:cs="Cormorant Garamond" w:eastAsia="Cormorant Garamond" w:hAnsi="Cormorant Garamond"/>
      <w:b/>
      <w:bCs/>
      <w:i w:val="0"/>
      <w:caps w:val="0"/>
      <w:smallCaps w:val="0"/>
      <w:color w:val="122A4E"/>
      <w:sz w:val="68"/>
      <w:szCs w:val="36"/>
      <w:spacing w:val="6"/>
    </w:rPr>
  </w:style>
  <w:style w:styleId="Subtitle" w:type="paragraph">
    <w:name w:val="Subtitle"/>
    <w:basedOn w:val="Title"/>
    <w:next w:val="BodyText"/>
    <w:qFormat/>
    <w:pPr>
      <w:keepNext w:val="0"/>
      <w:keepLines/>
      <w:spacing w:after="400" w:before="0" w:line="276" w:lineRule="auto"/>
      <w:jc w:val="center"/>
    </w:pPr>
    <w:rPr>
      <w:rFonts w:ascii="Cormorant Garamond" w:cs="Cormorant Garamond" w:eastAsia="Cormorant Garamond" w:hAnsi="Cormorant Garamond"/>
      <w:b w:val="0"/>
      <w:i/>
      <w:caps w:val="0"/>
      <w:smallCaps w:val="0"/>
      <w:color w:val="B08625"/>
      <w:sz w:val="3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pBdr>
        <w:bottom w:color="B08625" w:space="4" w:sz="18" w:val="single"/>
      </w:pBdr>
    </w:pPr>
    <w:rPr>
      <w:rFonts w:ascii="Cormorant Garamond" w:cs="Cormorant Garamond" w:eastAsia="Cormorant Garamond" w:hAnsi="Cormorant Garamond"/>
      <w:b/>
      <w:bCs/>
      <w:i w:val="0"/>
      <w:caps w:val="0"/>
      <w:smallCaps w:val="0"/>
      <w:color w:val="122A4E"/>
      <w:sz w:val="64"/>
      <w:szCs w:val="32"/>
      <w:spacing w:val="4"/>
    </w:rPr>
  </w:style>
  <w:style w:styleId="Heading2" w:type="paragraph">
    <w:name w:val="Heading 2"/>
    <w:basedOn w:val="Normal"/>
    <w:next w:val="BodyText"/>
    <w:uiPriority w:val="9"/>
    <w:unhideWhenUsed/>
    <w:qFormat/>
    <w:pPr>
      <w:keepNext/>
      <w:keepLines/>
      <w:spacing w:after="160" w:before="40" w:line="259" w:lineRule="auto"/>
      <w:outlineLvl w:val="1"/>
      <w:pBdr>
        <w:bottom w:color="D8DCE5" w:space="4" w:sz="6" w:val="single"/>
      </w:pBdr>
    </w:pPr>
    <w:rPr>
      <w:rFonts w:ascii="Cormorant Garamond SemiBold" w:cs="Cormorant Garamond SemiBold" w:eastAsia="Cormorant Garamond SemiBold" w:hAnsi="Cormorant Garamond SemiBold"/>
      <w:b/>
      <w:bCs/>
      <w:i w:val="0"/>
      <w:caps w:val="0"/>
      <w:smallCaps w:val="0"/>
      <w:color w:val="122A4E"/>
      <w:sz w:val="3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Liberation Sans" w:cs="Liberation Sans" w:eastAsia="Liberation Sans" w:hAnsi="Liberation Sans"/>
      <w:b/>
      <w:bCs/>
      <w:i w:val="0"/>
      <w:caps w:val="0"/>
      <w:smallCaps w:val="0"/>
      <w:color w:val="B08625"/>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Liberation Sans" w:cs="Liberation Sans" w:eastAsia="Liberation Sans" w:hAnsi="Liberation Sans"/>
      <w:i/>
      <w:b/>
      <w:bCs/>
      <w:caps w:val="0"/>
      <w:smallCaps w:val="0"/>
      <w:color w:val="122A4E"/>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Cormorant Garamond" w:cs="Cormorant Garamond" w:eastAsia="Cormorant Garamond" w:hAnsi="Cormorant Garamond"/>
      <w:b w:val="0"/>
      <w:i/>
      <w:caps w:val="0"/>
      <w:smallCaps w:val="0"/>
      <w:color w:val="122A4E"/>
      <w:sz w:val="3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pPr>
    <w:rPr>
      <w:rFonts w:ascii="Liberation Sans" w:cs="Liberation Sans" w:eastAsia="Liberation Sans" w:hAnsi="Liberation Sans"/>
      <w:b/>
      <w:i w:val="0"/>
      <w:caps w:val="0"/>
      <w:smallCaps/>
      <w:color w:val="B08625"/>
      <w:sz w:val="20"/>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pPr>
    <w:rPr>
      <w:rFonts w:ascii="Cormorant Garamond" w:cs="Cormorant Garamond" w:eastAsia="Cormorant Garamond" w:hAnsi="Cormorant Garamond"/>
      <w:b/>
      <w:bCs w:val="0"/>
      <w:i w:val="0"/>
      <w:caps w:val="0"/>
      <w:smallCaps w:val="0"/>
      <w:color w:val="122A4E"/>
      <w:sz w:val="52"/>
      <w:spacing w:val="3"/>
    </w:rPr>
  </w:style>
  <w:style w:customStyle="1" w:styleId="SectionKicker" w:type="paragraph">
    <w:name w:val="SectionKicker"/>
    <w:basedOn w:val="Normal"/>
    <w:pPr>
      <w:keepNext/>
      <w:spacing w:after="40" w:before="440" w:line="264" w:lineRule="auto"/>
    </w:pPr>
    <w:rPr>
      <w:rFonts w:ascii="Cinzel" w:cs="Cinzel" w:eastAsia="Cinzel" w:hAnsi="Cinzel"/>
      <w:b/>
      <w:i w:val="0"/>
      <w:caps/>
      <w:smallCaps w:val="0"/>
      <w:color w:val="B08625"/>
      <w:sz w:val="19"/>
      <w:spacing w:val="22"/>
    </w:rPr>
  </w:style>
  <w:style w:customStyle="1" w:styleId="PartKicker" w:type="paragraph">
    <w:name w:val="PartKicker"/>
    <w:basedOn w:val="Normal"/>
    <w:pPr>
      <w:keepNext w:val="0"/>
      <w:spacing w:after="40" w:before="0" w:line="264" w:lineRule="auto"/>
    </w:pPr>
    <w:rPr>
      <w:rFonts w:ascii="Cinzel" w:cs="Cinzel" w:eastAsia="Cinzel" w:hAnsi="Cinzel"/>
      <w:b/>
      <w:i w:val="0"/>
      <w:caps/>
      <w:smallCaps w:val="0"/>
      <w:color w:val="B08625"/>
      <w:sz w:val="22"/>
      <w:spacing w:val="30"/>
    </w:rPr>
  </w:style>
  <w:style w:customStyle="1" w:styleId="PartThesis" w:type="paragraph">
    <w:name w:val="PartThesis"/>
    <w:basedOn w:val="Normal"/>
    <w:pPr>
      <w:keepNext w:val="0"/>
      <w:spacing w:after="360" w:before="80" w:line="324" w:lineRule="auto"/>
    </w:pPr>
    <w:rPr>
      <w:rFonts w:ascii="Cormorant Garamond" w:cs="Cormorant Garamond" w:eastAsia="Cormorant Garamond" w:hAnsi="Cormorant Garamond"/>
      <w:b w:val="0"/>
      <w:i/>
      <w:caps w:val="0"/>
      <w:smallCaps w:val="0"/>
      <w:color w:val="122A4E"/>
      <w:sz w:val="33"/>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99" Type="http://schemas.openxmlformats.org/officeDocument/2006/relationships/image" Target="media/rId99.png"/><Relationship Id="rId41" Type="http://schemas.openxmlformats.org/officeDocument/2006/relationships/image" Target="media/rId41.png"/><Relationship Id="rId44" Type="http://schemas.openxmlformats.org/officeDocument/2006/relationships/image" Target="media/rId44.png"/><Relationship Id="rId107" Type="http://schemas.openxmlformats.org/officeDocument/2006/relationships/image" Target="media/rId107.png"/><Relationship Id="rId83" Type="http://schemas.openxmlformats.org/officeDocument/2006/relationships/image" Target="media/rId83.png"/><Relationship Id="rId52" Type="http://schemas.openxmlformats.org/officeDocument/2006/relationships/image" Target="media/rId52.png"/><Relationship Id="rId56" Type="http://schemas.openxmlformats.org/officeDocument/2006/relationships/image" Target="media/rId56.png"/><Relationship Id="rId103" Type="http://schemas.openxmlformats.org/officeDocument/2006/relationships/image" Target="media/rId103.png"/><Relationship Id="rId65" Type="http://schemas.openxmlformats.org/officeDocument/2006/relationships/image" Target="media/rId65.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2026-07-25T08:13:17Z</dcterms:created>
  <dcterms:modified xsi:type="dcterms:W3CDTF">2026-07-25T08:13:17Z</dcterms:modified>
</cp:coreProperties>
</file>

<file path=docProps/custom.xml><?xml version="1.0" encoding="utf-8"?>
<Properties xmlns="http://schemas.openxmlformats.org/officeDocument/2006/custom-properties" xmlns:vt="http://schemas.openxmlformats.org/officeDocument/2006/docPropsVTypes"/>
</file>