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 Institutional Governance Compendium (AMIU-IGC-004); Academic Handbook (AMIU-ACAH-001); Student Policies Handbook (AMIU-STUH-001); Operations Handbook (AMIU-OPSH-001); Legal &amp; Compliance Handbook (AMIU-LEGH-001); Marketing &amp; Communications Handbook (AMIU-MKTH-001); Waqf &amp; Research Handbook (AMIU-WAQH-001)</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Article 1 — Definitions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p>
      <w:pPr>
        <w:pStyle w:val="Heading2"/>
        <w:spacing w:before="0" w:after="0"/>
        <w:pBdr>
          <w:bottom w:val="none" w:sz="0" w:space="0" w:color="auto"/>
        </w:pBdr>
        <w:rPr>
          <w:vanish/>
          <w:sz w:val="2"/>
        </w:rPr>
      </w:pPr>
      <w:r>
        <w:rPr>
          <w:vanish/>
          <w:sz w:val="2"/>
        </w:rPr>
        <w:t>Article 2 — Legal Identity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p>
      <w:pPr>
        <w:pStyle w:val="Heading2"/>
        <w:spacing w:before="0" w:after="0"/>
        <w:pBdr>
          <w:bottom w:val="none" w:sz="0" w:space="0" w:color="auto"/>
        </w:pBdr>
        <w:rPr>
          <w:vanish/>
          <w:sz w:val="2"/>
        </w:rPr>
      </w:pPr>
      <w:r>
        <w:rPr>
          <w:vanish/>
          <w:sz w:val="2"/>
        </w:rPr>
        <w:t>Article 3 — Mission, Vision and Values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w:t>
            </w:r>
          </w:p>
        </w:tc>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w:t>
            </w:r>
          </w:p>
        </w:tc>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p>
      <w:pPr>
        <w:pStyle w:val="Heading2"/>
        <w:spacing w:before="0" w:after="0"/>
        <w:pBdr>
          <w:bottom w:val="none" w:sz="0" w:space="0" w:color="auto"/>
        </w:pBdr>
        <w:rPr>
          <w:vanish/>
          <w:sz w:val="2"/>
        </w:rPr>
      </w:pPr>
      <w:r>
        <w:rPr>
          <w:vanish/>
          <w:sz w:val="2"/>
        </w:rPr>
        <w:t>Article 4 — Interpretation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p>
      <w:pPr>
        <w:pStyle w:val="Heading2"/>
        <w:spacing w:before="0" w:after="0"/>
        <w:pBdr>
          <w:bottom w:val="none" w:sz="0" w:space="0" w:color="auto"/>
        </w:pBdr>
        <w:rPr>
          <w:vanish/>
          <w:sz w:val="2"/>
        </w:rPr>
      </w:pPr>
      <w:r>
        <w:rPr>
          <w:vanish/>
          <w:sz w:val="2"/>
        </w:rPr>
        <w:t>Article 5 — Governance Structure</w:t>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F7F3E8"/>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p>
      <w:pPr>
        <w:pStyle w:val="Heading2"/>
        <w:spacing w:before="0" w:after="0"/>
        <w:pBdr>
          <w:bottom w:val="none" w:sz="0" w:space="0" w:color="auto"/>
        </w:pBdr>
        <w:rPr>
          <w:vanish/>
          <w:sz w:val="2"/>
        </w:rPr>
      </w:pPr>
      <w:r>
        <w:rPr>
          <w:vanish/>
          <w:sz w:val="2"/>
        </w:rPr>
        <w:t>Article 6 — Board of Trustees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p>
      <w:pPr>
        <w:pStyle w:val="Heading2"/>
        <w:spacing w:before="0" w:after="0"/>
        <w:pBdr>
          <w:bottom w:val="none" w:sz="0" w:space="0" w:color="auto"/>
        </w:pBdr>
        <w:rPr>
          <w:vanish/>
          <w:sz w:val="2"/>
        </w:rPr>
      </w:pPr>
      <w:r>
        <w:rPr>
          <w:vanish/>
          <w:sz w:val="2"/>
        </w:rPr>
        <w:t>Article 7 — President &amp; Vice-Chancellor</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p>
      <w:pPr>
        <w:pStyle w:val="Heading2"/>
        <w:spacing w:before="0" w:after="0"/>
        <w:pBdr>
          <w:bottom w:val="none" w:sz="0" w:space="0" w:color="auto"/>
        </w:pBdr>
        <w:rPr>
          <w:vanish/>
          <w:sz w:val="2"/>
        </w:rPr>
      </w:pPr>
      <w:r>
        <w:rPr>
          <w:vanish/>
          <w:sz w:val="2"/>
        </w:rPr>
        <w:t>Article 8 — University Senate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p>
      <w:pPr>
        <w:pStyle w:val="Heading2"/>
        <w:spacing w:before="0" w:after="0"/>
        <w:pBdr>
          <w:bottom w:val="none" w:sz="0" w:space="0" w:color="auto"/>
        </w:pBdr>
        <w:rPr>
          <w:vanish/>
          <w:sz w:val="2"/>
        </w:rPr>
      </w:pPr>
      <w:r>
        <w:rPr>
          <w:vanish/>
          <w:sz w:val="2"/>
        </w:rPr>
        <w:t>Article 9 — Administration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p>
      <w:pPr>
        <w:pStyle w:val="Heading2"/>
        <w:spacing w:before="0" w:after="0"/>
        <w:pBdr>
          <w:bottom w:val="none" w:sz="0" w:space="0" w:color="auto"/>
        </w:pBdr>
        <w:rPr>
          <w:vanish/>
          <w:sz w:val="2"/>
        </w:rPr>
      </w:pPr>
      <w:r>
        <w:rPr>
          <w:vanish/>
          <w:sz w:val="2"/>
        </w:rPr>
        <w:t>Article 10 — Academic Program</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p>
      <w:pPr>
        <w:pStyle w:val="Heading2"/>
        <w:spacing w:before="0" w:after="0"/>
        <w:pBdr>
          <w:bottom w:val="none" w:sz="0" w:space="0" w:color="auto"/>
        </w:pBdr>
        <w:rPr>
          <w:vanish/>
          <w:sz w:val="2"/>
        </w:rPr>
      </w:pPr>
      <w:r>
        <w:rPr>
          <w:vanish/>
          <w:sz w:val="2"/>
        </w:rPr>
        <w:t>Article 11 — Waqf and Endowment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p>
      <w:pPr>
        <w:pStyle w:val="Heading2"/>
        <w:spacing w:before="0" w:after="0"/>
        <w:pBdr>
          <w:bottom w:val="none" w:sz="0" w:space="0" w:color="auto"/>
        </w:pBdr>
        <w:rPr>
          <w:vanish/>
          <w:sz w:val="2"/>
        </w:rPr>
      </w:pPr>
      <w:r>
        <w:rPr>
          <w:vanish/>
          <w:sz w:val="2"/>
        </w:rPr>
        <w:t>Article 12 — Students’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p>
      <w:pPr>
        <w:pStyle w:val="Heading2"/>
        <w:spacing w:before="0" w:after="0"/>
        <w:pBdr>
          <w:bottom w:val="none" w:sz="0" w:space="0" w:color="auto"/>
        </w:pBdr>
        <w:rPr>
          <w:vanish/>
          <w:sz w:val="2"/>
        </w:rPr>
      </w:pPr>
      <w:r>
        <w:rPr>
          <w:vanish/>
          <w:sz w:val="2"/>
        </w:rPr>
        <w:t>Article 13 — Faculty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p>
      <w:pPr>
        <w:pStyle w:val="Heading2"/>
        <w:spacing w:before="0" w:after="0"/>
        <w:pBdr>
          <w:bottom w:val="none" w:sz="0" w:space="0" w:color="auto"/>
        </w:pBdr>
        <w:rPr>
          <w:vanish/>
          <w:sz w:val="2"/>
        </w:rPr>
      </w:pPr>
      <w:r>
        <w:rPr>
          <w:vanish/>
          <w:sz w:val="2"/>
        </w:rPr>
        <w:t>Article 14 — Financial Sustainability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p>
      <w:pPr>
        <w:pStyle w:val="Heading2"/>
        <w:spacing w:before="0" w:after="0"/>
        <w:pBdr>
          <w:bottom w:val="none" w:sz="0" w:space="0" w:color="auto"/>
        </w:pBdr>
        <w:rPr>
          <w:vanish/>
          <w:sz w:val="2"/>
        </w:rPr>
      </w:pPr>
      <w:r>
        <w:rPr>
          <w:vanish/>
          <w:sz w:val="2"/>
        </w:rPr>
        <w:t>Article 15 — Transparency and Accountability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p>
      <w:pPr>
        <w:pStyle w:val="Heading2"/>
        <w:spacing w:before="0" w:after="0"/>
        <w:pBdr>
          <w:bottom w:val="none" w:sz="0" w:space="0" w:color="auto"/>
        </w:pBdr>
        <w:rPr>
          <w:vanish/>
          <w:sz w:val="2"/>
        </w:rPr>
      </w:pPr>
      <w:r>
        <w:rPr>
          <w:vanish/>
          <w:sz w:val="2"/>
        </w:rPr>
        <w:t>Article 16 — Independent Officers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p>
      <w:pPr>
        <w:pStyle w:val="Heading2"/>
        <w:spacing w:before="0" w:after="0"/>
        <w:pBdr>
          <w:bottom w:val="none" w:sz="0" w:space="0" w:color="auto"/>
        </w:pBdr>
        <w:rPr>
          <w:vanish/>
          <w:sz w:val="2"/>
        </w:rPr>
      </w:pPr>
      <w:r>
        <w:rPr>
          <w:vanish/>
          <w:sz w:val="2"/>
        </w:rPr>
        <w:t>Article 17 — Records and Archives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p>
      <w:pPr>
        <w:pStyle w:val="Heading2"/>
        <w:spacing w:before="0" w:after="0"/>
        <w:pBdr>
          <w:bottom w:val="none" w:sz="0" w:space="0" w:color="auto"/>
        </w:pBdr>
        <w:rPr>
          <w:vanish/>
          <w:sz w:val="2"/>
        </w:rPr>
      </w:pPr>
      <w:r>
        <w:rPr>
          <w:vanish/>
          <w:sz w:val="2"/>
        </w:rPr>
        <w:t>Article 18 — Amendment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p>
      <w:pPr>
        <w:pStyle w:val="Heading2"/>
        <w:spacing w:before="0" w:after="0"/>
        <w:pBdr>
          <w:bottom w:val="none" w:sz="0" w:space="0" w:color="auto"/>
        </w:pBdr>
        <w:rPr>
          <w:vanish/>
          <w:sz w:val="2"/>
        </w:rPr>
      </w:pPr>
      <w:r>
        <w:rPr>
          <w:vanish/>
          <w:sz w:val="2"/>
        </w:rPr>
        <w:t>Article 19 — Transitional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p>
      <w:pPr>
        <w:pStyle w:val="Heading2"/>
        <w:spacing w:before="0" w:after="0"/>
        <w:pBdr>
          <w:bottom w:val="none" w:sz="0" w:space="0" w:color="auto"/>
        </w:pBdr>
        <w:rPr>
          <w:vanish/>
          <w:sz w:val="2"/>
        </w:rPr>
      </w:pPr>
      <w:r>
        <w:rPr>
          <w:vanish/>
          <w:sz w:val="2"/>
        </w:rPr>
        <w:t>Article 20 — Dissolution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p>
      <w:pPr>
        <w:pStyle w:val="Heading2"/>
        <w:spacing w:before="0" w:after="0"/>
        <w:pBdr>
          <w:bottom w:val="none" w:sz="0" w:space="0" w:color="auto"/>
        </w:pBdr>
        <w:rPr>
          <w:vanish/>
          <w:sz w:val="2"/>
        </w:rPr>
      </w:pPr>
      <w:r>
        <w:rPr>
          <w:vanish/>
          <w:sz w:val="2"/>
        </w:rPr>
        <w:t>Article 21 — Non-Political and Non-Profit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p>
      <w:pPr>
        <w:pStyle w:val="Heading2"/>
        <w:spacing w:before="0" w:after="0"/>
        <w:pBdr>
          <w:bottom w:val="none" w:sz="0" w:space="0" w:color="auto"/>
        </w:pBdr>
        <w:rPr>
          <w:vanish/>
          <w:sz w:val="2"/>
        </w:rPr>
      </w:pPr>
      <w:r>
        <w:rPr>
          <w:vanish/>
          <w:sz w:val="2"/>
        </w:rPr>
        <w:t>Article 22 — Indemnification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p>
      <w:pPr>
        <w:pStyle w:val="Heading2"/>
        <w:spacing w:before="0" w:after="0"/>
        <w:pBdr>
          <w:bottom w:val="none" w:sz="0" w:space="0" w:color="auto"/>
        </w:pBdr>
        <w:rPr>
          <w:vanish/>
          <w:sz w:val="2"/>
        </w:rPr>
      </w:pPr>
      <w:r>
        <w:rPr>
          <w:vanish/>
          <w:sz w:val="2"/>
        </w:rPr>
        <w:t>Article 23 — Final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2026-07-28T23:08:31Z</dcterms:created>
  <dcterms:modified xsi:type="dcterms:W3CDTF">2026-07-28T23:08:31Z</dcterms:modified>
</cp:coreProperties>
</file>

<file path=docProps/custom.xml><?xml version="1.0" encoding="utf-8"?>
<Properties xmlns="http://schemas.openxmlformats.org/officeDocument/2006/custom-properties" xmlns:vt="http://schemas.openxmlformats.org/officeDocument/2006/docPropsVTypes"/>
</file>