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9"/>
                <w:spacing w:val="16"/>
              </w:rPr>
              <w:t>Supreme Strategic Planning Council · Founding-Decade Edition</w:t>
            </w:r>
          </w:p>
          <w:p>
            <w:pPr>
              <w:jc w:val="center"/>
              <w:spacing w:before="0" w:after="60"/>
              <w:suppressAutoHyphens/>
            </w:pPr>
            <w:r>
              <w:rPr>
                <w:rFonts w:ascii="Source Serif 4" w:hAnsi="Source Serif 4"/>
                <w:b/>
                <w:smallCaps/>
                <w:color w:val="B08625"/>
                <w:sz w:val="26"/>
                <w:spacing w:val="12"/>
              </w:rPr>
              <w:t>Al-Mulk International University</w:t>
            </w:r>
          </w:p>
          <w:p>
            <w:pPr>
              <w:jc w:val="center"/>
              <w:spacing w:before="0" w:after="80"/>
              <w:suppressAutoHyphens/>
            </w:pPr>
            <w:r>
              <w:rPr>
                <w:rFonts w:ascii="Source Serif 4" w:hAnsi="Source Serif 4"/>
                <w:i/>
                <w:smallCaps/>
                <w:color w:val="DCE3F0"/>
                <w:sz w:val="21"/>
                <w:spacing w:val="10"/>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Source Serif 4" w:hAnsi="Source Serif 4"/>
                <w:i/>
                <w:smallCaps/>
                <w:color w:val="8C97AB"/>
                <w:sz w:val="17"/>
              </w:rPr>
              <w:t xml:space="preserve">Document Reference  </w:t>
            </w:r>
            <w:r>
              <w:rPr>
                <w:rFonts w:ascii="Source Serif 4" w:hAnsi="Source Serif 4"/>
                <w:b/>
                <w:smallCaps/>
                <w:color w:val="B08625"/>
                <w:sz w:val="17"/>
              </w:rPr>
              <w:t>AMIU-SB-002</w:t>
            </w:r>
          </w:p>
          <w:p>
            <w:pPr>
              <w:jc w:val="center"/>
              <w:spacing w:before="0" w:after="0"/>
              <w:suppressAutoHyphens/>
            </w:pPr>
            <w:r>
              <w:rPr>
                <w:rFonts w:ascii="Source Serif 4" w:hAnsi="Source Serif 4"/>
                <w:i/>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Endorsing 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 in Endorsement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Signature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Chairman, 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institutional strategy and this Blueprint’s financial and governance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Approves this Blueprint as the University’s operative implementation instrument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 — Dr. Muhammad Al-Qumash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Endorses academic, curricular, and accreditation content</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Deputy Vice-Chancellor, Admin &amp; Finance — Dr. Abdullah Turki</w:t>
            </w:r>
          </w:p>
        </w:tc>
        <w:tc>
          <w:tcPr>
            <w:tcMar>
              <w:top w:w="100" w:type="dxa"/>
              <w:bottom w:w="100" w:type="dxa"/>
              <w:left w:w="150" w:type="dxa"/>
              <w:right w:w="150" w:type="dxa"/>
            </w:tcMar>
            <w:vAlign w:val="center"/>
          </w:tcPr>
          <w:p>
            <w:pPr>
              <w:pStyle w:val="Compact"/>
              <w:jc w:val="left"/>
              <w:suppressAutoHyphens/>
            </w:pPr>
            <w:r>
              <w:t xml:space="preserve">Endorses financial, staffing, and budgetary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 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Senate review of all academic-authority provisions</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Chair, Waqf &amp; Endowment Board</w:t>
            </w:r>
          </w:p>
        </w:tc>
        <w:tc>
          <w:tcPr>
            <w:tcMar>
              <w:top w:w="100" w:type="dxa"/>
              <w:bottom w:w="100" w:type="dxa"/>
              <w:left w:w="150" w:type="dxa"/>
              <w:right w:w="150" w:type="dxa"/>
            </w:tcMar>
            <w:vAlign w:val="center"/>
          </w:tcPr>
          <w:p>
            <w:pPr>
              <w:pStyle w:val="Compact"/>
              <w:jc w:val="left"/>
              <w:suppressAutoHyphens/>
            </w:pPr>
            <w:r>
              <w:t xml:space="preserve">Endorses all Waqf allocation, scholarship, and endowment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This Strategic Implementation Blueprint is certified by the AMIU Office of Institutional Planning as the authoritative and current statement of the University’s twenty-three-year strategic and financial architecture, effective as of the date shown on the Document Control page. It supersedes all prior drafts and non-final versions.</w:t>
      </w:r>
    </w:p>
    <w:p>
      <w:pPr>
        <w:pStyle w:val="BodyText"/>
        <w:jc w:val="both"/>
      </w:pPr>
      <w:r>
        <w:t xml:space="preserve">Every dollar figure, percentage, and enrollment number in this Blueprint traces to the canonical figures adopted in AMIU-MP-001. Figure and table numbering, Table of Contents entries, and Index cross-references are generated directly from the document’s own structure, so they cannot drift from the sections they describe. Typography, headers and footers, table styling, and page-level hierarchy are applied through a single shared style system across the entire document.</w:t>
      </w:r>
    </w:p>
    <w:p>
      <w:pPr>
        <w:pStyle w:val="BodyText"/>
        <w:jc w:val="both"/>
      </w:pPr>
      <w:r>
        <w:t xml:space="preserve">A reader who identifies an issue is asked to report it to info@edu.amiu.com for consideration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Source Serif 4" w:hAnsi="Source Serif 4"/>
                <w:i/>
                <w:smallCaps/>
                <w:color w:val="B08625"/>
                <w:b/>
                <w:sz w:val="18"/>
                <w:spacing w:val="10"/>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Foreword</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Founder’s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Chairman’s Message</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12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President’s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Executive Summary</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14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AMIU at a Glance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Figures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Diagrams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Flowcharts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Tables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30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Abbreviations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34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Glossary</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35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 — Governance &amp; Institutional Foundations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42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 Institutional Vision</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t xml:space="preserve">    Section 2: Mission, Values, and Identity</w:t>
            </w:r>
          </w:p>
        </w:tc>
        <w:tc>
          <w:tcPr>
            <w:tcMar>
              <w:top w:w="100" w:type="dxa"/>
              <w:bottom w:w="100" w:type="dxa"/>
              <w:left w:w="150" w:type="dxa"/>
              <w:right w:w="150" w:type="dxa"/>
            </w:tcMar>
            <w:vAlign w:val="center"/>
          </w:tcPr>
          <w:p>
            <w:pPr>
              <w:pStyle w:val="Compact"/>
              <w:jc w:val="right"/>
              <w:suppressAutoHyphens/>
            </w:pPr>
            <w:r>
              <w:t xml:space="preserve">49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 Governance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53</w:t>
            </w:r>
          </w:p>
        </w:tc>
      </w:tr>
      <w:tr>
        <w:trPr>
          <w:cantSplit/>
        </w:trPr>
        <w:tc>
          <w:tcPr>
            <w:tcMar>
              <w:top w:w="100" w:type="dxa"/>
              <w:bottom w:w="100" w:type="dxa"/>
              <w:left w:w="150" w:type="dxa"/>
              <w:right w:w="150" w:type="dxa"/>
            </w:tcMar>
            <w:vAlign w:val="center"/>
          </w:tcPr>
          <w:p>
            <w:pPr>
              <w:pStyle w:val="Compact"/>
              <w:jc w:val="left"/>
              <w:suppressAutoHyphens/>
            </w:pPr>
            <w:r>
              <w:t xml:space="preserve">    Section 4: Senate Structure</w:t>
            </w:r>
          </w:p>
        </w:tc>
        <w:tc>
          <w:tcPr>
            <w:tcMar>
              <w:top w:w="100" w:type="dxa"/>
              <w:bottom w:w="100" w:type="dxa"/>
              <w:left w:w="150" w:type="dxa"/>
              <w:right w:w="150" w:type="dxa"/>
            </w:tcMar>
            <w:vAlign w:val="center"/>
          </w:tcPr>
          <w:p>
            <w:pPr>
              <w:pStyle w:val="Compact"/>
              <w:jc w:val="right"/>
              <w:suppressAutoHyphens/>
            </w:pPr>
            <w:r>
              <w:t xml:space="preserve">57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5: Board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61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 — Organizational &amp; Academic Structure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6: Organizational Chart</w:t>
            </w:r>
          </w:p>
        </w:tc>
        <w:tc>
          <w:tcPr>
            <w:tcMar>
              <w:top w:w="100" w:type="dxa"/>
              <w:bottom w:w="100" w:type="dxa"/>
              <w:left w:w="150" w:type="dxa"/>
              <w:right w:w="150" w:type="dxa"/>
            </w:tcMar>
            <w:vAlign w:val="center"/>
            <w:shd w:val="clear" w:color="auto" w:fill="F7F3E8"/>
          </w:tcPr>
          <w:p>
            <w:pPr>
              <w:pStyle w:val="Compact"/>
              <w:jc w:val="right"/>
              <w:suppressAutoHyphens/>
            </w:pPr>
            <w:r>
              <w:t xml:space="preserve">67</w:t>
            </w:r>
          </w:p>
        </w:tc>
      </w:tr>
      <w:tr>
        <w:trPr>
          <w:cantSplit/>
        </w:trPr>
        <w:tc>
          <w:tcPr>
            <w:tcMar>
              <w:top w:w="100" w:type="dxa"/>
              <w:bottom w:w="100" w:type="dxa"/>
              <w:left w:w="150" w:type="dxa"/>
              <w:right w:w="150" w:type="dxa"/>
            </w:tcMar>
            <w:vAlign w:val="center"/>
          </w:tcPr>
          <w:p>
            <w:pPr>
              <w:pStyle w:val="Compact"/>
              <w:jc w:val="left"/>
              <w:suppressAutoHyphens/>
            </w:pPr>
            <w:r>
              <w:t xml:space="preserve">    Section 7: Academic Master Plan</w:t>
            </w:r>
          </w:p>
        </w:tc>
        <w:tc>
          <w:tcPr>
            <w:tcMar>
              <w:top w:w="100" w:type="dxa"/>
              <w:bottom w:w="100" w:type="dxa"/>
              <w:left w:w="150" w:type="dxa"/>
              <w:right w:w="150" w:type="dxa"/>
            </w:tcMar>
            <w:vAlign w:val="center"/>
          </w:tcPr>
          <w:p>
            <w:pPr>
              <w:pStyle w:val="Compact"/>
              <w:jc w:val="right"/>
              <w:suppressAutoHyphens/>
            </w:pPr>
            <w:r>
              <w:t xml:space="preserve">71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8: College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74</w:t>
            </w:r>
          </w:p>
        </w:tc>
      </w:tr>
      <w:tr>
        <w:trPr>
          <w:cantSplit/>
        </w:trPr>
        <w:tc>
          <w:tcPr>
            <w:tcMar>
              <w:top w:w="100" w:type="dxa"/>
              <w:bottom w:w="100" w:type="dxa"/>
              <w:left w:w="150" w:type="dxa"/>
              <w:right w:w="150" w:type="dxa"/>
            </w:tcMar>
            <w:vAlign w:val="center"/>
          </w:tcPr>
          <w:p>
            <w:pPr>
              <w:pStyle w:val="Compact"/>
              <w:jc w:val="left"/>
              <w:suppressAutoHyphens/>
            </w:pPr>
            <w:r>
              <w:t xml:space="preserve">    Section 9: Faculty Structure</w:t>
            </w:r>
          </w:p>
        </w:tc>
        <w:tc>
          <w:tcPr>
            <w:tcMar>
              <w:top w:w="100" w:type="dxa"/>
              <w:bottom w:w="100" w:type="dxa"/>
              <w:left w:w="150" w:type="dxa"/>
              <w:right w:w="150" w:type="dxa"/>
            </w:tcMar>
            <w:vAlign w:val="center"/>
          </w:tcPr>
          <w:p>
            <w:pPr>
              <w:pStyle w:val="Compact"/>
              <w:jc w:val="right"/>
              <w:suppressAutoHyphens/>
            </w:pPr>
            <w:r>
              <w:t xml:space="preserve">78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10: Department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III — Curriculum &amp; Student Journey</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11: Program Portfolio</w:t>
            </w:r>
          </w:p>
        </w:tc>
        <w:tc>
          <w:tcPr>
            <w:tcMar>
              <w:top w:w="100" w:type="dxa"/>
              <w:bottom w:w="100" w:type="dxa"/>
              <w:left w:w="150" w:type="dxa"/>
              <w:right w:w="150" w:type="dxa"/>
            </w:tcMar>
            <w:vAlign w:val="center"/>
            <w:shd w:val="clear" w:color="auto" w:fill="F7F3E8"/>
          </w:tcPr>
          <w:p>
            <w:pPr>
              <w:pStyle w:val="Compact"/>
              <w:jc w:val="right"/>
              <w:suppressAutoHyphens/>
            </w:pPr>
            <w:r>
              <w:t xml:space="preserve">86</w:t>
            </w:r>
          </w:p>
        </w:tc>
      </w:tr>
      <w:tr>
        <w:trPr>
          <w:cantSplit/>
        </w:trPr>
        <w:tc>
          <w:tcPr>
            <w:tcMar>
              <w:top w:w="100" w:type="dxa"/>
              <w:bottom w:w="100" w:type="dxa"/>
              <w:left w:w="150" w:type="dxa"/>
              <w:right w:w="150" w:type="dxa"/>
            </w:tcMar>
            <w:vAlign w:val="center"/>
          </w:tcPr>
          <w:p>
            <w:pPr>
              <w:pStyle w:val="Compact"/>
              <w:jc w:val="left"/>
              <w:suppressAutoHyphens/>
            </w:pPr>
            <w:r>
              <w:t xml:space="preserve">    Section 12: Curriculum Architecture</w:t>
            </w:r>
          </w:p>
        </w:tc>
        <w:tc>
          <w:tcPr>
            <w:tcMar>
              <w:top w:w="100" w:type="dxa"/>
              <w:bottom w:w="100" w:type="dxa"/>
              <w:left w:w="150" w:type="dxa"/>
              <w:right w:w="150" w:type="dxa"/>
            </w:tcMar>
            <w:vAlign w:val="center"/>
          </w:tcPr>
          <w:p>
            <w:pPr>
              <w:pStyle w:val="Compact"/>
              <w:jc w:val="right"/>
              <w:suppressAutoHyphens/>
            </w:pPr>
            <w: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13: Student Journey Map</w:t>
            </w:r>
          </w:p>
        </w:tc>
        <w:tc>
          <w:tcPr>
            <w:tcMar>
              <w:top w:w="100" w:type="dxa"/>
              <w:bottom w:w="100" w:type="dxa"/>
              <w:left w:w="150" w:type="dxa"/>
              <w:right w:w="150" w:type="dxa"/>
            </w:tcMar>
            <w:vAlign w:val="center"/>
            <w:shd w:val="clear" w:color="auto" w:fill="F7F3E8"/>
          </w:tcPr>
          <w:p>
            <w:pPr>
              <w:pStyle w:val="Compact"/>
              <w:jc w:val="right"/>
              <w:suppressAutoHyphens/>
            </w:pPr>
            <w:r>
              <w:t xml:space="preserve">95</w:t>
            </w:r>
          </w:p>
        </w:tc>
      </w:tr>
      <w:tr>
        <w:trPr>
          <w:cantSplit/>
        </w:trPr>
        <w:tc>
          <w:tcPr>
            <w:tcMar>
              <w:top w:w="100" w:type="dxa"/>
              <w:bottom w:w="100" w:type="dxa"/>
              <w:left w:w="150" w:type="dxa"/>
              <w:right w:w="150" w:type="dxa"/>
            </w:tcMar>
            <w:vAlign w:val="center"/>
          </w:tcPr>
          <w:p>
            <w:pPr>
              <w:pStyle w:val="Compact"/>
              <w:jc w:val="left"/>
              <w:suppressAutoHyphens/>
            </w:pPr>
            <w:r>
              <w:t xml:space="preserve">    Section 14: Admission Policies</w:t>
            </w:r>
          </w:p>
        </w:tc>
        <w:tc>
          <w:tcPr>
            <w:tcMar>
              <w:top w:w="100" w:type="dxa"/>
              <w:bottom w:w="100" w:type="dxa"/>
              <w:left w:w="150" w:type="dxa"/>
              <w:right w:w="150" w:type="dxa"/>
            </w:tcMar>
            <w:vAlign w:val="center"/>
          </w:tcPr>
          <w:p>
            <w:pPr>
              <w:pStyle w:val="Compact"/>
              <w:jc w:val="right"/>
              <w:suppressAutoHyphens/>
            </w:pPr>
            <w:r>
              <w:t xml:space="preserve">99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15: Faculty Recruitment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IV — Research, Publishing, Partnerships &amp; Accreditation</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105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16: Research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108</w:t>
            </w:r>
          </w:p>
        </w:tc>
      </w:tr>
      <w:tr>
        <w:trPr>
          <w:cantSplit/>
        </w:trPr>
        <w:tc>
          <w:tcPr>
            <w:tcMar>
              <w:top w:w="100" w:type="dxa"/>
              <w:bottom w:w="100" w:type="dxa"/>
              <w:left w:w="150" w:type="dxa"/>
              <w:right w:w="150" w:type="dxa"/>
            </w:tcMar>
            <w:vAlign w:val="center"/>
          </w:tcPr>
          <w:p>
            <w:pPr>
              <w:pStyle w:val="Compact"/>
              <w:jc w:val="left"/>
              <w:suppressAutoHyphens/>
            </w:pPr>
            <w:r>
              <w:t xml:space="preserve">    Section 17: Publishing Strategy</w:t>
            </w:r>
          </w:p>
        </w:tc>
        <w:tc>
          <w:tcPr>
            <w:tcMar>
              <w:top w:w="100" w:type="dxa"/>
              <w:bottom w:w="100" w:type="dxa"/>
              <w:left w:w="150" w:type="dxa"/>
              <w:right w:w="150" w:type="dxa"/>
            </w:tcMar>
            <w:vAlign w:val="center"/>
          </w:tcPr>
          <w:p>
            <w:pPr>
              <w:pStyle w:val="Compact"/>
              <w:jc w:val="right"/>
              <w:suppressAutoHyphens/>
            </w:pPr>
            <w:r>
              <w:t xml:space="preserve">111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18: Global Partnerships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115</w:t>
            </w:r>
          </w:p>
        </w:tc>
      </w:tr>
      <w:tr>
        <w:trPr>
          <w:cantSplit/>
        </w:trPr>
        <w:tc>
          <w:tcPr>
            <w:tcMar>
              <w:top w:w="100" w:type="dxa"/>
              <w:bottom w:w="100" w:type="dxa"/>
              <w:left w:w="150" w:type="dxa"/>
              <w:right w:w="150" w:type="dxa"/>
            </w:tcMar>
            <w:vAlign w:val="center"/>
          </w:tcPr>
          <w:p>
            <w:pPr>
              <w:pStyle w:val="Compact"/>
              <w:jc w:val="left"/>
              <w:suppressAutoHyphens/>
            </w:pPr>
            <w:r>
              <w:t xml:space="preserve">    Section 19: Accreditation Roadmap</w:t>
            </w:r>
          </w:p>
        </w:tc>
        <w:tc>
          <w:tcPr>
            <w:tcMar>
              <w:top w:w="100" w:type="dxa"/>
              <w:bottom w:w="100" w:type="dxa"/>
              <w:left w:w="150" w:type="dxa"/>
              <w:right w:w="150" w:type="dxa"/>
            </w:tcMar>
            <w:vAlign w:val="center"/>
          </w:tcPr>
          <w:p>
            <w:pPr>
              <w:pStyle w:val="Compact"/>
              <w:jc w:val="right"/>
              <w:suppressAutoHyphens/>
            </w:pPr>
            <w:r>
              <w:t xml:space="preserve">118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20: ISO 21001 Roadmap</w:t>
            </w:r>
          </w:p>
        </w:tc>
        <w:tc>
          <w:tcPr>
            <w:tcMar>
              <w:top w:w="100" w:type="dxa"/>
              <w:bottom w:w="100" w:type="dxa"/>
              <w:left w:w="150" w:type="dxa"/>
              <w:right w:w="150" w:type="dxa"/>
            </w:tcMar>
            <w:vAlign w:val="center"/>
            <w:shd w:val="clear" w:color="auto" w:fill="F7F3E8"/>
          </w:tcPr>
          <w:p>
            <w:pPr>
              <w:pStyle w:val="Compact"/>
              <w:jc w:val="right"/>
              <w:suppressAutoHyphens/>
            </w:pPr>
            <w:r>
              <w:t xml:space="preserve">123</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 — Digital Infrastructure, AI &amp; Waqf Development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21: LMS Ecosystem</w:t>
            </w:r>
          </w:p>
        </w:tc>
        <w:tc>
          <w:tcPr>
            <w:tcMar>
              <w:top w:w="100" w:type="dxa"/>
              <w:bottom w:w="100" w:type="dxa"/>
              <w:left w:w="150" w:type="dxa"/>
              <w:right w:w="150" w:type="dxa"/>
            </w:tcMar>
            <w:vAlign w:val="center"/>
            <w:shd w:val="clear" w:color="auto" w:fill="F7F3E8"/>
          </w:tcPr>
          <w:p>
            <w:pPr>
              <w:pStyle w:val="Compact"/>
              <w:jc w:val="right"/>
              <w:suppressAutoHyphens/>
            </w:pPr>
            <w:r>
              <w:t xml:space="preserve">128</w:t>
            </w:r>
          </w:p>
        </w:tc>
      </w:tr>
      <w:tr>
        <w:trPr>
          <w:cantSplit/>
        </w:trPr>
        <w:tc>
          <w:tcPr>
            <w:tcMar>
              <w:top w:w="100" w:type="dxa"/>
              <w:bottom w:w="100" w:type="dxa"/>
              <w:left w:w="150" w:type="dxa"/>
              <w:right w:w="150" w:type="dxa"/>
            </w:tcMar>
            <w:vAlign w:val="center"/>
          </w:tcPr>
          <w:p>
            <w:pPr>
              <w:pStyle w:val="Compact"/>
              <w:jc w:val="left"/>
              <w:suppressAutoHyphens/>
            </w:pPr>
            <w:r>
              <w:t xml:space="preserve">    Section 22: AI Strategy</w:t>
            </w:r>
          </w:p>
        </w:tc>
        <w:tc>
          <w:tcPr>
            <w:tcMar>
              <w:top w:w="100" w:type="dxa"/>
              <w:bottom w:w="100" w:type="dxa"/>
              <w:left w:w="150" w:type="dxa"/>
              <w:right w:w="150" w:type="dxa"/>
            </w:tcMar>
            <w:vAlign w:val="center"/>
          </w:tcPr>
          <w:p>
            <w:pPr>
              <w:pStyle w:val="Compact"/>
              <w:jc w:val="right"/>
              <w:suppressAutoHyphens/>
            </w:pPr>
            <w:r>
              <w:t xml:space="preserve">131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23: Digital Transformation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134</w:t>
            </w:r>
          </w:p>
        </w:tc>
      </w:tr>
      <w:tr>
        <w:trPr>
          <w:cantSplit/>
        </w:trPr>
        <w:tc>
          <w:tcPr>
            <w:tcMar>
              <w:top w:w="100" w:type="dxa"/>
              <w:bottom w:w="100" w:type="dxa"/>
              <w:left w:w="150" w:type="dxa"/>
              <w:right w:w="150" w:type="dxa"/>
            </w:tcMar>
            <w:vAlign w:val="center"/>
          </w:tcPr>
          <w:p>
            <w:pPr>
              <w:pStyle w:val="Compact"/>
              <w:jc w:val="left"/>
              <w:suppressAutoHyphens/>
            </w:pPr>
            <w:r>
              <w:t xml:space="preserve">    Section 24: Library Strategy</w:t>
            </w:r>
          </w:p>
        </w:tc>
        <w:tc>
          <w:tcPr>
            <w:tcMar>
              <w:top w:w="100" w:type="dxa"/>
              <w:bottom w:w="100" w:type="dxa"/>
              <w:left w:w="150" w:type="dxa"/>
              <w:right w:w="150" w:type="dxa"/>
            </w:tcMar>
            <w:vAlign w:val="center"/>
          </w:tcPr>
          <w:p>
            <w:pPr>
              <w:pStyle w:val="Compact"/>
              <w:jc w:val="right"/>
              <w:suppressAutoHyphens/>
            </w:pPr>
            <w:r>
              <w:t xml:space="preserve">137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25: Waqf Development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142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 — Financial Growth, Marketing &amp; Branding</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26: Scholarship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147</w:t>
            </w:r>
          </w:p>
        </w:tc>
      </w:tr>
      <w:tr>
        <w:trPr>
          <w:cantSplit/>
        </w:trPr>
        <w:tc>
          <w:tcPr>
            <w:tcMar>
              <w:top w:w="100" w:type="dxa"/>
              <w:bottom w:w="100" w:type="dxa"/>
              <w:left w:w="150" w:type="dxa"/>
              <w:right w:w="150" w:type="dxa"/>
            </w:tcMar>
            <w:vAlign w:val="center"/>
          </w:tcPr>
          <w:p>
            <w:pPr>
              <w:pStyle w:val="Compact"/>
              <w:jc w:val="left"/>
              <w:suppressAutoHyphens/>
            </w:pPr>
            <w:r>
              <w:t xml:space="preserve">    Section 27: Revenue Diversification Strategy</w:t>
            </w:r>
          </w:p>
        </w:tc>
        <w:tc>
          <w:tcPr>
            <w:tcMar>
              <w:top w:w="100" w:type="dxa"/>
              <w:bottom w:w="100" w:type="dxa"/>
              <w:left w:w="150" w:type="dxa"/>
              <w:right w:w="150" w:type="dxa"/>
            </w:tcMar>
            <w:vAlign w:val="center"/>
          </w:tcPr>
          <w:p>
            <w:pPr>
              <w:pStyle w:val="Compact"/>
              <w:jc w:val="right"/>
              <w:suppressAutoHyphens/>
            </w:pPr>
            <w:r>
              <w:t xml:space="preserve">150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28: Marketing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153</w:t>
            </w:r>
          </w:p>
        </w:tc>
      </w:tr>
      <w:tr>
        <w:trPr>
          <w:cantSplit/>
        </w:trPr>
        <w:tc>
          <w:tcPr>
            <w:tcMar>
              <w:top w:w="100" w:type="dxa"/>
              <w:bottom w:w="100" w:type="dxa"/>
              <w:left w:w="150" w:type="dxa"/>
              <w:right w:w="150" w:type="dxa"/>
            </w:tcMar>
            <w:vAlign w:val="center"/>
          </w:tcPr>
          <w:p>
            <w:pPr>
              <w:pStyle w:val="Compact"/>
              <w:jc w:val="left"/>
              <w:suppressAutoHyphens/>
            </w:pPr>
            <w:r>
              <w:t xml:space="preserve">    Section 29: Branding Strategy</w:t>
            </w:r>
          </w:p>
        </w:tc>
        <w:tc>
          <w:tcPr>
            <w:tcMar>
              <w:top w:w="100" w:type="dxa"/>
              <w:bottom w:w="100" w:type="dxa"/>
              <w:left w:w="150" w:type="dxa"/>
              <w:right w:w="150" w:type="dxa"/>
            </w:tcMar>
            <w:vAlign w:val="center"/>
          </w:tcPr>
          <w:p>
            <w:pPr>
              <w:pStyle w:val="Compact"/>
              <w:jc w:val="right"/>
              <w:suppressAutoHyphens/>
            </w:pPr>
            <w: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30: International Expansion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 — Regional Campuses &amp; Student Lifecycle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31: Nigeria Campus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164</w:t>
            </w:r>
          </w:p>
        </w:tc>
      </w:tr>
      <w:tr>
        <w:trPr>
          <w:cantSplit/>
        </w:trPr>
        <w:tc>
          <w:tcPr>
            <w:tcMar>
              <w:top w:w="100" w:type="dxa"/>
              <w:bottom w:w="100" w:type="dxa"/>
              <w:left w:w="150" w:type="dxa"/>
              <w:right w:w="150" w:type="dxa"/>
            </w:tcMar>
            <w:vAlign w:val="center"/>
          </w:tcPr>
          <w:p>
            <w:pPr>
              <w:pStyle w:val="Compact"/>
              <w:jc w:val="left"/>
              <w:suppressAutoHyphens/>
            </w:pPr>
            <w:r>
              <w:t xml:space="preserve">    Section 32: Gulf Cooperation Strategy</w:t>
            </w:r>
          </w:p>
        </w:tc>
        <w:tc>
          <w:tcPr>
            <w:tcMar>
              <w:top w:w="100" w:type="dxa"/>
              <w:bottom w:w="100" w:type="dxa"/>
              <w:left w:w="150" w:type="dxa"/>
              <w:right w:w="150" w:type="dxa"/>
            </w:tcMar>
            <w:vAlign w:val="center"/>
          </w:tcPr>
          <w:p>
            <w:pPr>
              <w:pStyle w:val="Compact"/>
              <w:jc w:val="right"/>
              <w:suppressAutoHyphens/>
            </w:pPr>
            <w:r>
              <w:t xml:space="preserve">167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33: Student Support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170</w:t>
            </w:r>
          </w:p>
        </w:tc>
      </w:tr>
      <w:tr>
        <w:trPr>
          <w:cantSplit/>
        </w:trPr>
        <w:tc>
          <w:tcPr>
            <w:tcMar>
              <w:top w:w="100" w:type="dxa"/>
              <w:bottom w:w="100" w:type="dxa"/>
              <w:left w:w="150" w:type="dxa"/>
              <w:right w:w="150" w:type="dxa"/>
            </w:tcMar>
            <w:vAlign w:val="center"/>
          </w:tcPr>
          <w:p>
            <w:pPr>
              <w:pStyle w:val="Compact"/>
              <w:jc w:val="left"/>
              <w:suppressAutoHyphens/>
            </w:pPr>
            <w:r>
              <w:t xml:space="preserve">    Section 34: Alumni Framework</w:t>
            </w:r>
          </w:p>
        </w:tc>
        <w:tc>
          <w:tcPr>
            <w:tcMar>
              <w:top w:w="100" w:type="dxa"/>
              <w:bottom w:w="100" w:type="dxa"/>
              <w:left w:w="150" w:type="dxa"/>
              <w:right w:w="150" w:type="dxa"/>
            </w:tcMar>
            <w:vAlign w:val="center"/>
          </w:tcPr>
          <w:p>
            <w:pPr>
              <w:pStyle w:val="Compact"/>
              <w:jc w:val="right"/>
              <w:suppressAutoHyphens/>
            </w:pPr>
            <w:r>
              <w:t xml:space="preserve">173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35: Career Development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176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VIII — Risk, Compliance, Sustainability &amp; the 20-Year Roadmap</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36: Risk Management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185</w:t>
            </w:r>
          </w:p>
        </w:tc>
      </w:tr>
      <w:tr>
        <w:trPr>
          <w:cantSplit/>
        </w:trPr>
        <w:tc>
          <w:tcPr>
            <w:tcMar>
              <w:top w:w="100" w:type="dxa"/>
              <w:bottom w:w="100" w:type="dxa"/>
              <w:left w:w="150" w:type="dxa"/>
              <w:right w:w="150" w:type="dxa"/>
            </w:tcMar>
            <w:vAlign w:val="center"/>
          </w:tcPr>
          <w:p>
            <w:pPr>
              <w:pStyle w:val="Compact"/>
              <w:jc w:val="left"/>
              <w:suppressAutoHyphens/>
            </w:pPr>
            <w:r>
              <w:t xml:space="preserve">    Section 37: Compliance Framework</w:t>
            </w:r>
          </w:p>
        </w:tc>
        <w:tc>
          <w:tcPr>
            <w:tcMar>
              <w:top w:w="100" w:type="dxa"/>
              <w:bottom w:w="100" w:type="dxa"/>
              <w:left w:w="150" w:type="dxa"/>
              <w:right w:w="150" w:type="dxa"/>
            </w:tcMar>
            <w:vAlign w:val="center"/>
          </w:tcPr>
          <w:p>
            <w:pPr>
              <w:pStyle w:val="Compact"/>
              <w:jc w:val="right"/>
              <w:suppressAutoHyphens/>
            </w:pPr>
            <w:r>
              <w:t xml:space="preserve">190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38: Financial Sustainability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195</w:t>
            </w:r>
          </w:p>
        </w:tc>
      </w:tr>
      <w:tr>
        <w:trPr>
          <w:cantSplit/>
        </w:trPr>
        <w:tc>
          <w:tcPr>
            <w:tcMar>
              <w:top w:w="100" w:type="dxa"/>
              <w:bottom w:w="100" w:type="dxa"/>
              <w:left w:w="150" w:type="dxa"/>
              <w:right w:w="150" w:type="dxa"/>
            </w:tcMar>
            <w:vAlign w:val="center"/>
          </w:tcPr>
          <w:p>
            <w:pPr>
              <w:pStyle w:val="Compact"/>
              <w:jc w:val="left"/>
              <w:suppressAutoHyphens/>
            </w:pPr>
            <w:r>
              <w:t xml:space="preserve">    Section 39: Capital Development Framework</w:t>
            </w:r>
          </w:p>
        </w:tc>
        <w:tc>
          <w:tcPr>
            <w:tcMar>
              <w:top w:w="100" w:type="dxa"/>
              <w:bottom w:w="100" w:type="dxa"/>
              <w:left w:w="150" w:type="dxa"/>
              <w:right w:w="150" w:type="dxa"/>
            </w:tcMar>
            <w:vAlign w:val="center"/>
          </w:tcPr>
          <w:p>
            <w:pPr>
              <w:pStyle w:val="Compact"/>
              <w:jc w:val="right"/>
              <w:suppressAutoHyphens/>
            </w:pPr>
            <w:r>
              <w:t xml:space="preserve">202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40: Twenty-Year Strategic Roadmap</w:t>
            </w:r>
          </w:p>
        </w:tc>
        <w:tc>
          <w:tcPr>
            <w:tcMar>
              <w:top w:w="100" w:type="dxa"/>
              <w:bottom w:w="100" w:type="dxa"/>
              <w:left w:w="150" w:type="dxa"/>
              <w:right w:w="150" w:type="dxa"/>
            </w:tcMar>
            <w:vAlign w:val="center"/>
            <w:shd w:val="clear" w:color="auto" w:fill="F7F3E8"/>
          </w:tcPr>
          <w:p>
            <w:pPr>
              <w:pStyle w:val="Compact"/>
              <w:jc w:val="right"/>
              <w:suppressAutoHyphens/>
            </w:pPr>
            <w:r>
              <w:t xml:space="preserve">209</w:t>
            </w:r>
          </w:p>
        </w:tc>
      </w:tr>
      <w:tr>
        <w:trPr>
          <w:cantSplit/>
        </w:trPr>
        <w:tc>
          <w:tcPr>
            <w:tcMar>
              <w:top w:w="100" w:type="dxa"/>
              <w:bottom w:w="100" w:type="dxa"/>
              <w:left w:w="150" w:type="dxa"/>
              <w:right w:w="150" w:type="dxa"/>
            </w:tcMar>
            <w:vAlign w:val="center"/>
          </w:tcPr>
          <w:p>
            <w:pPr>
              <w:pStyle w:val="Compact"/>
              <w:jc w:val="left"/>
              <w:suppressAutoHyphens/>
            </w:pPr>
            <w:r>
              <w:t xml:space="preserve">    Section 41: Founding Access &amp; Waqf-First Strategy</w:t>
            </w:r>
          </w:p>
        </w:tc>
        <w:tc>
          <w:tcPr>
            <w:tcMar>
              <w:top w:w="100" w:type="dxa"/>
              <w:bottom w:w="100" w:type="dxa"/>
              <w:left w:w="150" w:type="dxa"/>
              <w:right w:w="150" w:type="dxa"/>
            </w:tcMar>
            <w:vAlign w:val="center"/>
          </w:tcPr>
          <w:p>
            <w:pPr>
              <w:pStyle w:val="Compact"/>
              <w:jc w:val="right"/>
              <w:suppressAutoHyphens/>
            </w:pPr>
            <w:r>
              <w:t xml:space="preserve">220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Appendix A — Cross-Reference to the Ten-Year Master Plan (AMIU-MP-001)</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B — Master Plan Exhibit Checklist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Appendix C — Fixed Revenue Allocation Framework: Quick Reference</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D — Program Catalog Reference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References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Index</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3</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5</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7</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Figure 10</w:t>
            </w:r>
          </w:p>
        </w:tc>
        <w:tc>
          <w:tcPr>
            <w:tcMar>
              <w:top w:w="100" w:type="dxa"/>
              <w:bottom w:w="100" w:type="dxa"/>
              <w:left w:w="150" w:type="dxa"/>
              <w:right w:w="150" w:type="dxa"/>
            </w:tcMar>
            <w:vAlign w:val="center"/>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7</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10</w:t>
            </w:r>
          </w:p>
        </w:tc>
        <w:tc>
          <w:tcPr>
            <w:tcMar>
              <w:top w:w="100" w:type="dxa"/>
              <w:bottom w:w="100" w:type="dxa"/>
              <w:left w:w="150" w:type="dxa"/>
              <w:right w:w="150" w:type="dxa"/>
            </w:tcMar>
            <w:vAlign w:val="center"/>
            <w:shd w:val="clear" w:color="auto" w:fill="F7F3E8"/>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3</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5</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Table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w:t>
            </w:r>
          </w:p>
        </w:tc>
        <w:tc>
          <w:tcPr>
            <w:tcMar>
              <w:top w:w="100" w:type="dxa"/>
              <w:bottom w:w="100" w:type="dxa"/>
              <w:left w:w="150" w:type="dxa"/>
              <w:right w:w="150" w:type="dxa"/>
            </w:tcMar>
            <w:vAlign w:val="center"/>
            <w:shd w:val="clear" w:color="auto" w:fill="F7F3E8"/>
          </w:tcPr>
          <w:p>
            <w:pPr>
              <w:pStyle w:val="Compact"/>
              <w:jc w:val="left"/>
              <w:suppressAutoHyphens/>
            </w:pPr>
            <w:r>
              <w:t xml:space="preserve">Values-to-Practice Mapping</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w:t>
            </w:r>
          </w:p>
        </w:tc>
      </w:tr>
      <w:tr>
        <w:trPr>
          <w:cantSplit/>
        </w:trPr>
        <w:tc>
          <w:tcPr>
            <w:tcMar>
              <w:top w:w="100" w:type="dxa"/>
              <w:bottom w:w="100" w:type="dxa"/>
              <w:left w:w="150" w:type="dxa"/>
              <w:right w:w="150" w:type="dxa"/>
            </w:tcMar>
            <w:vAlign w:val="center"/>
          </w:tcPr>
          <w:p>
            <w:pPr>
              <w:pStyle w:val="Compact"/>
              <w:jc w:val="left"/>
              <w:suppressAutoHyphens/>
            </w:pPr>
            <w:r>
              <w:t xml:space="preserve">Table 2</w:t>
            </w:r>
          </w:p>
        </w:tc>
        <w:tc>
          <w:tcPr>
            <w:tcMar>
              <w:top w:w="100" w:type="dxa"/>
              <w:bottom w:w="100" w:type="dxa"/>
              <w:left w:w="150" w:type="dxa"/>
              <w:right w:w="150" w:type="dxa"/>
            </w:tcMar>
            <w:vAlign w:val="center"/>
          </w:tcPr>
          <w:p>
            <w:pPr>
              <w:pStyle w:val="Compact"/>
              <w:jc w:val="left"/>
              <w:suppressAutoHyphens/>
            </w:pPr>
            <w:r>
              <w:t xml:space="preserve">Committee Structure Beneath the Two Chambers</w:t>
            </w:r>
          </w:p>
        </w:tc>
        <w:tc>
          <w:tcPr>
            <w:tcMar>
              <w:top w:w="100" w:type="dxa"/>
              <w:bottom w:w="100" w:type="dxa"/>
              <w:left w:w="150" w:type="dxa"/>
              <w:right w:w="150" w:type="dxa"/>
            </w:tcMar>
            <w:vAlign w:val="center"/>
          </w:tcPr>
          <w:p>
            <w:pPr>
              <w:pStyle w:val="Compact"/>
              <w:jc w:val="left"/>
              <w:suppressAutoHyphens/>
            </w:pPr>
            <w:r>
              <w:t xml:space="preserve">Section 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3</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Governance Calendar</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w:t>
            </w:r>
          </w:p>
        </w:tc>
      </w:tr>
      <w:tr>
        <w:trPr>
          <w:cantSplit/>
        </w:trPr>
        <w:tc>
          <w:tcPr>
            <w:tcMar>
              <w:top w:w="100" w:type="dxa"/>
              <w:bottom w:w="100" w:type="dxa"/>
              <w:left w:w="150" w:type="dxa"/>
              <w:right w:w="150" w:type="dxa"/>
            </w:tcMar>
            <w:vAlign w:val="center"/>
          </w:tcPr>
          <w:p>
            <w:pPr>
              <w:pStyle w:val="Compact"/>
              <w:jc w:val="left"/>
              <w:suppressAutoHyphens/>
            </w:pPr>
            <w:r>
              <w:t xml:space="preserve">Table 4</w:t>
            </w:r>
          </w:p>
        </w:tc>
        <w:tc>
          <w:tcPr>
            <w:tcMar>
              <w:top w:w="100" w:type="dxa"/>
              <w:bottom w:w="100" w:type="dxa"/>
              <w:left w:w="150" w:type="dxa"/>
              <w:right w:w="150" w:type="dxa"/>
            </w:tcMar>
            <w:vAlign w:val="center"/>
          </w:tcPr>
          <w:p>
            <w:pPr>
              <w:pStyle w:val="Compact"/>
              <w:jc w:val="left"/>
              <w:suppressAutoHyphens/>
            </w:pPr>
            <w:r>
              <w:t xml:space="preserve">The 18-Seat Structure (Canon, Unaltered)</w:t>
            </w:r>
          </w:p>
        </w:tc>
        <w:tc>
          <w:tcPr>
            <w:tcMar>
              <w:top w:w="100" w:type="dxa"/>
              <w:bottom w:w="100" w:type="dxa"/>
              <w:left w:w="150" w:type="dxa"/>
              <w:right w:w="150" w:type="dxa"/>
            </w:tcMar>
            <w:vAlign w:val="center"/>
          </w:tcPr>
          <w:p>
            <w:pPr>
              <w:pStyle w:val="Compact"/>
              <w:jc w:val="left"/>
              <w:suppressAutoHyphens/>
            </w:pPr>
            <w:r>
              <w:t xml:space="preserve">Section 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5</w:t>
            </w:r>
          </w:p>
        </w:tc>
        <w:tc>
          <w:tcPr>
            <w:tcMar>
              <w:top w:w="100" w:type="dxa"/>
              <w:bottom w:w="100" w:type="dxa"/>
              <w:left w:w="150" w:type="dxa"/>
              <w:right w:w="150" w:type="dxa"/>
            </w:tcMar>
            <w:vAlign w:val="center"/>
            <w:shd w:val="clear" w:color="auto" w:fill="F7F3E8"/>
          </w:tcPr>
          <w:p>
            <w:pPr>
              <w:pStyle w:val="Compact"/>
              <w:jc w:val="left"/>
              <w:suppressAutoHyphens/>
            </w:pPr>
            <w:r>
              <w:t xml:space="preserve">Quorum and Voting Thresholds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4</w:t>
            </w:r>
          </w:p>
        </w:tc>
      </w:tr>
      <w:tr>
        <w:trPr>
          <w:cantSplit/>
        </w:trPr>
        <w:tc>
          <w:tcPr>
            <w:tcMar>
              <w:top w:w="100" w:type="dxa"/>
              <w:bottom w:w="100" w:type="dxa"/>
              <w:left w:w="150" w:type="dxa"/>
              <w:right w:w="150" w:type="dxa"/>
            </w:tcMar>
            <w:vAlign w:val="center"/>
          </w:tcPr>
          <w:p>
            <w:pPr>
              <w:pStyle w:val="Compact"/>
              <w:jc w:val="left"/>
              <w:suppressAutoHyphens/>
            </w:pPr>
            <w:r>
              <w:t xml:space="preserve">Table 6</w:t>
            </w:r>
          </w:p>
        </w:tc>
        <w:tc>
          <w:tcPr>
            <w:tcMar>
              <w:top w:w="100" w:type="dxa"/>
              <w:bottom w:w="100" w:type="dxa"/>
              <w:left w:w="150" w:type="dxa"/>
              <w:right w:w="150" w:type="dxa"/>
            </w:tcMar>
            <w:vAlign w:val="center"/>
          </w:tcPr>
          <w:p>
            <w:pPr>
              <w:pStyle w:val="Compact"/>
              <w:jc w:val="left"/>
              <w:suppressAutoHyphens/>
            </w:pPr>
            <w:r>
              <w:t xml:space="preserve">Board Composition (Advisory/Committee Roles Under the Board)</w:t>
            </w:r>
          </w:p>
        </w:tc>
        <w:tc>
          <w:tcPr>
            <w:tcMar>
              <w:top w:w="100" w:type="dxa"/>
              <w:bottom w:w="100" w:type="dxa"/>
              <w:left w:w="150" w:type="dxa"/>
              <w:right w:w="150" w:type="dxa"/>
            </w:tcMar>
            <w:vAlign w:val="center"/>
          </w:tcPr>
          <w:p>
            <w:pPr>
              <w:pStyle w:val="Compact"/>
              <w:jc w:val="left"/>
              <w:suppressAutoHyphens/>
            </w:pPr>
            <w:r>
              <w:t xml:space="preserve">Section 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7</w:t>
            </w:r>
          </w:p>
        </w:tc>
        <w:tc>
          <w:tcPr>
            <w:tcMar>
              <w:top w:w="100" w:type="dxa"/>
              <w:bottom w:w="100" w:type="dxa"/>
              <w:left w:w="150" w:type="dxa"/>
              <w:right w:w="150" w:type="dxa"/>
            </w:tcMar>
            <w:vAlign w:val="center"/>
            <w:shd w:val="clear" w:color="auto" w:fill="F7F3E8"/>
          </w:tcPr>
          <w:p>
            <w:pPr>
              <w:pStyle w:val="Compact"/>
              <w:jc w:val="left"/>
              <w:suppressAutoHyphens/>
            </w:pPr>
            <w:r>
              <w:t xml:space="preserve">Staffing, Budget, KPIs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Table 8</w:t>
            </w:r>
          </w:p>
        </w:tc>
        <w:tc>
          <w:tcPr>
            <w:tcMar>
              <w:top w:w="100" w:type="dxa"/>
              <w:bottom w:w="100" w:type="dxa"/>
              <w:left w:w="150" w:type="dxa"/>
              <w:right w:w="150" w:type="dxa"/>
            </w:tcMar>
            <w:vAlign w:val="center"/>
          </w:tcPr>
          <w:p>
            <w:pPr>
              <w:pStyle w:val="Compact"/>
              <w:jc w:val="left"/>
              <w:suppressAutoHyphens/>
            </w:pPr>
            <w:r>
              <w:t xml:space="preserve">Rollout Phases (Target Years)</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9</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Six Founding Colleges (Year 1 Leadership, per Senate Group II)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8</w:t>
            </w:r>
          </w:p>
        </w:tc>
      </w:tr>
      <w:tr>
        <w:trPr>
          <w:cantSplit/>
        </w:trPr>
        <w:tc>
          <w:tcPr>
            <w:tcMar>
              <w:top w:w="100" w:type="dxa"/>
              <w:bottom w:w="100" w:type="dxa"/>
              <w:left w:w="150" w:type="dxa"/>
              <w:right w:w="150" w:type="dxa"/>
            </w:tcMar>
            <w:vAlign w:val="center"/>
          </w:tcPr>
          <w:p>
            <w:pPr>
              <w:pStyle w:val="Compact"/>
              <w:jc w:val="left"/>
              <w:suppressAutoHyphens/>
            </w:pPr>
            <w:r>
              <w:t xml:space="preserve">Table 10</w:t>
            </w:r>
          </w:p>
        </w:tc>
        <w:tc>
          <w:tcPr>
            <w:tcMar>
              <w:top w:w="100" w:type="dxa"/>
              <w:bottom w:w="100" w:type="dxa"/>
              <w:left w:w="150" w:type="dxa"/>
              <w:right w:w="150" w:type="dxa"/>
            </w:tcMar>
            <w:vAlign w:val="center"/>
          </w:tcPr>
          <w:p>
            <w:pPr>
              <w:pStyle w:val="Compact"/>
              <w:jc w:val="left"/>
              <w:suppressAutoHyphens/>
            </w:pPr>
            <w:r>
              <w:t xml:space="preserve">Year-11+ Secular Schools</w:t>
            </w:r>
          </w:p>
        </w:tc>
        <w:tc>
          <w:tcPr>
            <w:tcMar>
              <w:top w:w="100" w:type="dxa"/>
              <w:bottom w:w="100" w:type="dxa"/>
              <w:left w:w="150" w:type="dxa"/>
              <w:right w:w="150" w:type="dxa"/>
            </w:tcMar>
            <w:vAlign w:val="center"/>
          </w:tcPr>
          <w:p>
            <w:pPr>
              <w:pStyle w:val="Compact"/>
              <w:jc w:val="left"/>
              <w:suppressAutoHyphens/>
            </w:pPr>
            <w:r>
              <w:t xml:space="preserve">Section 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11</w:t>
            </w:r>
          </w:p>
        </w:tc>
        <w:tc>
          <w:tcPr>
            <w:tcMar>
              <w:top w:w="100" w:type="dxa"/>
              <w:bottom w:w="100" w:type="dxa"/>
              <w:left w:w="150" w:type="dxa"/>
              <w:right w:w="150" w:type="dxa"/>
            </w:tcMar>
            <w:vAlign w:val="center"/>
            <w:shd w:val="clear" w:color="auto" w:fill="F7F3E8"/>
          </w:tcPr>
          <w:p>
            <w:pPr>
              <w:pStyle w:val="Compact"/>
              <w:jc w:val="left"/>
              <w:suppressAutoHyphens/>
            </w:pPr>
            <w:r>
              <w:t xml:space="preserve">Ranks &amp; Titles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9</w:t>
            </w:r>
          </w:p>
        </w:tc>
      </w:tr>
      <w:tr>
        <w:trPr>
          <w:cantSplit/>
        </w:trPr>
        <w:tc>
          <w:tcPr>
            <w:tcMar>
              <w:top w:w="100" w:type="dxa"/>
              <w:bottom w:w="100" w:type="dxa"/>
              <w:left w:w="150" w:type="dxa"/>
              <w:right w:w="150" w:type="dxa"/>
            </w:tcMar>
            <w:vAlign w:val="center"/>
          </w:tcPr>
          <w:p>
            <w:pPr>
              <w:pStyle w:val="Compact"/>
              <w:jc w:val="left"/>
              <w:suppressAutoHyphens/>
            </w:pPr>
            <w:r>
              <w:t xml:space="preserve">Table 12</w:t>
            </w:r>
          </w:p>
        </w:tc>
        <w:tc>
          <w:tcPr>
            <w:tcMar>
              <w:top w:w="100" w:type="dxa"/>
              <w:bottom w:w="100" w:type="dxa"/>
              <w:left w:w="150" w:type="dxa"/>
              <w:right w:w="150" w:type="dxa"/>
            </w:tcMar>
            <w:vAlign w:val="center"/>
          </w:tcPr>
          <w:p>
            <w:pPr>
              <w:pStyle w:val="Compact"/>
              <w:jc w:val="left"/>
              <w:suppressAutoHyphens/>
            </w:pPr>
            <w:r>
              <w:t xml:space="preserve">The Six Founding Departments (Group III, Year 1)</w:t>
            </w:r>
          </w:p>
        </w:tc>
        <w:tc>
          <w:tcPr>
            <w:tcMar>
              <w:top w:w="100" w:type="dxa"/>
              <w:bottom w:w="100" w:type="dxa"/>
              <w:left w:w="150" w:type="dxa"/>
              <w:right w:w="150" w:type="dxa"/>
            </w:tcMar>
            <w:vAlign w:val="center"/>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13</w:t>
            </w:r>
          </w:p>
        </w:tc>
        <w:tc>
          <w:tcPr>
            <w:tcMar>
              <w:top w:w="100" w:type="dxa"/>
              <w:bottom w:w="100" w:type="dxa"/>
              <w:left w:w="150" w:type="dxa"/>
              <w:right w:w="150" w:type="dxa"/>
            </w:tcMar>
            <w:vAlign w:val="center"/>
            <w:shd w:val="clear" w:color="auto" w:fill="F7F3E8"/>
          </w:tcPr>
          <w:p>
            <w:pPr>
              <w:pStyle w:val="Compact"/>
              <w:jc w:val="left"/>
              <w:suppressAutoHyphens/>
            </w:pPr>
            <w:r>
              <w:t xml:space="preserve">Department-Level Budget &amp; Staffing by Phase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tcPr>
          <w:p>
            <w:pPr>
              <w:pStyle w:val="Compact"/>
              <w:jc w:val="left"/>
              <w:suppressAutoHyphens/>
            </w:pPr>
            <w:r>
              <w:t xml:space="preserve">Table 14</w:t>
            </w:r>
          </w:p>
        </w:tc>
        <w:tc>
          <w:tcPr>
            <w:tcMar>
              <w:top w:w="100" w:type="dxa"/>
              <w:bottom w:w="100" w:type="dxa"/>
              <w:left w:w="150" w:type="dxa"/>
              <w:right w:w="150" w:type="dxa"/>
            </w:tcMar>
            <w:vAlign w:val="center"/>
          </w:tcPr>
          <w:p>
            <w:pPr>
              <w:pStyle w:val="Compact"/>
              <w:jc w:val="left"/>
              <w:suppressAutoHyphens/>
            </w:pPr>
            <w:r>
              <w:t xml:space="preserve">Curriculum Composition by Tier</w:t>
            </w:r>
          </w:p>
        </w:tc>
        <w:tc>
          <w:tcPr>
            <w:tcMar>
              <w:top w:w="100" w:type="dxa"/>
              <w:bottom w:w="100" w:type="dxa"/>
              <w:left w:w="150" w:type="dxa"/>
              <w:right w:w="150" w:type="dxa"/>
            </w:tcMar>
            <w:vAlign w:val="center"/>
          </w:tcPr>
          <w:p>
            <w:pPr>
              <w:pStyle w:val="Compact"/>
              <w:jc w:val="left"/>
              <w:suppressAutoHyphens/>
            </w:pPr>
            <w:r>
              <w:t xml:space="preserve">Section 12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15</w:t>
            </w:r>
          </w:p>
        </w:tc>
        <w:tc>
          <w:tcPr>
            <w:tcMar>
              <w:top w:w="100" w:type="dxa"/>
              <w:bottom w:w="100" w:type="dxa"/>
              <w:left w:w="150" w:type="dxa"/>
              <w:right w:w="150" w:type="dxa"/>
            </w:tcMar>
            <w:vAlign w:val="center"/>
            <w:shd w:val="clear" w:color="auto" w:fill="F7F3E8"/>
          </w:tcPr>
          <w:p>
            <w:pPr>
              <w:pStyle w:val="Compact"/>
              <w:jc w:val="left"/>
              <w:suppressAutoHyphens/>
            </w:pPr>
            <w:r>
              <w:t xml:space="preserve">Journey Stages &amp; Touchpoints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Table 16</w:t>
            </w:r>
          </w:p>
        </w:tc>
        <w:tc>
          <w:tcPr>
            <w:tcMar>
              <w:top w:w="100" w:type="dxa"/>
              <w:bottom w:w="100" w:type="dxa"/>
              <w:left w:w="150" w:type="dxa"/>
              <w:right w:w="150" w:type="dxa"/>
            </w:tcMar>
            <w:vAlign w:val="center"/>
          </w:tcPr>
          <w:p>
            <w:pPr>
              <w:pStyle w:val="Compact"/>
              <w:jc w:val="left"/>
              <w:suppressAutoHyphens/>
            </w:pPr>
            <w:r>
              <w:t xml:space="preserve">Eligibility by Tier</w:t>
            </w:r>
          </w:p>
        </w:tc>
        <w:tc>
          <w:tcPr>
            <w:tcMar>
              <w:top w:w="100" w:type="dxa"/>
              <w:bottom w:w="100" w:type="dxa"/>
              <w:left w:w="150" w:type="dxa"/>
              <w:right w:w="150" w:type="dxa"/>
            </w:tcMar>
            <w:vAlign w:val="center"/>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17</w:t>
            </w:r>
          </w:p>
        </w:tc>
        <w:tc>
          <w:tcPr>
            <w:tcMar>
              <w:top w:w="100" w:type="dxa"/>
              <w:bottom w:w="100" w:type="dxa"/>
              <w:left w:w="150" w:type="dxa"/>
              <w:right w:w="150" w:type="dxa"/>
            </w:tcMar>
            <w:vAlign w:val="center"/>
            <w:shd w:val="clear" w:color="auto" w:fill="F7F3E8"/>
          </w:tcPr>
          <w:p>
            <w:pPr>
              <w:pStyle w:val="Compact"/>
              <w:jc w:val="left"/>
              <w:suppressAutoHyphens/>
            </w:pPr>
            <w:r>
              <w:t xml:space="preserve">Admission Cycles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tcPr>
          <w:p>
            <w:pPr>
              <w:pStyle w:val="Compact"/>
              <w:jc w:val="left"/>
              <w:suppressAutoHyphens/>
            </w:pPr>
            <w:r>
              <w:t xml:space="preserve">Table 18</w:t>
            </w:r>
          </w:p>
        </w:tc>
        <w:tc>
          <w:tcPr>
            <w:tcMar>
              <w:top w:w="100" w:type="dxa"/>
              <w:bottom w:w="100" w:type="dxa"/>
              <w:left w:w="150" w:type="dxa"/>
              <w:right w:w="150" w:type="dxa"/>
            </w:tcMar>
            <w:vAlign w:val="center"/>
          </w:tcPr>
          <w:p>
            <w:pPr>
              <w:pStyle w:val="Compact"/>
              <w:jc w:val="left"/>
              <w:suppressAutoHyphens/>
            </w:pPr>
            <w:r>
              <w:t xml:space="preserve">Sourcing (Faculty Recruitment Channels)</w:t>
            </w:r>
          </w:p>
        </w:tc>
        <w:tc>
          <w:tcPr>
            <w:tcMar>
              <w:top w:w="100" w:type="dxa"/>
              <w:bottom w:w="100" w:type="dxa"/>
              <w:left w:w="150" w:type="dxa"/>
              <w:right w:w="150" w:type="dxa"/>
            </w:tcMar>
            <w:vAlign w:val="center"/>
          </w:tcPr>
          <w:p>
            <w:pPr>
              <w:pStyle w:val="Compact"/>
              <w:jc w:val="left"/>
              <w:suppressAutoHyphens/>
            </w:pPr>
            <w:r>
              <w:t xml:space="preserve">Section 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19</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Accreditation Timeline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tcPr>
          <w:p>
            <w:pPr>
              <w:pStyle w:val="Compact"/>
              <w:jc w:val="left"/>
              <w:suppressAutoHyphens/>
            </w:pPr>
            <w:r>
              <w:t xml:space="preserve">Table 20</w:t>
            </w:r>
          </w:p>
        </w:tc>
        <w:tc>
          <w:tcPr>
            <w:tcMar>
              <w:top w:w="100" w:type="dxa"/>
              <w:bottom w:w="100" w:type="dxa"/>
              <w:left w:w="150" w:type="dxa"/>
              <w:right w:w="150" w:type="dxa"/>
            </w:tcMar>
            <w:vAlign w:val="center"/>
          </w:tcPr>
          <w:p>
            <w:pPr>
              <w:pStyle w:val="Compact"/>
              <w:jc w:val="left"/>
              <w:suppressAutoHyphens/>
            </w:pPr>
            <w:r>
              <w:t xml:space="preserve">AI Use Cases &amp; Sharī’ah Gate</w:t>
            </w:r>
          </w:p>
        </w:tc>
        <w:tc>
          <w:tcPr>
            <w:tcMar>
              <w:top w:w="100" w:type="dxa"/>
              <w:bottom w:w="100" w:type="dxa"/>
              <w:left w:w="150" w:type="dxa"/>
              <w:right w:w="150" w:type="dxa"/>
            </w:tcMar>
            <w:vAlign w:val="center"/>
          </w:tcPr>
          <w:p>
            <w:pPr>
              <w:pStyle w:val="Compact"/>
              <w:jc w:val="left"/>
              <w:suppressAutoHyphens/>
            </w:pPr>
            <w:r>
              <w:t xml:space="preserve">Section 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21</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Digital Stack Components &amp; Phasing</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23</w:t>
            </w:r>
          </w:p>
        </w:tc>
      </w:tr>
      <w:tr>
        <w:trPr>
          <w:cantSplit/>
        </w:trPr>
        <w:tc>
          <w:tcPr>
            <w:tcMar>
              <w:top w:w="100" w:type="dxa"/>
              <w:bottom w:w="100" w:type="dxa"/>
              <w:left w:w="150" w:type="dxa"/>
              <w:right w:w="150" w:type="dxa"/>
            </w:tcMar>
            <w:vAlign w:val="center"/>
          </w:tcPr>
          <w:p>
            <w:pPr>
              <w:pStyle w:val="Compact"/>
              <w:jc w:val="left"/>
              <w:suppressAutoHyphens/>
            </w:pPr>
            <w:r>
              <w:t xml:space="preserve">Table 22</w:t>
            </w:r>
          </w:p>
        </w:tc>
        <w:tc>
          <w:tcPr>
            <w:tcMar>
              <w:top w:w="100" w:type="dxa"/>
              <w:bottom w:w="100" w:type="dxa"/>
              <w:left w:w="150" w:type="dxa"/>
              <w:right w:w="150" w:type="dxa"/>
            </w:tcMar>
            <w:vAlign w:val="center"/>
          </w:tcPr>
          <w:p>
            <w:pPr>
              <w:pStyle w:val="Compact"/>
              <w:jc w:val="left"/>
              <w:suppressAutoHyphens/>
            </w:pPr>
            <w:r>
              <w:t xml:space="preserve">Waqf &amp; Stakeholder Reserve — Fixed Mechanics</w:t>
            </w:r>
          </w:p>
        </w:tc>
        <w:tc>
          <w:tcPr>
            <w:tcMar>
              <w:top w:w="100" w:type="dxa"/>
              <w:bottom w:w="100" w:type="dxa"/>
              <w:left w:w="150" w:type="dxa"/>
              <w:right w:w="150" w:type="dxa"/>
            </w:tcMar>
            <w:vAlign w:val="center"/>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23</w:t>
            </w:r>
          </w:p>
        </w:tc>
        <w:tc>
          <w:tcPr>
            <w:tcMar>
              <w:top w:w="100" w:type="dxa"/>
              <w:bottom w:w="100" w:type="dxa"/>
              <w:left w:w="150" w:type="dxa"/>
              <w:right w:w="150" w:type="dxa"/>
            </w:tcMar>
            <w:vAlign w:val="center"/>
            <w:shd w:val="clear" w:color="auto" w:fill="F7F3E8"/>
          </w:tcPr>
          <w:p>
            <w:pPr>
              <w:pStyle w:val="Compact"/>
              <w:jc w:val="left"/>
              <w:suppressAutoHyphens/>
            </w:pPr>
            <w:r>
              <w:t xml:space="preserve">Scholarship Architecture (Five Standing Instruments)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26</w:t>
            </w:r>
          </w:p>
        </w:tc>
      </w:tr>
      <w:tr>
        <w:trPr>
          <w:cantSplit/>
        </w:trPr>
        <w:tc>
          <w:tcPr>
            <w:tcMar>
              <w:top w:w="100" w:type="dxa"/>
              <w:bottom w:w="100" w:type="dxa"/>
              <w:left w:w="150" w:type="dxa"/>
              <w:right w:w="150" w:type="dxa"/>
            </w:tcMar>
            <w:vAlign w:val="center"/>
          </w:tcPr>
          <w:p>
            <w:pPr>
              <w:pStyle w:val="Compact"/>
              <w:jc w:val="left"/>
              <w:suppressAutoHyphens/>
            </w:pPr>
            <w:r>
              <w:t xml:space="preserve">Table 24</w:t>
            </w:r>
          </w:p>
        </w:tc>
        <w:tc>
          <w:tcPr>
            <w:tcMar>
              <w:top w:w="100" w:type="dxa"/>
              <w:bottom w:w="100" w:type="dxa"/>
              <w:left w:w="150" w:type="dxa"/>
              <w:right w:w="150" w:type="dxa"/>
            </w:tcMar>
            <w:vAlign w:val="center"/>
          </w:tcPr>
          <w:p>
            <w:pPr>
              <w:pStyle w:val="Compact"/>
              <w:jc w:val="left"/>
              <w:suppressAutoHyphens/>
            </w:pPr>
            <w:r>
              <w:t xml:space="preserve">Legitimate Revenue Diversification Avenues</w:t>
            </w:r>
          </w:p>
        </w:tc>
        <w:tc>
          <w:tcPr>
            <w:tcMar>
              <w:top w:w="100" w:type="dxa"/>
              <w:bottom w:w="100" w:type="dxa"/>
              <w:left w:w="150" w:type="dxa"/>
              <w:right w:w="150" w:type="dxa"/>
            </w:tcMar>
            <w:vAlign w:val="center"/>
          </w:tcPr>
          <w:p>
            <w:pPr>
              <w:pStyle w:val="Compact"/>
              <w:jc w:val="left"/>
              <w:suppressAutoHyphens/>
            </w:pPr>
            <w:r>
              <w:t xml:space="preserve">Section 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25</w:t>
            </w:r>
          </w:p>
        </w:tc>
        <w:tc>
          <w:tcPr>
            <w:tcMar>
              <w:top w:w="100" w:type="dxa"/>
              <w:bottom w:w="100" w:type="dxa"/>
              <w:left w:w="150" w:type="dxa"/>
              <w:right w:w="150" w:type="dxa"/>
            </w:tcMar>
            <w:vAlign w:val="center"/>
            <w:shd w:val="clear" w:color="auto" w:fill="F7F3E8"/>
          </w:tcPr>
          <w:p>
            <w:pPr>
              <w:pStyle w:val="Compact"/>
              <w:jc w:val="left"/>
              <w:suppressAutoHyphens/>
            </w:pPr>
            <w:r>
              <w:t xml:space="preserve">Country-Tier Messaging &amp; Channels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28</w:t>
            </w:r>
          </w:p>
        </w:tc>
      </w:tr>
      <w:tr>
        <w:trPr>
          <w:cantSplit/>
        </w:trPr>
        <w:tc>
          <w:tcPr>
            <w:tcMar>
              <w:top w:w="100" w:type="dxa"/>
              <w:bottom w:w="100" w:type="dxa"/>
              <w:left w:w="150" w:type="dxa"/>
              <w:right w:w="150" w:type="dxa"/>
            </w:tcMar>
            <w:vAlign w:val="center"/>
          </w:tcPr>
          <w:p>
            <w:pPr>
              <w:pStyle w:val="Compact"/>
              <w:jc w:val="left"/>
              <w:suppressAutoHyphens/>
            </w:pPr>
            <w:r>
              <w:t xml:space="preserve">Table 26</w:t>
            </w:r>
          </w:p>
        </w:tc>
        <w:tc>
          <w:tcPr>
            <w:tcMar>
              <w:top w:w="100" w:type="dxa"/>
              <w:bottom w:w="100" w:type="dxa"/>
              <w:left w:w="150" w:type="dxa"/>
              <w:right w:w="150" w:type="dxa"/>
            </w:tcMar>
            <w:vAlign w:val="center"/>
          </w:tcPr>
          <w:p>
            <w:pPr>
              <w:pStyle w:val="Compact"/>
              <w:jc w:val="left"/>
              <w:suppressAutoHyphens/>
            </w:pPr>
            <w:r>
              <w:t xml:space="preserve">Sequenced Geography (Exact Canon Sequence)</w:t>
            </w:r>
          </w:p>
        </w:tc>
        <w:tc>
          <w:tcPr>
            <w:tcMar>
              <w:top w:w="100" w:type="dxa"/>
              <w:bottom w:w="100" w:type="dxa"/>
              <w:left w:w="150" w:type="dxa"/>
              <w:right w:w="150" w:type="dxa"/>
            </w:tcMar>
            <w:vAlign w:val="center"/>
          </w:tcPr>
          <w:p>
            <w:pPr>
              <w:pStyle w:val="Compact"/>
              <w:jc w:val="left"/>
              <w:suppressAutoHyphens/>
            </w:pPr>
            <w:r>
              <w:t xml:space="preserve">Section 30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27</w:t>
            </w:r>
          </w:p>
        </w:tc>
        <w:tc>
          <w:tcPr>
            <w:tcMar>
              <w:top w:w="100" w:type="dxa"/>
              <w:bottom w:w="100" w:type="dxa"/>
              <w:left w:w="150" w:type="dxa"/>
              <w:right w:w="150" w:type="dxa"/>
            </w:tcMar>
            <w:vAlign w:val="center"/>
            <w:shd w:val="clear" w:color="auto" w:fill="F7F3E8"/>
          </w:tcPr>
          <w:p>
            <w:pPr>
              <w:pStyle w:val="Compact"/>
              <w:jc w:val="left"/>
              <w:suppressAutoHyphens/>
            </w:pPr>
            <w:r>
              <w:t xml:space="preserve">Risk Register — 14 Adopted Risks (from AMIU-MP-001)</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36</w:t>
            </w:r>
          </w:p>
        </w:tc>
      </w:tr>
      <w:tr>
        <w:trPr>
          <w:cantSplit/>
        </w:trPr>
        <w:tc>
          <w:tcPr>
            <w:tcMar>
              <w:top w:w="100" w:type="dxa"/>
              <w:bottom w:w="100" w:type="dxa"/>
              <w:left w:w="150" w:type="dxa"/>
              <w:right w:w="150" w:type="dxa"/>
            </w:tcMar>
            <w:vAlign w:val="center"/>
          </w:tcPr>
          <w:p>
            <w:pPr>
              <w:pStyle w:val="Compact"/>
              <w:jc w:val="left"/>
              <w:suppressAutoHyphens/>
            </w:pPr>
            <w:r>
              <w:t xml:space="preserve">Table 28</w:t>
            </w:r>
          </w:p>
        </w:tc>
        <w:tc>
          <w:tcPr>
            <w:tcMar>
              <w:top w:w="100" w:type="dxa"/>
              <w:bottom w:w="100" w:type="dxa"/>
              <w:left w:w="150" w:type="dxa"/>
              <w:right w:w="150" w:type="dxa"/>
            </w:tcMar>
            <w:vAlign w:val="center"/>
          </w:tcPr>
          <w:p>
            <w:pPr>
              <w:pStyle w:val="Compact"/>
              <w:jc w:val="left"/>
              <w:suppressAutoHyphens/>
            </w:pPr>
            <w:r>
              <w:t xml:space="preserve">Annual Compliance Calendar (Steady-State, Recurring)</w:t>
            </w:r>
          </w:p>
        </w:tc>
        <w:tc>
          <w:tcPr>
            <w:tcMar>
              <w:top w:w="100" w:type="dxa"/>
              <w:bottom w:w="100" w:type="dxa"/>
              <w:left w:w="150" w:type="dxa"/>
              <w:right w:w="150" w:type="dxa"/>
            </w:tcMar>
            <w:vAlign w:val="center"/>
          </w:tcPr>
          <w:p>
            <w:pPr>
              <w:pStyle w:val="Compact"/>
              <w:jc w:val="left"/>
              <w:suppressAutoHyphens/>
            </w:pPr>
            <w:r>
              <w:t xml:space="preserve">Section 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Projects and Their Funding 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Table 30</w:t>
            </w:r>
          </w:p>
        </w:tc>
        <w:tc>
          <w:tcPr>
            <w:tcMar>
              <w:top w:w="100" w:type="dxa"/>
              <w:bottom w:w="100" w:type="dxa"/>
              <w:left w:w="150" w:type="dxa"/>
              <w:right w:w="150" w:type="dxa"/>
            </w:tcMar>
            <w:vAlign w:val="center"/>
          </w:tcPr>
          <w:p>
            <w:pPr>
              <w:pStyle w:val="Compact"/>
              <w:jc w:val="left"/>
              <w:suppressAutoHyphens/>
            </w:pPr>
            <w:r>
              <w:t xml:space="preserve">Consolidated Milestone Table, 2028–2050</w:t>
            </w:r>
          </w:p>
        </w:tc>
        <w:tc>
          <w:tcPr>
            <w:tcMar>
              <w:top w:w="100" w:type="dxa"/>
              <w:bottom w:w="100" w:type="dxa"/>
              <w:left w:w="150" w:type="dxa"/>
              <w:right w:w="150" w:type="dxa"/>
            </w:tcMar>
            <w:vAlign w:val="center"/>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Abbreviation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AGB</w:t>
            </w:r>
          </w:p>
        </w:tc>
        <w:tc>
          <w:tcPr>
            <w:tcMar>
              <w:top w:w="100" w:type="dxa"/>
              <w:bottom w:w="100" w:type="dxa"/>
              <w:left w:w="150" w:type="dxa"/>
              <w:right w:w="150" w:type="dxa"/>
            </w:tcMar>
            <w:vAlign w:val="center"/>
          </w:tcPr>
          <w:p>
            <w:pPr>
              <w:pStyle w:val="Compact"/>
              <w:jc w:val="left"/>
              <w:suppressAutoHyphens/>
            </w:pPr>
            <w:r>
              <w:t xml:space="preserve">Association of Governing Boards (nonprofit/university governance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AI</w:t>
            </w:r>
          </w:p>
        </w:tc>
        <w:tc>
          <w:tcPr>
            <w:tcMar>
              <w:top w:w="100" w:type="dxa"/>
              <w:bottom w:w="100" w:type="dxa"/>
              <w:left w:w="150" w:type="dxa"/>
              <w:right w:w="150" w:type="dxa"/>
            </w:tcMar>
            <w:vAlign w:val="center"/>
            <w:shd w:val="clear" w:color="auto" w:fill="F7F3E8"/>
          </w:tcPr>
          <w:p>
            <w:pPr>
              <w:pStyle w:val="Compact"/>
              <w:jc w:val="left"/>
              <w:suppressAutoHyphens/>
            </w:pPr>
            <w:r>
              <w:t xml:space="preserve">Artificial Intelligence</w:t>
            </w:r>
          </w:p>
        </w:tc>
      </w:tr>
      <w:tr>
        <w:trPr>
          <w:cantSplit/>
        </w:trPr>
        <w:tc>
          <w:tcPr>
            <w:tcMar>
              <w:top w:w="100" w:type="dxa"/>
              <w:bottom w:w="100" w:type="dxa"/>
              <w:left w:w="150" w:type="dxa"/>
              <w:right w:w="150" w:type="dxa"/>
            </w:tcMar>
            <w:vAlign w:val="center"/>
          </w:tcPr>
          <w:p>
            <w:pPr>
              <w:pStyle w:val="Compact"/>
              <w:jc w:val="left"/>
              <w:suppressAutoHyphens/>
            </w:pPr>
            <w:r>
              <w:t xml:space="preserve">API</w:t>
            </w:r>
          </w:p>
        </w:tc>
        <w:tc>
          <w:tcPr>
            <w:tcMar>
              <w:top w:w="100" w:type="dxa"/>
              <w:bottom w:w="100" w:type="dxa"/>
              <w:left w:w="150" w:type="dxa"/>
              <w:right w:w="150" w:type="dxa"/>
            </w:tcMar>
            <w:vAlign w:val="center"/>
          </w:tcPr>
          <w:p>
            <w:pPr>
              <w:pStyle w:val="Compact"/>
              <w:jc w:val="left"/>
              <w:suppressAutoHyphens/>
            </w:pPr>
            <w:r>
              <w:t xml:space="preserve">Application Programming Interface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ASSC</w:t>
            </w:r>
          </w:p>
        </w:tc>
        <w:tc>
          <w:tcPr>
            <w:tcMar>
              <w:top w:w="100" w:type="dxa"/>
              <w:bottom w:w="100" w:type="dxa"/>
              <w:left w:w="150" w:type="dxa"/>
              <w:right w:w="150" w:type="dxa"/>
            </w:tcMar>
            <w:vAlign w:val="center"/>
            <w:shd w:val="clear" w:color="auto" w:fill="F7F3E8"/>
          </w:tcPr>
          <w:p>
            <w:pPr>
              <w:pStyle w:val="Compact"/>
              <w:jc w:val="left"/>
              <w:suppressAutoHyphens/>
            </w:pPr>
            <w:r>
              <w:t xml:space="preserve">Admissions &amp; Student Success Committee</w:t>
            </w:r>
          </w:p>
        </w:tc>
      </w:tr>
      <w:tr>
        <w:trPr>
          <w:cantSplit/>
        </w:trPr>
        <w:tc>
          <w:tcPr>
            <w:tcMar>
              <w:top w:w="100" w:type="dxa"/>
              <w:bottom w:w="100" w:type="dxa"/>
              <w:left w:w="150" w:type="dxa"/>
              <w:right w:w="150" w:type="dxa"/>
            </w:tcMar>
            <w:vAlign w:val="center"/>
          </w:tcPr>
          <w:p>
            <w:pPr>
              <w:pStyle w:val="Compact"/>
              <w:jc w:val="left"/>
              <w:suppressAutoHyphens/>
            </w:pPr>
            <w:r>
              <w:t xml:space="preserve">BA</w:t>
            </w:r>
          </w:p>
        </w:tc>
        <w:tc>
          <w:tcPr>
            <w:tcMar>
              <w:top w:w="100" w:type="dxa"/>
              <w:bottom w:w="100" w:type="dxa"/>
              <w:left w:w="150" w:type="dxa"/>
              <w:right w:w="150" w:type="dxa"/>
            </w:tcMar>
            <w:vAlign w:val="center"/>
          </w:tcPr>
          <w:p>
            <w:pPr>
              <w:pStyle w:val="Compact"/>
              <w:jc w:val="left"/>
              <w:suppressAutoHyphens/>
            </w:pPr>
            <w:r>
              <w:t xml:space="preserve">Bachelor of Arts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CAC</w:t>
            </w:r>
          </w:p>
        </w:tc>
        <w:tc>
          <w:tcPr>
            <w:tcMar>
              <w:top w:w="100" w:type="dxa"/>
              <w:bottom w:w="100" w:type="dxa"/>
              <w:left w:w="150" w:type="dxa"/>
              <w:right w:w="150" w:type="dxa"/>
            </w:tcMar>
            <w:vAlign w:val="center"/>
            <w:shd w:val="clear" w:color="auto" w:fill="F7F3E8"/>
          </w:tcPr>
          <w:p>
            <w:pPr>
              <w:pStyle w:val="Compact"/>
              <w:jc w:val="left"/>
              <w:suppressAutoHyphens/>
            </w:pPr>
            <w:r>
              <w:t xml:space="preserve">Curriculum &amp; Assessment Committee (AMIU); also Corporate Affairs Commission (Nigeria, Section 31 context)</w:t>
            </w:r>
          </w:p>
        </w:tc>
      </w:tr>
      <w:tr>
        <w:trPr>
          <w:cantSplit/>
        </w:trPr>
        <w:tc>
          <w:tcPr>
            <w:tcMar>
              <w:top w:w="100" w:type="dxa"/>
              <w:bottom w:w="100" w:type="dxa"/>
              <w:left w:w="150" w:type="dxa"/>
              <w:right w:w="150" w:type="dxa"/>
            </w:tcMar>
            <w:vAlign w:val="center"/>
          </w:tcPr>
          <w:p>
            <w:pPr>
              <w:pStyle w:val="Compact"/>
              <w:jc w:val="left"/>
              <w:suppressAutoHyphens/>
            </w:pPr>
            <w:r>
              <w:t xml:space="preserve">CEFR</w:t>
            </w:r>
          </w:p>
        </w:tc>
        <w:tc>
          <w:tcPr>
            <w:tcMar>
              <w:top w:w="100" w:type="dxa"/>
              <w:bottom w:w="100" w:type="dxa"/>
              <w:left w:w="150" w:type="dxa"/>
              <w:right w:w="150" w:type="dxa"/>
            </w:tcMar>
            <w:vAlign w:val="center"/>
          </w:tcPr>
          <w:p>
            <w:pPr>
              <w:pStyle w:val="Compact"/>
              <w:jc w:val="left"/>
              <w:suppressAutoHyphens/>
            </w:pPr>
            <w:r>
              <w:t xml:space="preserve">Common European Framework of Reference for Languages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w:t>
            </w:r>
          </w:p>
        </w:tc>
        <w:tc>
          <w:tcPr>
            <w:tcMar>
              <w:top w:w="100" w:type="dxa"/>
              <w:bottom w:w="100" w:type="dxa"/>
              <w:left w:w="150" w:type="dxa"/>
              <w:right w:w="150" w:type="dxa"/>
            </w:tcMar>
            <w:vAlign w:val="center"/>
            <w:shd w:val="clear" w:color="auto" w:fill="F7F3E8"/>
          </w:tcPr>
          <w:p>
            <w:pPr>
              <w:pStyle w:val="Compact"/>
              <w:jc w:val="left"/>
              <w:suppressAutoHyphens/>
            </w:pPr>
            <w:r>
              <w:t xml:space="preserve">Credit Hour(s)</w:t>
            </w:r>
          </w:p>
        </w:tc>
      </w:tr>
      <w:tr>
        <w:trPr>
          <w:cantSplit/>
        </w:trPr>
        <w:tc>
          <w:tcPr>
            <w:tcMar>
              <w:top w:w="100" w:type="dxa"/>
              <w:bottom w:w="100" w:type="dxa"/>
              <w:left w:w="150" w:type="dxa"/>
              <w:right w:w="150" w:type="dxa"/>
            </w:tcMar>
            <w:vAlign w:val="center"/>
          </w:tcPr>
          <w:p>
            <w:pPr>
              <w:pStyle w:val="Compact"/>
              <w:jc w:val="left"/>
              <w:suppressAutoHyphens/>
            </w:pPr>
            <w:r>
              <w:t xml:space="preserve">COSO</w:t>
            </w:r>
          </w:p>
        </w:tc>
        <w:tc>
          <w:tcPr>
            <w:tcMar>
              <w:top w:w="100" w:type="dxa"/>
              <w:bottom w:w="100" w:type="dxa"/>
              <w:left w:w="150" w:type="dxa"/>
              <w:right w:w="150" w:type="dxa"/>
            </w:tcMar>
            <w:vAlign w:val="center"/>
          </w:tcPr>
          <w:p>
            <w:pPr>
              <w:pStyle w:val="Compact"/>
              <w:jc w:val="left"/>
              <w:suppressAutoHyphens/>
            </w:pPr>
            <w:r>
              <w:t xml:space="preserve">Committee of Sponsoring Organizations of the Treadway Commission (Enterprise Risk Management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w:t>
            </w:r>
          </w:p>
        </w:tc>
        <w:tc>
          <w:tcPr>
            <w:tcMar>
              <w:top w:w="100" w:type="dxa"/>
              <w:bottom w:w="100" w:type="dxa"/>
              <w:left w:w="150" w:type="dxa"/>
              <w:right w:w="150" w:type="dxa"/>
            </w:tcMar>
            <w:vAlign w:val="center"/>
            <w:shd w:val="clear" w:color="auto" w:fill="F7F3E8"/>
          </w:tcPr>
          <w:p>
            <w:pPr>
              <w:pStyle w:val="Compact"/>
              <w:jc w:val="left"/>
              <w:suppressAutoHyphens/>
            </w:pPr>
            <w:r>
              <w:t xml:space="preserve">Continuing Professional Development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CRM</w:t>
            </w:r>
          </w:p>
        </w:tc>
        <w:tc>
          <w:tcPr>
            <w:tcMar>
              <w:top w:w="100" w:type="dxa"/>
              <w:bottom w:w="100" w:type="dxa"/>
              <w:left w:w="150" w:type="dxa"/>
              <w:right w:w="150" w:type="dxa"/>
            </w:tcMar>
            <w:vAlign w:val="center"/>
          </w:tcPr>
          <w:p>
            <w:pPr>
              <w:pStyle w:val="Compact"/>
              <w:jc w:val="left"/>
              <w:suppressAutoHyphens/>
            </w:pPr>
            <w:r>
              <w:t xml:space="preserve">Customer/Constituent Relationship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DOAJ</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Directory of Open Access Journals</w:t>
            </w:r>
          </w:p>
        </w:tc>
      </w:tr>
      <w:tr>
        <w:trPr>
          <w:cantSplit/>
        </w:trPr>
        <w:tc>
          <w:tcPr>
            <w:tcMar>
              <w:top w:w="100" w:type="dxa"/>
              <w:bottom w:w="100" w:type="dxa"/>
              <w:left w:w="150" w:type="dxa"/>
              <w:right w:w="150" w:type="dxa"/>
            </w:tcMar>
            <w:vAlign w:val="center"/>
          </w:tcPr>
          <w:p>
            <w:pPr>
              <w:pStyle w:val="Compact"/>
              <w:jc w:val="left"/>
              <w:suppressAutoHyphens/>
            </w:pPr>
            <w:r>
              <w:t xml:space="preserve">DOI</w:t>
            </w:r>
          </w:p>
        </w:tc>
        <w:tc>
          <w:tcPr>
            <w:tcMar>
              <w:top w:w="100" w:type="dxa"/>
              <w:bottom w:w="100" w:type="dxa"/>
              <w:left w:w="150" w:type="dxa"/>
              <w:right w:w="150" w:type="dxa"/>
            </w:tcMar>
            <w:vAlign w:val="center"/>
          </w:tcPr>
          <w:p>
            <w:pPr>
              <w:pStyle w:val="Compact"/>
              <w:jc w:val="left"/>
              <w:suppressAutoHyphens/>
            </w:pPr>
            <w:r>
              <w:t xml:space="preserve">Digital Object Identifier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EIN</w:t>
            </w:r>
          </w:p>
        </w:tc>
        <w:tc>
          <w:tcPr>
            <w:tcMar>
              <w:top w:w="100" w:type="dxa"/>
              <w:bottom w:w="100" w:type="dxa"/>
              <w:left w:w="150" w:type="dxa"/>
              <w:right w:w="150" w:type="dxa"/>
            </w:tcMar>
            <w:vAlign w:val="center"/>
          </w:tcPr>
          <w:p>
            <w:pPr>
              <w:pStyle w:val="Compact"/>
              <w:jc w:val="left"/>
              <w:suppressAutoHyphens/>
            </w:pPr>
            <w:r>
              <w:t xml:space="preserve">Employer Identification Number (US)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EMI</w:t>
            </w:r>
          </w:p>
        </w:tc>
        <w:tc>
          <w:tcPr>
            <w:tcMar>
              <w:top w:w="100" w:type="dxa"/>
              <w:bottom w:w="100" w:type="dxa"/>
              <w:left w:w="150" w:type="dxa"/>
              <w:right w:w="150" w:type="dxa"/>
            </w:tcMar>
            <w:vAlign w:val="center"/>
            <w:shd w:val="clear" w:color="auto" w:fill="F7F3E8"/>
          </w:tcPr>
          <w:p>
            <w:pPr>
              <w:pStyle w:val="Compact"/>
              <w:jc w:val="left"/>
              <w:suppressAutoHyphens/>
            </w:pPr>
            <w:r>
              <w:t xml:space="preserve">English-Medium Instruction</w:t>
            </w:r>
          </w:p>
        </w:tc>
      </w:tr>
      <w:tr>
        <w:trPr>
          <w:cantSplit/>
        </w:trPr>
        <w:tc>
          <w:tcPr>
            <w:tcMar>
              <w:top w:w="100" w:type="dxa"/>
              <w:bottom w:w="100" w:type="dxa"/>
              <w:left w:w="150" w:type="dxa"/>
              <w:right w:w="150" w:type="dxa"/>
            </w:tcMar>
            <w:vAlign w:val="center"/>
          </w:tcPr>
          <w:p>
            <w:pPr>
              <w:pStyle w:val="Compact"/>
              <w:jc w:val="left"/>
              <w:suppressAutoHyphens/>
            </w:pPr>
            <w:r>
              <w:t xml:space="preserve">EOMS</w:t>
            </w:r>
          </w:p>
        </w:tc>
        <w:tc>
          <w:tcPr>
            <w:tcMar>
              <w:top w:w="100" w:type="dxa"/>
              <w:bottom w:w="100" w:type="dxa"/>
              <w:left w:w="150" w:type="dxa"/>
              <w:right w:w="150" w:type="dxa"/>
            </w:tcMar>
            <w:vAlign w:val="center"/>
          </w:tcPr>
          <w:p>
            <w:pPr>
              <w:pStyle w:val="Compact"/>
              <w:jc w:val="left"/>
              <w:suppressAutoHyphens/>
            </w:pPr>
            <w:r>
              <w:t xml:space="preserve">Educational Organizations Management System(s) (ISO 21001 scope)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ERM</w:t>
            </w:r>
          </w:p>
        </w:tc>
        <w:tc>
          <w:tcPr>
            <w:tcMar>
              <w:top w:w="100" w:type="dxa"/>
              <w:bottom w:w="100" w:type="dxa"/>
              <w:left w:w="150" w:type="dxa"/>
              <w:right w:w="150" w:type="dxa"/>
            </w:tcMar>
            <w:vAlign w:val="center"/>
            <w:shd w:val="clear" w:color="auto" w:fill="F7F3E8"/>
          </w:tcPr>
          <w:p>
            <w:pPr>
              <w:pStyle w:val="Compact"/>
              <w:jc w:val="left"/>
              <w:suppressAutoHyphens/>
            </w:pPr>
            <w:r>
              <w:t xml:space="preserve">Enterprise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FACC</w:t>
            </w:r>
          </w:p>
        </w:tc>
        <w:tc>
          <w:tcPr>
            <w:tcMar>
              <w:top w:w="100" w:type="dxa"/>
              <w:bottom w:w="100" w:type="dxa"/>
              <w:left w:w="150" w:type="dxa"/>
              <w:right w:w="150" w:type="dxa"/>
            </w:tcMar>
            <w:vAlign w:val="center"/>
          </w:tcPr>
          <w:p>
            <w:pPr>
              <w:pStyle w:val="Compact"/>
              <w:jc w:val="left"/>
              <w:suppressAutoHyphens/>
            </w:pPr>
            <w:r>
              <w:t xml:space="preserve">Faculty Affairs &amp; Credentialing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FTE</w:t>
            </w:r>
          </w:p>
        </w:tc>
        <w:tc>
          <w:tcPr>
            <w:tcMar>
              <w:top w:w="100" w:type="dxa"/>
              <w:bottom w:w="100" w:type="dxa"/>
              <w:left w:w="150" w:type="dxa"/>
              <w:right w:w="150" w:type="dxa"/>
            </w:tcMar>
            <w:vAlign w:val="center"/>
            <w:shd w:val="clear" w:color="auto" w:fill="F7F3E8"/>
          </w:tcPr>
          <w:p>
            <w:pPr>
              <w:pStyle w:val="Compact"/>
              <w:jc w:val="left"/>
              <w:suppressAutoHyphens/>
            </w:pPr>
            <w:r>
              <w:t xml:space="preserve">Full-Time Equivalent (staffing measure)</w:t>
            </w:r>
          </w:p>
        </w:tc>
      </w:tr>
      <w:tr>
        <w:trPr>
          <w:cantSplit/>
        </w:trPr>
        <w:tc>
          <w:tcPr>
            <w:tcMar>
              <w:top w:w="100" w:type="dxa"/>
              <w:bottom w:w="100" w:type="dxa"/>
              <w:left w:w="150" w:type="dxa"/>
              <w:right w:w="150" w:type="dxa"/>
            </w:tcMar>
            <w:vAlign w:val="center"/>
          </w:tcPr>
          <w:p>
            <w:pPr>
              <w:pStyle w:val="Compact"/>
              <w:jc w:val="left"/>
              <w:suppressAutoHyphens/>
            </w:pPr>
            <w:r>
              <w:t xml:space="preserve">FX</w:t>
            </w:r>
          </w:p>
        </w:tc>
        <w:tc>
          <w:tcPr>
            <w:tcMar>
              <w:top w:w="100" w:type="dxa"/>
              <w:bottom w:w="100" w:type="dxa"/>
              <w:left w:w="150" w:type="dxa"/>
              <w:right w:w="150" w:type="dxa"/>
            </w:tcMar>
            <w:vAlign w:val="center"/>
          </w:tcPr>
          <w:p>
            <w:pPr>
              <w:pStyle w:val="Compact"/>
              <w:jc w:val="left"/>
              <w:suppressAutoHyphens/>
            </w:pPr>
            <w:r>
              <w:t xml:space="preserve">Foreign Exchange (currency)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GCC</w:t>
            </w:r>
          </w:p>
        </w:tc>
        <w:tc>
          <w:tcPr>
            <w:tcMar>
              <w:top w:w="100" w:type="dxa"/>
              <w:bottom w:w="100" w:type="dxa"/>
              <w:left w:w="150" w:type="dxa"/>
              <w:right w:w="150" w:type="dxa"/>
            </w:tcMar>
            <w:vAlign w:val="center"/>
            <w:shd w:val="clear" w:color="auto" w:fill="F7F3E8"/>
          </w:tcPr>
          <w:p>
            <w:pPr>
              <w:pStyle w:val="Compact"/>
              <w:jc w:val="left"/>
              <w:suppressAutoHyphens/>
            </w:pPr>
            <w:r>
              <w:t xml:space="preserve">Gulf Cooperation Council</w:t>
            </w:r>
          </w:p>
        </w:tc>
      </w:tr>
      <w:tr>
        <w:trPr>
          <w:cantSplit/>
        </w:trPr>
        <w:tc>
          <w:tcPr>
            <w:tcMar>
              <w:top w:w="100" w:type="dxa"/>
              <w:bottom w:w="100" w:type="dxa"/>
              <w:left w:w="150" w:type="dxa"/>
              <w:right w:w="150" w:type="dxa"/>
            </w:tcMar>
            <w:vAlign w:val="center"/>
          </w:tcPr>
          <w:p>
            <w:pPr>
              <w:pStyle w:val="Compact"/>
              <w:jc w:val="left"/>
              <w:suppressAutoHyphens/>
            </w:pPr>
            <w:r>
              <w:t xml:space="preserve">GDPR</w:t>
            </w:r>
          </w:p>
        </w:tc>
        <w:tc>
          <w:tcPr>
            <w:tcMar>
              <w:top w:w="100" w:type="dxa"/>
              <w:bottom w:w="100" w:type="dxa"/>
              <w:left w:w="150" w:type="dxa"/>
              <w:right w:w="150" w:type="dxa"/>
            </w:tcMar>
            <w:vAlign w:val="center"/>
          </w:tcPr>
          <w:p>
            <w:pPr>
              <w:pStyle w:val="Compact"/>
              <w:jc w:val="left"/>
              <w:suppressAutoHyphens/>
            </w:pPr>
            <w:r>
              <w:t xml:space="preserve">General Data Protection Regulation (EU; used here as a compliance benchmark)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HoD</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w:t>
            </w:r>
          </w:p>
        </w:tc>
      </w:tr>
      <w:tr>
        <w:trPr>
          <w:cantSplit/>
        </w:trPr>
        <w:tc>
          <w:tcPr>
            <w:tcMar>
              <w:top w:w="100" w:type="dxa"/>
              <w:bottom w:w="100" w:type="dxa"/>
              <w:left w:w="150" w:type="dxa"/>
              <w:right w:w="150" w:type="dxa"/>
            </w:tcMar>
            <w:vAlign w:val="center"/>
          </w:tcPr>
          <w:p>
            <w:pPr>
              <w:pStyle w:val="Compact"/>
              <w:jc w:val="left"/>
              <w:suppressAutoHyphens/>
            </w:pPr>
            <w:r>
              <w:t xml:space="preserve">IAF</w:t>
            </w:r>
          </w:p>
        </w:tc>
        <w:tc>
          <w:tcPr>
            <w:tcMar>
              <w:top w:w="100" w:type="dxa"/>
              <w:bottom w:w="100" w:type="dxa"/>
              <w:left w:w="150" w:type="dxa"/>
              <w:right w:w="150" w:type="dxa"/>
            </w:tcMar>
            <w:vAlign w:val="center"/>
          </w:tcPr>
          <w:p>
            <w:pPr>
              <w:pStyle w:val="Compact"/>
              <w:jc w:val="left"/>
              <w:suppressAutoHyphens/>
            </w:pPr>
            <w:r>
              <w:t xml:space="preserve">International Accreditation Forum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ILO</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INQAAHE</w:t>
            </w:r>
          </w:p>
        </w:tc>
        <w:tc>
          <w:tcPr>
            <w:tcMar>
              <w:top w:w="100" w:type="dxa"/>
              <w:bottom w:w="100" w:type="dxa"/>
              <w:left w:w="150" w:type="dxa"/>
              <w:right w:w="150" w:type="dxa"/>
            </w:tcMar>
            <w:vAlign w:val="center"/>
          </w:tcPr>
          <w:p>
            <w:pPr>
              <w:pStyle w:val="Compact"/>
              <w:jc w:val="left"/>
              <w:suppressAutoHyphens/>
            </w:pPr>
            <w:r>
              <w:t xml:space="preserve">International Network for Quality Assurance Agencies in Higher Education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IRS</w:t>
            </w:r>
          </w:p>
        </w:tc>
        <w:tc>
          <w:tcPr>
            <w:tcMar>
              <w:top w:w="100" w:type="dxa"/>
              <w:bottom w:w="100" w:type="dxa"/>
              <w:left w:w="150" w:type="dxa"/>
              <w:right w:w="150" w:type="dxa"/>
            </w:tcMar>
            <w:vAlign w:val="center"/>
            <w:shd w:val="clear" w:color="auto" w:fill="F7F3E8"/>
          </w:tcPr>
          <w:p>
            <w:pPr>
              <w:pStyle w:val="Compact"/>
              <w:jc w:val="left"/>
              <w:suppressAutoHyphens/>
            </w:pPr>
            <w:r>
              <w:t xml:space="preserve">Internal Revenue Service (United States)</w:t>
            </w:r>
          </w:p>
        </w:tc>
      </w:tr>
      <w:tr>
        <w:trPr>
          <w:cantSplit/>
        </w:trPr>
        <w:tc>
          <w:tcPr>
            <w:tcMar>
              <w:top w:w="100" w:type="dxa"/>
              <w:bottom w:w="100" w:type="dxa"/>
              <w:left w:w="150" w:type="dxa"/>
              <w:right w:w="150" w:type="dxa"/>
            </w:tcMar>
            <w:vAlign w:val="center"/>
          </w:tcPr>
          <w:p>
            <w:pPr>
              <w:pStyle w:val="Compact"/>
              <w:jc w:val="left"/>
              <w:suppressAutoHyphens/>
            </w:pPr>
            <w:r>
              <w:t xml:space="preserve">ISO</w:t>
            </w:r>
          </w:p>
        </w:tc>
        <w:tc>
          <w:tcPr>
            <w:tcMar>
              <w:top w:w="100" w:type="dxa"/>
              <w:bottom w:w="100" w:type="dxa"/>
              <w:left w:w="150" w:type="dxa"/>
              <w:right w:w="150" w:type="dxa"/>
            </w:tcMar>
            <w:vAlign w:val="center"/>
          </w:tcPr>
          <w:p>
            <w:pPr>
              <w:pStyle w:val="Compact"/>
              <w:jc w:val="left"/>
              <w:suppressAutoHyphens/>
            </w:pPr>
            <w:r>
              <w:t xml:space="preserve">International Organization for Standardization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KOR</w:t>
            </w:r>
          </w:p>
        </w:tc>
        <w:tc>
          <w:tcPr>
            <w:tcMar>
              <w:top w:w="100" w:type="dxa"/>
              <w:bottom w:w="100" w:type="dxa"/>
              <w:left w:w="150" w:type="dxa"/>
              <w:right w:w="150" w:type="dxa"/>
            </w:tcMar>
            <w:vAlign w:val="center"/>
            <w:shd w:val="clear" w:color="auto" w:fill="F7F3E8"/>
          </w:tcPr>
          <w:p>
            <w:pPr>
              <w:pStyle w:val="Compact"/>
              <w:jc w:val="left"/>
              <w:suppressAutoHyphens/>
            </w:pPr>
            <w:r>
              <w:t xml:space="preserve">Kernel Outturn Ratio (cashew-export quality metric, Commercial Engine Gate A)</w:t>
            </w:r>
          </w:p>
        </w:tc>
      </w:tr>
      <w:tr>
        <w:trPr>
          <w:cantSplit/>
        </w:trPr>
        <w:tc>
          <w:tcPr>
            <w:tcMar>
              <w:top w:w="100" w:type="dxa"/>
              <w:bottom w:w="100" w:type="dxa"/>
              <w:left w:w="150" w:type="dxa"/>
              <w:right w:w="150" w:type="dxa"/>
            </w:tcMar>
            <w:vAlign w:val="center"/>
          </w:tcPr>
          <w:p>
            <w:pPr>
              <w:pStyle w:val="Compact"/>
              <w:jc w:val="left"/>
              <w:suppressAutoHyphens/>
            </w:pPr>
            <w:r>
              <w:t xml:space="preserve">KPI</w:t>
            </w:r>
          </w:p>
        </w:tc>
        <w:tc>
          <w:tcPr>
            <w:tcMar>
              <w:top w:w="100" w:type="dxa"/>
              <w:bottom w:w="100" w:type="dxa"/>
              <w:left w:w="150" w:type="dxa"/>
              <w:right w:w="150" w:type="dxa"/>
            </w:tcMar>
            <w:vAlign w:val="center"/>
          </w:tcPr>
          <w:p>
            <w:pPr>
              <w:pStyle w:val="Compact"/>
              <w:jc w:val="left"/>
              <w:suppressAutoHyphens/>
            </w:pPr>
            <w:r>
              <w:t xml:space="preserve">Key Performance Indicator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LLB</w:t>
            </w:r>
          </w:p>
        </w:tc>
        <w:tc>
          <w:tcPr>
            <w:tcMar>
              <w:top w:w="100" w:type="dxa"/>
              <w:bottom w:w="100" w:type="dxa"/>
              <w:left w:w="150" w:type="dxa"/>
              <w:right w:w="150" w:type="dxa"/>
            </w:tcMar>
            <w:vAlign w:val="center"/>
            <w:shd w:val="clear" w:color="auto" w:fill="F7F3E8"/>
          </w:tcPr>
          <w:p>
            <w:pPr>
              <w:pStyle w:val="Compact"/>
              <w:jc w:val="left"/>
              <w:suppressAutoHyphens/>
            </w:pPr>
            <w:r>
              <w:t xml:space="preserve">Bachelor of Laws</w:t>
            </w:r>
          </w:p>
        </w:tc>
      </w:tr>
      <w:tr>
        <w:trPr>
          <w:cantSplit/>
        </w:trPr>
        <w:tc>
          <w:tcPr>
            <w:tcMar>
              <w:top w:w="100" w:type="dxa"/>
              <w:bottom w:w="100" w:type="dxa"/>
              <w:left w:w="150" w:type="dxa"/>
              <w:right w:w="150" w:type="dxa"/>
            </w:tcMar>
            <w:vAlign w:val="center"/>
          </w:tcPr>
          <w:p>
            <w:pPr>
              <w:pStyle w:val="Compact"/>
              <w:jc w:val="left"/>
              <w:suppressAutoHyphens/>
            </w:pPr>
            <w:r>
              <w:t xml:space="preserve">LLC</w:t>
            </w:r>
          </w:p>
        </w:tc>
        <w:tc>
          <w:tcPr>
            <w:tcMar>
              <w:top w:w="100" w:type="dxa"/>
              <w:bottom w:w="100" w:type="dxa"/>
              <w:left w:w="150" w:type="dxa"/>
              <w:right w:w="150" w:type="dxa"/>
            </w:tcMar>
            <w:vAlign w:val="center"/>
          </w:tcPr>
          <w:p>
            <w:pPr>
              <w:pStyle w:val="Compact"/>
              <w:jc w:val="left"/>
              <w:suppressAutoHyphens/>
            </w:pPr>
            <w:r>
              <w:t xml:space="preserve">Limited Liability Company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LLM</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Laws</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LTI</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Tools Interoperability (LMS integration standard)</w:t>
            </w:r>
          </w:p>
        </w:tc>
      </w:tr>
      <w:tr>
        <w:trPr>
          <w:cantSplit/>
        </w:trPr>
        <w:tc>
          <w:tcPr>
            <w:tcMar>
              <w:top w:w="100" w:type="dxa"/>
              <w:bottom w:w="100" w:type="dxa"/>
              <w:left w:w="150" w:type="dxa"/>
              <w:right w:w="150" w:type="dxa"/>
            </w:tcMar>
            <w:vAlign w:val="center"/>
          </w:tcPr>
          <w:p>
            <w:pPr>
              <w:pStyle w:val="Compact"/>
              <w:jc w:val="left"/>
              <w:suppressAutoHyphens/>
            </w:pPr>
            <w:r>
              <w:t xml:space="preserve">MA</w:t>
            </w:r>
          </w:p>
        </w:tc>
        <w:tc>
          <w:tcPr>
            <w:tcMar>
              <w:top w:w="100" w:type="dxa"/>
              <w:bottom w:w="100" w:type="dxa"/>
              <w:left w:w="150" w:type="dxa"/>
              <w:right w:w="150" w:type="dxa"/>
            </w:tcMar>
            <w:vAlign w:val="center"/>
          </w:tcPr>
          <w:p>
            <w:pPr>
              <w:pStyle w:val="Compact"/>
              <w:jc w:val="left"/>
              <w:suppressAutoHyphens/>
            </w:pPr>
            <w:r>
              <w:t xml:space="preserve">Master of Arts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MBA</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Business Administration</w:t>
            </w:r>
          </w:p>
        </w:tc>
      </w:tr>
      <w:tr>
        <w:trPr>
          <w:cantSplit/>
        </w:trPr>
        <w:tc>
          <w:tcPr>
            <w:tcMar>
              <w:top w:w="100" w:type="dxa"/>
              <w:bottom w:w="100" w:type="dxa"/>
              <w:left w:w="150" w:type="dxa"/>
              <w:right w:w="150" w:type="dxa"/>
            </w:tcMar>
            <w:vAlign w:val="center"/>
          </w:tcPr>
          <w:p>
            <w:pPr>
              <w:pStyle w:val="Compact"/>
              <w:jc w:val="left"/>
              <w:suppressAutoHyphens/>
            </w:pPr>
            <w:r>
              <w:t xml:space="preserve">MFA</w:t>
            </w:r>
          </w:p>
        </w:tc>
        <w:tc>
          <w:tcPr>
            <w:tcMar>
              <w:top w:w="100" w:type="dxa"/>
              <w:bottom w:w="100" w:type="dxa"/>
              <w:left w:w="150" w:type="dxa"/>
              <w:right w:w="150" w:type="dxa"/>
            </w:tcMar>
            <w:vAlign w:val="center"/>
          </w:tcPr>
          <w:p>
            <w:pPr>
              <w:pStyle w:val="Compact"/>
              <w:jc w:val="left"/>
              <w:suppressAutoHyphens/>
            </w:pPr>
            <w:r>
              <w:t xml:space="preserve">Multi-Factor Authentication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MOU</w:t>
            </w:r>
          </w:p>
        </w:tc>
        <w:tc>
          <w:tcPr>
            <w:tcMar>
              <w:top w:w="100" w:type="dxa"/>
              <w:bottom w:w="100" w:type="dxa"/>
              <w:left w:w="150" w:type="dxa"/>
              <w:right w:w="150" w:type="dxa"/>
            </w:tcMar>
            <w:vAlign w:val="center"/>
            <w:shd w:val="clear" w:color="auto" w:fill="F7F3E8"/>
          </w:tcPr>
          <w:p>
            <w:pPr>
              <w:pStyle w:val="Compact"/>
              <w:jc w:val="left"/>
              <w:suppressAutoHyphens/>
            </w:pPr>
            <w:r>
              <w:t xml:space="preserve">Memorandum of Understanding</w:t>
            </w:r>
          </w:p>
        </w:tc>
      </w:tr>
      <w:tr>
        <w:trPr>
          <w:cantSplit/>
        </w:trPr>
        <w:tc>
          <w:tcPr>
            <w:tcMar>
              <w:top w:w="100" w:type="dxa"/>
              <w:bottom w:w="100" w:type="dxa"/>
              <w:left w:w="150" w:type="dxa"/>
              <w:right w:w="150" w:type="dxa"/>
            </w:tcMar>
            <w:vAlign w:val="center"/>
          </w:tcPr>
          <w:p>
            <w:pPr>
              <w:pStyle w:val="Compact"/>
              <w:jc w:val="left"/>
              <w:suppressAutoHyphens/>
            </w:pPr>
            <w:r>
              <w:t xml:space="preserve">MPH</w:t>
            </w:r>
          </w:p>
        </w:tc>
        <w:tc>
          <w:tcPr>
            <w:tcMar>
              <w:top w:w="100" w:type="dxa"/>
              <w:bottom w:w="100" w:type="dxa"/>
              <w:left w:w="150" w:type="dxa"/>
              <w:right w:w="150" w:type="dxa"/>
            </w:tcMar>
            <w:vAlign w:val="center"/>
          </w:tcPr>
          <w:p>
            <w:pPr>
              <w:pStyle w:val="Compact"/>
              <w:jc w:val="left"/>
              <w:suppressAutoHyphens/>
            </w:pPr>
            <w:r>
              <w:t xml:space="preserve">Master of Public Health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NAQAA</w:t>
            </w:r>
          </w:p>
        </w:tc>
        <w:tc>
          <w:tcPr>
            <w:tcMar>
              <w:top w:w="100" w:type="dxa"/>
              <w:bottom w:w="100" w:type="dxa"/>
              <w:left w:w="150" w:type="dxa"/>
              <w:right w:w="150" w:type="dxa"/>
            </w:tcMar>
            <w:vAlign w:val="center"/>
            <w:shd w:val="clear" w:color="auto" w:fill="F7F3E8"/>
          </w:tcPr>
          <w:p>
            <w:pPr>
              <w:pStyle w:val="Compact"/>
              <w:jc w:val="left"/>
              <w:suppressAutoHyphens/>
            </w:pPr>
            <w:r>
              <w:t xml:space="preserve">National Accreditation and Quality Assurance Authority (The Gambia)</w:t>
            </w:r>
          </w:p>
        </w:tc>
      </w:tr>
      <w:tr>
        <w:trPr>
          <w:cantSplit/>
        </w:trPr>
        <w:tc>
          <w:tcPr>
            <w:tcMar>
              <w:top w:w="100" w:type="dxa"/>
              <w:bottom w:w="100" w:type="dxa"/>
              <w:left w:w="150" w:type="dxa"/>
              <w:right w:w="150" w:type="dxa"/>
            </w:tcMar>
            <w:vAlign w:val="center"/>
          </w:tcPr>
          <w:p>
            <w:pPr>
              <w:pStyle w:val="Compact"/>
              <w:jc w:val="left"/>
              <w:suppressAutoHyphens/>
            </w:pPr>
            <w:r>
              <w:t xml:space="preserve">NUC</w:t>
            </w:r>
          </w:p>
        </w:tc>
        <w:tc>
          <w:tcPr>
            <w:tcMar>
              <w:top w:w="100" w:type="dxa"/>
              <w:bottom w:w="100" w:type="dxa"/>
              <w:left w:w="150" w:type="dxa"/>
              <w:right w:w="150" w:type="dxa"/>
            </w:tcMar>
            <w:vAlign w:val="center"/>
          </w:tcPr>
          <w:p>
            <w:pPr>
              <w:pStyle w:val="Compact"/>
              <w:jc w:val="left"/>
              <w:suppressAutoHyphens/>
            </w:pPr>
            <w:r>
              <w:t xml:space="preserve">National Universities Commission (Nigeria)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OCR</w:t>
            </w:r>
          </w:p>
        </w:tc>
        <w:tc>
          <w:tcPr>
            <w:tcMar>
              <w:top w:w="100" w:type="dxa"/>
              <w:bottom w:w="100" w:type="dxa"/>
              <w:left w:w="150" w:type="dxa"/>
              <w:right w:w="150" w:type="dxa"/>
            </w:tcMar>
            <w:vAlign w:val="center"/>
            <w:shd w:val="clear" w:color="auto" w:fill="F7F3E8"/>
          </w:tcPr>
          <w:p>
            <w:pPr>
              <w:pStyle w:val="Compact"/>
              <w:jc w:val="left"/>
              <w:suppressAutoHyphens/>
            </w:pPr>
            <w:r>
              <w:t xml:space="preserve">Optical Character Recognition</w:t>
            </w:r>
          </w:p>
        </w:tc>
      </w:tr>
      <w:tr>
        <w:trPr>
          <w:cantSplit/>
        </w:trPr>
        <w:tc>
          <w:tcPr>
            <w:tcMar>
              <w:top w:w="100" w:type="dxa"/>
              <w:bottom w:w="100" w:type="dxa"/>
              <w:left w:w="150" w:type="dxa"/>
              <w:right w:w="150" w:type="dxa"/>
            </w:tcMar>
            <w:vAlign w:val="center"/>
          </w:tcPr>
          <w:p>
            <w:pPr>
              <w:pStyle w:val="Compact"/>
              <w:jc w:val="left"/>
              <w:suppressAutoHyphens/>
            </w:pPr>
            <w:r>
              <w:t xml:space="preserve">OJS</w:t>
            </w:r>
          </w:p>
        </w:tc>
        <w:tc>
          <w:tcPr>
            <w:tcMar>
              <w:top w:w="100" w:type="dxa"/>
              <w:bottom w:w="100" w:type="dxa"/>
              <w:left w:w="150" w:type="dxa"/>
              <w:right w:w="150" w:type="dxa"/>
            </w:tcMar>
            <w:vAlign w:val="center"/>
          </w:tcPr>
          <w:p>
            <w:pPr>
              <w:pStyle w:val="Compact"/>
              <w:jc w:val="left"/>
              <w:suppressAutoHyphens/>
            </w:pPr>
            <w:r>
              <w:t xml:space="preserve">Open Journal Systems (open-access publishing platform)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OpEx</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r>
      <w:tr>
        <w:trPr>
          <w:cantSplit/>
        </w:trPr>
        <w:tc>
          <w:tcPr>
            <w:tcMar>
              <w:top w:w="100" w:type="dxa"/>
              <w:bottom w:w="100" w:type="dxa"/>
              <w:left w:w="150" w:type="dxa"/>
              <w:right w:w="150" w:type="dxa"/>
            </w:tcMar>
            <w:vAlign w:val="center"/>
          </w:tcPr>
          <w:p>
            <w:pPr>
              <w:pStyle w:val="Compact"/>
              <w:jc w:val="left"/>
              <w:suppressAutoHyphens/>
            </w:pPr>
            <w:r>
              <w:t xml:space="preserve">PCI-DSS</w:t>
            </w:r>
          </w:p>
        </w:tc>
        <w:tc>
          <w:tcPr>
            <w:tcMar>
              <w:top w:w="100" w:type="dxa"/>
              <w:bottom w:w="100" w:type="dxa"/>
              <w:left w:w="150" w:type="dxa"/>
              <w:right w:w="150" w:type="dxa"/>
            </w:tcMar>
            <w:vAlign w:val="center"/>
          </w:tcPr>
          <w:p>
            <w:pPr>
              <w:pStyle w:val="Compact"/>
              <w:jc w:val="left"/>
              <w:suppressAutoHyphens/>
            </w:pPr>
            <w:r>
              <w:t xml:space="preserve">Payment Card Industry Data Security Standard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Ph.D.</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 of Philosophy</w:t>
            </w:r>
          </w:p>
        </w:tc>
      </w:tr>
      <w:tr>
        <w:trPr>
          <w:cantSplit/>
        </w:trPr>
        <w:tc>
          <w:tcPr>
            <w:tcMar>
              <w:top w:w="100" w:type="dxa"/>
              <w:bottom w:w="100" w:type="dxa"/>
              <w:left w:w="150" w:type="dxa"/>
              <w:right w:w="150" w:type="dxa"/>
            </w:tcMar>
            <w:vAlign w:val="center"/>
          </w:tcPr>
          <w:p>
            <w:pPr>
              <w:pStyle w:val="Compact"/>
              <w:jc w:val="left"/>
              <w:suppressAutoHyphens/>
            </w:pPr>
            <w:r>
              <w:t xml:space="preserve">PGD</w:t>
            </w:r>
          </w:p>
        </w:tc>
        <w:tc>
          <w:tcPr>
            <w:tcMar>
              <w:top w:w="100" w:type="dxa"/>
              <w:bottom w:w="100" w:type="dxa"/>
              <w:left w:w="150" w:type="dxa"/>
              <w:right w:w="150" w:type="dxa"/>
            </w:tcMar>
            <w:vAlign w:val="center"/>
          </w:tcPr>
          <w:p>
            <w:pPr>
              <w:pStyle w:val="Compact"/>
              <w:jc w:val="left"/>
              <w:suppressAutoHyphens/>
            </w:pPr>
            <w:r>
              <w:t xml:space="preserve">Postgraduate Diploma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PLO</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Program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PPC</w:t>
            </w:r>
          </w:p>
        </w:tc>
        <w:tc>
          <w:tcPr>
            <w:tcMar>
              <w:top w:w="100" w:type="dxa"/>
              <w:bottom w:w="100" w:type="dxa"/>
              <w:left w:w="150" w:type="dxa"/>
              <w:right w:w="150" w:type="dxa"/>
            </w:tcMar>
            <w:vAlign w:val="center"/>
          </w:tcPr>
          <w:p>
            <w:pPr>
              <w:pStyle w:val="Compact"/>
              <w:jc w:val="left"/>
              <w:suppressAutoHyphens/>
            </w:pPr>
            <w:r>
              <w:t xml:space="preserve">Program Portfolio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PWA</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Progressive Web Application</w:t>
            </w:r>
          </w:p>
        </w:tc>
      </w:tr>
      <w:tr>
        <w:trPr>
          <w:cantSplit/>
        </w:trPr>
        <w:tc>
          <w:tcPr>
            <w:tcMar>
              <w:top w:w="100" w:type="dxa"/>
              <w:bottom w:w="100" w:type="dxa"/>
              <w:left w:w="150" w:type="dxa"/>
              <w:right w:w="150" w:type="dxa"/>
            </w:tcMar>
            <w:vAlign w:val="center"/>
          </w:tcPr>
          <w:p>
            <w:pPr>
              <w:pStyle w:val="Compact"/>
              <w:jc w:val="left"/>
              <w:suppressAutoHyphens/>
            </w:pPr>
            <w:r>
              <w:t xml:space="preserve">RAG</w:t>
            </w:r>
          </w:p>
        </w:tc>
        <w:tc>
          <w:tcPr>
            <w:tcMar>
              <w:top w:w="100" w:type="dxa"/>
              <w:bottom w:w="100" w:type="dxa"/>
              <w:left w:w="150" w:type="dxa"/>
              <w:right w:w="150" w:type="dxa"/>
            </w:tcMar>
            <w:vAlign w:val="center"/>
          </w:tcPr>
          <w:p>
            <w:pPr>
              <w:pStyle w:val="Compact"/>
              <w:jc w:val="left"/>
              <w:suppressAutoHyphens/>
            </w:pPr>
            <w:r>
              <w:t xml:space="preserve">Retrieval-Augmented Generation (AI architecture)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SACSCOC</w:t>
            </w:r>
          </w:p>
        </w:tc>
        <w:tc>
          <w:tcPr>
            <w:tcMar>
              <w:top w:w="100" w:type="dxa"/>
              <w:bottom w:w="100" w:type="dxa"/>
              <w:left w:w="150" w:type="dxa"/>
              <w:right w:w="150" w:type="dxa"/>
            </w:tcMar>
            <w:vAlign w:val="center"/>
            <w:shd w:val="clear" w:color="auto" w:fill="F7F3E8"/>
          </w:tcPr>
          <w:p>
            <w:pPr>
              <w:pStyle w:val="Compact"/>
              <w:jc w:val="left"/>
              <w:suppressAutoHyphens/>
            </w:pPr>
            <w:r>
              <w:t xml:space="preserve">Southern Association of Colleges and Schools Commission on Colleges (illustrative US regional accreditor reference)</w:t>
            </w:r>
          </w:p>
        </w:tc>
      </w:tr>
      <w:tr>
        <w:trPr>
          <w:cantSplit/>
        </w:trPr>
        <w:tc>
          <w:tcPr>
            <w:tcMar>
              <w:top w:w="100" w:type="dxa"/>
              <w:bottom w:w="100" w:type="dxa"/>
              <w:left w:w="150" w:type="dxa"/>
              <w:right w:w="150" w:type="dxa"/>
            </w:tcMar>
            <w:vAlign w:val="center"/>
          </w:tcPr>
          <w:p>
            <w:pPr>
              <w:pStyle w:val="Compact"/>
              <w:jc w:val="left"/>
              <w:suppressAutoHyphens/>
            </w:pPr>
            <w:r>
              <w:t xml:space="preserve">SCORM</w:t>
            </w:r>
          </w:p>
        </w:tc>
        <w:tc>
          <w:tcPr>
            <w:tcMar>
              <w:top w:w="100" w:type="dxa"/>
              <w:bottom w:w="100" w:type="dxa"/>
              <w:left w:w="150" w:type="dxa"/>
              <w:right w:w="150" w:type="dxa"/>
            </w:tcMar>
            <w:vAlign w:val="center"/>
          </w:tcPr>
          <w:p>
            <w:pPr>
              <w:pStyle w:val="Compact"/>
              <w:jc w:val="left"/>
              <w:suppressAutoHyphens/>
            </w:pPr>
            <w:r>
              <w:t xml:space="preserve">Sharable Content Object Reference Model (e-learning content standard)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SIS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Information System</w:t>
            </w:r>
          </w:p>
        </w:tc>
      </w:tr>
      <w:tr>
        <w:trPr>
          <w:cantSplit/>
        </w:trPr>
        <w:tc>
          <w:tcPr>
            <w:tcMar>
              <w:top w:w="100" w:type="dxa"/>
              <w:bottom w:w="100" w:type="dxa"/>
              <w:left w:w="150" w:type="dxa"/>
              <w:right w:w="150" w:type="dxa"/>
            </w:tcMar>
            <w:vAlign w:val="center"/>
          </w:tcPr>
          <w:p>
            <w:pPr>
              <w:pStyle w:val="Compact"/>
              <w:jc w:val="left"/>
              <w:suppressAutoHyphens/>
            </w:pPr>
            <w:r>
              <w:t xml:space="preserve">SOP</w:t>
            </w:r>
          </w:p>
        </w:tc>
        <w:tc>
          <w:tcPr>
            <w:tcMar>
              <w:top w:w="100" w:type="dxa"/>
              <w:bottom w:w="100" w:type="dxa"/>
              <w:left w:w="150" w:type="dxa"/>
              <w:right w:w="150" w:type="dxa"/>
            </w:tcMar>
            <w:vAlign w:val="center"/>
          </w:tcPr>
          <w:p>
            <w:pPr>
              <w:pStyle w:val="Compact"/>
              <w:jc w:val="left"/>
              <w:suppressAutoHyphens/>
            </w:pPr>
            <w:r>
              <w:t xml:space="preserve">Standard Operating Procedure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SSL</w:t>
            </w:r>
          </w:p>
        </w:tc>
        <w:tc>
          <w:tcPr>
            <w:tcMar>
              <w:top w:w="100" w:type="dxa"/>
              <w:bottom w:w="100" w:type="dxa"/>
              <w:left w:w="150" w:type="dxa"/>
              <w:right w:w="150" w:type="dxa"/>
            </w:tcMar>
            <w:vAlign w:val="center"/>
            <w:shd w:val="clear" w:color="auto" w:fill="F7F3E8"/>
          </w:tcPr>
          <w:p>
            <w:pPr>
              <w:pStyle w:val="Compact"/>
              <w:jc w:val="left"/>
              <w:suppressAutoHyphens/>
            </w:pPr>
            <w:r>
              <w:t xml:space="preserve">Secure Sockets Layer</w:t>
            </w:r>
          </w:p>
        </w:tc>
      </w:tr>
      <w:tr>
        <w:trPr>
          <w:cantSplit/>
        </w:trPr>
        <w:tc>
          <w:tcPr>
            <w:tcMar>
              <w:top w:w="100" w:type="dxa"/>
              <w:bottom w:w="100" w:type="dxa"/>
              <w:left w:w="150" w:type="dxa"/>
              <w:right w:w="150" w:type="dxa"/>
            </w:tcMar>
            <w:vAlign w:val="center"/>
          </w:tcPr>
          <w:p>
            <w:pPr>
              <w:pStyle w:val="Compact"/>
              <w:jc w:val="left"/>
              <w:suppressAutoHyphens/>
            </w:pPr>
            <w:r>
              <w:t xml:space="preserve">TOC</w:t>
            </w:r>
          </w:p>
        </w:tc>
        <w:tc>
          <w:tcPr>
            <w:tcMar>
              <w:top w:w="100" w:type="dxa"/>
              <w:bottom w:w="100" w:type="dxa"/>
              <w:left w:w="150" w:type="dxa"/>
              <w:right w:w="150" w:type="dxa"/>
            </w:tcMar>
            <w:vAlign w:val="center"/>
          </w:tcPr>
          <w:p>
            <w:pPr>
              <w:pStyle w:val="Compact"/>
              <w:jc w:val="left"/>
              <w:suppressAutoHyphens/>
            </w:pPr>
            <w:r>
              <w:t xml:space="preserve">Table of Contents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TWC</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Workforce Commission</w:t>
            </w:r>
          </w:p>
        </w:tc>
      </w:tr>
      <w:tr>
        <w:trPr>
          <w:cantSplit/>
        </w:trPr>
        <w:tc>
          <w:tcPr>
            <w:tcMar>
              <w:top w:w="100" w:type="dxa"/>
              <w:bottom w:w="100" w:type="dxa"/>
              <w:left w:w="150" w:type="dxa"/>
              <w:right w:w="150" w:type="dxa"/>
            </w:tcMar>
            <w:vAlign w:val="center"/>
          </w:tcPr>
          <w:p>
            <w:pPr>
              <w:pStyle w:val="Compact"/>
              <w:jc w:val="left"/>
              <w:suppressAutoHyphens/>
            </w:pPr>
            <w:r>
              <w:t xml:space="preserve">USPTO</w:t>
            </w:r>
          </w:p>
        </w:tc>
        <w:tc>
          <w:tcPr>
            <w:tcMar>
              <w:top w:w="100" w:type="dxa"/>
              <w:bottom w:w="100" w:type="dxa"/>
              <w:left w:w="150" w:type="dxa"/>
              <w:right w:w="150" w:type="dxa"/>
            </w:tcMar>
            <w:vAlign w:val="center"/>
          </w:tcPr>
          <w:p>
            <w:pPr>
              <w:pStyle w:val="Compact"/>
              <w:jc w:val="left"/>
              <w:suppressAutoHyphens/>
            </w:pPr>
            <w:r>
              <w:t xml:space="preserve">United States Patent and Trademark Office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xAPI</w:t>
            </w:r>
          </w:p>
        </w:tc>
        <w:tc>
          <w:tcPr>
            <w:tcMar>
              <w:top w:w="100" w:type="dxa"/>
              <w:bottom w:w="100" w:type="dxa"/>
              <w:left w:w="150" w:type="dxa"/>
              <w:right w:w="150" w:type="dxa"/>
            </w:tcMar>
            <w:vAlign w:val="center"/>
            <w:shd w:val="clear" w:color="auto" w:fill="F7F3E8"/>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Aqeedah</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theology and creed; the study of foundational Islamic belief.</w:t>
            </w:r>
          </w:p>
        </w:tc>
      </w:tr>
      <w:tr>
        <w:trPr>
          <w:cantSplit/>
        </w:trPr>
        <w:tc>
          <w:tcPr>
            <w:tcMar>
              <w:top w:w="100" w:type="dxa"/>
              <w:bottom w:w="100" w:type="dxa"/>
              <w:left w:w="150" w:type="dxa"/>
              <w:right w:w="150" w:type="dxa"/>
            </w:tcMar>
            <w:vAlign w:val="center"/>
          </w:tcPr>
          <w:p>
            <w:pPr>
              <w:pStyle w:val="Compact"/>
              <w:jc w:val="left"/>
              <w:suppressAutoHyphens/>
            </w:pPr>
            <w:r>
              <w:t xml:space="preserve">Waqf</w:t>
            </w:r>
          </w:p>
        </w:tc>
        <w:tc>
          <w:tcPr>
            <w:tcMar>
              <w:top w:w="100" w:type="dxa"/>
              <w:bottom w:w="100" w:type="dxa"/>
              <w:left w:w="150" w:type="dxa"/>
              <w:right w:w="150" w:type="dxa"/>
            </w:tcMar>
            <w:vAlign w:val="center"/>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Sadaqah Jāriyah</w:t>
            </w:r>
          </w:p>
        </w:tc>
        <w:tc>
          <w:tcPr>
            <w:tcMar>
              <w:top w:w="100" w:type="dxa"/>
              <w:bottom w:w="100" w:type="dxa"/>
              <w:left w:w="150" w:type="dxa"/>
              <w:right w:w="150" w:type="dxa"/>
            </w:tcMar>
            <w:vAlign w:val="center"/>
            <w:shd w:val="clear" w:color="auto" w:fill="F7F3E8"/>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tcMar>
              <w:top w:w="100" w:type="dxa"/>
              <w:bottom w:w="100" w:type="dxa"/>
              <w:left w:w="150" w:type="dxa"/>
              <w:right w:w="150" w:type="dxa"/>
            </w:tcMar>
            <w:vAlign w:val="center"/>
          </w:tcPr>
          <w:p>
            <w:pPr>
              <w:pStyle w:val="Compact"/>
              <w:jc w:val="left"/>
              <w:suppressAutoHyphens/>
            </w:pPr>
            <w:r>
              <w:t xml:space="preserve">Isnād</w:t>
            </w:r>
          </w:p>
        </w:tc>
        <w:tc>
          <w:tcPr>
            <w:tcMar>
              <w:top w:w="100" w:type="dxa"/>
              <w:bottom w:w="100" w:type="dxa"/>
              <w:left w:w="150" w:type="dxa"/>
              <w:right w:w="150" w:type="dxa"/>
            </w:tcMar>
            <w:vAlign w:val="center"/>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Ijāza</w:t>
            </w:r>
          </w:p>
        </w:tc>
        <w:tc>
          <w:tcPr>
            <w:tcMar>
              <w:top w:w="100" w:type="dxa"/>
              <w:bottom w:w="100" w:type="dxa"/>
              <w:left w:w="150" w:type="dxa"/>
              <w:right w:w="150" w:type="dxa"/>
            </w:tcMar>
            <w:vAlign w:val="center"/>
            <w:shd w:val="clear" w:color="auto" w:fill="F7F3E8"/>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Fiqh</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jurisprudence — the human scholarly effort to derive practical legal rulings from the Qur’ān and Sunnah.</w:t>
            </w:r>
          </w:p>
        </w:tc>
      </w:tr>
      <w:tr>
        <w:trPr>
          <w:cantSplit/>
        </w:trPr>
        <w:tc>
          <w:tcPr>
            <w:tcMar>
              <w:top w:w="100" w:type="dxa"/>
              <w:bottom w:w="100" w:type="dxa"/>
              <w:left w:w="150" w:type="dxa"/>
              <w:right w:w="150" w:type="dxa"/>
            </w:tcMar>
            <w:vAlign w:val="center"/>
          </w:tcPr>
          <w:p>
            <w:pPr>
              <w:pStyle w:val="Compact"/>
              <w:jc w:val="left"/>
              <w:suppressAutoHyphens/>
            </w:pPr>
            <w:r>
              <w:t xml:space="preserve">Uṣūl al-Fiqh</w:t>
            </w:r>
          </w:p>
        </w:tc>
        <w:tc>
          <w:tcPr>
            <w:tcMar>
              <w:top w:w="100" w:type="dxa"/>
              <w:bottom w:w="100" w:type="dxa"/>
              <w:left w:w="150" w:type="dxa"/>
              <w:right w:w="150" w:type="dxa"/>
            </w:tcMar>
            <w:vAlign w:val="center"/>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body of Islamic religious law derived from the Qur’ān and the Sunnah (Prophetic tradition).</w:t>
            </w:r>
          </w:p>
        </w:tc>
      </w:tr>
      <w:tr>
        <w:trPr>
          <w:cantSplit/>
        </w:trPr>
        <w:tc>
          <w:tcPr>
            <w:tcMar>
              <w:top w:w="100" w:type="dxa"/>
              <w:bottom w:w="100" w:type="dxa"/>
              <w:left w:w="150" w:type="dxa"/>
              <w:right w:w="150" w:type="dxa"/>
            </w:tcMar>
            <w:vAlign w:val="center"/>
          </w:tcPr>
          <w:p>
            <w:pPr>
              <w:pStyle w:val="Compact"/>
              <w:jc w:val="left"/>
              <w:suppressAutoHyphens/>
            </w:pPr>
            <w:r>
              <w:t xml:space="preserve">Tafsīr</w:t>
            </w:r>
          </w:p>
        </w:tc>
        <w:tc>
          <w:tcPr>
            <w:tcMar>
              <w:top w:w="100" w:type="dxa"/>
              <w:bottom w:w="100" w:type="dxa"/>
              <w:left w:w="150" w:type="dxa"/>
              <w:right w:w="150" w:type="dxa"/>
            </w:tcMar>
            <w:vAlign w:val="center"/>
          </w:tcPr>
          <w:p>
            <w:pPr>
              <w:pStyle w:val="Compact"/>
              <w:jc w:val="left"/>
              <w:suppressAutoHyphens/>
            </w:pPr>
            <w:r>
              <w:t xml:space="preserve">The scholarly discipline of Qur’ānic exegesis and interpretation.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Tajweed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set of rules governing the correct phonetic pronunciation and recitation of the Qur’ān.</w:t>
            </w:r>
          </w:p>
        </w:tc>
      </w:tr>
      <w:tr>
        <w:trPr>
          <w:cantSplit/>
        </w:trPr>
        <w:tc>
          <w:tcPr>
            <w:tcMar>
              <w:top w:w="100" w:type="dxa"/>
              <w:bottom w:w="100" w:type="dxa"/>
              <w:left w:w="150" w:type="dxa"/>
              <w:right w:w="150" w:type="dxa"/>
            </w:tcMar>
            <w:vAlign w:val="center"/>
          </w:tcPr>
          <w:p>
            <w:pPr>
              <w:pStyle w:val="Compact"/>
              <w:jc w:val="left"/>
              <w:suppressAutoHyphens/>
            </w:pPr>
            <w:r>
              <w:t xml:space="preserve">Qirā’āt</w:t>
            </w:r>
          </w:p>
        </w:tc>
        <w:tc>
          <w:tcPr>
            <w:tcMar>
              <w:top w:w="100" w:type="dxa"/>
              <w:bottom w:w="100" w:type="dxa"/>
              <w:left w:w="150" w:type="dxa"/>
              <w:right w:w="150" w:type="dxa"/>
            </w:tcMar>
            <w:vAlign w:val="center"/>
          </w:tcPr>
          <w:p>
            <w:pPr>
              <w:pStyle w:val="Compact"/>
              <w:jc w:val="left"/>
              <w:suppressAutoHyphens/>
            </w:pPr>
            <w:r>
              <w:t xml:space="preserve">The canonical variant modes/readings of Qur’ānic recitation.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Hifz</w:t>
            </w:r>
          </w:p>
        </w:tc>
        <w:tc>
          <w:tcPr>
            <w:tcMar>
              <w:top w:w="100" w:type="dxa"/>
              <w:bottom w:w="100" w:type="dxa"/>
              <w:left w:w="150" w:type="dxa"/>
              <w:right w:w="150" w:type="dxa"/>
            </w:tcMar>
            <w:vAlign w:val="center"/>
            <w:shd w:val="clear" w:color="auto" w:fill="F7F3E8"/>
          </w:tcPr>
          <w:p>
            <w:pPr>
              <w:pStyle w:val="Compact"/>
              <w:jc w:val="left"/>
              <w:suppressAutoHyphens/>
            </w:pPr>
            <w:r>
              <w:t xml:space="preserve">The memorization of the Qur’ān in its entirety.</w:t>
            </w:r>
          </w:p>
        </w:tc>
      </w:tr>
      <w:tr>
        <w:trPr>
          <w:cantSplit/>
        </w:trPr>
        <w:tc>
          <w:tcPr>
            <w:tcMar>
              <w:top w:w="100" w:type="dxa"/>
              <w:bottom w:w="100" w:type="dxa"/>
              <w:left w:w="150" w:type="dxa"/>
              <w:right w:w="150" w:type="dxa"/>
            </w:tcMar>
            <w:vAlign w:val="center"/>
          </w:tcPr>
          <w:p>
            <w:pPr>
              <w:pStyle w:val="Compact"/>
              <w:jc w:val="left"/>
              <w:suppressAutoHyphens/>
            </w:pPr>
            <w:r>
              <w:t xml:space="preserve">Hadith</w:t>
            </w:r>
          </w:p>
        </w:tc>
        <w:tc>
          <w:tcPr>
            <w:tcMar>
              <w:top w:w="100" w:type="dxa"/>
              <w:bottom w:w="100" w:type="dxa"/>
              <w:left w:w="150" w:type="dxa"/>
              <w:right w:w="150" w:type="dxa"/>
            </w:tcMar>
            <w:vAlign w:val="center"/>
          </w:tcPr>
          <w:p>
            <w:pPr>
              <w:pStyle w:val="Compact"/>
              <w:jc w:val="left"/>
              <w:suppressAutoHyphens/>
            </w:pPr>
            <w:r>
              <w:t xml:space="preserve">A recorded saying, action, or approval attributed to the Prophet Muhammad ﷺ, transmitted via an isnād.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w:t>
            </w:r>
          </w:p>
        </w:tc>
        <w:tc>
          <w:tcPr>
            <w:tcMar>
              <w:top w:w="100" w:type="dxa"/>
              <w:bottom w:w="100" w:type="dxa"/>
              <w:left w:w="150" w:type="dxa"/>
              <w:right w:w="150" w:type="dxa"/>
            </w:tcMar>
            <w:vAlign w:val="center"/>
            <w:shd w:val="clear" w:color="auto" w:fill="F7F3E8"/>
          </w:tcPr>
          <w:p>
            <w:pPr>
              <w:pStyle w:val="Compact"/>
              <w:jc w:val="left"/>
              <w:suppressAutoHyphens/>
            </w:pPr>
            <w:r>
              <w:t xml:space="preserve">The act of inviting or calling others to Islam, or to a deeper practice of it, through education, communication, and example.</w:t>
            </w:r>
          </w:p>
        </w:tc>
      </w:tr>
      <w:tr>
        <w:trPr>
          <w:cantSplit/>
        </w:trPr>
        <w:tc>
          <w:tcPr>
            <w:tcMar>
              <w:top w:w="100" w:type="dxa"/>
              <w:bottom w:w="100" w:type="dxa"/>
              <w:left w:w="150" w:type="dxa"/>
              <w:right w:w="150" w:type="dxa"/>
            </w:tcMar>
            <w:vAlign w:val="center"/>
          </w:tcPr>
          <w:p>
            <w:pPr>
              <w:pStyle w:val="Compact"/>
              <w:jc w:val="left"/>
              <w:suppressAutoHyphens/>
            </w:pPr>
            <w:r>
              <w:t xml:space="preserve">Madhhab (pl. madhāhib)</w:t>
            </w:r>
          </w:p>
        </w:tc>
        <w:tc>
          <w:tcPr>
            <w:tcMar>
              <w:top w:w="100" w:type="dxa"/>
              <w:bottom w:w="100" w:type="dxa"/>
              <w:left w:w="150" w:type="dxa"/>
              <w:right w:w="150" w:type="dxa"/>
            </w:tcMar>
            <w:vAlign w:val="center"/>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Zakāt</w:t>
            </w:r>
          </w:p>
        </w:tc>
        <w:tc>
          <w:tcPr>
            <w:tcMar>
              <w:top w:w="100" w:type="dxa"/>
              <w:bottom w:w="100" w:type="dxa"/>
              <w:left w:w="150" w:type="dxa"/>
              <w:right w:w="150" w:type="dxa"/>
            </w:tcMar>
            <w:vAlign w:val="center"/>
            <w:shd w:val="clear" w:color="auto" w:fill="F7F3E8"/>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tcMar>
              <w:top w:w="100" w:type="dxa"/>
              <w:bottom w:w="100" w:type="dxa"/>
              <w:left w:w="150" w:type="dxa"/>
              <w:right w:w="150" w:type="dxa"/>
            </w:tcMar>
            <w:vAlign w:val="center"/>
          </w:tcPr>
          <w:p>
            <w:pPr>
              <w:pStyle w:val="Compact"/>
              <w:jc w:val="left"/>
              <w:suppressAutoHyphens/>
            </w:pPr>
            <w:r>
              <w:t xml:space="preserve">Seerah</w:t>
            </w:r>
          </w:p>
        </w:tc>
        <w:tc>
          <w:tcPr>
            <w:tcMar>
              <w:top w:w="100" w:type="dxa"/>
              <w:bottom w:w="100" w:type="dxa"/>
              <w:left w:w="150" w:type="dxa"/>
              <w:right w:w="150" w:type="dxa"/>
            </w:tcMar>
            <w:vAlign w:val="center"/>
          </w:tcPr>
          <w:p>
            <w:pPr>
              <w:pStyle w:val="Compact"/>
              <w:jc w:val="left"/>
              <w:suppressAutoHyphens/>
            </w:pPr>
            <w:r>
              <w:t xml:space="preserve">The biographical study of the life of the Prophet Muhammad ﷺ.</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Akhlāq</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ethics; the study and cultivation of moral character.</w:t>
            </w:r>
          </w:p>
        </w:tc>
      </w:tr>
      <w:tr>
        <w:trPr>
          <w:cantSplit/>
        </w:trPr>
        <w:tc>
          <w:tcPr>
            <w:tcMar>
              <w:top w:w="100" w:type="dxa"/>
              <w:bottom w:w="100" w:type="dxa"/>
              <w:left w:w="150" w:type="dxa"/>
              <w:right w:w="150" w:type="dxa"/>
            </w:tcMar>
            <w:vAlign w:val="center"/>
          </w:tcPr>
          <w:p>
            <w:pPr>
              <w:pStyle w:val="Compact"/>
              <w:jc w:val="left"/>
              <w:suppressAutoHyphens/>
            </w:pPr>
            <w:r>
              <w:t xml:space="preserve">ISLAMIC Framework</w:t>
            </w:r>
          </w:p>
        </w:tc>
        <w:tc>
          <w:tcPr>
            <w:tcMar>
              <w:top w:w="100" w:type="dxa"/>
              <w:bottom w:w="100" w:type="dxa"/>
              <w:left w:w="150" w:type="dxa"/>
              <w:right w:w="150" w:type="dxa"/>
            </w:tcMar>
            <w:vAlign w:val="center"/>
          </w:tcPr>
          <w:p>
            <w:pPr>
              <w:pStyle w:val="Compact"/>
              <w:jc w:val="left"/>
              <w:suppressAutoHyphens/>
            </w:pPr>
            <w:r>
              <w:t xml:space="preserve">AMIU’s seven-value institutional framework: Illumination, Sanad, Love, Access, Morality, Inquiry, Calling — see Section 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The fixed 35%-of-Gross-Revenue allocation category funding institutional resilience, expansion, and accreditation costs (AMIU-MP-001 §5.7).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AMIU Strategic Business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retained (non-distributed) half of the Waqf &amp; Stakeholder Reserve, held in Sharī’ah-compliant investment instruments only.</w:t>
            </w:r>
          </w:p>
        </w:tc>
      </w:tr>
      <w:tr>
        <w:trPr>
          <w:cantSplit/>
        </w:trPr>
        <w:tc>
          <w:tcPr>
            <w:tcMar>
              <w:top w:w="100" w:type="dxa"/>
              <w:bottom w:w="100" w:type="dxa"/>
              <w:left w:w="150" w:type="dxa"/>
              <w:right w:w="150" w:type="dxa"/>
            </w:tcMar>
            <w:vAlign w:val="center"/>
          </w:tcPr>
          <w:p>
            <w:pPr>
              <w:pStyle w:val="Compact"/>
              <w:jc w:val="left"/>
              <w:suppressAutoHyphens/>
            </w:pPr>
            <w:r>
              <w:t xml:space="preserve">Capital Firewall</w:t>
            </w:r>
          </w:p>
        </w:tc>
        <w:tc>
          <w:tcPr>
            <w:tcMar>
              <w:top w:w="100" w:type="dxa"/>
              <w:bottom w:w="100" w:type="dxa"/>
              <w:left w:w="150" w:type="dxa"/>
              <w:right w:w="150" w:type="dxa"/>
            </w:tcMar>
            <w:vAlign w:val="center"/>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Commercial Engine</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Global Services LLC — the University’s legally and financially separate, investor-capitalized commercial affiliate.</w:t>
            </w:r>
          </w:p>
        </w:tc>
      </w:tr>
      <w:tr>
        <w:trPr>
          <w:cantSplit/>
        </w:trPr>
        <w:tc>
          <w:tcPr>
            <w:tcMar>
              <w:top w:w="100" w:type="dxa"/>
              <w:bottom w:w="100" w:type="dxa"/>
              <w:left w:w="150" w:type="dxa"/>
              <w:right w:w="150" w:type="dxa"/>
            </w:tcMar>
            <w:vAlign w:val="center"/>
          </w:tcPr>
          <w:p>
            <w:pPr>
              <w:pStyle w:val="Compact"/>
              <w:jc w:val="left"/>
              <w:suppressAutoHyphens/>
            </w:pPr>
            <w:r>
              <w:t xml:space="preserve">Fast-Track</w:t>
            </w:r>
          </w:p>
        </w:tc>
        <w:tc>
          <w:tcPr>
            <w:tcMar>
              <w:top w:w="100" w:type="dxa"/>
              <w:bottom w:w="100" w:type="dxa"/>
              <w:left w:w="150" w:type="dxa"/>
              <w:right w:w="150" w:type="dxa"/>
            </w:tcMar>
            <w:vAlign w:val="center"/>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1–4 (Tuition Tiers)</w:t>
            </w:r>
          </w:p>
        </w:tc>
        <w:tc>
          <w:tcPr>
            <w:tcMar>
              <w:top w:w="100" w:type="dxa"/>
              <w:bottom w:w="100" w:type="dxa"/>
              <w:left w:w="150" w:type="dxa"/>
              <w:right w:w="150" w:type="dxa"/>
            </w:tcMar>
            <w:vAlign w:val="center"/>
            <w:shd w:val="clear" w:color="auto" w:fill="F7F3E8"/>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tcMar>
              <w:top w:w="100" w:type="dxa"/>
              <w:bottom w:w="100" w:type="dxa"/>
              <w:left w:w="150" w:type="dxa"/>
              <w:right w:w="150" w:type="dxa"/>
            </w:tcMar>
            <w:vAlign w:val="center"/>
          </w:tcPr>
          <w:p>
            <w:pPr>
              <w:pStyle w:val="Compact"/>
              <w:jc w:val="left"/>
              <w:suppressAutoHyphens/>
            </w:pPr>
            <w:r>
              <w:t xml:space="preserve">Stackable Credential</w:t>
            </w:r>
          </w:p>
        </w:tc>
        <w:tc>
          <w:tcPr>
            <w:tcMar>
              <w:top w:w="100" w:type="dxa"/>
              <w:bottom w:w="100" w:type="dxa"/>
              <w:left w:w="150" w:type="dxa"/>
              <w:right w:w="150" w:type="dxa"/>
            </w:tcMar>
            <w:vAlign w:val="center"/>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Part I — Governance &amp; Institutional Foundations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Source Serif 4" w:hAnsi="Source Serif 4"/>
                <w:i/>
                <w:smallCaps/>
                <w:color w:val="8C97AB"/>
                <w:sz w:val="19"/>
                <w:spacing w:val="10"/>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Thrust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Founding Decade</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2028–2037</w:t>
            </w:r>
          </w:p>
        </w:tc>
        <w:tc>
          <w:tcPr>
            <w:tcMar>
              <w:top w:w="100" w:type="dxa"/>
              <w:bottom w:w="100" w:type="dxa"/>
              <w:left w:w="150" w:type="dxa"/>
              <w:right w:w="150" w:type="dxa"/>
            </w:tcMar>
            <w:vAlign w:val="center"/>
            <w:shd w:val="clear" w:color="auto" w:fill="F7F3E8"/>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tcMar>
              <w:top w:w="100" w:type="dxa"/>
              <w:bottom w:w="100" w:type="dxa"/>
              <w:left w:w="150" w:type="dxa"/>
              <w:right w:w="150" w:type="dxa"/>
            </w:tcMar>
            <w:vAlign w:val="center"/>
          </w:tcPr>
          <w:p>
            <w:pPr>
              <w:pStyle w:val="Compact"/>
              <w:jc w:val="left"/>
              <w:suppressAutoHyphens/>
            </w:pPr>
            <w:r>
              <w:t xml:space="preserve">II — Secular Expansion &amp; Global Accreditation</w:t>
            </w:r>
          </w:p>
        </w:tc>
        <w:tc>
          <w:tcPr>
            <w:tcMar>
              <w:top w:w="100" w:type="dxa"/>
              <w:bottom w:w="100" w:type="dxa"/>
              <w:left w:w="150" w:type="dxa"/>
              <w:right w:w="150" w:type="dxa"/>
            </w:tcMar>
            <w:vAlign w:val="center"/>
          </w:tcPr>
          <w:p>
            <w:pPr>
              <w:pStyle w:val="Compact"/>
              <w:jc w:val="left"/>
              <w:suppressAutoHyphens/>
            </w:pPr>
            <w:r>
              <w:t xml:space="preserve">2038–2047</w:t>
            </w:r>
          </w:p>
        </w:tc>
        <w:tc>
          <w:tcPr>
            <w:tcMar>
              <w:top w:w="100" w:type="dxa"/>
              <w:bottom w:w="100" w:type="dxa"/>
              <w:left w:w="150" w:type="dxa"/>
              <w:right w:w="150" w:type="dxa"/>
            </w:tcMar>
            <w:vAlign w:val="center"/>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Global Maturity &amp; Legacy</w:t>
            </w:r>
          </w:p>
        </w:tc>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1"/>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1"/>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Operational Home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Audit Mechanism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Curriculum design, DVC Academic Affairs</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Group II annual curriculum review</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Faculty credentialing, ijāzah/chain verification</w:t>
            </w:r>
          </w:p>
        </w:tc>
        <w:tc>
          <w:tcPr>
            <w:tcMar>
              <w:top w:w="100" w:type="dxa"/>
              <w:bottom w:w="100" w:type="dxa"/>
              <w:left w:w="150" w:type="dxa"/>
              <w:right w:w="150" w:type="dxa"/>
            </w:tcMar>
            <w:vAlign w:val="center"/>
          </w:tcPr>
          <w:p>
            <w:pPr>
              <w:pStyle w:val="Compact"/>
              <w:jc w:val="left"/>
              <w:suppressAutoHyphens/>
            </w:pPr>
            <w:r>
              <w:t xml:space="preserve">Independent Sharī’ah Advisory Board sign-off before program approval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Love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Scholarship Block, community outreach</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quarterly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Four-tier tuition, 15% upfront discount, Tier-4 built-in waivers</w:t>
            </w:r>
          </w:p>
        </w:tc>
        <w:tc>
          <w:tcPr>
            <w:tcMar>
              <w:top w:w="100" w:type="dxa"/>
              <w:bottom w:w="100" w:type="dxa"/>
              <w:left w:w="150" w:type="dxa"/>
              <w:right w:w="150" w:type="dxa"/>
            </w:tcMar>
            <w:vAlign w:val="center"/>
          </w:tcPr>
          <w:p>
            <w:pPr>
              <w:pStyle w:val="Compact"/>
              <w:jc w:val="left"/>
              <w:suppressAutoHyphens/>
            </w:pPr>
            <w:r>
              <w:t xml:space="preserve">Board of Trustees tuition-tier review (exclusive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Morality</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Sharī’ah-compliance screening of all revenue/investment activity</w:t>
            </w:r>
          </w:p>
        </w:tc>
        <w:tc>
          <w:tcPr>
            <w:tcMar>
              <w:top w:w="100" w:type="dxa"/>
              <w:bottom w:w="100" w:type="dxa"/>
              <w:left w:w="150" w:type="dxa"/>
              <w:right w:w="150" w:type="dxa"/>
            </w:tcMar>
            <w:vAlign w:val="center"/>
            <w:shd w:val="clear" w:color="auto" w:fill="F7F3E8"/>
          </w:tcPr>
          <w:p>
            <w:pPr>
              <w:pStyle w:val="Compact"/>
              <w:jc w:val="left"/>
              <w:suppressAutoHyphens/>
            </w:pPr>
            <w:r>
              <w:t xml:space="preserve">Independent Sharī’ah Advisory Board + Audit &amp; Risk Committee joint review</w:t>
            </w:r>
          </w:p>
        </w:tc>
      </w:tr>
      <w:tr>
        <w:trPr>
          <w:cantSplit/>
        </w:trPr>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Research tracks, Post-Doctoral Fellowship (Tier VII, Year 6)</w:t>
            </w:r>
          </w:p>
        </w:tc>
        <w:tc>
          <w:tcPr>
            <w:tcMar>
              <w:top w:w="100" w:type="dxa"/>
              <w:bottom w:w="100" w:type="dxa"/>
              <w:left w:w="150" w:type="dxa"/>
              <w:right w:w="150" w:type="dxa"/>
            </w:tcMar>
            <w:vAlign w:val="center"/>
          </w:tcPr>
          <w:p>
            <w:pPr>
              <w:pStyle w:val="Compact"/>
              <w:jc w:val="left"/>
              <w:suppressAutoHyphens/>
            </w:pPr>
            <w:r>
              <w:t xml:space="preserve">Senate degree-conferral and academic-standards process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Calling</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Financial self-sufficiency discipline, $0-deficit rule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Mandate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 &amp; Risk Committee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Internal Audit oversight, Risk Register (14 items) monitoring, IRS nonprofit-compliance review</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Board (fiduciary) + Senate (2/3+2-independent vote on &gt;$250k/yr deployment)</w:t>
            </w:r>
          </w:p>
        </w:tc>
        <w:tc>
          <w:tcPr>
            <w:tcMar>
              <w:top w:w="100" w:type="dxa"/>
              <w:bottom w:w="100" w:type="dxa"/>
              <w:left w:w="150" w:type="dxa"/>
              <w:right w:w="150" w:type="dxa"/>
            </w:tcMar>
            <w:vAlign w:val="center"/>
          </w:tcPr>
          <w:p>
            <w:pPr>
              <w:pStyle w:val="Compact"/>
              <w:jc w:val="left"/>
              <w:suppressAutoHyphens/>
            </w:pPr>
            <w:r>
              <w:t xml:space="preserve">Administers 20% Waqf allocation and five sub-categories; 14-day adjudication on Scholarship Block awards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Independent 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(academic) with Board notification rights</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Sharī’ah-compliance sign-off on curriculum, finance products, Commercial Engine ventures</w:t>
            </w:r>
          </w:p>
        </w:tc>
      </w:tr>
      <w:tr>
        <w:trPr>
          <w:cantSplit/>
        </w:trPr>
        <w:tc>
          <w:tcPr>
            <w:tcMar>
              <w:top w:w="100" w:type="dxa"/>
              <w:bottom w:w="100" w:type="dxa"/>
              <w:left w:w="150" w:type="dxa"/>
              <w:right w:w="150" w:type="dxa"/>
            </w:tcMar>
            <w:vAlign w:val="center"/>
          </w:tcPr>
          <w:p>
            <w:pPr>
              <w:pStyle w:val="Compact"/>
              <w:jc w:val="left"/>
              <w:suppressAutoHyphens/>
            </w:pPr>
            <w:r>
              <w:t xml:space="preserve">Faculty Affairs Committee</w:t>
            </w:r>
          </w:p>
        </w:tc>
        <w:tc>
          <w:tcPr>
            <w:tcMar>
              <w:top w:w="100" w:type="dxa"/>
              <w:bottom w:w="100" w:type="dxa"/>
              <w:left w:w="150" w:type="dxa"/>
              <w:right w:w="150" w:type="dxa"/>
            </w:tcMar>
            <w:vAlign w:val="center"/>
          </w:tcPr>
          <w:p>
            <w:pPr>
              <w:pStyle w:val="Compact"/>
              <w:jc w:val="left"/>
              <w:suppressAutoHyphens/>
            </w:pPr>
            <w:r>
              <w:t xml:space="preserve">Senate Group III (Heads of Department)</w:t>
            </w:r>
          </w:p>
        </w:tc>
        <w:tc>
          <w:tcPr>
            <w:tcMar>
              <w:top w:w="100" w:type="dxa"/>
              <w:bottom w:w="100" w:type="dxa"/>
              <w:left w:w="150" w:type="dxa"/>
              <w:right w:w="150" w:type="dxa"/>
            </w:tcMar>
            <w:vAlign w:val="center"/>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Quarter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Board Activity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Senate/Committee 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Q1</w:t>
            </w:r>
          </w:p>
        </w:tc>
        <w:tc>
          <w:tcPr>
            <w:tcMar>
              <w:top w:w="100" w:type="dxa"/>
              <w:bottom w:w="100" w:type="dxa"/>
              <w:left w:w="150" w:type="dxa"/>
              <w:right w:w="150" w:type="dxa"/>
            </w:tcMar>
            <w:vAlign w:val="center"/>
            <w:shd w:val="clear" w:color="auto" w:fill="F7F3E8"/>
          </w:tcPr>
          <w:p>
            <w:pPr>
              <w:pStyle w:val="Compact"/>
              <w:jc w:val="left"/>
              <w:suppressAutoHyphens/>
            </w:pPr>
            <w:r>
              <w:t xml:space="preserve">Prior-year audited financials review</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annual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Tuition-tier review (exclusive authority)</w:t>
            </w:r>
          </w:p>
        </w:tc>
        <w:tc>
          <w:tcPr>
            <w:tcMar>
              <w:top w:w="100" w:type="dxa"/>
              <w:bottom w:w="100" w:type="dxa"/>
              <w:left w:w="150" w:type="dxa"/>
              <w:right w:w="150" w:type="dxa"/>
            </w:tcMar>
            <w:vAlign w:val="center"/>
          </w:tcPr>
          <w:p>
            <w:pPr>
              <w:pStyle w:val="Compact"/>
              <w:jc w:val="left"/>
              <w:suppressAutoHyphens/>
            </w:pPr>
            <w:r>
              <w:t xml:space="preserve">Faculty Affairs annual review; Sharī’ah Advisory curriculum sign-off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Q3</w:t>
            </w:r>
          </w:p>
        </w:tc>
        <w:tc>
          <w:tcPr>
            <w:tcMar>
              <w:top w:w="100" w:type="dxa"/>
              <w:bottom w:w="100" w:type="dxa"/>
              <w:left w:w="150" w:type="dxa"/>
              <w:right w:w="150" w:type="dxa"/>
            </w:tcMar>
            <w:vAlign w:val="center"/>
            <w:shd w:val="clear" w:color="auto" w:fill="F7F3E8"/>
          </w:tcPr>
          <w:p>
            <w:pPr>
              <w:pStyle w:val="Compact"/>
              <w:jc w:val="left"/>
              <w:suppressAutoHyphens/>
            </w:pPr>
            <w:r>
              <w:t xml:space="preserve">Commercial Engine oversight review (firewall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program review, degree-conferral cycle</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Annual budget approval for coming fiscal year</w:t>
            </w:r>
          </w:p>
        </w:tc>
        <w:tc>
          <w:tcPr>
            <w:tcMar>
              <w:top w:w="100" w:type="dxa"/>
              <w:bottom w:w="100" w:type="dxa"/>
              <w:left w:w="150" w:type="dxa"/>
              <w:right w:w="150" w:type="dxa"/>
            </w:tcMar>
            <w:vAlign w:val="center"/>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Composition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Executive Leadership</w:t>
            </w:r>
          </w:p>
        </w:tc>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VC (Chair); DVC Academic Affairs, Muhammad Al-Qumash PhD (Vice-Chair); DVC Admin &amp; Finance, Abdullah Turki PhD (Secretary)</w:t>
            </w:r>
          </w:p>
        </w:tc>
      </w:tr>
      <w:tr>
        <w:trPr>
          <w:cantSplit/>
        </w:trPr>
        <w:tc>
          <w:tcPr>
            <w:tcMar>
              <w:top w:w="100" w:type="dxa"/>
              <w:bottom w:w="100" w:type="dxa"/>
              <w:left w:w="150" w:type="dxa"/>
              <w:right w:w="150" w:type="dxa"/>
            </w:tcMar>
            <w:vAlign w:val="center"/>
          </w:tcPr>
          <w:p>
            <w:pPr>
              <w:pStyle w:val="Compact"/>
              <w:jc w:val="left"/>
              <w:suppressAutoHyphens/>
            </w:pPr>
            <w:r>
              <w:t xml:space="preserve">II — Academic Operations</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4 College Deans (covering 6 colleges in paired/single assignments) + University Librarian (independent seat)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Frontline Instructional Management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tcMar>
              <w:top w:w="100" w:type="dxa"/>
              <w:bottom w:w="100" w:type="dxa"/>
              <w:left w:w="150" w:type="dxa"/>
              <w:right w:w="150" w:type="dxa"/>
            </w:tcMar>
            <w:vAlign w:val="center"/>
          </w:tcPr>
          <w:p>
            <w:pPr>
              <w:pStyle w:val="Compact"/>
              <w:jc w:val="left"/>
              <w:suppressAutoHyphens/>
            </w:pPr>
            <w:r>
              <w:t xml:space="preserve">IV — Institutional &amp; Digital Strategy</w:t>
            </w:r>
          </w:p>
        </w:tc>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Decision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Threshold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Ordinary business (curriculum, standard academic matters)</w:t>
            </w:r>
          </w:p>
        </w:tc>
        <w:tc>
          <w:tcPr>
            <w:tcMar>
              <w:top w:w="100" w:type="dxa"/>
              <w:bottom w:w="100" w:type="dxa"/>
              <w:left w:w="150" w:type="dxa"/>
              <w:right w:w="150" w:type="dxa"/>
            </w:tcMar>
            <w:vAlign w:val="center"/>
            <w:shd w:val="clear" w:color="auto" w:fill="F7F3E8"/>
          </w:tcPr>
          <w:p>
            <w:pPr>
              <w:pStyle w:val="Compact"/>
              <w:jc w:val="left"/>
              <w:suppressAutoHyphens/>
            </w:pPr>
            <w:r>
              <w:t xml:space="preserve">Simple majority of seated members, quorum = 10 of 18</w:t>
            </w:r>
          </w:p>
        </w:tc>
      </w:tr>
      <w:tr>
        <w:trPr>
          <w:cantSplit/>
        </w:trPr>
        <w:tc>
          <w:tcPr>
            <w:tcMar>
              <w:top w:w="100" w:type="dxa"/>
              <w:bottom w:w="100" w:type="dxa"/>
              <w:left w:w="150" w:type="dxa"/>
              <w:right w:w="150" w:type="dxa"/>
            </w:tcMar>
            <w:vAlign w:val="center"/>
          </w:tcPr>
          <w:p>
            <w:pPr>
              <w:pStyle w:val="Compact"/>
              <w:jc w:val="left"/>
              <w:suppressAutoHyphens/>
            </w:pPr>
            <w:r>
              <w:t xml:space="preserve">Waqf deployment above $250,000/yr</w:t>
            </w:r>
          </w:p>
        </w:tc>
        <w:tc>
          <w:tcPr>
            <w:tcMar>
              <w:top w:w="100" w:type="dxa"/>
              <w:bottom w:w="100" w:type="dxa"/>
              <w:left w:w="150" w:type="dxa"/>
              <w:right w:w="150" w:type="dxa"/>
            </w:tcMar>
            <w:vAlign w:val="center"/>
          </w:tcPr>
          <w:p>
            <w:pPr>
              <w:pStyle w:val="Compact"/>
              <w:jc w:val="left"/>
              <w:suppressAutoHyphens/>
            </w:pPr>
            <w:r>
              <w:t xml:space="preserve">2/3 Senate vote (12 of 18) including ≥2 of the 4 independent seats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Unanimous affirmative approval from all 4 independent seats (8, 16, 17, 18) — no exceptions, no proxy override</w:t>
            </w:r>
          </w:p>
        </w:tc>
      </w:tr>
      <w:tr>
        <w:trPr>
          <w:cantSplit/>
        </w:trPr>
        <w:tc>
          <w:tcPr>
            <w:tcMar>
              <w:top w:w="100" w:type="dxa"/>
              <w:bottom w:w="100" w:type="dxa"/>
              <w:left w:w="150" w:type="dxa"/>
              <w:right w:w="150" w:type="dxa"/>
            </w:tcMar>
            <w:vAlign w:val="center"/>
          </w:tcPr>
          <w:p>
            <w:pPr>
              <w:pStyle w:val="Compact"/>
              <w:jc w:val="left"/>
              <w:suppressAutoHyphens/>
            </w:pPr>
            <w:r>
              <w:t xml:space="preserve">Degree conferral / new program approval</w:t>
            </w:r>
          </w:p>
        </w:tc>
        <w:tc>
          <w:tcPr>
            <w:tcMar>
              <w:top w:w="100" w:type="dxa"/>
              <w:bottom w:w="100" w:type="dxa"/>
              <w:left w:w="150" w:type="dxa"/>
              <w:right w:w="150" w:type="dxa"/>
            </w:tcMar>
            <w:vAlign w:val="center"/>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Chairman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Presides over Board meetings, tie-breaking authority, primary liaison to the Senate Chair (President &amp; VC)</w:t>
            </w:r>
          </w:p>
        </w:tc>
      </w:tr>
      <w:tr>
        <w:trPr>
          <w:cantSplit/>
        </w:trPr>
        <w:tc>
          <w:tcPr>
            <w:tcMar>
              <w:top w:w="100" w:type="dxa"/>
              <w:bottom w:w="100" w:type="dxa"/>
              <w:left w:w="150" w:type="dxa"/>
              <w:right w:w="150" w:type="dxa"/>
            </w:tcMar>
            <w:vAlign w:val="center"/>
          </w:tcPr>
          <w:p>
            <w:pPr>
              <w:pStyle w:val="Compact"/>
              <w:jc w:val="left"/>
              <w:suppressAutoHyphens/>
            </w:pPr>
            <w:r>
              <w:t xml:space="preserve">Vision Architect / Founder</w:t>
            </w:r>
          </w:p>
        </w:tc>
        <w:tc>
          <w:tcPr>
            <w:tcMar>
              <w:top w:w="100" w:type="dxa"/>
              <w:bottom w:w="100" w:type="dxa"/>
              <w:left w:w="150" w:type="dxa"/>
              <w:right w:w="150" w:type="dxa"/>
            </w:tcMar>
            <w:vAlign w:val="center"/>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Governance Specialist</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policy, bylaws maintenance, committee-charter oversight</w:t>
            </w:r>
          </w:p>
        </w:tc>
      </w:tr>
      <w:tr>
        <w:trPr>
          <w:cantSplit/>
        </w:trPr>
        <w:tc>
          <w:tcPr>
            <w:tcMar>
              <w:top w:w="100" w:type="dxa"/>
              <w:bottom w:w="100" w:type="dxa"/>
              <w:left w:w="150" w:type="dxa"/>
              <w:right w:w="150" w:type="dxa"/>
            </w:tcMar>
            <w:vAlign w:val="center"/>
          </w:tcPr>
          <w:p>
            <w:pPr>
              <w:pStyle w:val="Compact"/>
              <w:jc w:val="left"/>
              <w:suppressAutoHyphens/>
            </w:pPr>
            <w:r>
              <w:t xml:space="preserve">Accreditation Consultant</w:t>
            </w:r>
          </w:p>
        </w:tc>
        <w:tc>
          <w:tcPr>
            <w:tcMar>
              <w:top w:w="100" w:type="dxa"/>
              <w:bottom w:w="100" w:type="dxa"/>
              <w:left w:w="150" w:type="dxa"/>
              <w:right w:w="150" w:type="dxa"/>
            </w:tcMar>
            <w:vAlign w:val="center"/>
          </w:tcPr>
          <w:p>
            <w:pPr>
              <w:pStyle w:val="Compact"/>
              <w:jc w:val="left"/>
              <w:suppressAutoHyphens/>
            </w:pPr>
            <w:r>
              <w:t xml:space="preserve">Guides the multi-jurisdiction accreditation pipeline (Texas → Gambia/NAQAA → ISO 21001 → CPD → future Gulf/Nigeria)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Affairs Director</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nonprofit compliance, IRS 501(c)(3) religious-exemption maintenance, Commercial Engine firewall legal enforcement</w:t>
            </w:r>
          </w:p>
        </w:tc>
      </w:tr>
      <w:tr>
        <w:trPr>
          <w:cantSplit/>
        </w:trPr>
        <w:tc>
          <w:tcPr>
            <w:tcMar>
              <w:top w:w="100" w:type="dxa"/>
              <w:bottom w:w="100" w:type="dxa"/>
              <w:left w:w="150" w:type="dxa"/>
              <w:right w:w="150" w:type="dxa"/>
            </w:tcMar>
            <w:vAlign w:val="center"/>
          </w:tcPr>
          <w:p>
            <w:pPr>
              <w:pStyle w:val="Compact"/>
              <w:jc w:val="left"/>
              <w:suppressAutoHyphens/>
            </w:pPr>
            <w:r>
              <w:t xml:space="preserve">Nonprofit/Endowment Governance Expert</w:t>
            </w:r>
          </w:p>
        </w:tc>
        <w:tc>
          <w:tcPr>
            <w:tcMar>
              <w:top w:w="100" w:type="dxa"/>
              <w:bottom w:w="100" w:type="dxa"/>
              <w:left w:w="150" w:type="dxa"/>
              <w:right w:w="150" w:type="dxa"/>
            </w:tcMar>
            <w:vAlign w:val="center"/>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II — Organizational &amp; Academic Structure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Source Serif 4" w:hAnsi="Source Serif 4"/>
                <w:i/>
                <w:smallCaps/>
                <w:color w:val="8C97AB"/>
                <w:sz w:val="19"/>
                <w:spacing w:val="10"/>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Layout w:type="fixed"/>
      </w:tblPr>
      <w:tblGrid>
        <w:gridCol w:w="2237"/>
        <w:gridCol w:w="1753"/>
        <w:gridCol w:w="1391"/>
        <w:gridCol w:w="2120"/>
        <w:gridCol w:w="15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237"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753" w:type="dxa"/>
          </w:tcPr>
          <w:p>
            <w:pPr>
              <w:pStyle w:val="Compact"/>
              <w:jc w:val="left"/>
            </w:pPr>
            <w:r>
              <w:rPr>
                <w:b/>
                <w:color w:val="FFFFFF"/>
                <w:caps/>
                <w:spacing w:val="4"/>
              </w:rPr>
              <w:t xml:space="preserve">Payroll (20% of Gross Rev)</w:t>
            </w:r>
          </w:p>
        </w:tc>
        <w:tc>
          <w:tcPr>
            <w:shd w:val="clear" w:color="auto" w:fill="122A4E"/>
            <w:tcMar>
              <w:top w:w="130" w:type="dxa"/>
              <w:bottom w:w="130" w:type="dxa"/>
              <w:left w:w="150" w:type="dxa"/>
              <w:right w:w="150" w:type="dxa"/>
            </w:tcMar>
            <w:tcBorders>
              <w:bottom w:val="single" w:sz="16" w:space="0" w:color="B08625"/>
            </w:tcBorders>
            <w:vAlign w:val="center"/>
            <w:tcW w:w="1391" w:type="dxa"/>
          </w:tcPr>
          <w:p>
            <w:pPr>
              <w:pStyle w:val="Compact"/>
              <w:jc w:val="left"/>
            </w:pPr>
            <w:r>
              <w:rPr>
                <w:b/>
                <w:color w:val="FFFFFF"/>
                <w:caps/>
                <w:spacing w:val="4"/>
              </w:rPr>
              <w:t xml:space="preserve">Admin/Ops FTE</w:t>
            </w:r>
          </w:p>
        </w:tc>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Registrar staff</w:t>
            </w:r>
          </w:p>
        </w:tc>
        <w:tc>
          <w:tcPr>
            <w:shd w:val="clear" w:color="auto" w:fill="122A4E"/>
            <w:tcMar>
              <w:top w:w="130" w:type="dxa"/>
              <w:bottom w:w="130" w:type="dxa"/>
              <w:left w:w="150" w:type="dxa"/>
              <w:right w:w="150" w:type="dxa"/>
            </w:tcMar>
            <w:tcBorders>
              <w:bottom w:val="single" w:sz="16" w:space="0" w:color="B08625"/>
            </w:tcBorders>
            <w:vAlign w:val="center"/>
            <w:tcW w:w="1571" w:type="dxa"/>
          </w:tcPr>
          <w:p>
            <w:pPr>
              <w:pStyle w:val="Compact"/>
              <w:jc w:val="left"/>
            </w:pPr>
            <w:r>
              <w:rPr>
                <w:b/>
                <w:color w:val="FFFFFF"/>
                <w:caps/>
                <w:spacing w:val="4"/>
              </w:rPr>
              <w:t xml:space="preserve">Key cost driver</w:t>
            </w:r>
          </w:p>
        </w:tc>
      </w:tr>
      <w:tr>
        <w:trPr>
          <w:cantSplit/>
        </w:trPr>
        <w:tc>
          <w:tcPr>
            <w:tcMar>
              <w:top w:w="100" w:type="dxa"/>
              <w:bottom w:w="100" w:type="dxa"/>
              <w:left w:w="150" w:type="dxa"/>
              <w:right w:w="150" w:type="dxa"/>
            </w:tcMar>
            <w:vAlign w:val="center"/>
            <w:shd w:val="clear" w:color="auto" w:fill="F7F3E8"/>
            <w:tcW w:w="2237" w:type="dxa"/>
          </w:tcPr>
          <w:p>
            <w:pPr>
              <w:pStyle w:val="Compact"/>
              <w:jc w:val="left"/>
            </w:pPr>
            <w:r>
              <w:t xml:space="preserve">Yr1</w:t>
            </w:r>
          </w:p>
        </w:tc>
        <w:tc>
          <w:tcPr>
            <w:tcMar>
              <w:top w:w="100" w:type="dxa"/>
              <w:bottom w:w="100" w:type="dxa"/>
              <w:left w:w="150" w:type="dxa"/>
              <w:right w:w="150" w:type="dxa"/>
            </w:tcMar>
            <w:vAlign w:val="center"/>
            <w:shd w:val="clear" w:color="auto" w:fill="F7F3E8"/>
            <w:tcW w:w="1753" w:type="dxa"/>
          </w:tcPr>
          <w:p>
            <w:pPr>
              <w:pStyle w:val="Compact"/>
              <w:jc w:val="left"/>
            </w:pPr>
            <w:r>
              <w:t xml:space="preserve">$44,949</w:t>
            </w:r>
          </w:p>
        </w:tc>
        <w:tc>
          <w:tcPr>
            <w:tcMar>
              <w:top w:w="100" w:type="dxa"/>
              <w:bottom w:w="100" w:type="dxa"/>
              <w:left w:w="150" w:type="dxa"/>
              <w:right w:w="150" w:type="dxa"/>
            </w:tcMar>
            <w:vAlign w:val="center"/>
            <w:shd w:val="clear" w:color="auto" w:fill="F7F3E8"/>
            <w:tcW w:w="1391" w:type="dxa"/>
          </w:tcPr>
          <w:p>
            <w:pPr>
              <w:pStyle w:val="Compact"/>
              <w:jc w:val="left"/>
            </w:pPr>
            <w:r>
              <w:t xml:space="preserve">1 (shared)</w:t>
            </w:r>
          </w:p>
        </w:tc>
        <w:tc>
          <w:tcPr>
            <w:tcMar>
              <w:top w:w="100" w:type="dxa"/>
              <w:bottom w:w="100" w:type="dxa"/>
              <w:left w:w="150" w:type="dxa"/>
              <w:right w:w="150" w:type="dxa"/>
            </w:tcMar>
            <w:vAlign w:val="center"/>
            <w:shd w:val="clear" w:color="auto" w:fill="F7F3E8"/>
            <w:tcW w:w="2120" w:type="dxa"/>
          </w:tcPr>
          <w:p>
            <w:pPr>
              <w:pStyle w:val="Compact"/>
              <w:jc w:val="left"/>
            </w:pPr>
            <w:r>
              <w:t xml:space="preserve">1</w:t>
            </w:r>
          </w:p>
        </w:tc>
        <w:tc>
          <w:tcPr>
            <w:tcMar>
              <w:top w:w="100" w:type="dxa"/>
              <w:bottom w:w="100" w:type="dxa"/>
              <w:left w:w="150" w:type="dxa"/>
              <w:right w:w="150" w:type="dxa"/>
            </w:tcMar>
            <w:vAlign w:val="center"/>
            <w:shd w:val="clear" w:color="auto" w:fill="F7F3E8"/>
            <w:tcW w:w="1571" w:type="dxa"/>
          </w:tcPr>
          <w:p>
            <w:pPr>
              <w:pStyle w:val="Compact"/>
              <w:jc w:val="left"/>
            </w:pPr>
            <w:r>
              <w:t xml:space="preserve">Core Admin sub-split 18% = $8,091</w:t>
            </w:r>
          </w:p>
        </w:tc>
      </w:tr>
      <w:tr>
        <w:trPr>
          <w:cantSplit/>
        </w:trPr>
        <w:tc>
          <w:tcPr>
            <w:tcMar>
              <w:top w:w="100" w:type="dxa"/>
              <w:bottom w:w="100" w:type="dxa"/>
              <w:left w:w="150" w:type="dxa"/>
              <w:right w:w="150" w:type="dxa"/>
            </w:tcMar>
            <w:vAlign w:val="center"/>
            <w:tcW w:w="2237" w:type="dxa"/>
          </w:tcPr>
          <w:p>
            <w:pPr>
              <w:pStyle w:val="Compact"/>
              <w:jc w:val="left"/>
            </w:pPr>
            <w:r>
              <w:t xml:space="preserve">Yr5</w:t>
            </w:r>
          </w:p>
        </w:tc>
        <w:tc>
          <w:tcPr>
            <w:tcMar>
              <w:top w:w="100" w:type="dxa"/>
              <w:bottom w:w="100" w:type="dxa"/>
              <w:left w:w="150" w:type="dxa"/>
              <w:right w:w="150" w:type="dxa"/>
            </w:tcMar>
            <w:vAlign w:val="center"/>
            <w:tcW w:w="1753" w:type="dxa"/>
          </w:tcPr>
          <w:p>
            <w:pPr>
              <w:pStyle w:val="Compact"/>
              <w:jc w:val="left"/>
            </w:pPr>
            <w:r>
              <w:t xml:space="preserve">$258,157</w:t>
            </w:r>
          </w:p>
        </w:tc>
        <w:tc>
          <w:tcPr>
            <w:tcMar>
              <w:top w:w="100" w:type="dxa"/>
              <w:bottom w:w="100" w:type="dxa"/>
              <w:left w:w="150" w:type="dxa"/>
              <w:right w:w="150" w:type="dxa"/>
            </w:tcMar>
            <w:vAlign w:val="center"/>
            <w:tcW w:w="1391" w:type="dxa"/>
          </w:tcPr>
          <w:p>
            <w:pPr>
              <w:pStyle w:val="Compact"/>
              <w:jc w:val="left"/>
            </w:pPr>
            <w:r>
              <w:t xml:space="preserve">3–4</w:t>
            </w:r>
          </w:p>
        </w:tc>
        <w:tc>
          <w:tcPr>
            <w:tcMar>
              <w:top w:w="100" w:type="dxa"/>
              <w:bottom w:w="100" w:type="dxa"/>
              <w:left w:w="150" w:type="dxa"/>
              <w:right w:w="150" w:type="dxa"/>
            </w:tcMar>
            <w:vAlign w:val="center"/>
            <w:tcW w:w="2120" w:type="dxa"/>
          </w:tcPr>
          <w:p>
            <w:pPr>
              <w:pStyle w:val="Compact"/>
              <w:jc w:val="left"/>
            </w:pPr>
            <w:r>
              <w:t xml:space="preserve">2–3</w:t>
            </w:r>
          </w:p>
        </w:tc>
        <w:tc>
          <w:tcPr>
            <w:tcMar>
              <w:top w:w="100" w:type="dxa"/>
              <w:bottom w:w="100" w:type="dxa"/>
              <w:left w:w="150" w:type="dxa"/>
              <w:right w:w="150" w:type="dxa"/>
            </w:tcMar>
            <w:vAlign w:val="center"/>
            <w:tcW w:w="1571" w:type="dxa"/>
          </w:tcPr>
          <w:p>
            <w:pPr>
              <w:pStyle w:val="Compact"/>
              <w:jc w:val="left"/>
            </w:pPr>
            <w:r>
              <w:t xml:space="preserve">Core Admin = $46,468</w:t>
            </w:r>
          </w:p>
        </w:tc>
      </w:tr>
      <w:tr>
        <w:trPr>
          <w:cantSplit/>
        </w:trPr>
        <w:tc>
          <w:tcPr>
            <w:tcMar>
              <w:top w:w="100" w:type="dxa"/>
              <w:bottom w:w="100" w:type="dxa"/>
              <w:left w:w="150" w:type="dxa"/>
              <w:right w:w="150" w:type="dxa"/>
            </w:tcMar>
            <w:vAlign w:val="center"/>
            <w:shd w:val="clear" w:color="auto" w:fill="F7F3E8"/>
            <w:tcW w:w="2237" w:type="dxa"/>
          </w:tcPr>
          <w:p>
            <w:pPr>
              <w:pStyle w:val="Compact"/>
              <w:jc w:val="left"/>
            </w:pPr>
            <w:r>
              <w:t xml:space="preserve">Yr15 (illustrative)</w:t>
            </w:r>
          </w:p>
        </w:tc>
        <w:tc>
          <w:tcPr>
            <w:tcMar>
              <w:top w:w="100" w:type="dxa"/>
              <w:bottom w:w="100" w:type="dxa"/>
              <w:left w:w="150" w:type="dxa"/>
              <w:right w:w="150" w:type="dxa"/>
            </w:tcMar>
            <w:vAlign w:val="center"/>
            <w:shd w:val="clear" w:color="auto" w:fill="F7F3E8"/>
            <w:tcW w:w="1753" w:type="dxa"/>
          </w:tcPr>
          <w:p>
            <w:pPr>
              <w:pStyle w:val="Compact"/>
              <w:jc w:val="left"/>
            </w:pPr>
            <w:r>
              <w:t xml:space="preserve">≈$8.62M</w:t>
            </w:r>
          </w:p>
        </w:tc>
        <w:tc>
          <w:tcPr>
            <w:tcMar>
              <w:top w:w="100" w:type="dxa"/>
              <w:bottom w:w="100" w:type="dxa"/>
              <w:left w:w="150" w:type="dxa"/>
              <w:right w:w="150" w:type="dxa"/>
            </w:tcMar>
            <w:vAlign w:val="center"/>
            <w:shd w:val="clear" w:color="auto" w:fill="F7F3E8"/>
            <w:tcW w:w="1391" w:type="dxa"/>
          </w:tcPr>
          <w:p>
            <w:pPr>
              <w:pStyle w:val="Compact"/>
              <w:jc w:val="left"/>
            </w:pPr>
            <w:r>
              <w:t xml:space="preserve">20–30</w:t>
            </w:r>
          </w:p>
        </w:tc>
        <w:tc>
          <w:tcPr>
            <w:tcMar>
              <w:top w:w="100" w:type="dxa"/>
              <w:bottom w:w="100" w:type="dxa"/>
              <w:left w:w="150" w:type="dxa"/>
              <w:right w:w="150" w:type="dxa"/>
            </w:tcMar>
            <w:vAlign w:val="center"/>
            <w:shd w:val="clear" w:color="auto" w:fill="F7F3E8"/>
            <w:tcW w:w="2120" w:type="dxa"/>
          </w:tcPr>
          <w:p>
            <w:pPr>
              <w:pStyle w:val="Compact"/>
              <w:jc w:val="left"/>
            </w:pPr>
            <w:r>
              <w:t xml:space="preserve">6–8</w:t>
            </w:r>
          </w:p>
        </w:tc>
        <w:tc>
          <w:tcPr>
            <w:tcMar>
              <w:top w:w="100" w:type="dxa"/>
              <w:bottom w:w="100" w:type="dxa"/>
              <w:left w:w="150" w:type="dxa"/>
              <w:right w:w="150" w:type="dxa"/>
            </w:tcMar>
            <w:vAlign w:val="center"/>
            <w:shd w:val="clear" w:color="auto" w:fill="F7F3E8"/>
            <w:tcW w:w="1571" w:type="dxa"/>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2"/>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Layout w:type="fixed"/>
      </w:tblPr>
      <w:tblGrid>
        <w:gridCol w:w="1570"/>
        <w:gridCol w:w="2269"/>
        <w:gridCol w:w="2762"/>
        <w:gridCol w:w="24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269"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762" w:type="dxa"/>
          </w:tcPr>
          <w:p>
            <w:pPr>
              <w:pStyle w:val="Compact"/>
              <w:jc w:val="left"/>
            </w:pPr>
            <w:r>
              <w:rPr>
                <w:b/>
                <w:color w:val="FFFFFF"/>
                <w:caps/>
                <w:spacing w:val="4"/>
              </w:rPr>
              <w:t xml:space="preserve">Tier(s) launched</w:t>
            </w:r>
          </w:p>
        </w:tc>
        <w:tc>
          <w:tcPr>
            <w:shd w:val="clear" w:color="auto" w:fill="122A4E"/>
            <w:tcMar>
              <w:top w:w="130" w:type="dxa"/>
              <w:bottom w:w="130" w:type="dxa"/>
              <w:left w:w="150" w:type="dxa"/>
              <w:right w:w="150" w:type="dxa"/>
            </w:tcMar>
            <w:tcBorders>
              <w:bottom w:val="single" w:sz="16" w:space="0" w:color="B08625"/>
            </w:tcBorders>
            <w:vAlign w:val="center"/>
            <w:tcW w:w="2471" w:type="dxa"/>
          </w:tcPr>
          <w:p>
            <w:pPr>
              <w:pStyle w:val="Compact"/>
              <w:jc w:val="left"/>
            </w:pPr>
            <w:r>
              <w:rPr>
                <w:b/>
                <w:color w:val="FFFFFF"/>
                <w:caps/>
                <w:spacing w:val="4"/>
              </w:rPr>
              <w:t xml:space="preserve">Programs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1</w:t>
            </w:r>
          </w:p>
        </w:tc>
        <w:tc>
          <w:tcPr>
            <w:tcMar>
              <w:top w:w="100" w:type="dxa"/>
              <w:bottom w:w="100" w:type="dxa"/>
              <w:left w:w="150" w:type="dxa"/>
              <w:right w:w="150" w:type="dxa"/>
            </w:tcMar>
            <w:vAlign w:val="center"/>
            <w:shd w:val="clear" w:color="auto" w:fill="F7F3E8"/>
            <w:tcW w:w="2269" w:type="dxa"/>
          </w:tcPr>
          <w:p>
            <w:pPr>
              <w:pStyle w:val="Compact"/>
              <w:jc w:val="left"/>
            </w:pPr>
            <w:r>
              <w:t xml:space="preserve">Yr1 (2028)</w:t>
            </w:r>
          </w:p>
        </w:tc>
        <w:tc>
          <w:tcPr>
            <w:tcMar>
              <w:top w:w="100" w:type="dxa"/>
              <w:bottom w:w="100" w:type="dxa"/>
              <w:left w:w="150" w:type="dxa"/>
              <w:right w:w="150" w:type="dxa"/>
            </w:tcMar>
            <w:vAlign w:val="center"/>
            <w:shd w:val="clear" w:color="auto" w:fill="F7F3E8"/>
            <w:tcW w:w="2762" w:type="dxa"/>
          </w:tcPr>
          <w:p>
            <w:pPr>
              <w:pStyle w:val="Compact"/>
              <w:jc w:val="left"/>
            </w:pPr>
            <w:r>
              <w:t xml:space="preserve">I Diploma, II Associate, III BA</w:t>
            </w:r>
          </w:p>
        </w:tc>
        <w:tc>
          <w:tcPr>
            <w:tcMar>
              <w:top w:w="100" w:type="dxa"/>
              <w:bottom w:w="100" w:type="dxa"/>
              <w:left w:w="150" w:type="dxa"/>
              <w:right w:w="150" w:type="dxa"/>
            </w:tcMar>
            <w:vAlign w:val="center"/>
            <w:shd w:val="clear" w:color="auto" w:fill="F7F3E8"/>
            <w:tcW w:w="2471" w:type="dxa"/>
          </w:tcPr>
          <w:p>
            <w:pPr>
              <w:pStyle w:val="Compact"/>
              <w:jc w:val="left"/>
            </w:pPr>
            <w:r>
              <w:t xml:space="preserve">#1–47 (47 programs)</w:t>
            </w:r>
          </w:p>
        </w:tc>
      </w:tr>
      <w:tr>
        <w:trPr>
          <w:cantSplit/>
        </w:trPr>
        <w:tc>
          <w:tcPr>
            <w:tcMar>
              <w:top w:w="100" w:type="dxa"/>
              <w:bottom w:w="100" w:type="dxa"/>
              <w:left w:w="150" w:type="dxa"/>
              <w:right w:w="150" w:type="dxa"/>
            </w:tcMar>
            <w:vAlign w:val="center"/>
            <w:tcW w:w="1570" w:type="dxa"/>
          </w:tcPr>
          <w:p>
            <w:pPr>
              <w:pStyle w:val="Compact"/>
              <w:jc w:val="left"/>
            </w:pPr>
            <w:r>
              <w:t xml:space="preserve">2</w:t>
            </w:r>
          </w:p>
        </w:tc>
        <w:tc>
          <w:tcPr>
            <w:tcMar>
              <w:top w:w="100" w:type="dxa"/>
              <w:bottom w:w="100" w:type="dxa"/>
              <w:left w:w="150" w:type="dxa"/>
              <w:right w:w="150" w:type="dxa"/>
            </w:tcMar>
            <w:vAlign w:val="center"/>
            <w:tcW w:w="2269" w:type="dxa"/>
          </w:tcPr>
          <w:p>
            <w:pPr>
              <w:pStyle w:val="Compact"/>
              <w:jc w:val="left"/>
            </w:pPr>
            <w:r>
              <w:t xml:space="preserve">Yr2 (2029)</w:t>
            </w:r>
          </w:p>
        </w:tc>
        <w:tc>
          <w:tcPr>
            <w:tcMar>
              <w:top w:w="100" w:type="dxa"/>
              <w:bottom w:w="100" w:type="dxa"/>
              <w:left w:w="150" w:type="dxa"/>
              <w:right w:w="150" w:type="dxa"/>
            </w:tcMar>
            <w:vAlign w:val="center"/>
            <w:tcW w:w="2762" w:type="dxa"/>
          </w:tcPr>
          <w:p>
            <w:pPr>
              <w:pStyle w:val="Compact"/>
              <w:jc w:val="left"/>
            </w:pPr>
            <w:r>
              <w:t xml:space="preserve">IV Higher PG Diploma, V MA</w:t>
            </w:r>
          </w:p>
        </w:tc>
        <w:tc>
          <w:tcPr>
            <w:tcMar>
              <w:top w:w="100" w:type="dxa"/>
              <w:bottom w:w="100" w:type="dxa"/>
              <w:left w:w="150" w:type="dxa"/>
              <w:right w:w="150" w:type="dxa"/>
            </w:tcMar>
            <w:vAlign w:val="center"/>
            <w:tcW w:w="2471" w:type="dxa"/>
          </w:tcPr>
          <w:p>
            <w:pPr>
              <w:pStyle w:val="Compact"/>
              <w:jc w:val="left"/>
            </w:pPr>
            <w:r>
              <w:t xml:space="preserve">#48–61 (14 programs)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3</w:t>
            </w:r>
          </w:p>
        </w:tc>
        <w:tc>
          <w:tcPr>
            <w:tcMar>
              <w:top w:w="100" w:type="dxa"/>
              <w:bottom w:w="100" w:type="dxa"/>
              <w:left w:w="150" w:type="dxa"/>
              <w:right w:w="150" w:type="dxa"/>
            </w:tcMar>
            <w:vAlign w:val="center"/>
            <w:shd w:val="clear" w:color="auto" w:fill="F7F3E8"/>
            <w:tcW w:w="2269" w:type="dxa"/>
          </w:tcPr>
          <w:p>
            <w:pPr>
              <w:pStyle w:val="Compact"/>
              <w:jc w:val="left"/>
            </w:pPr>
            <w:r>
              <w:t xml:space="preserve">Yr3 (2030)</w:t>
            </w:r>
          </w:p>
        </w:tc>
        <w:tc>
          <w:tcPr>
            <w:tcMar>
              <w:top w:w="100" w:type="dxa"/>
              <w:bottom w:w="100" w:type="dxa"/>
              <w:left w:w="150" w:type="dxa"/>
              <w:right w:w="150" w:type="dxa"/>
            </w:tcMar>
            <w:vAlign w:val="center"/>
            <w:shd w:val="clear" w:color="auto" w:fill="F7F3E8"/>
            <w:tcW w:w="2762" w:type="dxa"/>
          </w:tcPr>
          <w:p>
            <w:pPr>
              <w:pStyle w:val="Compact"/>
              <w:jc w:val="left"/>
            </w:pPr>
            <w:r>
              <w:t xml:space="preserve">VI PhD</w:t>
            </w:r>
          </w:p>
        </w:tc>
        <w:tc>
          <w:tcPr>
            <w:tcMar>
              <w:top w:w="100" w:type="dxa"/>
              <w:bottom w:w="100" w:type="dxa"/>
              <w:left w:w="150" w:type="dxa"/>
              <w:right w:w="150" w:type="dxa"/>
            </w:tcMar>
            <w:vAlign w:val="center"/>
            <w:shd w:val="clear" w:color="auto" w:fill="F7F3E8"/>
            <w:tcW w:w="2471" w:type="dxa"/>
          </w:tcPr>
          <w:p>
            <w:pPr>
              <w:pStyle w:val="Compact"/>
              <w:jc w:val="left"/>
            </w:pPr>
            <w:r>
              <w:t xml:space="preserve">#62–67 (6 programs)</w:t>
            </w:r>
          </w:p>
        </w:tc>
      </w:tr>
      <w:tr>
        <w:trPr>
          <w:cantSplit/>
        </w:trPr>
        <w:tc>
          <w:tcPr>
            <w:tcMar>
              <w:top w:w="100" w:type="dxa"/>
              <w:bottom w:w="100" w:type="dxa"/>
              <w:left w:w="150" w:type="dxa"/>
              <w:right w:w="150" w:type="dxa"/>
            </w:tcMar>
            <w:vAlign w:val="center"/>
            <w:tcW w:w="1570" w:type="dxa"/>
          </w:tcPr>
          <w:p>
            <w:pPr>
              <w:pStyle w:val="Compact"/>
              <w:jc w:val="left"/>
            </w:pPr>
            <w:r>
              <w:t xml:space="preserve">4</w:t>
            </w:r>
          </w:p>
        </w:tc>
        <w:tc>
          <w:tcPr>
            <w:tcMar>
              <w:top w:w="100" w:type="dxa"/>
              <w:bottom w:w="100" w:type="dxa"/>
              <w:left w:w="150" w:type="dxa"/>
              <w:right w:w="150" w:type="dxa"/>
            </w:tcMar>
            <w:vAlign w:val="center"/>
            <w:tcW w:w="2269" w:type="dxa"/>
          </w:tcPr>
          <w:p>
            <w:pPr>
              <w:pStyle w:val="Compact"/>
              <w:jc w:val="left"/>
            </w:pPr>
            <w:r>
              <w:t xml:space="preserve">Yr6 (2033)</w:t>
            </w:r>
          </w:p>
        </w:tc>
        <w:tc>
          <w:tcPr>
            <w:tcMar>
              <w:top w:w="100" w:type="dxa"/>
              <w:bottom w:w="100" w:type="dxa"/>
              <w:left w:w="150" w:type="dxa"/>
              <w:right w:w="150" w:type="dxa"/>
            </w:tcMar>
            <w:vAlign w:val="center"/>
            <w:tcW w:w="2762" w:type="dxa"/>
          </w:tcPr>
          <w:p>
            <w:pPr>
              <w:pStyle w:val="Compact"/>
              <w:jc w:val="left"/>
            </w:pPr>
            <w:r>
              <w:t xml:space="preserve">VII Post-Doctoral Fellowship (non-credit)</w:t>
            </w:r>
          </w:p>
        </w:tc>
        <w:tc>
          <w:tcPr>
            <w:tcMar>
              <w:top w:w="100" w:type="dxa"/>
              <w:bottom w:w="100" w:type="dxa"/>
              <w:left w:w="150" w:type="dxa"/>
              <w:right w:w="150" w:type="dxa"/>
            </w:tcMar>
            <w:vAlign w:val="center"/>
            <w:tcW w:w="2471" w:type="dxa"/>
          </w:tcPr>
          <w:p>
            <w:pPr>
              <w:pStyle w:val="Compact"/>
              <w:jc w:val="left"/>
            </w:pPr>
            <w:r>
              <w:t xml:space="preserve">#68–71 (4 tracks)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5</w:t>
            </w:r>
          </w:p>
        </w:tc>
        <w:tc>
          <w:tcPr>
            <w:tcMar>
              <w:top w:w="100" w:type="dxa"/>
              <w:bottom w:w="100" w:type="dxa"/>
              <w:left w:w="150" w:type="dxa"/>
              <w:right w:w="150" w:type="dxa"/>
            </w:tcMar>
            <w:vAlign w:val="center"/>
            <w:shd w:val="clear" w:color="auto" w:fill="F7F3E8"/>
            <w:tcW w:w="2269" w:type="dxa"/>
          </w:tcPr>
          <w:p>
            <w:pPr>
              <w:pStyle w:val="Compact"/>
              <w:jc w:val="left"/>
            </w:pPr>
            <w:r>
              <w:t xml:space="preserve">Yr11 (2038)</w:t>
            </w:r>
          </w:p>
        </w:tc>
        <w:tc>
          <w:tcPr>
            <w:tcMar>
              <w:top w:w="100" w:type="dxa"/>
              <w:bottom w:w="100" w:type="dxa"/>
              <w:left w:w="150" w:type="dxa"/>
              <w:right w:w="150" w:type="dxa"/>
            </w:tcMar>
            <w:vAlign w:val="center"/>
            <w:shd w:val="clear" w:color="auto" w:fill="F7F3E8"/>
            <w:tcW w:w="2762" w:type="dxa"/>
          </w:tcPr>
          <w:p>
            <w:pPr>
              <w:pStyle w:val="Compact"/>
              <w:jc w:val="left"/>
            </w:pPr>
            <w:r>
              <w:t xml:space="preserve">7 Secular Schools</w:t>
            </w:r>
          </w:p>
        </w:tc>
        <w:tc>
          <w:tcPr>
            <w:tcMar>
              <w:top w:w="100" w:type="dxa"/>
              <w:bottom w:w="100" w:type="dxa"/>
              <w:left w:w="150" w:type="dxa"/>
              <w:right w:w="150" w:type="dxa"/>
            </w:tcMar>
            <w:vAlign w:val="center"/>
            <w:shd w:val="clear" w:color="auto" w:fill="F7F3E8"/>
            <w:tcW w:w="2471" w:type="dxa"/>
          </w:tcPr>
          <w:p>
            <w:pPr>
              <w:pStyle w:val="Compact"/>
              <w:jc w:val="left"/>
            </w:pPr>
            <w:r>
              <w:t xml:space="preserve">#72–99 (28 programs)</w:t>
            </w:r>
          </w:p>
        </w:tc>
      </w:tr>
      <w:tr>
        <w:trPr>
          <w:cantSplit/>
        </w:trPr>
        <w:tc>
          <w:tcPr>
            <w:tcMar>
              <w:top w:w="100" w:type="dxa"/>
              <w:bottom w:w="100" w:type="dxa"/>
              <w:left w:w="150" w:type="dxa"/>
              <w:right w:w="150" w:type="dxa"/>
            </w:tcMar>
            <w:vAlign w:val="center"/>
            <w:tcW w:w="1570" w:type="dxa"/>
          </w:tcPr>
          <w:p>
            <w:pPr>
              <w:pStyle w:val="Compact"/>
              <w:jc w:val="left"/>
            </w:pPr>
            <w:r>
              <w:t xml:space="preserve">6</w:t>
            </w:r>
          </w:p>
        </w:tc>
        <w:tc>
          <w:tcPr>
            <w:tcMar>
              <w:top w:w="100" w:type="dxa"/>
              <w:bottom w:w="100" w:type="dxa"/>
              <w:left w:w="150" w:type="dxa"/>
              <w:right w:w="150" w:type="dxa"/>
            </w:tcMar>
            <w:vAlign w:val="center"/>
            <w:tcW w:w="2269" w:type="dxa"/>
          </w:tcPr>
          <w:p>
            <w:pPr>
              <w:pStyle w:val="Compact"/>
              <w:jc w:val="left"/>
            </w:pPr>
            <w:r>
              <w:t xml:space="preserve">Yr12–20 (2039–2047)</w:t>
            </w:r>
          </w:p>
        </w:tc>
        <w:tc>
          <w:tcPr>
            <w:tcMar>
              <w:top w:w="100" w:type="dxa"/>
              <w:bottom w:w="100" w:type="dxa"/>
              <w:left w:w="150" w:type="dxa"/>
              <w:right w:w="150" w:type="dxa"/>
            </w:tcMar>
            <w:vAlign w:val="center"/>
            <w:tcW w:w="2762" w:type="dxa"/>
          </w:tcPr>
          <w:p>
            <w:pPr>
              <w:pStyle w:val="Compact"/>
              <w:jc w:val="left"/>
            </w:pPr>
            <w:r>
              <w:t xml:space="preserve">Maturation, dual Islamic/secular gen-ed bridges</w:t>
            </w:r>
          </w:p>
        </w:tc>
        <w:tc>
          <w:tcPr>
            <w:tcMar>
              <w:top w:w="100" w:type="dxa"/>
              <w:bottom w:w="100" w:type="dxa"/>
              <w:left w:w="150" w:type="dxa"/>
              <w:right w:w="150" w:type="dxa"/>
            </w:tcMar>
            <w:vAlign w:val="center"/>
            <w:tcW w:w="2471" w:type="dxa"/>
          </w:tcPr>
          <w:p>
            <w:pPr>
              <w:pStyle w:val="Compact"/>
              <w:jc w:val="left"/>
            </w:pPr>
            <w:r>
              <w:t xml:space="preserve">no new numbered programs w/o Senate</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7</w:t>
            </w:r>
          </w:p>
        </w:tc>
        <w:tc>
          <w:tcPr>
            <w:tcMar>
              <w:top w:w="100" w:type="dxa"/>
              <w:bottom w:w="100" w:type="dxa"/>
              <w:left w:w="150" w:type="dxa"/>
              <w:right w:w="150" w:type="dxa"/>
            </w:tcMar>
            <w:vAlign w:val="center"/>
            <w:shd w:val="clear" w:color="auto" w:fill="F7F3E8"/>
            <w:tcW w:w="2269" w:type="dxa"/>
          </w:tcPr>
          <w:p>
            <w:pPr>
              <w:pStyle w:val="Compact"/>
              <w:jc w:val="left"/>
            </w:pPr>
            <w:r>
              <w:t xml:space="preserve">Yr21–23 (2048–2050)</w:t>
            </w:r>
          </w:p>
        </w:tc>
        <w:tc>
          <w:tcPr>
            <w:tcMar>
              <w:top w:w="100" w:type="dxa"/>
              <w:bottom w:w="100" w:type="dxa"/>
              <w:left w:w="150" w:type="dxa"/>
              <w:right w:w="150" w:type="dxa"/>
            </w:tcMar>
            <w:vAlign w:val="center"/>
            <w:shd w:val="clear" w:color="auto" w:fill="F7F3E8"/>
            <w:tcW w:w="2762" w:type="dxa"/>
          </w:tcPr>
          <w:p>
            <w:pPr>
              <w:pStyle w:val="Compact"/>
              <w:jc w:val="left"/>
            </w:pPr>
            <w:r>
              <w:t xml:space="preserve">Steady-state consolidation &amp; accreditation deepening</w:t>
            </w:r>
          </w:p>
        </w:tc>
        <w:tc>
          <w:tcPr>
            <w:tcMar>
              <w:top w:w="100" w:type="dxa"/>
              <w:bottom w:w="100" w:type="dxa"/>
              <w:left w:w="150" w:type="dxa"/>
              <w:right w:w="150" w:type="dxa"/>
            </w:tcMar>
            <w:vAlign w:val="center"/>
            <w:shd w:val="clear" w:color="auto" w:fill="F7F3E8"/>
            <w:tcW w:w="2471" w:type="dxa"/>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Layout w:type="fixed"/>
      </w:tblPr>
      <w:tblGrid>
        <w:gridCol w:w="1573"/>
        <w:gridCol w:w="2433"/>
        <w:gridCol w:w="2227"/>
        <w:gridCol w:w="283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433"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Approx. teaching scholars</w:t>
            </w:r>
          </w:p>
        </w:tc>
        <w:tc>
          <w:tcPr>
            <w:shd w:val="clear" w:color="auto" w:fill="122A4E"/>
            <w:tcMar>
              <w:top w:w="130" w:type="dxa"/>
              <w:bottom w:w="130" w:type="dxa"/>
              <w:left w:w="150" w:type="dxa"/>
              <w:right w:w="150" w:type="dxa"/>
            </w:tcMar>
            <w:tcBorders>
              <w:bottom w:val="single" w:sz="16" w:space="0" w:color="B08625"/>
            </w:tcBorders>
            <w:vAlign w:val="center"/>
            <w:tcW w:w="2839"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W w:w="1573" w:type="dxa"/>
          </w:tcPr>
          <w:p>
            <w:pPr>
              <w:pStyle w:val="Compact"/>
              <w:jc w:val="left"/>
            </w:pPr>
            <w:r>
              <w:t xml:space="preserve">Yr1</w:t>
            </w:r>
          </w:p>
        </w:tc>
        <w:tc>
          <w:tcPr>
            <w:tcMar>
              <w:top w:w="100" w:type="dxa"/>
              <w:bottom w:w="100" w:type="dxa"/>
              <w:left w:w="150" w:type="dxa"/>
              <w:right w:w="150" w:type="dxa"/>
            </w:tcMar>
            <w:vAlign w:val="center"/>
            <w:shd w:val="clear" w:color="auto" w:fill="F7F3E8"/>
            <w:tcW w:w="2433" w:type="dxa"/>
          </w:tcPr>
          <w:p>
            <w:pPr>
              <w:pStyle w:val="Compact"/>
              <w:jc w:val="left"/>
            </w:pPr>
            <w:r>
              <w:t xml:space="preserve">$17,980</w:t>
            </w:r>
          </w:p>
        </w:tc>
        <w:tc>
          <w:tcPr>
            <w:tcMar>
              <w:top w:w="100" w:type="dxa"/>
              <w:bottom w:w="100" w:type="dxa"/>
              <w:left w:w="150" w:type="dxa"/>
              <w:right w:w="150" w:type="dxa"/>
            </w:tcMar>
            <w:vAlign w:val="center"/>
            <w:shd w:val="clear" w:color="auto" w:fill="F7F3E8"/>
            <w:tcW w:w="2227" w:type="dxa"/>
          </w:tcPr>
          <w:p>
            <w:pPr>
              <w:pStyle w:val="Compact"/>
              <w:jc w:val="left"/>
            </w:pPr>
            <w:r>
              <w:t xml:space="preserve">8–12</w:t>
            </w:r>
          </w:p>
        </w:tc>
        <w:tc>
          <w:tcPr>
            <w:tcMar>
              <w:top w:w="100" w:type="dxa"/>
              <w:bottom w:w="100" w:type="dxa"/>
              <w:left w:w="150" w:type="dxa"/>
              <w:right w:w="150" w:type="dxa"/>
            </w:tcMar>
            <w:vAlign w:val="center"/>
            <w:shd w:val="clear" w:color="auto" w:fill="F7F3E8"/>
            <w:tcW w:w="2839" w:type="dxa"/>
          </w:tcPr>
          <w:p>
            <w:pPr>
              <w:pStyle w:val="Compact"/>
              <w:jc w:val="left"/>
            </w:pPr>
            <w:r>
              <w:t xml:space="preserve">multi-hat, cover Diploma–BA of one spine each</w:t>
            </w:r>
          </w:p>
        </w:tc>
      </w:tr>
      <w:tr>
        <w:trPr>
          <w:cantSplit/>
        </w:trPr>
        <w:tc>
          <w:tcPr>
            <w:tcMar>
              <w:top w:w="100" w:type="dxa"/>
              <w:bottom w:w="100" w:type="dxa"/>
              <w:left w:w="150" w:type="dxa"/>
              <w:right w:w="150" w:type="dxa"/>
            </w:tcMar>
            <w:vAlign w:val="center"/>
            <w:tcW w:w="1573" w:type="dxa"/>
          </w:tcPr>
          <w:p>
            <w:pPr>
              <w:pStyle w:val="Compact"/>
              <w:jc w:val="left"/>
            </w:pPr>
            <w:r>
              <w:t xml:space="preserve">Yr5</w:t>
            </w:r>
          </w:p>
        </w:tc>
        <w:tc>
          <w:tcPr>
            <w:tcMar>
              <w:top w:w="100" w:type="dxa"/>
              <w:bottom w:w="100" w:type="dxa"/>
              <w:left w:w="150" w:type="dxa"/>
              <w:right w:w="150" w:type="dxa"/>
            </w:tcMar>
            <w:vAlign w:val="center"/>
            <w:tcW w:w="2433" w:type="dxa"/>
          </w:tcPr>
          <w:p>
            <w:pPr>
              <w:pStyle w:val="Compact"/>
              <w:jc w:val="left"/>
            </w:pPr>
            <w:r>
              <w:t xml:space="preserve">$103,263</w:t>
            </w:r>
          </w:p>
        </w:tc>
        <w:tc>
          <w:tcPr>
            <w:tcMar>
              <w:top w:w="100" w:type="dxa"/>
              <w:bottom w:w="100" w:type="dxa"/>
              <w:left w:w="150" w:type="dxa"/>
              <w:right w:w="150" w:type="dxa"/>
            </w:tcMar>
            <w:vAlign w:val="center"/>
            <w:tcW w:w="2227" w:type="dxa"/>
          </w:tcPr>
          <w:p>
            <w:pPr>
              <w:pStyle w:val="Compact"/>
              <w:jc w:val="left"/>
            </w:pPr>
            <w:r>
              <w:t xml:space="preserve">30–35</w:t>
            </w:r>
          </w:p>
        </w:tc>
        <w:tc>
          <w:tcPr>
            <w:tcMar>
              <w:top w:w="100" w:type="dxa"/>
              <w:bottom w:w="100" w:type="dxa"/>
              <w:left w:w="150" w:type="dxa"/>
              <w:right w:w="150" w:type="dxa"/>
            </w:tcMar>
            <w:vAlign w:val="center"/>
            <w:tcW w:w="2839" w:type="dxa"/>
          </w:tcPr>
          <w:p>
            <w:pPr>
              <w:pStyle w:val="Compact"/>
              <w:jc w:val="left"/>
            </w:pPr>
            <w:r>
              <w:t xml:space="preserve">now cover through early PhD</w:t>
            </w:r>
          </w:p>
        </w:tc>
      </w:tr>
      <w:tr>
        <w:trPr>
          <w:cantSplit/>
        </w:trPr>
        <w:tc>
          <w:tcPr>
            <w:tcMar>
              <w:top w:w="100" w:type="dxa"/>
              <w:bottom w:w="100" w:type="dxa"/>
              <w:left w:w="150" w:type="dxa"/>
              <w:right w:w="150" w:type="dxa"/>
            </w:tcMar>
            <w:vAlign w:val="center"/>
            <w:shd w:val="clear" w:color="auto" w:fill="F7F3E8"/>
            <w:tcW w:w="1573" w:type="dxa"/>
          </w:tcPr>
          <w:p>
            <w:pPr>
              <w:pStyle w:val="Compact"/>
              <w:jc w:val="left"/>
            </w:pPr>
            <w:r>
              <w:t xml:space="preserve">Yr10</w:t>
            </w:r>
          </w:p>
        </w:tc>
        <w:tc>
          <w:tcPr>
            <w:tcMar>
              <w:top w:w="100" w:type="dxa"/>
              <w:bottom w:w="100" w:type="dxa"/>
              <w:left w:w="150" w:type="dxa"/>
              <w:right w:w="150" w:type="dxa"/>
            </w:tcMar>
            <w:vAlign w:val="center"/>
            <w:shd w:val="clear" w:color="auto" w:fill="F7F3E8"/>
            <w:tcW w:w="2433" w:type="dxa"/>
          </w:tcPr>
          <w:p>
            <w:pPr>
              <w:pStyle w:val="Compact"/>
              <w:jc w:val="left"/>
            </w:pPr>
            <w:r>
              <w:t xml:space="preserve">$306,444</w:t>
            </w:r>
          </w:p>
        </w:tc>
        <w:tc>
          <w:tcPr>
            <w:tcMar>
              <w:top w:w="100" w:type="dxa"/>
              <w:bottom w:w="100" w:type="dxa"/>
              <w:left w:w="150" w:type="dxa"/>
              <w:right w:w="150" w:type="dxa"/>
            </w:tcMar>
            <w:vAlign w:val="center"/>
            <w:shd w:val="clear" w:color="auto" w:fill="F7F3E8"/>
            <w:tcW w:w="2227" w:type="dxa"/>
          </w:tcPr>
          <w:p>
            <w:pPr>
              <w:pStyle w:val="Compact"/>
              <w:jc w:val="left"/>
            </w:pPr>
            <w:r>
              <w:t xml:space="preserve">60–90</w:t>
            </w:r>
          </w:p>
        </w:tc>
        <w:tc>
          <w:tcPr>
            <w:tcMar>
              <w:top w:w="100" w:type="dxa"/>
              <w:bottom w:w="100" w:type="dxa"/>
              <w:left w:w="150" w:type="dxa"/>
              <w:right w:w="150" w:type="dxa"/>
            </w:tcMar>
            <w:vAlign w:val="center"/>
            <w:shd w:val="clear" w:color="auto" w:fill="F7F3E8"/>
            <w:tcW w:w="2839" w:type="dxa"/>
          </w:tcPr>
          <w:p>
            <w:pPr>
              <w:pStyle w:val="Compact"/>
              <w:jc w:val="left"/>
            </w:pPr>
            <w:r>
              <w:t xml:space="preserve">full ladder + first Post-Doc fellows as mentors</w:t>
            </w:r>
          </w:p>
        </w:tc>
      </w:tr>
      <w:tr>
        <w:trPr>
          <w:cantSplit/>
        </w:trPr>
        <w:tc>
          <w:tcPr>
            <w:tcMar>
              <w:top w:w="100" w:type="dxa"/>
              <w:bottom w:w="100" w:type="dxa"/>
              <w:left w:w="150" w:type="dxa"/>
              <w:right w:w="150" w:type="dxa"/>
            </w:tcMar>
            <w:vAlign w:val="center"/>
            <w:tcW w:w="1573" w:type="dxa"/>
          </w:tcPr>
          <w:p>
            <w:pPr>
              <w:pStyle w:val="Compact"/>
              <w:jc w:val="left"/>
            </w:pPr>
            <w:r>
              <w:t xml:space="preserve">Yr11+</w:t>
            </w:r>
          </w:p>
        </w:tc>
        <w:tc>
          <w:tcPr>
            <w:tcMar>
              <w:top w:w="100" w:type="dxa"/>
              <w:bottom w:w="100" w:type="dxa"/>
              <w:left w:w="150" w:type="dxa"/>
              <w:right w:w="150" w:type="dxa"/>
            </w:tcMar>
            <w:vAlign w:val="center"/>
            <w:tcW w:w="2433" w:type="dxa"/>
          </w:tcPr>
          <w:p>
            <w:pPr>
              <w:pStyle w:val="Compact"/>
              <w:jc w:val="left"/>
            </w:pPr>
            <w:r>
              <w:t xml:space="preserve">scales with secular Payroll</w:t>
            </w:r>
          </w:p>
        </w:tc>
        <w:tc>
          <w:tcPr>
            <w:tcMar>
              <w:top w:w="100" w:type="dxa"/>
              <w:bottom w:w="100" w:type="dxa"/>
              <w:left w:w="150" w:type="dxa"/>
              <w:right w:w="150" w:type="dxa"/>
            </w:tcMar>
            <w:vAlign w:val="center"/>
            <w:tcW w:w="2227" w:type="dxa"/>
          </w:tcPr>
          <w:p>
            <w:pPr>
              <w:pStyle w:val="Compact"/>
              <w:jc w:val="left"/>
            </w:pPr>
            <w:r>
              <w:t xml:space="preserve">+40–60 secular faculty by Yr12</w:t>
            </w:r>
          </w:p>
        </w:tc>
        <w:tc>
          <w:tcPr>
            <w:tcMar>
              <w:top w:w="100" w:type="dxa"/>
              <w:bottom w:w="100" w:type="dxa"/>
              <w:left w:w="150" w:type="dxa"/>
              <w:right w:w="150" w:type="dxa"/>
            </w:tcMar>
            <w:vAlign w:val="center"/>
            <w:tcW w:w="2839" w:type="dxa"/>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3"/>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3"/>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Layout w:type="fixed"/>
      </w:tblPr>
      <w:tblGrid>
        <w:gridCol w:w="2671"/>
        <w:gridCol w:w="2182"/>
        <w:gridCol w:w="2560"/>
        <w:gridCol w:w="165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71" w:type="dxa"/>
          </w:tcPr>
          <w:p>
            <w:pPr>
              <w:pStyle w:val="Compact"/>
              <w:jc w:val="left"/>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W w:w="2182" w:type="dxa"/>
          </w:tcPr>
          <w:p>
            <w:pPr>
              <w:pStyle w:val="Compact"/>
              <w:jc w:val="left"/>
            </w:pPr>
            <w:r>
              <w:rPr>
                <w:b/>
                <w:color w:val="FFFFFF"/>
                <w:caps/>
                <w:spacing w:val="4"/>
              </w:rPr>
              <w:t xml:space="preserve">Dean (Senate seat)</w:t>
            </w:r>
          </w:p>
        </w:tc>
        <w:tc>
          <w:tcPr>
            <w:shd w:val="clear" w:color="auto" w:fill="122A4E"/>
            <w:tcMar>
              <w:top w:w="130" w:type="dxa"/>
              <w:bottom w:w="130" w:type="dxa"/>
              <w:left w:w="150" w:type="dxa"/>
              <w:right w:w="150" w:type="dxa"/>
            </w:tcMar>
            <w:tcBorders>
              <w:bottom w:val="single" w:sz="16" w:space="0" w:color="B08625"/>
            </w:tcBorders>
            <w:vAlign w:val="center"/>
            <w:tcW w:w="2560" w:type="dxa"/>
          </w:tcPr>
          <w:p>
            <w:pPr>
              <w:pStyle w:val="Compact"/>
              <w:jc w:val="left"/>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W w:w="1659" w:type="dxa"/>
          </w:tcPr>
          <w:p>
            <w:pPr>
              <w:pStyle w:val="Compact"/>
              <w:jc w:val="left"/>
            </w:pPr>
            <w:r>
              <w:rPr>
                <w:b/>
                <w:color w:val="FFFFFF"/>
                <w:caps/>
                <w:spacing w:val="4"/>
              </w:rPr>
              <w:t xml:space="preserve">Core spine</w:t>
            </w: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 Qur’ānic &amp; Hadith Sciences</w:t>
            </w:r>
          </w:p>
        </w:tc>
        <w:tc>
          <w:tcPr>
            <w:tcMar>
              <w:top w:w="100" w:type="dxa"/>
              <w:bottom w:w="100" w:type="dxa"/>
              <w:left w:w="150" w:type="dxa"/>
              <w:right w:w="150" w:type="dxa"/>
            </w:tcMar>
            <w:vAlign w:val="center"/>
            <w:shd w:val="clear" w:color="auto" w:fill="F7F3E8"/>
            <w:tcW w:w="2182" w:type="dxa"/>
          </w:tcPr>
          <w:p>
            <w:pPr>
              <w:pStyle w:val="Compact"/>
              <w:jc w:val="left"/>
            </w:pPr>
            <w:r>
              <w:t xml:space="preserve">paired Dean (with II)</w:t>
            </w:r>
          </w:p>
        </w:tc>
        <w:tc>
          <w:tcPr>
            <w:tcMar>
              <w:top w:w="100" w:type="dxa"/>
              <w:bottom w:w="100" w:type="dxa"/>
              <w:left w:w="150" w:type="dxa"/>
              <w:right w:w="150" w:type="dxa"/>
            </w:tcMar>
            <w:vAlign w:val="center"/>
            <w:shd w:val="clear" w:color="auto" w:fill="F7F3E8"/>
            <w:tcW w:w="2560" w:type="dxa"/>
          </w:tcPr>
          <w:p>
            <w:pPr>
              <w:pStyle w:val="Compact"/>
              <w:jc w:val="left"/>
            </w:pPr>
            <w:r>
              <w:t xml:space="preserve">Tafsīr, Qirā’āt, Hadith</w:t>
            </w:r>
          </w:p>
        </w:tc>
        <w:tc>
          <w:tcPr>
            <w:tcMar>
              <w:top w:w="100" w:type="dxa"/>
              <w:bottom w:w="100" w:type="dxa"/>
              <w:left w:w="150" w:type="dxa"/>
              <w:right w:w="150" w:type="dxa"/>
            </w:tcMar>
            <w:vAlign w:val="center"/>
            <w:shd w:val="clear" w:color="auto" w:fill="F7F3E8"/>
            <w:tcW w:w="1659" w:type="dxa"/>
          </w:tcPr>
          <w:p>
            <w:pPr>
              <w:pStyle w:val="Compact"/>
              <w:jc w:val="left"/>
            </w:pPr>
            <w:r>
              <w:t xml:space="preserve">shares HoDs w/ Group II</w:t>
            </w:r>
          </w:p>
        </w:tc>
      </w:tr>
      <w:tr>
        <w:trPr>
          <w:cantSplit/>
        </w:trPr>
        <w:tc>
          <w:tcPr>
            <w:tcMar>
              <w:top w:w="100" w:type="dxa"/>
              <w:bottom w:w="100" w:type="dxa"/>
              <w:left w:w="150" w:type="dxa"/>
              <w:right w:w="150" w:type="dxa"/>
            </w:tcMar>
            <w:vAlign w:val="center"/>
            <w:tcW w:w="2671" w:type="dxa"/>
          </w:tcPr>
          <w:p>
            <w:pPr>
              <w:pStyle w:val="Compact"/>
              <w:jc w:val="left"/>
            </w:pPr>
            <w:r>
              <w:t xml:space="preserve">II. Sharī’ah &amp; Islamic Law</w:t>
            </w:r>
          </w:p>
        </w:tc>
        <w:tc>
          <w:tcPr>
            <w:tcMar>
              <w:top w:w="100" w:type="dxa"/>
              <w:bottom w:w="100" w:type="dxa"/>
              <w:left w:w="150" w:type="dxa"/>
              <w:right w:w="150" w:type="dxa"/>
            </w:tcMar>
            <w:vAlign w:val="center"/>
            <w:tcW w:w="2182" w:type="dxa"/>
          </w:tcPr>
          <w:p>
            <w:pPr>
              <w:pStyle w:val="Compact"/>
              <w:jc w:val="left"/>
            </w:pPr>
            <w:r>
              <w:t xml:space="preserve">paired Dean (with I)</w:t>
            </w:r>
          </w:p>
        </w:tc>
        <w:tc>
          <w:tcPr>
            <w:tcMar>
              <w:top w:w="100" w:type="dxa"/>
              <w:bottom w:w="100" w:type="dxa"/>
              <w:left w:w="150" w:type="dxa"/>
              <w:right w:w="150" w:type="dxa"/>
            </w:tcMar>
            <w:vAlign w:val="center"/>
            <w:tcW w:w="2560" w:type="dxa"/>
          </w:tcPr>
          <w:p>
            <w:pPr>
              <w:pStyle w:val="Compact"/>
              <w:jc w:val="left"/>
            </w:pPr>
            <w:r>
              <w:t xml:space="preserve">Fiqh, Uṣūl al-Fiqh</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III. Islamic Theology &amp; Philosophy</w:t>
            </w:r>
          </w:p>
        </w:tc>
        <w:tc>
          <w:tcPr>
            <w:tcMar>
              <w:top w:w="100" w:type="dxa"/>
              <w:bottom w:w="100" w:type="dxa"/>
              <w:left w:w="150" w:type="dxa"/>
              <w:right w:w="150" w:type="dxa"/>
            </w:tcMar>
            <w:vAlign w:val="center"/>
            <w:shd w:val="clear" w:color="auto" w:fill="F7F3E8"/>
            <w:tcW w:w="2182" w:type="dxa"/>
          </w:tcPr>
          <w:p>
            <w:pPr>
              <w:pStyle w:val="Compact"/>
              <w:jc w:val="left"/>
            </w:pPr>
            <w:r>
              <w:t xml:space="preserve">paired Dean (with V)</w:t>
            </w:r>
          </w:p>
        </w:tc>
        <w:tc>
          <w:tcPr>
            <w:tcMar>
              <w:top w:w="100" w:type="dxa"/>
              <w:bottom w:w="100" w:type="dxa"/>
              <w:left w:w="150" w:type="dxa"/>
              <w:right w:w="150" w:type="dxa"/>
            </w:tcMar>
            <w:vAlign w:val="center"/>
            <w:shd w:val="clear" w:color="auto" w:fill="F7F3E8"/>
            <w:tcW w:w="2560" w:type="dxa"/>
          </w:tcPr>
          <w:p>
            <w:pPr>
              <w:pStyle w:val="Compact"/>
              <w:jc w:val="left"/>
            </w:pPr>
            <w:r>
              <w:t xml:space="preserve">Aqeedah</w:t>
            </w:r>
          </w:p>
        </w:tc>
        <w:tc>
          <w:tcPr>
            <w:tcMar>
              <w:top w:w="100" w:type="dxa"/>
              <w:bottom w:w="100" w:type="dxa"/>
              <w:left w:w="150" w:type="dxa"/>
              <w:right w:w="150" w:type="dxa"/>
            </w:tcMar>
            <w:vAlign w:val="center"/>
            <w:shd w:val="clear" w:color="auto" w:fill="F7F3E8"/>
            <w:tcW w:w="1659" w:type="dxa"/>
          </w:tcPr>
          <w:p>
            <w:pPr>
              <w:pStyle w:val="Compact"/>
            </w:pPr>
          </w:p>
        </w:tc>
      </w:tr>
      <w:tr>
        <w:trPr>
          <w:cantSplit/>
        </w:trPr>
        <w:tc>
          <w:tcPr>
            <w:tcMar>
              <w:top w:w="100" w:type="dxa"/>
              <w:bottom w:w="100" w:type="dxa"/>
              <w:left w:w="150" w:type="dxa"/>
              <w:right w:w="150" w:type="dxa"/>
            </w:tcMar>
            <w:vAlign w:val="center"/>
            <w:tcW w:w="2671" w:type="dxa"/>
          </w:tcPr>
          <w:p>
            <w:pPr>
              <w:pStyle w:val="Compact"/>
              <w:jc w:val="left"/>
            </w:pPr>
            <w:r>
              <w:t xml:space="preserve">V. Da’wah, Communication &amp; Chaplaincy</w:t>
            </w:r>
          </w:p>
        </w:tc>
        <w:tc>
          <w:tcPr>
            <w:tcMar>
              <w:top w:w="100" w:type="dxa"/>
              <w:bottom w:w="100" w:type="dxa"/>
              <w:left w:w="150" w:type="dxa"/>
              <w:right w:w="150" w:type="dxa"/>
            </w:tcMar>
            <w:vAlign w:val="center"/>
            <w:tcW w:w="2182" w:type="dxa"/>
          </w:tcPr>
          <w:p>
            <w:pPr>
              <w:pStyle w:val="Compact"/>
              <w:jc w:val="left"/>
            </w:pPr>
            <w:r>
              <w:t xml:space="preserve">paired Dean (with III)</w:t>
            </w:r>
          </w:p>
        </w:tc>
        <w:tc>
          <w:tcPr>
            <w:tcMar>
              <w:top w:w="100" w:type="dxa"/>
              <w:bottom w:w="100" w:type="dxa"/>
              <w:left w:w="150" w:type="dxa"/>
              <w:right w:w="150" w:type="dxa"/>
            </w:tcMar>
            <w:vAlign w:val="center"/>
            <w:tcW w:w="2560" w:type="dxa"/>
          </w:tcPr>
          <w:p>
            <w:pPr>
              <w:pStyle w:val="Compact"/>
              <w:jc w:val="left"/>
            </w:pPr>
            <w:r>
              <w:t xml:space="preserve">Chaplaincy, Communication</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IV. Arabic Language &amp; Linguistics</w:t>
            </w:r>
          </w:p>
        </w:tc>
        <w:tc>
          <w:tcPr>
            <w:tcMar>
              <w:top w:w="100" w:type="dxa"/>
              <w:bottom w:w="100" w:type="dxa"/>
              <w:left w:w="150" w:type="dxa"/>
              <w:right w:w="150" w:type="dxa"/>
            </w:tcMar>
            <w:vAlign w:val="center"/>
            <w:shd w:val="clear" w:color="auto" w:fill="F7F3E8"/>
            <w:tcW w:w="2182" w:type="dxa"/>
          </w:tcPr>
          <w:p>
            <w:pPr>
              <w:pStyle w:val="Compact"/>
              <w:jc w:val="left"/>
            </w:pPr>
            <w:r>
              <w:t xml:space="preserve">solo Dean</w:t>
            </w:r>
          </w:p>
        </w:tc>
        <w:tc>
          <w:tcPr>
            <w:tcMar>
              <w:top w:w="100" w:type="dxa"/>
              <w:bottom w:w="100" w:type="dxa"/>
              <w:left w:w="150" w:type="dxa"/>
              <w:right w:w="150" w:type="dxa"/>
            </w:tcMar>
            <w:vAlign w:val="center"/>
            <w:shd w:val="clear" w:color="auto" w:fill="F7F3E8"/>
            <w:tcW w:w="2560" w:type="dxa"/>
          </w:tcPr>
          <w:p>
            <w:pPr>
              <w:pStyle w:val="Compact"/>
              <w:jc w:val="left"/>
            </w:pPr>
            <w:r>
              <w:t xml:space="preserve">services all colleges</w:t>
            </w:r>
          </w:p>
        </w:tc>
        <w:tc>
          <w:tcPr>
            <w:tcMar>
              <w:top w:w="100" w:type="dxa"/>
              <w:bottom w:w="100" w:type="dxa"/>
              <w:left w:w="150" w:type="dxa"/>
              <w:right w:w="150" w:type="dxa"/>
            </w:tcMar>
            <w:vAlign w:val="center"/>
            <w:shd w:val="clear" w:color="auto" w:fill="F7F3E8"/>
            <w:tcW w:w="1659" w:type="dxa"/>
          </w:tcPr>
          <w:p>
            <w:pPr>
              <w:pStyle w:val="Compact"/>
              <w:jc w:val="left"/>
            </w:pPr>
            <w:r>
              <w:t xml:space="preserve">shared core</w:t>
            </w:r>
          </w:p>
        </w:tc>
      </w:tr>
      <w:tr>
        <w:trPr>
          <w:cantSplit/>
        </w:trPr>
        <w:tc>
          <w:tcPr>
            <w:tcMar>
              <w:top w:w="100" w:type="dxa"/>
              <w:bottom w:w="100" w:type="dxa"/>
              <w:left w:w="150" w:type="dxa"/>
              <w:right w:w="150" w:type="dxa"/>
            </w:tcMar>
            <w:vAlign w:val="center"/>
            <w:tcW w:w="2671" w:type="dxa"/>
          </w:tcPr>
          <w:p>
            <w:pPr>
              <w:pStyle w:val="Compact"/>
              <w:jc w:val="left"/>
            </w:pPr>
            <w:r>
              <w:t xml:space="preserve">VI. Islamic Finance, Economics &amp; Waqf</w:t>
            </w:r>
          </w:p>
        </w:tc>
        <w:tc>
          <w:tcPr>
            <w:tcMar>
              <w:top w:w="100" w:type="dxa"/>
              <w:bottom w:w="100" w:type="dxa"/>
              <w:left w:w="150" w:type="dxa"/>
              <w:right w:w="150" w:type="dxa"/>
            </w:tcMar>
            <w:vAlign w:val="center"/>
            <w:tcW w:w="2182" w:type="dxa"/>
          </w:tcPr>
          <w:p>
            <w:pPr>
              <w:pStyle w:val="Compact"/>
              <w:jc w:val="left"/>
            </w:pPr>
            <w:r>
              <w:t xml:space="preserve">solo Dean</w:t>
            </w:r>
          </w:p>
        </w:tc>
        <w:tc>
          <w:tcPr>
            <w:tcMar>
              <w:top w:w="100" w:type="dxa"/>
              <w:bottom w:w="100" w:type="dxa"/>
              <w:left w:w="150" w:type="dxa"/>
              <w:right w:w="150" w:type="dxa"/>
            </w:tcMar>
            <w:vAlign w:val="center"/>
            <w:tcW w:w="2560" w:type="dxa"/>
          </w:tcPr>
          <w:p>
            <w:pPr>
              <w:pStyle w:val="Compact"/>
              <w:jc w:val="left"/>
            </w:pPr>
            <w:r>
              <w:t xml:space="preserve">Zakāt/Waqf admin</w:t>
            </w:r>
          </w:p>
        </w:tc>
        <w:tc>
          <w:tcPr>
            <w:tcMar>
              <w:top w:w="100" w:type="dxa"/>
              <w:bottom w:w="100" w:type="dxa"/>
              <w:left w:w="150" w:type="dxa"/>
              <w:right w:w="150" w:type="dxa"/>
            </w:tcMar>
            <w:vAlign w:val="center"/>
            <w:tcW w:w="1659" w:type="dxa"/>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4"/>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School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Launch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Business &amp; Economics</w:t>
            </w:r>
          </w:p>
        </w:tc>
        <w:tc>
          <w:tcPr>
            <w:tcMar>
              <w:top w:w="100" w:type="dxa"/>
              <w:bottom w:w="100" w:type="dxa"/>
              <w:left w:w="150" w:type="dxa"/>
              <w:right w:w="150" w:type="dxa"/>
            </w:tcMar>
            <w:vAlign w:val="center"/>
            <w:shd w:val="clear" w:color="auto" w:fill="F7F3E8"/>
          </w:tcPr>
          <w:p>
            <w:pPr>
              <w:pStyle w:val="Compact"/>
              <w:jc w:val="left"/>
              <w:suppressAutoHyphens/>
            </w:pPr>
            <w:r>
              <w:t xml:space="preserve">BBA, BSc Acct&amp;Fin, BSc Econ, MBA, MSc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Computer Science &amp; Technology</w:t>
            </w:r>
          </w:p>
        </w:tc>
        <w:tc>
          <w:tcPr>
            <w:tcMar>
              <w:top w:w="100" w:type="dxa"/>
              <w:bottom w:w="100" w:type="dxa"/>
              <w:left w:w="150" w:type="dxa"/>
              <w:right w:w="150" w:type="dxa"/>
            </w:tcMar>
            <w:vAlign w:val="center"/>
          </w:tcPr>
          <w:p>
            <w:pPr>
              <w:pStyle w:val="Compact"/>
              <w:jc w:val="left"/>
              <w:suppressAutoHyphens/>
            </w:pPr>
            <w:r>
              <w:t xml:space="preserve">BSc CS, Data Science, Cybersecurity, IS, MSc AI/ML</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Law</w:t>
            </w:r>
          </w:p>
        </w:tc>
        <w:tc>
          <w:tcPr>
            <w:tcMar>
              <w:top w:w="100" w:type="dxa"/>
              <w:bottom w:w="100" w:type="dxa"/>
              <w:left w:w="150" w:type="dxa"/>
              <w:right w:w="150" w:type="dxa"/>
            </w:tcMar>
            <w:vAlign w:val="center"/>
            <w:shd w:val="clear" w:color="auto" w:fill="F7F3E8"/>
          </w:tcPr>
          <w:p>
            <w:pPr>
              <w:pStyle w:val="Compact"/>
              <w:jc w:val="left"/>
              <w:suppressAutoHyphens/>
            </w:pPr>
            <w:r>
              <w:t xml:space="preserve">LLB, LLM Int’l Law, LLM Comparative &amp; Islamic-Civil Law</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Health Sciences</w:t>
            </w:r>
          </w:p>
        </w:tc>
        <w:tc>
          <w:tcPr>
            <w:tcMar>
              <w:top w:w="100" w:type="dxa"/>
              <w:bottom w:w="100" w:type="dxa"/>
              <w:left w:w="150" w:type="dxa"/>
              <w:right w:w="150" w:type="dxa"/>
            </w:tcMar>
            <w:vAlign w:val="center"/>
          </w:tcPr>
          <w:p>
            <w:pPr>
              <w:pStyle w:val="Compact"/>
              <w:jc w:val="left"/>
              <w:suppressAutoHyphens/>
            </w:pPr>
            <w:r>
              <w:t xml:space="preserve">BSc Public Health, Nursing, Health Admin, MPH</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Engineering</w:t>
            </w:r>
          </w:p>
        </w:tc>
        <w:tc>
          <w:tcPr>
            <w:tcMar>
              <w:top w:w="100" w:type="dxa"/>
              <w:bottom w:w="100" w:type="dxa"/>
              <w:left w:w="150" w:type="dxa"/>
              <w:right w:w="150" w:type="dxa"/>
            </w:tcMar>
            <w:vAlign w:val="center"/>
            <w:shd w:val="clear" w:color="auto" w:fill="F7F3E8"/>
          </w:tcPr>
          <w:p>
            <w:pPr>
              <w:pStyle w:val="Compact"/>
              <w:jc w:val="left"/>
              <w:suppressAutoHyphens/>
            </w:pPr>
            <w:r>
              <w:t xml:space="preserve">BEng Civil, EE, Computer, Mechanical</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Education</w:t>
            </w:r>
          </w:p>
        </w:tc>
        <w:tc>
          <w:tcPr>
            <w:tcMar>
              <w:top w:w="100" w:type="dxa"/>
              <w:bottom w:w="100" w:type="dxa"/>
              <w:left w:w="150" w:type="dxa"/>
              <w:right w:w="150" w:type="dxa"/>
            </w:tcMar>
            <w:vAlign w:val="center"/>
          </w:tcPr>
          <w:p>
            <w:pPr>
              <w:pStyle w:val="Compact"/>
              <w:jc w:val="left"/>
              <w:suppressAutoHyphens/>
            </w:pPr>
            <w:r>
              <w:t xml:space="preserve">BEd, MEd, PhD Ed Leadership</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Social &amp; Political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Pol Sci, IR &amp; Diplomacy, Psych, Sociology</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5"/>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Rank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Compensation basis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Typical phase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Honorary/Visiting Scholar</w:t>
            </w:r>
          </w:p>
        </w:tc>
        <w:tc>
          <w:tcPr>
            <w:tcMar>
              <w:top w:w="100" w:type="dxa"/>
              <w:bottom w:w="100" w:type="dxa"/>
              <w:left w:w="150" w:type="dxa"/>
              <w:right w:w="150" w:type="dxa"/>
            </w:tcMar>
            <w:vAlign w:val="center"/>
            <w:shd w:val="clear" w:color="auto" w:fill="F7F3E8"/>
          </w:tcPr>
          <w:p>
            <w:pPr>
              <w:pStyle w:val="Compact"/>
              <w:jc w:val="left"/>
              <w:suppressAutoHyphens/>
            </w:pPr>
            <w:r>
              <w:t xml:space="preserve">Token/unpaid, guest lectures</w:t>
            </w:r>
          </w:p>
        </w:tc>
        <w:tc>
          <w:tcPr>
            <w:tcMar>
              <w:top w:w="100" w:type="dxa"/>
              <w:bottom w:w="100" w:type="dxa"/>
              <w:left w:w="150" w:type="dxa"/>
              <w:right w:w="150" w:type="dxa"/>
            </w:tcMar>
            <w:vAlign w:val="center"/>
            <w:shd w:val="clear" w:color="auto" w:fill="F7F3E8"/>
          </w:tcPr>
          <w:p>
            <w:pPr>
              <w:pStyle w:val="Compact"/>
              <w:jc w:val="left"/>
              <w:suppressAutoHyphens/>
            </w:pPr>
            <w:r>
              <w:t xml:space="preserve">Yr1+</w:t>
            </w:r>
          </w:p>
        </w:tc>
      </w:tr>
      <w:tr>
        <w:trPr>
          <w:cantSplit/>
        </w:trPr>
        <w:tc>
          <w:tcPr>
            <w:tcMar>
              <w:top w:w="100" w:type="dxa"/>
              <w:bottom w:w="100" w:type="dxa"/>
              <w:left w:w="150" w:type="dxa"/>
              <w:right w:w="150" w:type="dxa"/>
            </w:tcMar>
            <w:vAlign w:val="center"/>
          </w:tcPr>
          <w:p>
            <w:pPr>
              <w:pStyle w:val="Compact"/>
              <w:jc w:val="left"/>
              <w:suppressAutoHyphens/>
            </w:pPr>
            <w:r>
              <w:t xml:space="preserve">Adjunct Instructor</w:t>
            </w:r>
          </w:p>
        </w:tc>
        <w:tc>
          <w:tcPr>
            <w:tcMar>
              <w:top w:w="100" w:type="dxa"/>
              <w:bottom w:w="100" w:type="dxa"/>
              <w:left w:w="150" w:type="dxa"/>
              <w:right w:w="150" w:type="dxa"/>
            </w:tcMar>
            <w:vAlign w:val="center"/>
          </w:tcPr>
          <w:p>
            <w:pPr>
              <w:pStyle w:val="Compact"/>
              <w:jc w:val="left"/>
              <w:suppressAutoHyphens/>
            </w:pPr>
            <w:r>
              <w:t xml:space="preserve">Per-CH honorarium (Faculty Honoraria pool)</w:t>
            </w:r>
          </w:p>
        </w:tc>
        <w:tc>
          <w:tcPr>
            <w:tcMar>
              <w:top w:w="100" w:type="dxa"/>
              <w:bottom w:w="100" w:type="dxa"/>
              <w:left w:w="150" w:type="dxa"/>
              <w:right w:w="150" w:type="dxa"/>
            </w:tcMar>
            <w:vAlign w:val="center"/>
          </w:tcPr>
          <w:p>
            <w:pPr>
              <w:pStyle w:val="Compact"/>
              <w:jc w:val="left"/>
              <w:suppressAutoHyphens/>
            </w:pPr>
            <w:r>
              <w:t xml:space="preserve">Yr1+ — dominant Yr1–10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Assistant Professor</w:t>
            </w:r>
          </w:p>
        </w:tc>
        <w:tc>
          <w:tcPr>
            <w:tcMar>
              <w:top w:w="100" w:type="dxa"/>
              <w:bottom w:w="100" w:type="dxa"/>
              <w:left w:w="150" w:type="dxa"/>
              <w:right w:w="150" w:type="dxa"/>
            </w:tcMar>
            <w:vAlign w:val="center"/>
            <w:shd w:val="clear" w:color="auto" w:fill="F7F3E8"/>
          </w:tcPr>
          <w:p>
            <w:pPr>
              <w:pStyle w:val="Compact"/>
              <w:jc w:val="left"/>
              <w:suppressAutoHyphens/>
            </w:pPr>
            <w:r>
              <w:t xml:space="preserve">Small fixed honorarium premium over adjunct rate</w:t>
            </w:r>
          </w:p>
        </w:tc>
        <w:tc>
          <w:tcPr>
            <w:tcMar>
              <w:top w:w="100" w:type="dxa"/>
              <w:bottom w:w="100" w:type="dxa"/>
              <w:left w:w="150" w:type="dxa"/>
              <w:right w:w="150" w:type="dxa"/>
            </w:tcMar>
            <w:vAlign w:val="center"/>
            <w:shd w:val="clear" w:color="auto" w:fill="F7F3E8"/>
          </w:tcPr>
          <w:p>
            <w:pPr>
              <w:pStyle w:val="Compact"/>
              <w:jc w:val="left"/>
              <w:suppressAutoHyphens/>
            </w:pPr>
            <w:r>
              <w:t xml:space="preserve">emerges Yr5+ as pool grows</w:t>
            </w:r>
          </w:p>
        </w:tc>
      </w:tr>
      <w:tr>
        <w:trPr>
          <w:cantSplit/>
        </w:trPr>
        <w:tc>
          <w:tcPr>
            <w:tcMar>
              <w:top w:w="100" w:type="dxa"/>
              <w:bottom w:w="100" w:type="dxa"/>
              <w:left w:w="150" w:type="dxa"/>
              <w:right w:w="150" w:type="dxa"/>
            </w:tcMar>
            <w:vAlign w:val="center"/>
          </w:tcPr>
          <w:p>
            <w:pPr>
              <w:pStyle w:val="Compact"/>
              <w:jc w:val="left"/>
              <w:suppressAutoHyphens/>
            </w:pPr>
            <w:r>
              <w:t xml:space="preserve">Associate Professor</w:t>
            </w:r>
          </w:p>
        </w:tc>
        <w:tc>
          <w:tcPr>
            <w:tcMar>
              <w:top w:w="100" w:type="dxa"/>
              <w:bottom w:w="100" w:type="dxa"/>
              <w:left w:w="150" w:type="dxa"/>
              <w:right w:w="150" w:type="dxa"/>
            </w:tcMar>
            <w:vAlign w:val="center"/>
          </w:tcPr>
          <w:p>
            <w:pPr>
              <w:pStyle w:val="Compact"/>
              <w:jc w:val="left"/>
              <w:suppressAutoHyphens/>
            </w:pPr>
            <w:r>
              <w:t xml:space="preserve">Higher fixed premium, tenure-track service recognized</w:t>
            </w:r>
          </w:p>
        </w:tc>
        <w:tc>
          <w:tcPr>
            <w:tcMar>
              <w:top w:w="100" w:type="dxa"/>
              <w:bottom w:w="100" w:type="dxa"/>
              <w:left w:w="150" w:type="dxa"/>
              <w:right w:w="150" w:type="dxa"/>
            </w:tcMar>
            <w:vAlign w:val="center"/>
          </w:tcPr>
          <w:p>
            <w:pPr>
              <w:pStyle w:val="Compact"/>
              <w:jc w:val="left"/>
              <w:suppressAutoHyphens/>
            </w:pPr>
            <w:r>
              <w:t xml:space="preserve">emerges Yr8–10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Full Professor</w:t>
            </w:r>
          </w:p>
        </w:tc>
        <w:tc>
          <w:tcPr>
            <w:tcMar>
              <w:top w:w="100" w:type="dxa"/>
              <w:bottom w:w="100" w:type="dxa"/>
              <w:left w:w="150" w:type="dxa"/>
              <w:right w:w="150" w:type="dxa"/>
            </w:tcMar>
            <w:vAlign w:val="center"/>
            <w:shd w:val="clear" w:color="auto" w:fill="F7F3E8"/>
          </w:tcPr>
          <w:p>
            <w:pPr>
              <w:pStyle w:val="Compact"/>
              <w:jc w:val="left"/>
              <w:suppressAutoHyphens/>
            </w:pPr>
            <w:r>
              <w:t xml:space="preserve">Top honorarium/salary band</w:t>
            </w:r>
          </w:p>
        </w:tc>
        <w:tc>
          <w:tcPr>
            <w:tcMar>
              <w:top w:w="100" w:type="dxa"/>
              <w:bottom w:w="100" w:type="dxa"/>
              <w:left w:w="150" w:type="dxa"/>
              <w:right w:w="150" w:type="dxa"/>
            </w:tcMar>
            <w:vAlign w:val="center"/>
            <w:shd w:val="clear" w:color="auto" w:fill="F7F3E8"/>
          </w:tcPr>
          <w:p>
            <w:pPr>
              <w:pStyle w:val="Compact"/>
              <w:jc w:val="left"/>
              <w:suppressAutoHyphens/>
            </w:pPr>
            <w:r>
              <w:t xml:space="preserve">emerges Yr10+ (secular hires largely salaried Yr11+)</w:t>
            </w:r>
          </w:p>
        </w:tc>
      </w:tr>
      <w:tr>
        <w:trPr>
          <w:cantSplit/>
        </w:trPr>
        <w:tc>
          <w:tcPr>
            <w:tcMar>
              <w:top w:w="100" w:type="dxa"/>
              <w:bottom w:w="100" w:type="dxa"/>
              <w:left w:w="150" w:type="dxa"/>
              <w:right w:w="150" w:type="dxa"/>
            </w:tcMar>
            <w:vAlign w:val="center"/>
          </w:tcPr>
          <w:p>
            <w:pPr>
              <w:pStyle w:val="Compact"/>
              <w:jc w:val="left"/>
              <w:suppressAutoHyphens/>
            </w:pPr>
            <w:r>
              <w:t xml:space="preserve">Senate-Seat Professor</w:t>
            </w:r>
          </w:p>
        </w:tc>
        <w:tc>
          <w:tcPr>
            <w:tcMar>
              <w:top w:w="100" w:type="dxa"/>
              <w:bottom w:w="100" w:type="dxa"/>
              <w:left w:w="150" w:type="dxa"/>
              <w:right w:w="150" w:type="dxa"/>
            </w:tcMar>
            <w:vAlign w:val="center"/>
          </w:tcPr>
          <w:p>
            <w:pPr>
              <w:pStyle w:val="Compact"/>
              <w:jc w:val="left"/>
              <w:suppressAutoHyphens/>
            </w:pPr>
            <w:r>
              <w:t xml:space="preserve">Ex officio via Group II/III seat (Dean/HoD), Senate Stipend sub-split</w:t>
            </w:r>
          </w:p>
        </w:tc>
        <w:tc>
          <w:tcPr>
            <w:tcMar>
              <w:top w:w="100" w:type="dxa"/>
              <w:bottom w:w="100" w:type="dxa"/>
              <w:left w:w="150" w:type="dxa"/>
              <w:right w:w="150" w:type="dxa"/>
            </w:tcMar>
            <w:vAlign w:val="center"/>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6"/>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6"/>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Layout w:type="fixed"/>
      </w:tblPr>
      <w:tblGrid>
        <w:gridCol w:w="1698"/>
        <w:gridCol w:w="2354"/>
        <w:gridCol w:w="2793"/>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98"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354"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793" w:type="dxa"/>
          </w:tcPr>
          <w:p>
            <w:pPr>
              <w:pStyle w:val="Compact"/>
              <w:jc w:val="left"/>
            </w:pPr>
            <w:r>
              <w:rPr>
                <w:b/>
                <w:color w:val="FFFFFF"/>
                <w:caps/>
                <w:spacing w:val="4"/>
              </w:rPr>
              <w:t xml:space="preserve">Avg. per-scholar honorarium</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Rank mix</w:t>
            </w:r>
          </w:p>
        </w:tc>
      </w:tr>
      <w:tr>
        <w:trPr>
          <w:cantSplit/>
        </w:trPr>
        <w:tc>
          <w:tcPr>
            <w:tcMar>
              <w:top w:w="100" w:type="dxa"/>
              <w:bottom w:w="100" w:type="dxa"/>
              <w:left w:w="150" w:type="dxa"/>
              <w:right w:w="150" w:type="dxa"/>
            </w:tcMar>
            <w:vAlign w:val="center"/>
            <w:shd w:val="clear" w:color="auto" w:fill="F7F3E8"/>
            <w:tcW w:w="1698" w:type="dxa"/>
          </w:tcPr>
          <w:p>
            <w:pPr>
              <w:pStyle w:val="Compact"/>
              <w:jc w:val="left"/>
            </w:pPr>
            <w:r>
              <w:t xml:space="preserve">Yr1</w:t>
            </w:r>
          </w:p>
        </w:tc>
        <w:tc>
          <w:tcPr>
            <w:tcMar>
              <w:top w:w="100" w:type="dxa"/>
              <w:bottom w:w="100" w:type="dxa"/>
              <w:left w:w="150" w:type="dxa"/>
              <w:right w:w="150" w:type="dxa"/>
            </w:tcMar>
            <w:vAlign w:val="center"/>
            <w:shd w:val="clear" w:color="auto" w:fill="F7F3E8"/>
            <w:tcW w:w="2354" w:type="dxa"/>
          </w:tcPr>
          <w:p>
            <w:pPr>
              <w:pStyle w:val="Compact"/>
              <w:jc w:val="left"/>
            </w:pPr>
            <w:r>
              <w:t xml:space="preserve">$17,980</w:t>
            </w:r>
          </w:p>
        </w:tc>
        <w:tc>
          <w:tcPr>
            <w:tcMar>
              <w:top w:w="100" w:type="dxa"/>
              <w:bottom w:w="100" w:type="dxa"/>
              <w:left w:w="150" w:type="dxa"/>
              <w:right w:w="150" w:type="dxa"/>
            </w:tcMar>
            <w:vAlign w:val="center"/>
            <w:shd w:val="clear" w:color="auto" w:fill="F7F3E8"/>
            <w:tcW w:w="2793" w:type="dxa"/>
          </w:tcPr>
          <w:p>
            <w:pPr>
              <w:pStyle w:val="Compact"/>
              <w:jc w:val="left"/>
            </w:pPr>
            <w:r>
              <w:t xml:space="preserve">~$1,500–2,200 (8–12 scholars)</w:t>
            </w:r>
          </w:p>
        </w:tc>
        <w:tc>
          <w:tcPr>
            <w:tcMar>
              <w:top w:w="100" w:type="dxa"/>
              <w:bottom w:w="100" w:type="dxa"/>
              <w:left w:w="150" w:type="dxa"/>
              <w:right w:w="150" w:type="dxa"/>
            </w:tcMar>
            <w:vAlign w:val="center"/>
            <w:shd w:val="clear" w:color="auto" w:fill="F7F3E8"/>
            <w:tcW w:w="2227" w:type="dxa"/>
          </w:tcPr>
          <w:p>
            <w:pPr>
              <w:pStyle w:val="Compact"/>
              <w:jc w:val="left"/>
            </w:pPr>
            <w:r>
              <w:t xml:space="preserve">~100% Adjunct/Honorary</w:t>
            </w:r>
          </w:p>
        </w:tc>
      </w:tr>
      <w:tr>
        <w:trPr>
          <w:cantSplit/>
        </w:trPr>
        <w:tc>
          <w:tcPr>
            <w:tcMar>
              <w:top w:w="100" w:type="dxa"/>
              <w:bottom w:w="100" w:type="dxa"/>
              <w:left w:w="150" w:type="dxa"/>
              <w:right w:w="150" w:type="dxa"/>
            </w:tcMar>
            <w:vAlign w:val="center"/>
            <w:tcW w:w="1698" w:type="dxa"/>
          </w:tcPr>
          <w:p>
            <w:pPr>
              <w:pStyle w:val="Compact"/>
              <w:jc w:val="left"/>
            </w:pPr>
            <w:r>
              <w:t xml:space="preserve">Yr5</w:t>
            </w:r>
          </w:p>
        </w:tc>
        <w:tc>
          <w:tcPr>
            <w:tcMar>
              <w:top w:w="100" w:type="dxa"/>
              <w:bottom w:w="100" w:type="dxa"/>
              <w:left w:w="150" w:type="dxa"/>
              <w:right w:w="150" w:type="dxa"/>
            </w:tcMar>
            <w:vAlign w:val="center"/>
            <w:tcW w:w="2354" w:type="dxa"/>
          </w:tcPr>
          <w:p>
            <w:pPr>
              <w:pStyle w:val="Compact"/>
              <w:jc w:val="left"/>
            </w:pPr>
            <w:r>
              <w:t xml:space="preserve">$103,263</w:t>
            </w:r>
          </w:p>
        </w:tc>
        <w:tc>
          <w:tcPr>
            <w:tcMar>
              <w:top w:w="100" w:type="dxa"/>
              <w:bottom w:w="100" w:type="dxa"/>
              <w:left w:w="150" w:type="dxa"/>
              <w:right w:w="150" w:type="dxa"/>
            </w:tcMar>
            <w:vAlign w:val="center"/>
            <w:tcW w:w="2793" w:type="dxa"/>
          </w:tcPr>
          <w:p>
            <w:pPr>
              <w:pStyle w:val="Compact"/>
              <w:jc w:val="left"/>
            </w:pPr>
            <w:r>
              <w:t xml:space="preserve">~$2,900–3,400 (30–35 scholars)</w:t>
            </w:r>
          </w:p>
        </w:tc>
        <w:tc>
          <w:tcPr>
            <w:tcMar>
              <w:top w:w="100" w:type="dxa"/>
              <w:bottom w:w="100" w:type="dxa"/>
              <w:left w:w="150" w:type="dxa"/>
              <w:right w:w="150" w:type="dxa"/>
            </w:tcMar>
            <w:vAlign w:val="center"/>
            <w:tcW w:w="2227" w:type="dxa"/>
          </w:tcPr>
          <w:p>
            <w:pPr>
              <w:pStyle w:val="Compact"/>
              <w:jc w:val="left"/>
            </w:pPr>
            <w:r>
              <w:t xml:space="preserve">mostly Adjunct, first Assistant Professors</w:t>
            </w:r>
          </w:p>
        </w:tc>
      </w:tr>
      <w:tr>
        <w:trPr>
          <w:cantSplit/>
        </w:trPr>
        <w:tc>
          <w:tcPr>
            <w:tcMar>
              <w:top w:w="100" w:type="dxa"/>
              <w:bottom w:w="100" w:type="dxa"/>
              <w:left w:w="150" w:type="dxa"/>
              <w:right w:w="150" w:type="dxa"/>
            </w:tcMar>
            <w:vAlign w:val="center"/>
            <w:shd w:val="clear" w:color="auto" w:fill="F7F3E8"/>
            <w:tcW w:w="1698" w:type="dxa"/>
          </w:tcPr>
          <w:p>
            <w:pPr>
              <w:pStyle w:val="Compact"/>
              <w:jc w:val="left"/>
            </w:pPr>
            <w:r>
              <w:t xml:space="preserve">Yr10</w:t>
            </w:r>
          </w:p>
        </w:tc>
        <w:tc>
          <w:tcPr>
            <w:tcMar>
              <w:top w:w="100" w:type="dxa"/>
              <w:bottom w:w="100" w:type="dxa"/>
              <w:left w:w="150" w:type="dxa"/>
              <w:right w:w="150" w:type="dxa"/>
            </w:tcMar>
            <w:vAlign w:val="center"/>
            <w:shd w:val="clear" w:color="auto" w:fill="F7F3E8"/>
            <w:tcW w:w="2354" w:type="dxa"/>
          </w:tcPr>
          <w:p>
            <w:pPr>
              <w:pStyle w:val="Compact"/>
              <w:jc w:val="left"/>
            </w:pPr>
            <w:r>
              <w:t xml:space="preserve">$306,444</w:t>
            </w:r>
          </w:p>
        </w:tc>
        <w:tc>
          <w:tcPr>
            <w:tcMar>
              <w:top w:w="100" w:type="dxa"/>
              <w:bottom w:w="100" w:type="dxa"/>
              <w:left w:w="150" w:type="dxa"/>
              <w:right w:w="150" w:type="dxa"/>
            </w:tcMar>
            <w:vAlign w:val="center"/>
            <w:shd w:val="clear" w:color="auto" w:fill="F7F3E8"/>
            <w:tcW w:w="2793" w:type="dxa"/>
          </w:tcPr>
          <w:p>
            <w:pPr>
              <w:pStyle w:val="Compact"/>
              <w:jc w:val="left"/>
            </w:pPr>
            <w:r>
              <w:t xml:space="preserve">~$3,400–5,100 (60–90 scholars)</w:t>
            </w:r>
          </w:p>
        </w:tc>
        <w:tc>
          <w:tcPr>
            <w:tcMar>
              <w:top w:w="100" w:type="dxa"/>
              <w:bottom w:w="100" w:type="dxa"/>
              <w:left w:w="150" w:type="dxa"/>
              <w:right w:w="150" w:type="dxa"/>
            </w:tcMar>
            <w:vAlign w:val="center"/>
            <w:shd w:val="clear" w:color="auto" w:fill="F7F3E8"/>
            <w:tcW w:w="2227" w:type="dxa"/>
          </w:tcPr>
          <w:p>
            <w:pPr>
              <w:pStyle w:val="Compact"/>
              <w:jc w:val="left"/>
            </w:pPr>
            <w:r>
              <w:t xml:space="preserve">Adjunct–Full Professor spread</w:t>
            </w:r>
          </w:p>
        </w:tc>
      </w:tr>
      <w:tr>
        <w:trPr>
          <w:cantSplit/>
        </w:trPr>
        <w:tc>
          <w:tcPr>
            <w:tcMar>
              <w:top w:w="100" w:type="dxa"/>
              <w:bottom w:w="100" w:type="dxa"/>
              <w:left w:w="150" w:type="dxa"/>
              <w:right w:w="150" w:type="dxa"/>
            </w:tcMar>
            <w:vAlign w:val="center"/>
            <w:tcW w:w="1698" w:type="dxa"/>
          </w:tcPr>
          <w:p>
            <w:pPr>
              <w:pStyle w:val="Compact"/>
              <w:jc w:val="left"/>
            </w:pPr>
            <w:r>
              <w:t xml:space="preserve">Yr11+ (secular)</w:t>
            </w:r>
          </w:p>
        </w:tc>
        <w:tc>
          <w:tcPr>
            <w:tcMar>
              <w:top w:w="100" w:type="dxa"/>
              <w:bottom w:w="100" w:type="dxa"/>
              <w:left w:w="150" w:type="dxa"/>
              <w:right w:w="150" w:type="dxa"/>
            </w:tcMar>
            <w:vAlign w:val="center"/>
            <w:tcW w:w="2354" w:type="dxa"/>
          </w:tcPr>
          <w:p>
            <w:pPr>
              <w:pStyle w:val="Compact"/>
              <w:jc w:val="left"/>
            </w:pPr>
            <w:r>
              <w:t xml:space="preserve">scales with new-school Payroll</w:t>
            </w:r>
          </w:p>
        </w:tc>
        <w:tc>
          <w:tcPr>
            <w:tcMar>
              <w:top w:w="100" w:type="dxa"/>
              <w:bottom w:w="100" w:type="dxa"/>
              <w:left w:w="150" w:type="dxa"/>
              <w:right w:w="150" w:type="dxa"/>
            </w:tcMar>
            <w:vAlign w:val="center"/>
            <w:tcW w:w="2793" w:type="dxa"/>
          </w:tcPr>
          <w:p>
            <w:pPr>
              <w:pStyle w:val="Compact"/>
              <w:jc w:val="left"/>
            </w:pPr>
            <w:r>
              <w:t xml:space="preserve">salaried terminal-degree hires</w:t>
            </w:r>
          </w:p>
        </w:tc>
        <w:tc>
          <w:tcPr>
            <w:tcMar>
              <w:top w:w="100" w:type="dxa"/>
              <w:bottom w:w="100" w:type="dxa"/>
              <w:left w:w="150" w:type="dxa"/>
              <w:right w:w="150" w:type="dxa"/>
            </w:tcMar>
            <w:vAlign w:val="center"/>
            <w:tcW w:w="2227" w:type="dxa"/>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7"/>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Department (HoD)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Colleges served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Founding-phase staffing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Qur’ānic Studies &amp; Tafsīr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Hadith Sciences</w:t>
            </w:r>
          </w:p>
        </w:tc>
        <w:tc>
          <w:tcPr>
            <w:tcMar>
              <w:top w:w="100" w:type="dxa"/>
              <w:bottom w:w="100" w:type="dxa"/>
              <w:left w:w="150" w:type="dxa"/>
              <w:right w:w="150" w:type="dxa"/>
            </w:tcMar>
            <w:vAlign w:val="center"/>
          </w:tcPr>
          <w:p>
            <w:pPr>
              <w:pStyle w:val="Compact"/>
              <w:jc w:val="left"/>
              <w:suppressAutoHyphens/>
            </w:pPr>
            <w:r>
              <w:t xml:space="preserve">College 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II</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Aqeedah &amp; Islamic Philosophy</w:t>
            </w:r>
          </w:p>
        </w:tc>
        <w:tc>
          <w:tcPr>
            <w:tcMar>
              <w:top w:w="100" w:type="dxa"/>
              <w:bottom w:w="100" w:type="dxa"/>
              <w:left w:w="150" w:type="dxa"/>
              <w:right w:w="150" w:type="dxa"/>
            </w:tcMar>
            <w:vAlign w:val="center"/>
          </w:tcPr>
          <w:p>
            <w:pPr>
              <w:pStyle w:val="Compact"/>
              <w:jc w:val="left"/>
              <w:suppressAutoHyphens/>
            </w:pPr>
            <w:r>
              <w:t xml:space="preserve">College III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IV (+ shared core)</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Da’wah &amp; Islamic Communication</w:t>
            </w:r>
          </w:p>
        </w:tc>
        <w:tc>
          <w:tcPr>
            <w:tcMar>
              <w:top w:w="100" w:type="dxa"/>
              <w:bottom w:w="100" w:type="dxa"/>
              <w:left w:w="150" w:type="dxa"/>
              <w:right w:w="150" w:type="dxa"/>
            </w:tcMar>
            <w:vAlign w:val="center"/>
          </w:tcPr>
          <w:p>
            <w:pPr>
              <w:pStyle w:val="Compact"/>
              <w:jc w:val="left"/>
              <w:suppressAutoHyphens/>
            </w:pPr>
            <w:r>
              <w:t xml:space="preserve">College V</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dept. staffing budget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per-department honoraria pool (Yr1/Yr5/Yr10, 6 depts sharing $17,980/$103,263/$306,444)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Yr1</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$44,949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≈$3,000 avg/dept</w:t>
            </w:r>
          </w:p>
        </w:tc>
      </w:tr>
      <w:tr>
        <w:trPr>
          <w:cantSplit/>
        </w:trPr>
        <w:tc>
          <w:tcPr>
            <w:tcMar>
              <w:top w:w="100" w:type="dxa"/>
              <w:bottom w:w="100" w:type="dxa"/>
              <w:left w:w="150" w:type="dxa"/>
              <w:right w:w="150" w:type="dxa"/>
            </w:tcMar>
            <w:vAlign w:val="center"/>
          </w:tcPr>
          <w:p>
            <w:pPr>
              <w:pStyle w:val="Compact"/>
              <w:jc w:val="left"/>
              <w:suppressAutoHyphens/>
            </w:pPr>
            <w:r>
              <w:t xml:space="preserve">Yr5</w:t>
            </w:r>
          </w:p>
        </w:tc>
        <w:tc>
          <w:tcPr>
            <w:tcMar>
              <w:top w:w="100" w:type="dxa"/>
              <w:bottom w:w="100" w:type="dxa"/>
              <w:left w:w="150" w:type="dxa"/>
              <w:right w:w="150" w:type="dxa"/>
            </w:tcMar>
            <w:vAlign w:val="center"/>
          </w:tcPr>
          <w:p>
            <w:pPr>
              <w:pStyle w:val="Compact"/>
              <w:jc w:val="left"/>
              <w:suppressAutoHyphens/>
            </w:pPr>
            <w:r>
              <w:t xml:space="preserve">Faculty Honoraria (40% of $258,157 Payroll)</w:t>
            </w:r>
          </w:p>
        </w:tc>
        <w:tc>
          <w:tcPr>
            <w:tcMar>
              <w:top w:w="100" w:type="dxa"/>
              <w:bottom w:w="100" w:type="dxa"/>
              <w:left w:w="150" w:type="dxa"/>
              <w:right w:w="150" w:type="dxa"/>
            </w:tcMar>
            <w:vAlign w:val="center"/>
          </w:tcPr>
          <w:p>
            <w:pPr>
              <w:pStyle w:val="Compact"/>
              <w:jc w:val="left"/>
              <w:suppressAutoHyphens/>
            </w:pPr>
            <w:r>
              <w:t xml:space="preserve">≈$17,200 avg/dept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Yr10</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$766,110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III — Curriculum &amp; Student Journey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Source Serif 4" w:hAnsi="Source Serif 4"/>
                <w:i/>
                <w:smallCaps/>
                <w:color w:val="8C97AB"/>
                <w:sz w:val="19"/>
                <w:spacing w:val="10"/>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Founding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2027</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ratifies the 71-program catalog and permanent numbering (1–71)</w:t>
            </w:r>
          </w:p>
        </w:tc>
      </w:tr>
      <w:tr>
        <w:trPr>
          <w:cantSplit/>
        </w:trPr>
        <w:tc>
          <w:tcPr>
            <w:tcMar>
              <w:top w:w="100" w:type="dxa"/>
              <w:bottom w:w="100" w:type="dxa"/>
              <w:left w:w="150" w:type="dxa"/>
              <w:right w:w="150" w:type="dxa"/>
            </w:tcMar>
            <w:vAlign w:val="center"/>
          </w:tcPr>
          <w:p>
            <w:pPr>
              <w:pStyle w:val="Compact"/>
              <w:jc w:val="left"/>
              <w:suppressAutoHyphens/>
            </w:pPr>
            <w:r>
              <w:t xml:space="preserve">1 – Stabilization</w:t>
            </w:r>
          </w:p>
        </w:tc>
        <w:tc>
          <w:tcPr>
            <w:tcMar>
              <w:top w:w="100" w:type="dxa"/>
              <w:bottom w:w="100" w:type="dxa"/>
              <w:left w:w="150" w:type="dxa"/>
              <w:right w:w="150" w:type="dxa"/>
            </w:tcMar>
            <w:vAlign w:val="center"/>
          </w:tcPr>
          <w:p>
            <w:pPr>
              <w:pStyle w:val="Compact"/>
              <w:jc w:val="left"/>
              <w:suppressAutoHyphens/>
            </w:pPr>
            <w:r>
              <w:t xml:space="preserve">2028–2030</w:t>
            </w:r>
          </w:p>
        </w:tc>
        <w:tc>
          <w:tcPr>
            <w:tcMar>
              <w:top w:w="100" w:type="dxa"/>
              <w:bottom w:w="100" w:type="dxa"/>
              <w:left w:w="150" w:type="dxa"/>
              <w:right w:w="150" w:type="dxa"/>
            </w:tcMar>
            <w:vAlign w:val="center"/>
          </w:tcPr>
          <w:p>
            <w:pPr>
              <w:pStyle w:val="Compact"/>
              <w:jc w:val="left"/>
              <w:suppressAutoHyphens/>
            </w:pPr>
            <w:r>
              <w:t xml:space="preserve">Launch monitoring; no new programs; fix early-cohort defects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Consolidation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2031–2034</w:t>
            </w:r>
          </w:p>
        </w:tc>
        <w:tc>
          <w:tcPr>
            <w:tcMar>
              <w:top w:w="100" w:type="dxa"/>
              <w:bottom w:w="100" w:type="dxa"/>
              <w:left w:w="150" w:type="dxa"/>
              <w:right w:w="150" w:type="dxa"/>
            </w:tcMar>
            <w:vAlign w:val="center"/>
            <w:shd w:val="clear" w:color="auto" w:fill="F7F3E8"/>
          </w:tcPr>
          <w:p>
            <w:pPr>
              <w:pStyle w:val="Compact"/>
              <w:jc w:val="left"/>
              <w:suppressAutoHyphens/>
            </w:pPr>
            <w:r>
              <w:t xml:space="preserve">First 3-year reviews; balance checks across tiers/colleges</w:t>
            </w:r>
          </w:p>
        </w:tc>
      </w:tr>
      <w:tr>
        <w:trPr>
          <w:cantSplit/>
        </w:trPr>
        <w:tc>
          <w:tcPr>
            <w:tcMar>
              <w:top w:w="100" w:type="dxa"/>
              <w:bottom w:w="100" w:type="dxa"/>
              <w:left w:w="150" w:type="dxa"/>
              <w:right w:w="150" w:type="dxa"/>
            </w:tcMar>
            <w:vAlign w:val="center"/>
          </w:tcPr>
          <w:p>
            <w:pPr>
              <w:pStyle w:val="Compact"/>
              <w:jc w:val="left"/>
              <w:suppressAutoHyphens/>
            </w:pPr>
            <w:r>
              <w:t xml:space="preserve">3 – Pre-Expansion</w:t>
            </w:r>
          </w:p>
        </w:tc>
        <w:tc>
          <w:tcPr>
            <w:tcMar>
              <w:top w:w="100" w:type="dxa"/>
              <w:bottom w:w="100" w:type="dxa"/>
              <w:left w:w="150" w:type="dxa"/>
              <w:right w:w="150" w:type="dxa"/>
            </w:tcMar>
            <w:vAlign w:val="center"/>
          </w:tcPr>
          <w:p>
            <w:pPr>
              <w:pStyle w:val="Compact"/>
              <w:jc w:val="left"/>
              <w:suppressAutoHyphens/>
            </w:pPr>
            <w:r>
              <w:t xml:space="preserve">2035–2037</w:t>
            </w:r>
          </w:p>
        </w:tc>
        <w:tc>
          <w:tcPr>
            <w:tcMar>
              <w:top w:w="100" w:type="dxa"/>
              <w:bottom w:w="100" w:type="dxa"/>
              <w:left w:w="150" w:type="dxa"/>
              <w:right w:w="150" w:type="dxa"/>
            </w:tcMar>
            <w:vAlign w:val="center"/>
          </w:tcPr>
          <w:p>
            <w:pPr>
              <w:pStyle w:val="Compact"/>
              <w:jc w:val="left"/>
              <w:suppressAutoHyphens/>
            </w:pPr>
            <w:r>
              <w:t xml:space="preserve">Readiness audit for secular expansion; capacity planning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 – Secular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2038–2041</w:t>
            </w:r>
          </w:p>
        </w:tc>
        <w:tc>
          <w:tcPr>
            <w:tcMar>
              <w:top w:w="100" w:type="dxa"/>
              <w:bottom w:w="100" w:type="dxa"/>
              <w:left w:w="150" w:type="dxa"/>
              <w:right w:w="150" w:type="dxa"/>
            </w:tcMar>
            <w:vAlign w:val="center"/>
            <w:shd w:val="clear" w:color="auto" w:fill="F7F3E8"/>
          </w:tcPr>
          <w:p>
            <w:pPr>
              <w:pStyle w:val="Compact"/>
              <w:jc w:val="left"/>
              <w:suppressAutoHyphens/>
            </w:pPr>
            <w:r>
              <w:t xml:space="preserve">Onboard 28 programs (#72–99), 7 new Schools</w:t>
            </w:r>
          </w:p>
        </w:tc>
      </w:tr>
      <w:tr>
        <w:trPr>
          <w:cantSplit/>
        </w:trPr>
        <w:tc>
          <w:tcPr>
            <w:tcMar>
              <w:top w:w="100" w:type="dxa"/>
              <w:bottom w:w="100" w:type="dxa"/>
              <w:left w:w="150" w:type="dxa"/>
              <w:right w:w="150" w:type="dxa"/>
            </w:tcMar>
            <w:vAlign w:val="center"/>
          </w:tcPr>
          <w:p>
            <w:pPr>
              <w:pStyle w:val="Compact"/>
              <w:jc w:val="left"/>
              <w:suppressAutoHyphens/>
            </w:pPr>
            <w:r>
              <w:t xml:space="preserve">5 – Maturity</w:t>
            </w:r>
          </w:p>
        </w:tc>
        <w:tc>
          <w:tcPr>
            <w:tcMar>
              <w:top w:w="100" w:type="dxa"/>
              <w:bottom w:w="100" w:type="dxa"/>
              <w:left w:w="150" w:type="dxa"/>
              <w:right w:w="150" w:type="dxa"/>
            </w:tcMar>
            <w:vAlign w:val="center"/>
          </w:tcPr>
          <w:p>
            <w:pPr>
              <w:pStyle w:val="Compact"/>
              <w:jc w:val="left"/>
              <w:suppressAutoHyphens/>
            </w:pPr>
            <w:r>
              <w:t xml:space="preserve">2042–2050</w:t>
            </w:r>
          </w:p>
        </w:tc>
        <w:tc>
          <w:tcPr>
            <w:tcMar>
              <w:top w:w="100" w:type="dxa"/>
              <w:bottom w:w="100" w:type="dxa"/>
              <w:left w:w="150" w:type="dxa"/>
              <w:right w:w="150" w:type="dxa"/>
            </w:tcMar>
            <w:vAlign w:val="center"/>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Portfolio-related staffing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No dedicated role; Senate Secretary + DVC Academic Affairs track portfolio part-time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Program Portfolio Analyst, 0.5 FTE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Analyst to 1.0 FTE; College Curriculum Liaisons (volunteer, 1 per college)</w:t>
            </w:r>
          </w:p>
        </w:tc>
      </w:tr>
      <w:tr>
        <w:trPr>
          <w:cantSplit/>
        </w:trPr>
        <w:tc>
          <w:tcPr>
            <w:tcMar>
              <w:top w:w="100" w:type="dxa"/>
              <w:bottom w:w="100" w:type="dxa"/>
              <w:left w:w="150" w:type="dxa"/>
              <w:right w:w="150" w:type="dxa"/>
            </w:tcMar>
            <w:vAlign w:val="center"/>
          </w:tcPr>
          <w:p>
            <w:pPr>
              <w:pStyle w:val="Compact"/>
              <w:jc w:val="left"/>
              <w:suppressAutoHyphens/>
            </w:pPr>
            <w:r>
              <w:t xml:space="preserve">4 (Yr11–14)</w:t>
            </w:r>
          </w:p>
        </w:tc>
        <w:tc>
          <w:tcPr>
            <w:tcMar>
              <w:top w:w="100" w:type="dxa"/>
              <w:bottom w:w="100" w:type="dxa"/>
              <w:left w:w="150" w:type="dxa"/>
              <w:right w:w="150" w:type="dxa"/>
            </w:tcMar>
            <w:vAlign w:val="center"/>
          </w:tcPr>
          <w:p>
            <w:pPr>
              <w:pStyle w:val="Compact"/>
              <w:jc w:val="left"/>
              <w:suppressAutoHyphens/>
            </w:pPr>
            <w:r>
              <w:t xml:space="preserve">Program Portfolio Office, 2 FTE, incl. secular-schools liaison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(Yr15–23)</w:t>
            </w:r>
          </w:p>
        </w:tc>
        <w:tc>
          <w:tcPr>
            <w:tcMar>
              <w:top w:w="100" w:type="dxa"/>
              <w:bottom w:w="100" w:type="dxa"/>
              <w:left w:w="150" w:type="dxa"/>
              <w:right w:w="150" w:type="dxa"/>
            </w:tcMar>
            <w:vAlign w:val="center"/>
            <w:shd w:val="clear" w:color="auto" w:fill="F7F3E8"/>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9"/>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proliferation dilutes faculty/marketing capacity</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Minimum-viable-cohort gate before Senate approval; sunset trigger after 3 sub-threshold years</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 cannibalize religious-college enrollment/marketing share</w:t>
            </w:r>
          </w:p>
        </w:tc>
        <w:tc>
          <w:tcPr>
            <w:tcMar>
              <w:top w:w="100" w:type="dxa"/>
              <w:bottom w:w="100" w:type="dxa"/>
              <w:left w:w="150" w:type="dxa"/>
              <w:right w:w="150" w:type="dxa"/>
            </w:tcMar>
            <w:vAlign w:val="center"/>
          </w:tcPr>
          <w:p>
            <w:pPr>
              <w:pStyle w:val="Compact"/>
              <w:jc w:val="left"/>
              <w:suppressAutoHyphens/>
            </w:pPr>
            <w:r>
              <w:t xml:space="preserve">Separate marketing sub-budgets and KPIs per college/school within the 10% Marketing allocation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becomes a bottleneck as catalog grows to 99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Program Portfolio Committee pre-screens and batches routine reviews; only substantive changes go to full Senate</w:t>
            </w:r>
          </w:p>
        </w:tc>
      </w:tr>
      <w:tr>
        <w:trPr>
          <w:cantSplit/>
        </w:trPr>
        <w:tc>
          <w:tcPr>
            <w:tcMar>
              <w:top w:w="100" w:type="dxa"/>
              <w:bottom w:w="100" w:type="dxa"/>
              <w:left w:w="150" w:type="dxa"/>
              <w:right w:w="150" w:type="dxa"/>
            </w:tcMar>
            <w:vAlign w:val="center"/>
          </w:tcPr>
          <w:p>
            <w:pPr>
              <w:pStyle w:val="Compact"/>
              <w:jc w:val="left"/>
              <w:suppressAutoHyphens/>
            </w:pPr>
            <w:r>
              <w:t xml:space="preserve">Permanent numbering (1–71) creates confusion when a program is sunset</w:t>
            </w:r>
          </w:p>
        </w:tc>
        <w:tc>
          <w:tcPr>
            <w:tcMar>
              <w:top w:w="100" w:type="dxa"/>
              <w:bottom w:w="100" w:type="dxa"/>
              <w:left w:w="150" w:type="dxa"/>
              <w:right w:w="150" w:type="dxa"/>
            </w:tcMar>
            <w:vAlign w:val="center"/>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creation of new Colleges/Schools (capital &amp; fiduciary dimension)</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authority: approves every program addition, modification, discontinuation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Portfolio Committee (PPC, Senate subcommittee)</w:t>
            </w:r>
          </w:p>
        </w:tc>
        <w:tc>
          <w:tcPr>
            <w:tcMar>
              <w:top w:w="100" w:type="dxa"/>
              <w:bottom w:w="100" w:type="dxa"/>
              <w:left w:w="150" w:type="dxa"/>
              <w:right w:w="150" w:type="dxa"/>
            </w:tcMar>
            <w:vAlign w:val="center"/>
            <w:shd w:val="clear" w:color="auto" w:fill="F7F3E8"/>
          </w:tcPr>
          <w:p>
            <w:pPr>
              <w:pStyle w:val="Compact"/>
              <w:jc w:val="left"/>
              <w:suppressAutoHyphens/>
            </w:pPr>
            <w:r>
              <w:t xml:space="preserve">Conducts reviews, recommends sunset/launch, monitors tier/college balance</w:t>
            </w:r>
          </w:p>
        </w:tc>
      </w:tr>
      <w:tr>
        <w:trPr>
          <w:cantSplit/>
        </w:trPr>
        <w:tc>
          <w:tcPr>
            <w:tcMar>
              <w:top w:w="100" w:type="dxa"/>
              <w:bottom w:w="100" w:type="dxa"/>
              <w:left w:w="150" w:type="dxa"/>
              <w:right w:w="150" w:type="dxa"/>
            </w:tcMar>
            <w:vAlign w:val="center"/>
          </w:tcPr>
          <w:p>
            <w:pPr>
              <w:pStyle w:val="Compact"/>
              <w:jc w:val="left"/>
              <w:suppressAutoHyphens/>
            </w:pPr>
            <w:r>
              <w:t xml:space="preserve">DVC Academic Affairs (Al-Qumash)</w:t>
            </w:r>
          </w:p>
        </w:tc>
        <w:tc>
          <w:tcPr>
            <w:tcMar>
              <w:top w:w="100" w:type="dxa"/>
              <w:bottom w:w="100" w:type="dxa"/>
              <w:left w:w="150" w:type="dxa"/>
              <w:right w:w="150" w:type="dxa"/>
            </w:tcMar>
            <w:vAlign w:val="center"/>
          </w:tcPr>
          <w:p>
            <w:pPr>
              <w:pStyle w:val="Compact"/>
              <w:jc w:val="left"/>
              <w:suppressAutoHyphens/>
            </w:pPr>
            <w:r>
              <w:t xml:space="preserve">Implements Senate decisions, chairs PPC coordination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Registrar</w:t>
            </w:r>
          </w:p>
        </w:tc>
        <w:tc>
          <w:tcPr>
            <w:tcMar>
              <w:top w:w="100" w:type="dxa"/>
              <w:bottom w:w="100" w:type="dxa"/>
              <w:left w:w="150" w:type="dxa"/>
              <w:right w:w="150" w:type="dxa"/>
            </w:tcMar>
            <w:vAlign w:val="center"/>
            <w:shd w:val="clear" w:color="auto" w:fill="F7F3E8"/>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Layout w:type="fixed"/>
      </w:tblPr>
      <w:tblGrid>
        <w:gridCol w:w="1526"/>
        <w:gridCol w:w="1666"/>
        <w:gridCol w:w="1563"/>
        <w:gridCol w:w="2228"/>
        <w:gridCol w:w="20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6" w:type="dxa"/>
          </w:tcPr>
          <w:p>
            <w:pPr>
              <w:pStyle w:val="Compact"/>
              <w:jc w:val="left"/>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W w:w="1666" w:type="dxa"/>
          </w:tcPr>
          <w:p>
            <w:pPr>
              <w:pStyle w:val="Compact"/>
              <w:jc w:val="left"/>
            </w:pPr>
            <w:r>
              <w:rPr>
                <w:b/>
                <w:color w:val="FFFFFF"/>
                <w:caps/>
                <w:spacing w:val="4"/>
              </w:rPr>
              <w:t xml:space="preserve">Total CH</w:t>
            </w:r>
          </w:p>
        </w:tc>
        <w:tc>
          <w:tcPr>
            <w:shd w:val="clear" w:color="auto" w:fill="122A4E"/>
            <w:tcMar>
              <w:top w:w="130" w:type="dxa"/>
              <w:bottom w:w="130" w:type="dxa"/>
              <w:left w:w="150" w:type="dxa"/>
              <w:right w:w="150" w:type="dxa"/>
            </w:tcMar>
            <w:tcBorders>
              <w:bottom w:val="single" w:sz="16" w:space="0" w:color="B08625"/>
            </w:tcBorders>
            <w:vAlign w:val="center"/>
            <w:tcW w:w="1563" w:type="dxa"/>
          </w:tcPr>
          <w:p>
            <w:pPr>
              <w:pStyle w:val="Compact"/>
              <w:jc w:val="left"/>
            </w:pPr>
            <w:r>
              <w:rPr>
                <w:b/>
                <w:color w:val="FFFFFF"/>
                <w:caps/>
                <w:spacing w:val="4"/>
              </w:rPr>
              <w:t xml:space="preserve">Gen-Ed</w:t>
            </w:r>
          </w:p>
        </w:tc>
        <w:tc>
          <w:tcPr>
            <w:shd w:val="clear" w:color="auto" w:fill="122A4E"/>
            <w:tcMar>
              <w:top w:w="130" w:type="dxa"/>
              <w:bottom w:w="130" w:type="dxa"/>
              <w:left w:w="150" w:type="dxa"/>
              <w:right w:w="150" w:type="dxa"/>
            </w:tcMar>
            <w:tcBorders>
              <w:bottom w:val="single" w:sz="16" w:space="0" w:color="B08625"/>
            </w:tcBorders>
            <w:vAlign w:val="center"/>
            <w:tcW w:w="2228" w:type="dxa"/>
          </w:tcPr>
          <w:p>
            <w:pPr>
              <w:pStyle w:val="Compact"/>
              <w:jc w:val="left"/>
            </w:pPr>
            <w:r>
              <w:rPr>
                <w:b/>
                <w:color w:val="FFFFFF"/>
                <w:caps/>
                <w:spacing w:val="4"/>
              </w:rPr>
              <w:t xml:space="preserve">Core/Major</w:t>
            </w:r>
          </w:p>
        </w:tc>
        <w:tc>
          <w:tcPr>
            <w:shd w:val="clear" w:color="auto" w:fill="122A4E"/>
            <w:tcMar>
              <w:top w:w="130" w:type="dxa"/>
              <w:bottom w:w="130" w:type="dxa"/>
              <w:left w:w="150" w:type="dxa"/>
              <w:right w:w="150" w:type="dxa"/>
            </w:tcMar>
            <w:tcBorders>
              <w:bottom w:val="single" w:sz="16" w:space="0" w:color="B08625"/>
            </w:tcBorders>
            <w:vAlign w:val="center"/>
            <w:tcW w:w="2089" w:type="dxa"/>
          </w:tcPr>
          <w:p>
            <w:pPr>
              <w:pStyle w:val="Compact"/>
              <w:jc w:val="left"/>
            </w:pPr>
            <w:r>
              <w:rPr>
                <w:b/>
                <w:color w:val="FFFFFF"/>
                <w:caps/>
                <w:spacing w:val="4"/>
              </w:rPr>
              <w:t xml:space="preserve">Elective/Research</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I Diploma</w:t>
            </w:r>
          </w:p>
        </w:tc>
        <w:tc>
          <w:tcPr>
            <w:tcMar>
              <w:top w:w="100" w:type="dxa"/>
              <w:bottom w:w="100" w:type="dxa"/>
              <w:left w:w="150" w:type="dxa"/>
              <w:right w:w="150" w:type="dxa"/>
            </w:tcMar>
            <w:vAlign w:val="center"/>
            <w:shd w:val="clear" w:color="auto" w:fill="F7F3E8"/>
            <w:tcW w:w="1666" w:type="dxa"/>
          </w:tcPr>
          <w:p>
            <w:pPr>
              <w:pStyle w:val="Compact"/>
              <w:jc w:val="left"/>
            </w:pPr>
            <w:r>
              <w:t xml:space="preserve">45</w:t>
            </w:r>
          </w:p>
        </w:tc>
        <w:tc>
          <w:tcPr>
            <w:tcMar>
              <w:top w:w="100" w:type="dxa"/>
              <w:bottom w:w="100" w:type="dxa"/>
              <w:left w:w="150" w:type="dxa"/>
              <w:right w:w="150" w:type="dxa"/>
            </w:tcMar>
            <w:vAlign w:val="center"/>
            <w:shd w:val="clear" w:color="auto" w:fill="F7F3E8"/>
            <w:tcW w:w="1563" w:type="dxa"/>
          </w:tcPr>
          <w:p>
            <w:pPr>
              <w:pStyle w:val="Compact"/>
              <w:jc w:val="left"/>
            </w:pPr>
            <w:r>
              <w:t xml:space="preserve">9 (20%)</w:t>
            </w:r>
          </w:p>
        </w:tc>
        <w:tc>
          <w:tcPr>
            <w:tcMar>
              <w:top w:w="100" w:type="dxa"/>
              <w:bottom w:w="100" w:type="dxa"/>
              <w:left w:w="150" w:type="dxa"/>
              <w:right w:w="150" w:type="dxa"/>
            </w:tcMar>
            <w:vAlign w:val="center"/>
            <w:shd w:val="clear" w:color="auto" w:fill="F7F3E8"/>
            <w:tcW w:w="2228" w:type="dxa"/>
          </w:tcPr>
          <w:p>
            <w:pPr>
              <w:pStyle w:val="Compact"/>
              <w:jc w:val="left"/>
            </w:pPr>
            <w:r>
              <w:t xml:space="preserve">36 (80%)</w:t>
            </w:r>
          </w:p>
        </w:tc>
        <w:tc>
          <w:tcPr>
            <w:tcMar>
              <w:top w:w="100" w:type="dxa"/>
              <w:bottom w:w="100" w:type="dxa"/>
              <w:left w:w="150" w:type="dxa"/>
              <w:right w:w="150" w:type="dxa"/>
            </w:tcMar>
            <w:vAlign w:val="center"/>
            <w:shd w:val="clear" w:color="auto" w:fill="F7F3E8"/>
            <w:tcW w:w="2089" w:type="dxa"/>
          </w:tcPr>
          <w:p>
            <w:pPr>
              <w:pStyle w:val="Compact"/>
              <w:jc w:val="left"/>
            </w:pPr>
            <w:r>
              <w:t xml:space="preserve">—</w:t>
            </w:r>
          </w:p>
        </w:tc>
      </w:tr>
      <w:tr>
        <w:trPr>
          <w:cantSplit/>
        </w:trPr>
        <w:tc>
          <w:tcPr>
            <w:tcMar>
              <w:top w:w="100" w:type="dxa"/>
              <w:bottom w:w="100" w:type="dxa"/>
              <w:left w:w="150" w:type="dxa"/>
              <w:right w:w="150" w:type="dxa"/>
            </w:tcMar>
            <w:vAlign w:val="center"/>
            <w:tcW w:w="1526" w:type="dxa"/>
          </w:tcPr>
          <w:p>
            <w:pPr>
              <w:pStyle w:val="Compact"/>
              <w:jc w:val="left"/>
            </w:pPr>
            <w:r>
              <w:t xml:space="preserve">II Associate</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12 (20%)</w:t>
            </w:r>
          </w:p>
        </w:tc>
        <w:tc>
          <w:tcPr>
            <w:tcMar>
              <w:top w:w="100" w:type="dxa"/>
              <w:bottom w:w="100" w:type="dxa"/>
              <w:left w:w="150" w:type="dxa"/>
              <w:right w:w="150" w:type="dxa"/>
            </w:tcMar>
            <w:vAlign w:val="center"/>
            <w:tcW w:w="2228" w:type="dxa"/>
          </w:tcPr>
          <w:p>
            <w:pPr>
              <w:pStyle w:val="Compact"/>
              <w:jc w:val="left"/>
            </w:pPr>
            <w:r>
              <w:t xml:space="preserve">42 (70%)</w:t>
            </w:r>
          </w:p>
        </w:tc>
        <w:tc>
          <w:tcPr>
            <w:tcMar>
              <w:top w:w="100" w:type="dxa"/>
              <w:bottom w:w="100" w:type="dxa"/>
              <w:left w:w="150" w:type="dxa"/>
              <w:right w:w="150" w:type="dxa"/>
            </w:tcMar>
            <w:vAlign w:val="center"/>
            <w:tcW w:w="2089" w:type="dxa"/>
          </w:tcPr>
          <w:p>
            <w:pPr>
              <w:pStyle w:val="Compact"/>
              <w:jc w:val="left"/>
            </w:pPr>
            <w:r>
              <w:t xml:space="preserve">6 (10%)</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III BA</w:t>
            </w:r>
          </w:p>
        </w:tc>
        <w:tc>
          <w:tcPr>
            <w:tcMar>
              <w:top w:w="100" w:type="dxa"/>
              <w:bottom w:w="100" w:type="dxa"/>
              <w:left w:w="150" w:type="dxa"/>
              <w:right w:w="150" w:type="dxa"/>
            </w:tcMar>
            <w:vAlign w:val="center"/>
            <w:shd w:val="clear" w:color="auto" w:fill="F7F3E8"/>
            <w:tcW w:w="1666" w:type="dxa"/>
          </w:tcPr>
          <w:p>
            <w:pPr>
              <w:pStyle w:val="Compact"/>
              <w:jc w:val="left"/>
            </w:pPr>
            <w:r>
              <w:t xml:space="preserve">120</w:t>
            </w:r>
          </w:p>
        </w:tc>
        <w:tc>
          <w:tcPr>
            <w:tcMar>
              <w:top w:w="100" w:type="dxa"/>
              <w:bottom w:w="100" w:type="dxa"/>
              <w:left w:w="150" w:type="dxa"/>
              <w:right w:w="150" w:type="dxa"/>
            </w:tcMar>
            <w:vAlign w:val="center"/>
            <w:shd w:val="clear" w:color="auto" w:fill="F7F3E8"/>
            <w:tcW w:w="1563" w:type="dxa"/>
          </w:tcPr>
          <w:p>
            <w:pPr>
              <w:pStyle w:val="Compact"/>
              <w:jc w:val="left"/>
            </w:pPr>
            <w:r>
              <w:t xml:space="preserve">24 (20%)</w:t>
            </w:r>
          </w:p>
        </w:tc>
        <w:tc>
          <w:tcPr>
            <w:tcMar>
              <w:top w:w="100" w:type="dxa"/>
              <w:bottom w:w="100" w:type="dxa"/>
              <w:left w:w="150" w:type="dxa"/>
              <w:right w:w="150" w:type="dxa"/>
            </w:tcMar>
            <w:vAlign w:val="center"/>
            <w:shd w:val="clear" w:color="auto" w:fill="F7F3E8"/>
            <w:tcW w:w="2228" w:type="dxa"/>
          </w:tcPr>
          <w:p>
            <w:pPr>
              <w:pStyle w:val="Compact"/>
              <w:jc w:val="left"/>
            </w:pPr>
            <w:r>
              <w:t xml:space="preserve">72 (60%)</w:t>
            </w:r>
          </w:p>
        </w:tc>
        <w:tc>
          <w:tcPr>
            <w:tcMar>
              <w:top w:w="100" w:type="dxa"/>
              <w:bottom w:w="100" w:type="dxa"/>
              <w:left w:w="150" w:type="dxa"/>
              <w:right w:w="150" w:type="dxa"/>
            </w:tcMar>
            <w:vAlign w:val="center"/>
            <w:shd w:val="clear" w:color="auto" w:fill="F7F3E8"/>
            <w:tcW w:w="2089" w:type="dxa"/>
          </w:tcPr>
          <w:p>
            <w:pPr>
              <w:pStyle w:val="Compact"/>
              <w:jc w:val="left"/>
            </w:pPr>
            <w:r>
              <w:t xml:space="preserve">24 (20%)</w:t>
            </w:r>
          </w:p>
        </w:tc>
      </w:tr>
      <w:tr>
        <w:trPr>
          <w:cantSplit/>
        </w:trPr>
        <w:tc>
          <w:tcPr>
            <w:tcMar>
              <w:top w:w="100" w:type="dxa"/>
              <w:bottom w:w="100" w:type="dxa"/>
              <w:left w:w="150" w:type="dxa"/>
              <w:right w:w="150" w:type="dxa"/>
            </w:tcMar>
            <w:vAlign w:val="center"/>
            <w:tcW w:w="1526" w:type="dxa"/>
          </w:tcPr>
          <w:p>
            <w:pPr>
              <w:pStyle w:val="Compact"/>
              <w:jc w:val="left"/>
            </w:pPr>
            <w:r>
              <w:t xml:space="preserve">IV HPGD (bridge)</w:t>
            </w:r>
          </w:p>
        </w:tc>
        <w:tc>
          <w:tcPr>
            <w:tcMar>
              <w:top w:w="100" w:type="dxa"/>
              <w:bottom w:w="100" w:type="dxa"/>
              <w:left w:w="150" w:type="dxa"/>
              <w:right w:w="150" w:type="dxa"/>
            </w:tcMar>
            <w:vAlign w:val="center"/>
            <w:tcW w:w="1666" w:type="dxa"/>
          </w:tcPr>
          <w:p>
            <w:pPr>
              <w:pStyle w:val="Compact"/>
              <w:jc w:val="left"/>
            </w:pPr>
            <w:r>
              <w:t xml:space="preserve">30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24 (80%)</w:t>
            </w:r>
          </w:p>
        </w:tc>
        <w:tc>
          <w:tcPr>
            <w:tcMar>
              <w:top w:w="100" w:type="dxa"/>
              <w:bottom w:w="100" w:type="dxa"/>
              <w:left w:w="150" w:type="dxa"/>
              <w:right w:w="150" w:type="dxa"/>
            </w:tcMar>
            <w:vAlign w:val="center"/>
            <w:tcW w:w="2089" w:type="dxa"/>
          </w:tcPr>
          <w:p>
            <w:pPr>
              <w:pStyle w:val="Compact"/>
              <w:jc w:val="left"/>
            </w:pPr>
            <w:r>
              <w:t xml:space="preserve">6 (20%)</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V MA</w:t>
            </w:r>
          </w:p>
        </w:tc>
        <w:tc>
          <w:tcPr>
            <w:tcMar>
              <w:top w:w="100" w:type="dxa"/>
              <w:bottom w:w="100" w:type="dxa"/>
              <w:left w:w="150" w:type="dxa"/>
              <w:right w:w="150" w:type="dxa"/>
            </w:tcMar>
            <w:vAlign w:val="center"/>
            <w:shd w:val="clear" w:color="auto" w:fill="F7F3E8"/>
            <w:tcW w:w="1666" w:type="dxa"/>
          </w:tcPr>
          <w:p>
            <w:pPr>
              <w:pStyle w:val="Compact"/>
              <w:jc w:val="left"/>
            </w:pPr>
            <w:r>
              <w:t xml:space="preserve">45</w:t>
            </w:r>
          </w:p>
        </w:tc>
        <w:tc>
          <w:tcPr>
            <w:tcMar>
              <w:top w:w="100" w:type="dxa"/>
              <w:bottom w:w="100" w:type="dxa"/>
              <w:left w:w="150" w:type="dxa"/>
              <w:right w:w="150" w:type="dxa"/>
            </w:tcMar>
            <w:vAlign w:val="center"/>
            <w:shd w:val="clear" w:color="auto" w:fill="F7F3E8"/>
            <w:tcW w:w="1563" w:type="dxa"/>
          </w:tcPr>
          <w:p>
            <w:pPr>
              <w:pStyle w:val="Compact"/>
              <w:jc w:val="left"/>
            </w:pPr>
            <w:r>
              <w:t xml:space="preserve">—</w:t>
            </w:r>
          </w:p>
        </w:tc>
        <w:tc>
          <w:tcPr>
            <w:tcMar>
              <w:top w:w="100" w:type="dxa"/>
              <w:bottom w:w="100" w:type="dxa"/>
              <w:left w:w="150" w:type="dxa"/>
              <w:right w:w="150" w:type="dxa"/>
            </w:tcMar>
            <w:vAlign w:val="center"/>
            <w:shd w:val="clear" w:color="auto" w:fill="F7F3E8"/>
            <w:tcW w:w="2228" w:type="dxa"/>
          </w:tcPr>
          <w:p>
            <w:pPr>
              <w:pStyle w:val="Compact"/>
              <w:jc w:val="left"/>
            </w:pPr>
            <w:r>
              <w:t xml:space="preserve">33 core/specialization</w:t>
            </w:r>
          </w:p>
        </w:tc>
        <w:tc>
          <w:tcPr>
            <w:tcMar>
              <w:top w:w="100" w:type="dxa"/>
              <w:bottom w:w="100" w:type="dxa"/>
              <w:left w:w="150" w:type="dxa"/>
              <w:right w:w="150" w:type="dxa"/>
            </w:tcMar>
            <w:vAlign w:val="center"/>
            <w:shd w:val="clear" w:color="auto" w:fill="F7F3E8"/>
            <w:tcW w:w="2089" w:type="dxa"/>
          </w:tcPr>
          <w:p>
            <w:pPr>
              <w:pStyle w:val="Compact"/>
              <w:jc w:val="left"/>
            </w:pPr>
            <w:r>
              <w:t xml:space="preserve">12 thesis/elective</w:t>
            </w:r>
          </w:p>
        </w:tc>
      </w:tr>
      <w:tr>
        <w:trPr>
          <w:cantSplit/>
        </w:trPr>
        <w:tc>
          <w:tcPr>
            <w:tcMar>
              <w:top w:w="100" w:type="dxa"/>
              <w:bottom w:w="100" w:type="dxa"/>
              <w:left w:w="150" w:type="dxa"/>
              <w:right w:w="150" w:type="dxa"/>
            </w:tcMar>
            <w:vAlign w:val="center"/>
            <w:tcW w:w="1526" w:type="dxa"/>
          </w:tcPr>
          <w:p>
            <w:pPr>
              <w:pStyle w:val="Compact"/>
              <w:jc w:val="left"/>
            </w:pPr>
            <w:r>
              <w:t xml:space="preserve">VI PhD</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18 coursework</w:t>
            </w:r>
          </w:p>
        </w:tc>
        <w:tc>
          <w:tcPr>
            <w:tcMar>
              <w:top w:w="100" w:type="dxa"/>
              <w:bottom w:w="100" w:type="dxa"/>
              <w:left w:w="150" w:type="dxa"/>
              <w:right w:w="150" w:type="dxa"/>
            </w:tcMar>
            <w:vAlign w:val="center"/>
            <w:tcW w:w="2089" w:type="dxa"/>
          </w:tcPr>
          <w:p>
            <w:pPr>
              <w:pStyle w:val="Compact"/>
              <w:jc w:val="left"/>
            </w:pPr>
            <w:r>
              <w:t xml:space="preserve">42 comprehensive + dissertation</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VII Post-Doc</w:t>
            </w:r>
          </w:p>
        </w:tc>
        <w:tc>
          <w:tcPr>
            <w:tcMar>
              <w:top w:w="100" w:type="dxa"/>
              <w:bottom w:w="100" w:type="dxa"/>
              <w:left w:w="150" w:type="dxa"/>
              <w:right w:w="150" w:type="dxa"/>
            </w:tcMar>
            <w:vAlign w:val="center"/>
            <w:shd w:val="clear" w:color="auto" w:fill="F7F3E8"/>
            <w:tcW w:w="1666" w:type="dxa"/>
          </w:tcPr>
          <w:p>
            <w:pPr>
              <w:pStyle w:val="Compact"/>
              <w:jc w:val="left"/>
            </w:pPr>
            <w:r>
              <w:t xml:space="preserve">non-credit</w:t>
            </w:r>
          </w:p>
        </w:tc>
        <w:tc>
          <w:tcPr>
            <w:tcMar>
              <w:top w:w="100" w:type="dxa"/>
              <w:bottom w:w="100" w:type="dxa"/>
              <w:left w:w="150" w:type="dxa"/>
              <w:right w:w="150" w:type="dxa"/>
            </w:tcMar>
            <w:vAlign w:val="center"/>
            <w:shd w:val="clear" w:color="auto" w:fill="F7F3E8"/>
            <w:tcW w:w="1563" w:type="dxa"/>
          </w:tcPr>
          <w:p>
            <w:pPr>
              <w:pStyle w:val="Compact"/>
              <w:jc w:val="left"/>
            </w:pPr>
            <w:r>
              <w:t xml:space="preserve">—</w:t>
            </w:r>
          </w:p>
        </w:tc>
        <w:tc>
          <w:tcPr>
            <w:tcMar>
              <w:top w:w="100" w:type="dxa"/>
              <w:bottom w:w="100" w:type="dxa"/>
              <w:left w:w="150" w:type="dxa"/>
              <w:right w:w="150" w:type="dxa"/>
            </w:tcMar>
            <w:vAlign w:val="center"/>
            <w:shd w:val="clear" w:color="auto" w:fill="F7F3E8"/>
            <w:tcW w:w="2228" w:type="dxa"/>
          </w:tcPr>
          <w:p>
            <w:pPr>
              <w:pStyle w:val="Compact"/>
              <w:jc w:val="left"/>
            </w:pPr>
            <w:r>
              <w:t xml:space="preserve">mentored research</w:t>
            </w:r>
          </w:p>
        </w:tc>
        <w:tc>
          <w:tcPr>
            <w:tcMar>
              <w:top w:w="100" w:type="dxa"/>
              <w:bottom w:w="100" w:type="dxa"/>
              <w:left w:w="150" w:type="dxa"/>
              <w:right w:w="150" w:type="dxa"/>
            </w:tcMar>
            <w:vAlign w:val="center"/>
            <w:shd w:val="clear" w:color="auto" w:fill="F7F3E8"/>
            <w:tcW w:w="2089" w:type="dxa"/>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Publish curriculum maps for all 71 programs; Sanad Audit baseline</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Fast-Track cohort data collected; EMI support pipeline built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External-reviewer-ready curriculum-map matrices; accreditation prep</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2038–2040</w:t>
            </w:r>
          </w:p>
        </w:tc>
        <w:tc>
          <w:tcPr>
            <w:tcMar>
              <w:top w:w="100" w:type="dxa"/>
              <w:bottom w:w="100" w:type="dxa"/>
              <w:left w:w="150" w:type="dxa"/>
              <w:right w:w="150" w:type="dxa"/>
            </w:tcMar>
            <w:vAlign w:val="center"/>
          </w:tcPr>
          <w:p>
            <w:pPr>
              <w:pStyle w:val="Compact"/>
              <w:jc w:val="left"/>
              <w:suppressAutoHyphens/>
            </w:pPr>
            <w:r>
              <w:t xml:space="preserve">Design gen-ed/core/elective architecture for 28 secular programs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2041–2050</w:t>
            </w:r>
          </w:p>
        </w:tc>
        <w:tc>
          <w:tcPr>
            <w:tcMar>
              <w:top w:w="100" w:type="dxa"/>
              <w:bottom w:w="100" w:type="dxa"/>
              <w:left w:w="150" w:type="dxa"/>
              <w:right w:w="150" w:type="dxa"/>
            </w:tcMar>
            <w:vAlign w:val="center"/>
            <w:shd w:val="clear" w:color="auto" w:fill="F7F3E8"/>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Isnād-verified faculty bottleneck limits course activation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Diaspora scholar network, partner-institution MOUs (Section 15)</w:t>
            </w:r>
          </w:p>
        </w:tc>
      </w:tr>
      <w:tr>
        <w:trPr>
          <w:cantSplit/>
        </w:trPr>
        <w:tc>
          <w:tcPr>
            <w:tcMar>
              <w:top w:w="100" w:type="dxa"/>
              <w:bottom w:w="100" w:type="dxa"/>
              <w:left w:w="150" w:type="dxa"/>
              <w:right w:w="150" w:type="dxa"/>
            </w:tcMar>
            <w:vAlign w:val="center"/>
          </w:tcPr>
          <w:p>
            <w:pPr>
              <w:pStyle w:val="Compact"/>
              <w:jc w:val="left"/>
              <w:suppressAutoHyphens/>
            </w:pPr>
            <w:r>
              <w:t xml:space="preserve">Fast-Track overuse erodes rigor</w:t>
            </w:r>
          </w:p>
        </w:tc>
        <w:tc>
          <w:tcPr>
            <w:tcMar>
              <w:top w:w="100" w:type="dxa"/>
              <w:bottom w:w="100" w:type="dxa"/>
              <w:left w:w="150" w:type="dxa"/>
              <w:right w:w="150" w:type="dxa"/>
            </w:tcMar>
            <w:vAlign w:val="center"/>
          </w:tcPr>
          <w:p>
            <w:pPr>
              <w:pStyle w:val="Compact"/>
              <w:jc w:val="left"/>
              <w:suppressAutoHyphens/>
            </w:pPr>
            <w:r>
              <w:t xml:space="preserve">Competency exam standard fixed by Senate, audited annually by CAC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Curriculum drift from fixed CH totals</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Channel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Human Touch?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Inquiry</w:t>
            </w:r>
          </w:p>
        </w:tc>
        <w:tc>
          <w:tcPr>
            <w:tcMar>
              <w:top w:w="100" w:type="dxa"/>
              <w:bottom w:w="100" w:type="dxa"/>
              <w:left w:w="150" w:type="dxa"/>
              <w:right w:w="150" w:type="dxa"/>
            </w:tcMar>
            <w:vAlign w:val="center"/>
            <w:shd w:val="clear" w:color="auto" w:fill="F7F3E8"/>
          </w:tcPr>
          <w:p>
            <w:pPr>
              <w:pStyle w:val="Compact"/>
              <w:jc w:val="left"/>
              <w:suppressAutoHyphens/>
            </w:pPr>
            <w:r>
              <w:t xml:space="preserve">LMS/website, mosque-network referral, WhatsApp/SMS chatbot</w:t>
            </w:r>
          </w:p>
        </w:tc>
        <w:tc>
          <w:tcPr>
            <w:tcMar>
              <w:top w:w="100" w:type="dxa"/>
              <w:bottom w:w="100" w:type="dxa"/>
              <w:left w:w="150" w:type="dxa"/>
              <w:right w:w="150" w:type="dxa"/>
            </w:tcMar>
            <w:vAlign w:val="center"/>
            <w:shd w:val="clear" w:color="auto" w:fill="F7F3E8"/>
          </w:tcPr>
          <w:p>
            <w:pPr>
              <w:pStyle w:val="Compact"/>
              <w:jc w:val="left"/>
              <w:suppressAutoHyphens/>
            </w:pPr>
            <w:r>
              <w:t xml:space="preserve">No</w:t>
            </w:r>
          </w:p>
        </w:tc>
      </w:tr>
      <w:tr>
        <w:trPr>
          <w:cantSplit/>
        </w:trPr>
        <w:tc>
          <w:tcPr>
            <w:tcMar>
              <w:top w:w="100" w:type="dxa"/>
              <w:bottom w:w="100" w:type="dxa"/>
              <w:left w:w="150" w:type="dxa"/>
              <w:right w:w="150" w:type="dxa"/>
            </w:tcMar>
            <w:vAlign w:val="center"/>
          </w:tcPr>
          <w:p>
            <w:pPr>
              <w:pStyle w:val="Compact"/>
              <w:jc w:val="left"/>
              <w:suppressAutoHyphens/>
            </w:pPr>
            <w:r>
              <w:t xml:space="preserve">Application</w:t>
            </w:r>
          </w:p>
        </w:tc>
        <w:tc>
          <w:tcPr>
            <w:tcMar>
              <w:top w:w="100" w:type="dxa"/>
              <w:bottom w:w="100" w:type="dxa"/>
              <w:left w:w="150" w:type="dxa"/>
              <w:right w:w="150" w:type="dxa"/>
            </w:tcMar>
            <w:vAlign w:val="center"/>
          </w:tcPr>
          <w:p>
            <w:pPr>
              <w:pStyle w:val="Compact"/>
              <w:jc w:val="left"/>
              <w:suppressAutoHyphens/>
            </w:pPr>
            <w:r>
              <w:t xml:space="preserve">Online portal, automated document checklist</w:t>
            </w:r>
          </w:p>
        </w:tc>
        <w:tc>
          <w:tcPr>
            <w:tcMar>
              <w:top w:w="100" w:type="dxa"/>
              <w:bottom w:w="100" w:type="dxa"/>
              <w:left w:w="150" w:type="dxa"/>
              <w:right w:w="150" w:type="dxa"/>
            </w:tcMar>
            <w:vAlign w:val="center"/>
          </w:tcPr>
          <w:p>
            <w:pPr>
              <w:pStyle w:val="Compact"/>
              <w:jc w:val="left"/>
              <w:suppressAutoHyphens/>
            </w:pPr>
            <w:r>
              <w:t xml:space="preserve">No (exceptions escalate)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Placement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Self-service country-tier calculator + document upload</w:t>
            </w:r>
          </w:p>
        </w:tc>
        <w:tc>
          <w:tcPr>
            <w:tcMar>
              <w:top w:w="100" w:type="dxa"/>
              <w:bottom w:w="100" w:type="dxa"/>
              <w:left w:w="150" w:type="dxa"/>
              <w:right w:w="150" w:type="dxa"/>
            </w:tcMar>
            <w:vAlign w:val="center"/>
            <w:shd w:val="clear" w:color="auto" w:fill="F7F3E8"/>
          </w:tcPr>
          <w:p>
            <w:pPr>
              <w:pStyle w:val="Compact"/>
              <w:jc w:val="left"/>
              <w:suppressAutoHyphens/>
            </w:pPr>
            <w:r>
              <w:t xml:space="preserve">Only on dispute (Section 14)</w:t>
            </w:r>
          </w:p>
        </w:tc>
      </w:tr>
      <w:tr>
        <w:trPr>
          <w:cantSplit/>
        </w:trPr>
        <w:tc>
          <w:tcPr>
            <w:tcMar>
              <w:top w:w="100" w:type="dxa"/>
              <w:bottom w:w="100" w:type="dxa"/>
              <w:left w:w="150" w:type="dxa"/>
              <w:right w:w="150" w:type="dxa"/>
            </w:tcMar>
            <w:vAlign w:val="center"/>
          </w:tcPr>
          <w:p>
            <w:pPr>
              <w:pStyle w:val="Compact"/>
              <w:jc w:val="left"/>
              <w:suppressAutoHyphens/>
            </w:pPr>
            <w:r>
              <w:t xml:space="preserve">Admission Decision</w:t>
            </w:r>
          </w:p>
        </w:tc>
        <w:tc>
          <w:tcPr>
            <w:tcMar>
              <w:top w:w="100" w:type="dxa"/>
              <w:bottom w:w="100" w:type="dxa"/>
              <w:left w:w="150" w:type="dxa"/>
              <w:right w:w="150" w:type="dxa"/>
            </w:tcMar>
            <w:vAlign w:val="center"/>
          </w:tcPr>
          <w:p>
            <w:pPr>
              <w:pStyle w:val="Compact"/>
              <w:jc w:val="left"/>
              <w:suppressAutoHyphens/>
            </w:pPr>
            <w:r>
              <w:t xml:space="preserve">Automated for Diploma/Associate/HPGD rolling tiers; committee-reviewed for cohort tiers</w:t>
            </w:r>
          </w:p>
        </w:tc>
        <w:tc>
          <w:tcPr>
            <w:tcMar>
              <w:top w:w="100" w:type="dxa"/>
              <w:bottom w:w="100" w:type="dxa"/>
              <w:left w:w="150" w:type="dxa"/>
              <w:right w:w="150" w:type="dxa"/>
            </w:tcMar>
            <w:vAlign w:val="center"/>
          </w:tcPr>
          <w:p>
            <w:pPr>
              <w:pStyle w:val="Compact"/>
              <w:jc w:val="left"/>
              <w:suppressAutoHyphens/>
            </w:pPr>
            <w:r>
              <w:t xml:space="preserve">Partial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&amp; Orientation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Self-service enrollment agreement, onboarding module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Minimal</w:t>
            </w:r>
          </w:p>
        </w:tc>
      </w:tr>
      <w:tr>
        <w:trPr>
          <w:cantSplit/>
        </w:trPr>
        <w:tc>
          <w:tcPr>
            <w:tcMar>
              <w:top w:w="100" w:type="dxa"/>
              <w:bottom w:w="100" w:type="dxa"/>
              <w:left w:w="150" w:type="dxa"/>
              <w:right w:w="150" w:type="dxa"/>
            </w:tcMar>
            <w:vAlign w:val="center"/>
          </w:tcPr>
          <w:p>
            <w:pPr>
              <w:pStyle w:val="Compact"/>
              <w:jc w:val="left"/>
              <w:suppressAutoHyphens/>
            </w:pPr>
            <w:r>
              <w:t xml:space="preserve">Ladder Progression</w:t>
            </w:r>
          </w:p>
        </w:tc>
        <w:tc>
          <w:tcPr>
            <w:tcMar>
              <w:top w:w="100" w:type="dxa"/>
              <w:bottom w:w="100" w:type="dxa"/>
              <w:left w:w="150" w:type="dxa"/>
              <w:right w:w="150" w:type="dxa"/>
            </w:tcMar>
            <w:vAlign w:val="center"/>
          </w:tcPr>
          <w:p>
            <w:pPr>
              <w:pStyle w:val="Compact"/>
              <w:jc w:val="left"/>
              <w:suppressAutoHyphens/>
            </w:pPr>
            <w:r>
              <w:t xml:space="preserve">Automated progress dashboard; Fast-Track petition gate</w:t>
            </w:r>
          </w:p>
        </w:tc>
        <w:tc>
          <w:tcPr>
            <w:tcMar>
              <w:top w:w="100" w:type="dxa"/>
              <w:bottom w:w="100" w:type="dxa"/>
              <w:left w:w="150" w:type="dxa"/>
              <w:right w:w="150" w:type="dxa"/>
            </w:tcMar>
            <w:vAlign w:val="center"/>
          </w:tcPr>
          <w:p>
            <w:pPr>
              <w:pStyle w:val="Compact"/>
              <w:jc w:val="left"/>
              <w:suppressAutoHyphens/>
            </w:pPr>
            <w:r>
              <w:t xml:space="preserve">Yes, at Fast-Track review</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Graduation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Registrar-certified upon Senate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Yes</w:t>
            </w:r>
          </w:p>
        </w:tc>
      </w:tr>
      <w:tr>
        <w:trPr>
          <w:cantSplit/>
        </w:trPr>
        <w:tc>
          <w:tcPr>
            <w:tcMar>
              <w:top w:w="100" w:type="dxa"/>
              <w:bottom w:w="100" w:type="dxa"/>
              <w:left w:w="150" w:type="dxa"/>
              <w:right w:w="150" w:type="dxa"/>
            </w:tcMar>
            <w:vAlign w:val="center"/>
          </w:tcPr>
          <w:p>
            <w:pPr>
              <w:pStyle w:val="Compact"/>
              <w:jc w:val="left"/>
              <w:suppressAutoHyphens/>
            </w:pPr>
            <w:r>
              <w:t xml:space="preserve">Alumni / Re-stacking</w:t>
            </w:r>
          </w:p>
        </w:tc>
        <w:tc>
          <w:tcPr>
            <w:tcMar>
              <w:top w:w="100" w:type="dxa"/>
              <w:bottom w:w="100" w:type="dxa"/>
              <w:left w:w="150" w:type="dxa"/>
              <w:right w:w="150" w:type="dxa"/>
            </w:tcMar>
            <w:vAlign w:val="center"/>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tcMar>
              <w:top w:w="100" w:type="dxa"/>
              <w:bottom w:w="100" w:type="dxa"/>
              <w:left w:w="150" w:type="dxa"/>
              <w:right w:w="150" w:type="dxa"/>
            </w:tcMar>
            <w:vAlign w:val="center"/>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self-service portal live; single dual-hatted Admissions/Registrar Officer</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Dedicated Admissions Coordinator; chatbot/FAQ tier added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Regional community-referral liaisons (part-time/volunteer per mosque network)</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Parallel admissions tracks stood up for 7 secular Schools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1 shared Admissions/Registrar Officer + DVC oversight</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Admissions Coordinator (1 FTE), part-time Student Success Advisor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 regional referral liaisons (stipend-based, volunteer-adjacent)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Thin staffing causes application backlog at peak cycles</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automation + surge part-time contractors funded within OpEx ceiling</w:t>
            </w:r>
          </w:p>
        </w:tc>
      </w:tr>
      <w:tr>
        <w:trPr>
          <w:cantSplit/>
        </w:trPr>
        <w:tc>
          <w:tcPr>
            <w:tcMar>
              <w:top w:w="100" w:type="dxa"/>
              <w:bottom w:w="100" w:type="dxa"/>
              <w:left w:w="150" w:type="dxa"/>
              <w:right w:w="150" w:type="dxa"/>
            </w:tcMar>
            <w:vAlign w:val="center"/>
          </w:tcPr>
          <w:p>
            <w:pPr>
              <w:pStyle w:val="Compact"/>
              <w:jc w:val="left"/>
              <w:suppressAutoHyphens/>
            </w:pPr>
            <w:r>
              <w:t xml:space="preserve">Poor self-service UX in low-bandwidth regions</w:t>
            </w:r>
          </w:p>
        </w:tc>
        <w:tc>
          <w:tcPr>
            <w:tcMar>
              <w:top w:w="100" w:type="dxa"/>
              <w:bottom w:w="100" w:type="dxa"/>
              <w:left w:w="150" w:type="dxa"/>
              <w:right w:w="150" w:type="dxa"/>
            </w:tcMar>
            <w:vAlign w:val="center"/>
          </w:tcPr>
          <w:p>
            <w:pPr>
              <w:pStyle w:val="Compact"/>
              <w:jc w:val="left"/>
              <w:suppressAutoHyphens/>
            </w:pPr>
            <w:r>
              <w:t xml:space="preserve">Mobile-first, offline-tolerant design; WhatsApp/SMS fallback channel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Journey-stage drop-off undetected without dedicated advising</w:t>
            </w:r>
          </w:p>
        </w:tc>
        <w:tc>
          <w:tcPr>
            <w:tcMar>
              <w:top w:w="100" w:type="dxa"/>
              <w:bottom w:w="100" w:type="dxa"/>
              <w:left w:w="150" w:type="dxa"/>
              <w:right w:w="150" w:type="dxa"/>
            </w:tcMar>
            <w:vAlign w:val="center"/>
            <w:shd w:val="clear" w:color="auto" w:fill="F7F3E8"/>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Entry Requirement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Secondary completion or equivalent; no prior Islamic study required</w:t>
            </w:r>
          </w:p>
        </w:tc>
      </w:tr>
      <w:tr>
        <w:trPr>
          <w:cantSplit/>
        </w:trPr>
        <w:tc>
          <w:tcPr>
            <w:tcMar>
              <w:top w:w="100" w:type="dxa"/>
              <w:bottom w:w="100" w:type="dxa"/>
              <w:left w:w="150" w:type="dxa"/>
              <w:right w:w="150" w:type="dxa"/>
            </w:tcMar>
            <w:vAlign w:val="center"/>
          </w:tcPr>
          <w:p>
            <w:pPr>
              <w:pStyle w:val="Compact"/>
              <w:jc w:val="left"/>
              <w:suppressAutoHyphens/>
            </w:pPr>
            <w:r>
              <w:t xml:space="preserve">II Associate</w:t>
            </w:r>
          </w:p>
        </w:tc>
        <w:tc>
          <w:tcPr>
            <w:tcMar>
              <w:top w:w="100" w:type="dxa"/>
              <w:bottom w:w="100" w:type="dxa"/>
              <w:left w:w="150" w:type="dxa"/>
              <w:right w:w="150" w:type="dxa"/>
            </w:tcMar>
            <w:vAlign w:val="center"/>
          </w:tcPr>
          <w:p>
            <w:pPr>
              <w:pStyle w:val="Compact"/>
              <w:jc w:val="left"/>
              <w:suppressAutoHyphens/>
            </w:pPr>
            <w:r>
              <w:t xml:space="preserve">Diploma (stacked) or equivalent; English placement benchmark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BA</w:t>
            </w:r>
          </w:p>
        </w:tc>
        <w:tc>
          <w:tcPr>
            <w:tcMar>
              <w:top w:w="100" w:type="dxa"/>
              <w:bottom w:w="100" w:type="dxa"/>
              <w:left w:w="150" w:type="dxa"/>
              <w:right w:w="150" w:type="dxa"/>
            </w:tcMar>
            <w:vAlign w:val="center"/>
            <w:shd w:val="clear" w:color="auto" w:fill="F7F3E8"/>
          </w:tcPr>
          <w:p>
            <w:pPr>
              <w:pStyle w:val="Compact"/>
              <w:jc w:val="left"/>
              <w:suppressAutoHyphens/>
            </w:pPr>
            <w:r>
              <w:t xml:space="preserve">Associate (60CH) or equivalent; CEFR B2 English</w:t>
            </w:r>
          </w:p>
        </w:tc>
      </w:tr>
      <w:tr>
        <w:trPr>
          <w:cantSplit/>
        </w:trPr>
        <w:tc>
          <w:tcPr>
            <w:tcMar>
              <w:top w:w="100" w:type="dxa"/>
              <w:bottom w:w="100" w:type="dxa"/>
              <w:left w:w="150" w:type="dxa"/>
              <w:right w:w="150" w:type="dxa"/>
            </w:tcMar>
            <w:vAlign w:val="center"/>
          </w:tcPr>
          <w:p>
            <w:pPr>
              <w:pStyle w:val="Compact"/>
              <w:jc w:val="left"/>
              <w:suppressAutoHyphens/>
            </w:pPr>
            <w:r>
              <w:t xml:space="preserve">IV HPGD (bridge)</w:t>
            </w:r>
          </w:p>
        </w:tc>
        <w:tc>
          <w:tcPr>
            <w:tcMar>
              <w:top w:w="100" w:type="dxa"/>
              <w:bottom w:w="100" w:type="dxa"/>
              <w:left w:w="150" w:type="dxa"/>
              <w:right w:w="150" w:type="dxa"/>
            </w:tcMar>
            <w:vAlign w:val="center"/>
          </w:tcPr>
          <w:p>
            <w:pPr>
              <w:pStyle w:val="Compact"/>
              <w:jc w:val="left"/>
              <w:suppressAutoHyphens/>
            </w:pPr>
            <w:r>
              <w:t xml:space="preserve">Accredited secular bachelor’s degree; B2+ English; Islamic-studies-readiness diagnostic (placement, not exclusionary)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 MA</w:t>
            </w:r>
          </w:p>
        </w:tc>
        <w:tc>
          <w:tcPr>
            <w:tcMar>
              <w:top w:w="100" w:type="dxa"/>
              <w:bottom w:w="100" w:type="dxa"/>
              <w:left w:w="150" w:type="dxa"/>
              <w:right w:w="150" w:type="dxa"/>
            </w:tcMar>
            <w:vAlign w:val="center"/>
            <w:shd w:val="clear" w:color="auto" w:fill="F7F3E8"/>
          </w:tcPr>
          <w:p>
            <w:pPr>
              <w:pStyle w:val="Compact"/>
              <w:jc w:val="left"/>
              <w:suppressAutoHyphens/>
            </w:pPr>
            <w:r>
              <w:t xml:space="preserve">BA (120CH) or HPGD (30CH); research-readiness assessment</w:t>
            </w:r>
          </w:p>
        </w:tc>
      </w:tr>
      <w:tr>
        <w:trPr>
          <w:cantSplit/>
        </w:trPr>
        <w:tc>
          <w:tcPr>
            <w:tcMar>
              <w:top w:w="100" w:type="dxa"/>
              <w:bottom w:w="100" w:type="dxa"/>
              <w:left w:w="150" w:type="dxa"/>
              <w:right w:w="150" w:type="dxa"/>
            </w:tcMar>
            <w:vAlign w:val="center"/>
          </w:tcPr>
          <w:p>
            <w:pPr>
              <w:pStyle w:val="Compact"/>
              <w:jc w:val="left"/>
              <w:suppressAutoHyphens/>
            </w:pPr>
            <w:r>
              <w:t xml:space="preserve">VI PhD</w:t>
            </w:r>
          </w:p>
        </w:tc>
        <w:tc>
          <w:tcPr>
            <w:tcMar>
              <w:top w:w="100" w:type="dxa"/>
              <w:bottom w:w="100" w:type="dxa"/>
              <w:left w:w="150" w:type="dxa"/>
              <w:right w:w="150" w:type="dxa"/>
            </w:tcMar>
            <w:vAlign w:val="center"/>
          </w:tcPr>
          <w:p>
            <w:pPr>
              <w:pStyle w:val="Compact"/>
              <w:jc w:val="left"/>
              <w:suppressAutoHyphens/>
            </w:pPr>
            <w:r>
              <w:t xml:space="preserve">MA (45CH); scholarly readiness review; thesis-proposal defense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VII Post-Doc</w:t>
            </w:r>
          </w:p>
        </w:tc>
        <w:tc>
          <w:tcPr>
            <w:tcMar>
              <w:top w:w="100" w:type="dxa"/>
              <w:bottom w:w="100" w:type="dxa"/>
              <w:left w:w="150" w:type="dxa"/>
              <w:right w:w="150" w:type="dxa"/>
            </w:tcMar>
            <w:vAlign w:val="center"/>
            <w:shd w:val="clear" w:color="auto" w:fill="F7F3E8"/>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 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Cycle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Diploma / Associate / HPGD</w:t>
            </w:r>
          </w:p>
        </w:tc>
        <w:tc>
          <w:tcPr>
            <w:tcMar>
              <w:top w:w="100" w:type="dxa"/>
              <w:bottom w:w="100" w:type="dxa"/>
              <w:left w:w="150" w:type="dxa"/>
              <w:right w:w="150" w:type="dxa"/>
            </w:tcMar>
            <w:vAlign w:val="center"/>
            <w:shd w:val="clear" w:color="auto" w:fill="F7F3E8"/>
          </w:tcPr>
          <w:p>
            <w:pPr>
              <w:pStyle w:val="Compact"/>
              <w:jc w:val="left"/>
              <w:suppressAutoHyphens/>
            </w:pPr>
            <w:r>
              <w:t xml:space="preserve">Rolling, multiple entry points/year (accessibility-first, self-service)</w:t>
            </w:r>
          </w:p>
        </w:tc>
      </w:tr>
      <w:tr>
        <w:trPr>
          <w:cantSplit/>
        </w:trPr>
        <w:tc>
          <w:tcPr>
            <w:tcMar>
              <w:top w:w="100" w:type="dxa"/>
              <w:bottom w:w="100" w:type="dxa"/>
              <w:left w:w="150" w:type="dxa"/>
              <w:right w:w="150" w:type="dxa"/>
            </w:tcMar>
            <w:vAlign w:val="center"/>
          </w:tcPr>
          <w:p>
            <w:pPr>
              <w:pStyle w:val="Compact"/>
              <w:jc w:val="left"/>
              <w:suppressAutoHyphens/>
            </w:pPr>
            <w:r>
              <w:t xml:space="preserve">BA / MA / PhD</w:t>
            </w:r>
          </w:p>
        </w:tc>
        <w:tc>
          <w:tcPr>
            <w:tcMar>
              <w:top w:w="100" w:type="dxa"/>
              <w:bottom w:w="100" w:type="dxa"/>
              <w:left w:w="150" w:type="dxa"/>
              <w:right w:w="150" w:type="dxa"/>
            </w:tcMar>
            <w:vAlign w:val="center"/>
          </w:tcPr>
          <w:p>
            <w:pPr>
              <w:pStyle w:val="Compact"/>
              <w:jc w:val="left"/>
              <w:suppressAutoHyphens/>
            </w:pPr>
            <w:r>
              <w:t xml:space="preserve">Cohort-based, 2–3 intakes/year (Fall/Spring, Summer added as scale permits)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w:t>
            </w:r>
          </w:p>
        </w:tc>
        <w:tc>
          <w:tcPr>
            <w:tcMar>
              <w:top w:w="100" w:type="dxa"/>
              <w:bottom w:w="100" w:type="dxa"/>
              <w:left w:w="150" w:type="dxa"/>
              <w:right w:w="150" w:type="dxa"/>
            </w:tcMar>
            <w:vAlign w:val="center"/>
            <w:shd w:val="clear" w:color="auto" w:fill="F7F3E8"/>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Publish tier list, placement instruments, appeals SLA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appeal-volume data reviewed; SLA tuned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Transfer-articulation table expanded ahead of scale</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Secular-program admission standards (terminal-degree-agnostic entry) published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Gaming of tier system via false country claims</w:t>
            </w:r>
          </w:p>
        </w:tc>
        <w:tc>
          <w:tcPr>
            <w:tcMar>
              <w:top w:w="100" w:type="dxa"/>
              <w:bottom w:w="100" w:type="dxa"/>
              <w:left w:w="150" w:type="dxa"/>
              <w:right w:w="150" w:type="dxa"/>
            </w:tcMar>
            <w:vAlign w:val="center"/>
            <w:shd w:val="clear" w:color="auto" w:fill="F7F3E8"/>
          </w:tcPr>
          <w:p>
            <w:pPr>
              <w:pStyle w:val="Compact"/>
              <w:jc w:val="left"/>
              <w:suppressAutoHyphens/>
            </w:pPr>
            <w:r>
              <w:t xml:space="preserve">Documentary requirement + random audit sampling + Appeals Panel</w:t>
            </w:r>
          </w:p>
        </w:tc>
      </w:tr>
      <w:tr>
        <w:trPr>
          <w:cantSplit/>
        </w:trPr>
        <w:tc>
          <w:tcPr>
            <w:tcMar>
              <w:top w:w="100" w:type="dxa"/>
              <w:bottom w:w="100" w:type="dxa"/>
              <w:left w:w="150" w:type="dxa"/>
              <w:right w:w="150" w:type="dxa"/>
            </w:tcMar>
            <w:vAlign w:val="center"/>
          </w:tcPr>
          <w:p>
            <w:pPr>
              <w:pStyle w:val="Compact"/>
              <w:jc w:val="left"/>
              <w:suppressAutoHyphens/>
            </w:pPr>
            <w:r>
              <w:t xml:space="preserve">Cohort bottleneck limits accessibility</w:t>
            </w:r>
          </w:p>
        </w:tc>
        <w:tc>
          <w:tcPr>
            <w:tcMar>
              <w:top w:w="100" w:type="dxa"/>
              <w:bottom w:w="100" w:type="dxa"/>
              <w:left w:w="150" w:type="dxa"/>
              <w:right w:w="150" w:type="dxa"/>
            </w:tcMar>
            <w:vAlign w:val="center"/>
          </w:tcPr>
          <w:p>
            <w:pPr>
              <w:pStyle w:val="Compact"/>
              <w:jc w:val="left"/>
              <w:suppressAutoHyphens/>
            </w:pPr>
            <w:r>
              <w:t xml:space="preserve">Rolling admission preserved at Diploma/Associate/HPGD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Perception risk to religious-exemption status from admission disputes</w:t>
            </w:r>
          </w:p>
        </w:tc>
        <w:tc>
          <w:tcPr>
            <w:tcMar>
              <w:top w:w="100" w:type="dxa"/>
              <w:bottom w:w="100" w:type="dxa"/>
              <w:left w:w="150" w:type="dxa"/>
              <w:right w:w="150" w:type="dxa"/>
            </w:tcMar>
            <w:vAlign w:val="center"/>
            <w:shd w:val="clear" w:color="auto" w:fill="F7F3E8"/>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Faculty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Vetting 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Religious (Colleges I–VI)</w:t>
            </w:r>
          </w:p>
        </w:tc>
        <w:tc>
          <w:tcPr>
            <w:tcMar>
              <w:top w:w="100" w:type="dxa"/>
              <w:bottom w:w="100" w:type="dxa"/>
              <w:left w:w="150" w:type="dxa"/>
              <w:right w:w="150" w:type="dxa"/>
            </w:tcMar>
            <w:vAlign w:val="center"/>
            <w:shd w:val="clear" w:color="auto" w:fill="F7F3E8"/>
          </w:tcPr>
          <w:p>
            <w:pPr>
              <w:pStyle w:val="Compact"/>
              <w:jc w:val="left"/>
              <w:suppressAutoHyphens/>
            </w:pPr>
            <w:r>
              <w:t xml:space="preserve">Global scholarly networks, partner madāris, diaspora communities, DVC’s Umm Al-Qura network</w:t>
            </w:r>
          </w:p>
        </w:tc>
        <w:tc>
          <w:tcPr>
            <w:tcMar>
              <w:top w:w="100" w:type="dxa"/>
              <w:bottom w:w="100" w:type="dxa"/>
              <w:left w:w="150" w:type="dxa"/>
              <w:right w:w="150" w:type="dxa"/>
            </w:tcMar>
            <w:vAlign w:val="center"/>
            <w:shd w:val="clear" w:color="auto" w:fill="F7F3E8"/>
          </w:tcPr>
          <w:p>
            <w:pPr>
              <w:pStyle w:val="Compact"/>
              <w:jc w:val="left"/>
              <w:suppressAutoHyphens/>
            </w:pPr>
            <w:r>
              <w:t xml:space="preserve">Verified isnād/ijāza chain, teaching demonstration</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w:t>
            </w:r>
          </w:p>
        </w:tc>
        <w:tc>
          <w:tcPr>
            <w:tcMar>
              <w:top w:w="100" w:type="dxa"/>
              <w:bottom w:w="100" w:type="dxa"/>
              <w:left w:w="150" w:type="dxa"/>
              <w:right w:w="150" w:type="dxa"/>
            </w:tcMar>
            <w:vAlign w:val="center"/>
          </w:tcPr>
          <w:p>
            <w:pPr>
              <w:pStyle w:val="Compact"/>
              <w:jc w:val="left"/>
              <w:suppressAutoHyphens/>
            </w:pPr>
            <w:r>
              <w:t xml:space="preserve">Standard academic recruitment channels, adjunct/affiliate postings</w:t>
            </w:r>
          </w:p>
        </w:tc>
        <w:tc>
          <w:tcPr>
            <w:tcMar>
              <w:top w:w="100" w:type="dxa"/>
              <w:bottom w:w="100" w:type="dxa"/>
              <w:left w:w="150" w:type="dxa"/>
              <w:right w:w="150" w:type="dxa"/>
            </w:tcMar>
            <w:vAlign w:val="center"/>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Founding faculty core via DVC’s personal scholarly network; largely volunteer/low-honoraria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2031–2034</w:t>
            </w:r>
          </w:p>
        </w:tc>
        <w:tc>
          <w:tcPr>
            <w:tcMar>
              <w:top w:w="100" w:type="dxa"/>
              <w:bottom w:w="100" w:type="dxa"/>
              <w:left w:w="150" w:type="dxa"/>
              <w:right w:w="150" w:type="dxa"/>
            </w:tcMar>
            <w:vAlign w:val="center"/>
          </w:tcPr>
          <w:p>
            <w:pPr>
              <w:pStyle w:val="Compact"/>
              <w:jc w:val="left"/>
              <w:suppressAutoHyphens/>
            </w:pPr>
            <w:r>
              <w:t xml:space="preserve">Scale adjunct pool with enrollment growth; FACC formalized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2035–2037</w:t>
            </w:r>
          </w:p>
        </w:tc>
        <w:tc>
          <w:tcPr>
            <w:tcMar>
              <w:top w:w="100" w:type="dxa"/>
              <w:bottom w:w="100" w:type="dxa"/>
              <w:left w:w="150" w:type="dxa"/>
              <w:right w:w="150" w:type="dxa"/>
            </w:tcMar>
            <w:vAlign w:val="center"/>
            <w:shd w:val="clear" w:color="auto" w:fill="F7F3E8"/>
          </w:tcPr>
          <w:p>
            <w:pPr>
              <w:pStyle w:val="Compact"/>
              <w:jc w:val="left"/>
              <w:suppressAutoHyphens/>
            </w:pPr>
            <w:r>
              <w:t xml:space="preserve">Build Senior Scholar/Chair tier ahead of secular expansion</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Recruit terminal-degree faculty for 7 new Schools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 + volunteer Faculty Affairs subcommittee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part-time Faculty Affairs Coordinator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FACC fully staffed with dedicated credentialing specialist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Shortage of classically-verified scholars willing to teach remotely at honoraria rates</w:t>
            </w:r>
          </w:p>
        </w:tc>
        <w:tc>
          <w:tcPr>
            <w:tcMar>
              <w:top w:w="100" w:type="dxa"/>
              <w:bottom w:w="100" w:type="dxa"/>
              <w:left w:w="150" w:type="dxa"/>
              <w:right w:w="150" w:type="dxa"/>
            </w:tcMar>
            <w:vAlign w:val="center"/>
            <w:shd w:val="clear" w:color="auto" w:fill="F7F3E8"/>
          </w:tcPr>
          <w:p>
            <w:pPr>
              <w:pStyle w:val="Compact"/>
              <w:jc w:val="left"/>
              <w:suppressAutoHyphens/>
            </w:pPr>
            <w:r>
              <w:t xml:space="preserve">Diaspora networks, partner-institution MOUs, prestige of ijāza-ceremony affiliation</w:t>
            </w:r>
          </w:p>
        </w:tc>
      </w:tr>
      <w:tr>
        <w:trPr>
          <w:cantSplit/>
        </w:trPr>
        <w:tc>
          <w:tcPr>
            <w:tcMar>
              <w:top w:w="100" w:type="dxa"/>
              <w:bottom w:w="100" w:type="dxa"/>
              <w:left w:w="150" w:type="dxa"/>
              <w:right w:w="150" w:type="dxa"/>
            </w:tcMar>
            <w:vAlign w:val="center"/>
          </w:tcPr>
          <w:p>
            <w:pPr>
              <w:pStyle w:val="Compact"/>
              <w:jc w:val="left"/>
              <w:suppressAutoHyphens/>
            </w:pPr>
            <w:r>
              <w:t xml:space="preserve">Doctrinal/sectarian tension among faculty of different madhāhib</w:t>
            </w:r>
          </w:p>
        </w:tc>
        <w:tc>
          <w:tcPr>
            <w:tcMar>
              <w:top w:w="100" w:type="dxa"/>
              <w:bottom w:w="100" w:type="dxa"/>
              <w:left w:w="150" w:type="dxa"/>
              <w:right w:w="150" w:type="dxa"/>
            </w:tcMar>
            <w:vAlign w:val="center"/>
          </w:tcPr>
          <w:p>
            <w:pPr>
              <w:pStyle w:val="Compact"/>
              <w:jc w:val="left"/>
              <w:suppressAutoHyphens/>
            </w:pPr>
            <w:r>
              <w:t xml:space="preserve">Published Diversity &amp; Doctrinal Transparency Policy; Senate oversight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Secular faculty (Yr11+) recruited away by better-paying institutions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IV — Research, Publishing, Partnerships &amp; Accreditation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Source Serif 4" w:hAnsi="Source Serif 4"/>
                <w:i/>
                <w:smallCaps/>
                <w:color w:val="8C97AB"/>
                <w:sz w:val="19"/>
                <w:spacing w:val="10"/>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0"/>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jc w:val="both"/>
      </w:pPr>
      <w:r>
        <w:t xml:space="preserve">Digital-first, low-marginal-cost repositories (arXiv/SSRN-style preprint logic) let a small institution produce credible output without labs or print runs.</w:t>
      </w:r>
    </w:p>
    <w:p>
      <w:pPr>
        <w:numPr>
          <w:ilvl w:val="0"/>
          <w:numId w:val="1010"/>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Foundational</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tcMar>
              <w:top w:w="100" w:type="dxa"/>
              <w:bottom w:w="100" w:type="dxa"/>
              <w:left w:w="150" w:type="dxa"/>
              <w:right w:w="150" w:type="dxa"/>
            </w:tcMar>
            <w:vAlign w:val="center"/>
          </w:tcPr>
          <w:p>
            <w:pPr>
              <w:pStyle w:val="Compact"/>
              <w:jc w:val="left"/>
              <w:suppressAutoHyphens/>
            </w:pPr>
            <w:r>
              <w:t xml:space="preserve">1 – Ph.D. Launch</w:t>
            </w:r>
          </w:p>
        </w:tc>
        <w:tc>
          <w:tcPr>
            <w:tcMar>
              <w:top w:w="100" w:type="dxa"/>
              <w:bottom w:w="100" w:type="dxa"/>
              <w:left w:w="150" w:type="dxa"/>
              <w:right w:w="150" w:type="dxa"/>
            </w:tcMar>
            <w:vAlign w:val="center"/>
          </w:tcPr>
          <w:p>
            <w:pPr>
              <w:pStyle w:val="Compact"/>
              <w:jc w:val="left"/>
              <w:suppressAutoHyphens/>
            </w:pPr>
            <w:r>
              <w:t xml:space="preserve">Yr3–5 (2030–32)</w:t>
            </w:r>
          </w:p>
        </w:tc>
        <w:tc>
          <w:tcPr>
            <w:tcMar>
              <w:top w:w="100" w:type="dxa"/>
              <w:bottom w:w="100" w:type="dxa"/>
              <w:left w:w="150" w:type="dxa"/>
              <w:right w:w="150" w:type="dxa"/>
            </w:tcMar>
            <w:vAlign w:val="center"/>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Post-Doc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Yr6–10 (2033–37)</w:t>
            </w:r>
          </w:p>
        </w:tc>
        <w:tc>
          <w:tcPr>
            <w:tcMar>
              <w:top w:w="100" w:type="dxa"/>
              <w:bottom w:w="100" w:type="dxa"/>
              <w:left w:w="150" w:type="dxa"/>
              <w:right w:w="150" w:type="dxa"/>
            </w:tcMar>
            <w:vAlign w:val="center"/>
            <w:shd w:val="clear" w:color="auto" w:fill="F7F3E8"/>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tcMar>
              <w:top w:w="100" w:type="dxa"/>
              <w:bottom w:w="100" w:type="dxa"/>
              <w:left w:w="150" w:type="dxa"/>
              <w:right w:w="150" w:type="dxa"/>
            </w:tcMar>
            <w:vAlign w:val="center"/>
          </w:tcPr>
          <w:p>
            <w:pPr>
              <w:pStyle w:val="Compact"/>
              <w:jc w:val="left"/>
              <w:suppressAutoHyphens/>
            </w:pPr>
            <w:r>
              <w:t xml:space="preserve">3 – Secular Extension</w:t>
            </w:r>
          </w:p>
        </w:tc>
        <w:tc>
          <w:tcPr>
            <w:tcMar>
              <w:top w:w="100" w:type="dxa"/>
              <w:bottom w:w="100" w:type="dxa"/>
              <w:left w:w="150" w:type="dxa"/>
              <w:right w:w="150" w:type="dxa"/>
            </w:tcMar>
            <w:vAlign w:val="center"/>
          </w:tcPr>
          <w:p>
            <w:pPr>
              <w:pStyle w:val="Compact"/>
              <w:jc w:val="left"/>
              <w:suppressAutoHyphens/>
            </w:pPr>
            <w:r>
              <w:t xml:space="preserve">Yr11–20 (2038–47)</w:t>
            </w:r>
          </w:p>
        </w:tc>
        <w:tc>
          <w:tcPr>
            <w:tcMar>
              <w:top w:w="100" w:type="dxa"/>
              <w:bottom w:w="100" w:type="dxa"/>
              <w:left w:w="150" w:type="dxa"/>
              <w:right w:w="150" w:type="dxa"/>
            </w:tcMar>
            <w:vAlign w:val="center"/>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Mentored dissertation/fellowship supervision</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20%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budgeted, no incremental cost</w:t>
            </w:r>
          </w:p>
        </w:tc>
      </w:tr>
      <w:tr>
        <w:trPr>
          <w:cantSplit/>
        </w:trPr>
        <w:tc>
          <w:tcPr>
            <w:tcMar>
              <w:top w:w="100" w:type="dxa"/>
              <w:bottom w:w="100" w:type="dxa"/>
              <w:left w:w="150" w:type="dxa"/>
              <w:right w:w="150" w:type="dxa"/>
            </w:tcMar>
            <w:vAlign w:val="center"/>
          </w:tcPr>
          <w:p>
            <w:pPr>
              <w:pStyle w:val="Compact"/>
              <w:jc w:val="left"/>
              <w:suppressAutoHyphens/>
            </w:pPr>
            <w:r>
              <w:t xml:space="preserve">Ethics/isnād review administration</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Minor — committee logistics, digital tools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Research dissemination events, symposia</w:t>
            </w:r>
          </w:p>
        </w:tc>
        <w:tc>
          <w:tcPr>
            <w:tcMar>
              <w:top w:w="100" w:type="dxa"/>
              <w:bottom w:w="100" w:type="dxa"/>
              <w:left w:w="150" w:type="dxa"/>
              <w:right w:w="150" w:type="dxa"/>
            </w:tcMar>
            <w:vAlign w:val="center"/>
            <w:shd w:val="clear" w:color="auto" w:fill="F7F3E8"/>
          </w:tcPr>
          <w:p>
            <w:pPr>
              <w:pStyle w:val="Compact"/>
              <w:jc w:val="left"/>
              <w:suppressAutoHyphens/>
            </w:pPr>
            <w:r>
              <w:t xml:space="preserve">Da’wah &amp; Community Outreach (5%)</w:t>
            </w:r>
          </w:p>
        </w:tc>
        <w:tc>
          <w:tcPr>
            <w:tcMar>
              <w:top w:w="100" w:type="dxa"/>
              <w:bottom w:w="100" w:type="dxa"/>
              <w:left w:w="150" w:type="dxa"/>
              <w:right w:w="150" w:type="dxa"/>
            </w:tcMar>
            <w:vAlign w:val="center"/>
            <w:shd w:val="clear" w:color="auto" w:fill="F7F3E8"/>
          </w:tcPr>
          <w:p>
            <w:pPr>
              <w:pStyle w:val="Compact"/>
              <w:jc w:val="left"/>
              <w:suppressAutoHyphens/>
            </w:pPr>
            <w:r>
              <w:t xml:space="preserve">Shared with wider outreach calendar</w:t>
            </w:r>
          </w:p>
        </w:tc>
      </w:tr>
      <w:tr>
        <w:trPr>
          <w:cantSplit/>
        </w:trPr>
        <w:tc>
          <w:tcPr>
            <w:tcMar>
              <w:top w:w="100" w:type="dxa"/>
              <w:bottom w:w="100" w:type="dxa"/>
              <w:left w:w="150" w:type="dxa"/>
              <w:right w:w="150" w:type="dxa"/>
            </w:tcMar>
            <w:vAlign w:val="center"/>
          </w:tcPr>
          <w:p>
            <w:pPr>
              <w:pStyle w:val="Compact"/>
              <w:jc w:val="left"/>
              <w:suppressAutoHyphens/>
            </w:pPr>
            <w:r>
              <w:t xml:space="preserve">Future dedicated Research line</w:t>
            </w:r>
          </w:p>
        </w:tc>
        <w:tc>
          <w:tcPr>
            <w:tcMar>
              <w:top w:w="100" w:type="dxa"/>
              <w:bottom w:w="100" w:type="dxa"/>
              <w:left w:w="150" w:type="dxa"/>
              <w:right w:w="150" w:type="dxa"/>
            </w:tcMar>
            <w:vAlign w:val="center"/>
          </w:tcPr>
          <w:p>
            <w:pPr>
              <w:pStyle w:val="Compact"/>
              <w:jc w:val="left"/>
              <w:suppressAutoHyphens/>
            </w:pPr>
            <w:r>
              <w:rPr>
                <w:iCs/>
                <w:i/>
              </w:rPr>
              <w:t xml:space="preserve">Not yet allocated</w:t>
            </w:r>
          </w:p>
        </w:tc>
        <w:tc>
          <w:tcPr>
            <w:tcMar>
              <w:top w:w="100" w:type="dxa"/>
              <w:bottom w:w="100" w:type="dxa"/>
              <w:left w:w="150" w:type="dxa"/>
              <w:right w:w="150" w:type="dxa"/>
            </w:tcMar>
            <w:vAlign w:val="center"/>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Research budget creep beyond fixed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Hard cap within existing lines; new spend requires Board/Senate vote</w:t>
            </w:r>
          </w:p>
        </w:tc>
      </w:tr>
      <w:tr>
        <w:trPr>
          <w:cantSplit/>
        </w:trPr>
        <w:tc>
          <w:tcPr>
            <w:tcMar>
              <w:top w:w="100" w:type="dxa"/>
              <w:bottom w:w="100" w:type="dxa"/>
              <w:left w:w="150" w:type="dxa"/>
              <w:right w:w="150" w:type="dxa"/>
            </w:tcMar>
            <w:vAlign w:val="center"/>
          </w:tcPr>
          <w:p>
            <w:pPr>
              <w:pStyle w:val="Compact"/>
              <w:jc w:val="left"/>
              <w:suppressAutoHyphens/>
            </w:pPr>
            <w:r>
              <w:t xml:space="preserve">Authenticity/credibility risk in religious scholarship</w:t>
            </w:r>
          </w:p>
        </w:tc>
        <w:tc>
          <w:tcPr>
            <w:tcMar>
              <w:top w:w="100" w:type="dxa"/>
              <w:bottom w:w="100" w:type="dxa"/>
              <w:left w:w="150" w:type="dxa"/>
              <w:right w:w="150" w:type="dxa"/>
            </w:tcMar>
            <w:vAlign w:val="center"/>
          </w:tcPr>
          <w:p>
            <w:pPr>
              <w:pStyle w:val="Compact"/>
              <w:jc w:val="left"/>
              <w:suppressAutoHyphens/>
            </w:pPr>
            <w:r>
              <w:t xml:space="preserve">Mandatory Sharī’ah Advisory Board isnād certification pre-publication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 drift toward prestige research over accessibility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Open Journal Systems (OJS)-class free software lets small institutions run peer-reviewed e-journals at effectively $0 licensing cost.</w:t>
      </w:r>
    </w:p>
    <w:p>
      <w:pPr>
        <w:numPr>
          <w:ilvl w:val="0"/>
          <w:numId w:val="1011"/>
        </w:numPr>
        <w:pStyle w:val="Compact"/>
        <w:jc w:val="both"/>
      </w:pPr>
      <w:r>
        <w:t xml:space="preserve">DOAJ (Directory of Open Access Journals) listing is the recognized low-cost credibility marker for young open-access journals.</w:t>
      </w:r>
    </w:p>
    <w:p>
      <w:pPr>
        <w:numPr>
          <w:ilvl w:val="0"/>
          <w:numId w:val="1011"/>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Planning</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drafts journal charter, editorial policy, isnād-verification workflow.</w:t>
            </w:r>
          </w:p>
        </w:tc>
      </w:tr>
      <w:tr>
        <w:trPr>
          <w:cantSplit/>
        </w:trPr>
        <w:tc>
          <w:tcPr>
            <w:tcMar>
              <w:top w:w="100" w:type="dxa"/>
              <w:bottom w:w="100" w:type="dxa"/>
              <w:left w:w="150" w:type="dxa"/>
              <w:right w:w="150" w:type="dxa"/>
            </w:tcMar>
            <w:vAlign w:val="center"/>
          </w:tcPr>
          <w:p>
            <w:pPr>
              <w:pStyle w:val="Compact"/>
              <w:jc w:val="left"/>
              <w:suppressAutoHyphens/>
            </w:pPr>
            <w:r>
              <w:t xml:space="preserve">Cluster 1 Launch</w:t>
            </w:r>
          </w:p>
        </w:tc>
        <w:tc>
          <w:tcPr>
            <w:tcMar>
              <w:top w:w="100" w:type="dxa"/>
              <w:bottom w:w="100" w:type="dxa"/>
              <w:left w:w="150" w:type="dxa"/>
              <w:right w:w="150" w:type="dxa"/>
            </w:tcMar>
            <w:vAlign w:val="center"/>
          </w:tcPr>
          <w:p>
            <w:pPr>
              <w:pStyle w:val="Compact"/>
              <w:jc w:val="left"/>
              <w:suppressAutoHyphens/>
            </w:pPr>
            <w:r>
              <w:t xml:space="preserve">Yr3 (2030, aligned with ISO 21001)</w:t>
            </w:r>
          </w:p>
        </w:tc>
        <w:tc>
          <w:tcPr>
            <w:tcMar>
              <w:top w:w="100" w:type="dxa"/>
              <w:bottom w:w="100" w:type="dxa"/>
              <w:left w:w="150" w:type="dxa"/>
              <w:right w:w="150" w:type="dxa"/>
            </w:tcMar>
            <w:vAlign w:val="center"/>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Cluster 2 &amp; 3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Yr4–5 (2031–32)</w:t>
            </w:r>
          </w:p>
        </w:tc>
        <w:tc>
          <w:tcPr>
            <w:tcMar>
              <w:top w:w="100" w:type="dxa"/>
              <w:bottom w:w="100" w:type="dxa"/>
              <w:left w:w="150" w:type="dxa"/>
              <w:right w:w="150" w:type="dxa"/>
            </w:tcMar>
            <w:vAlign w:val="center"/>
            <w:shd w:val="clear" w:color="auto" w:fill="F7F3E8"/>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tcMar>
              <w:top w:w="100" w:type="dxa"/>
              <w:bottom w:w="100" w:type="dxa"/>
              <w:left w:w="150" w:type="dxa"/>
              <w:right w:w="150" w:type="dxa"/>
            </w:tcMar>
            <w:vAlign w:val="center"/>
          </w:tcPr>
          <w:p>
            <w:pPr>
              <w:pStyle w:val="Compact"/>
              <w:jc w:val="left"/>
              <w:suppressAutoHyphens/>
            </w:pPr>
            <w:r>
              <w:t xml:space="preserve">Scaling</w:t>
            </w:r>
          </w:p>
        </w:tc>
        <w:tc>
          <w:tcPr>
            <w:tcMar>
              <w:top w:w="100" w:type="dxa"/>
              <w:bottom w:w="100" w:type="dxa"/>
              <w:left w:w="150" w:type="dxa"/>
              <w:right w:w="150" w:type="dxa"/>
            </w:tcMar>
            <w:vAlign w:val="center"/>
          </w:tcPr>
          <w:p>
            <w:pPr>
              <w:pStyle w:val="Compact"/>
              <w:jc w:val="left"/>
              <w:suppressAutoHyphens/>
            </w:pPr>
            <w:r>
              <w:t xml:space="preserve">Yr6–10 (2033–37)</w:t>
            </w:r>
          </w:p>
        </w:tc>
        <w:tc>
          <w:tcPr>
            <w:tcMar>
              <w:top w:w="100" w:type="dxa"/>
              <w:bottom w:w="100" w:type="dxa"/>
              <w:left w:w="150" w:type="dxa"/>
              <w:right w:w="150" w:type="dxa"/>
            </w:tcMar>
            <w:vAlign w:val="center"/>
          </w:tcPr>
          <w:p>
            <w:pPr>
              <w:pStyle w:val="Compact"/>
              <w:jc w:val="left"/>
              <w:suppressAutoHyphens/>
            </w:pPr>
            <w:r>
              <w:t xml:space="preserve">Post-Doc Fellowship output integrated; DOAJ indexing pursued.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Secular Extension</w:t>
            </w:r>
          </w:p>
        </w:tc>
        <w:tc>
          <w:tcPr>
            <w:tcMar>
              <w:top w:w="100" w:type="dxa"/>
              <w:bottom w:w="100" w:type="dxa"/>
              <w:left w:w="150" w:type="dxa"/>
              <w:right w:w="150" w:type="dxa"/>
            </w:tcMar>
            <w:vAlign w:val="center"/>
            <w:shd w:val="clear" w:color="auto" w:fill="F7F3E8"/>
          </w:tcPr>
          <w:p>
            <w:pPr>
              <w:pStyle w:val="Compact"/>
              <w:jc w:val="left"/>
              <w:suppressAutoHyphens/>
            </w:pPr>
            <w:r>
              <w:t xml:space="preserve">Yr11+ (2038+)</w:t>
            </w:r>
          </w:p>
        </w:tc>
        <w:tc>
          <w:tcPr>
            <w:tcMar>
              <w:top w:w="100" w:type="dxa"/>
              <w:bottom w:w="100" w:type="dxa"/>
              <w:left w:w="150" w:type="dxa"/>
              <w:right w:w="150" w:type="dxa"/>
            </w:tcMar>
            <w:vAlign w:val="center"/>
            <w:shd w:val="clear" w:color="auto" w:fill="F7F3E8"/>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Est. Cost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OJS hosting, digital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&amp; Tech (5%)</w:t>
            </w:r>
          </w:p>
        </w:tc>
        <w:tc>
          <w:tcPr>
            <w:tcMar>
              <w:top w:w="100" w:type="dxa"/>
              <w:bottom w:w="100" w:type="dxa"/>
              <w:left w:w="150" w:type="dxa"/>
              <w:right w:w="150" w:type="dxa"/>
            </w:tcMar>
            <w:vAlign w:val="center"/>
            <w:shd w:val="clear" w:color="auto" w:fill="F7F3E8"/>
          </w:tcPr>
          <w:p>
            <w:pPr>
              <w:pStyle w:val="Compact"/>
              <w:jc w:val="left"/>
              <w:suppressAutoHyphens/>
            </w:pPr>
            <w:r>
              <w:t xml:space="preserve">Marginal — shared with LMS</w:t>
            </w:r>
          </w:p>
        </w:tc>
      </w:tr>
      <w:tr>
        <w:trPr>
          <w:cantSplit/>
        </w:trPr>
        <w:tc>
          <w:tcPr>
            <w:tcMar>
              <w:top w:w="100" w:type="dxa"/>
              <w:bottom w:w="100" w:type="dxa"/>
              <w:left w:w="150" w:type="dxa"/>
              <w:right w:w="150" w:type="dxa"/>
            </w:tcMar>
            <w:vAlign w:val="center"/>
          </w:tcPr>
          <w:p>
            <w:pPr>
              <w:pStyle w:val="Compact"/>
              <w:jc w:val="left"/>
              <w:suppressAutoHyphens/>
            </w:pPr>
            <w:r>
              <w:t xml:space="preserve">DOI registration (Crossref)</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~$1–2/article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Editorial stipends</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budgeted</w:t>
            </w:r>
          </w:p>
        </w:tc>
      </w:tr>
      <w:tr>
        <w:trPr>
          <w:cantSplit/>
        </w:trPr>
        <w:tc>
          <w:tcPr>
            <w:tcMar>
              <w:top w:w="100" w:type="dxa"/>
              <w:bottom w:w="100" w:type="dxa"/>
              <w:left w:w="150" w:type="dxa"/>
              <w:right w:w="150" w:type="dxa"/>
            </w:tcMar>
            <w:vAlign w:val="center"/>
          </w:tcPr>
          <w:p>
            <w:pPr>
              <w:pStyle w:val="Compact"/>
              <w:jc w:val="left"/>
              <w:suppressAutoHyphens/>
            </w:pPr>
            <w:r>
              <w:t xml:space="preserve">Student/faculty publication incentive stipends</w:t>
            </w:r>
          </w:p>
        </w:tc>
        <w:tc>
          <w:tcPr>
            <w:tcMar>
              <w:top w:w="100" w:type="dxa"/>
              <w:bottom w:w="100" w:type="dxa"/>
              <w:left w:w="150" w:type="dxa"/>
              <w:right w:w="150" w:type="dxa"/>
            </w:tcMar>
            <w:vAlign w:val="center"/>
          </w:tcPr>
          <w:p>
            <w:pPr>
              <w:pStyle w:val="Compact"/>
              <w:jc w:val="left"/>
              <w:suppressAutoHyphens/>
            </w:pPr>
            <w:r>
              <w:t xml:space="preserve">Waqf Scholarship Block (20% of Waqf 20%)</w:t>
            </w:r>
          </w:p>
        </w:tc>
        <w:tc>
          <w:tcPr>
            <w:tcMar>
              <w:top w:w="100" w:type="dxa"/>
              <w:bottom w:w="100" w:type="dxa"/>
              <w:left w:w="150" w:type="dxa"/>
              <w:right w:w="150" w:type="dxa"/>
            </w:tcMar>
            <w:vAlign w:val="center"/>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Predatory/low-credibility journal perception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Senate-set editorial standards + mandatory Sharī’ah Advisory Board isnād certification for religious-content articles</w:t>
            </w:r>
          </w:p>
        </w:tc>
      </w:tr>
      <w:tr>
        <w:trPr>
          <w:cantSplit/>
        </w:trPr>
        <w:tc>
          <w:tcPr>
            <w:tcMar>
              <w:top w:w="100" w:type="dxa"/>
              <w:bottom w:w="100" w:type="dxa"/>
              <w:left w:w="150" w:type="dxa"/>
              <w:right w:w="150" w:type="dxa"/>
            </w:tcMar>
            <w:vAlign w:val="center"/>
          </w:tcPr>
          <w:p>
            <w:pPr>
              <w:pStyle w:val="Compact"/>
              <w:jc w:val="left"/>
              <w:suppressAutoHyphens/>
            </w:pPr>
            <w:r>
              <w:t xml:space="preserve">Low early submission volume</w:t>
            </w:r>
          </w:p>
        </w:tc>
        <w:tc>
          <w:tcPr>
            <w:tcMar>
              <w:top w:w="100" w:type="dxa"/>
              <w:bottom w:w="100" w:type="dxa"/>
              <w:left w:w="150" w:type="dxa"/>
              <w:right w:w="150" w:type="dxa"/>
            </w:tcMar>
            <w:vAlign w:val="center"/>
          </w:tcPr>
          <w:p>
            <w:pPr>
              <w:pStyle w:val="Compact"/>
              <w:jc w:val="left"/>
              <w:suppressAutoHyphens/>
            </w:pPr>
            <w:r>
              <w:t xml:space="preserve">Publication requirement embedded in Ph.D./Post-Doc candidacy expectations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incentive spend exceeding fiduciary limits</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2"/>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Local Roots</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tcMar>
              <w:top w:w="100" w:type="dxa"/>
              <w:bottom w:w="100" w:type="dxa"/>
              <w:left w:w="150" w:type="dxa"/>
              <w:right w:w="150" w:type="dxa"/>
            </w:tcMar>
            <w:vAlign w:val="center"/>
          </w:tcPr>
          <w:p>
            <w:pPr>
              <w:pStyle w:val="Compact"/>
              <w:jc w:val="left"/>
              <w:suppressAutoHyphens/>
            </w:pPr>
            <w:r>
              <w:t xml:space="preserve">2 – Gambia Support</w:t>
            </w:r>
          </w:p>
        </w:tc>
        <w:tc>
          <w:tcPr>
            <w:tcMar>
              <w:top w:w="100" w:type="dxa"/>
              <w:bottom w:w="100" w:type="dxa"/>
              <w:left w:w="150" w:type="dxa"/>
              <w:right w:w="150" w:type="dxa"/>
            </w:tcMar>
            <w:vAlign w:val="center"/>
          </w:tcPr>
          <w:p>
            <w:pPr>
              <w:pStyle w:val="Compact"/>
              <w:jc w:val="left"/>
              <w:suppressAutoHyphens/>
            </w:pPr>
            <w:r>
              <w:t xml:space="preserve">Yr2–4 (2029–31)</w:t>
            </w:r>
          </w:p>
        </w:tc>
        <w:tc>
          <w:tcPr>
            <w:tcMar>
              <w:top w:w="100" w:type="dxa"/>
              <w:bottom w:w="100" w:type="dxa"/>
              <w:left w:w="150" w:type="dxa"/>
              <w:right w:w="150" w:type="dxa"/>
            </w:tcMar>
            <w:vAlign w:val="center"/>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Academic Peer Network</w:t>
            </w:r>
          </w:p>
        </w:tc>
        <w:tc>
          <w:tcPr>
            <w:tcMar>
              <w:top w:w="100" w:type="dxa"/>
              <w:bottom w:w="100" w:type="dxa"/>
              <w:left w:w="150" w:type="dxa"/>
              <w:right w:w="150" w:type="dxa"/>
            </w:tcMar>
            <w:vAlign w:val="center"/>
            <w:shd w:val="clear" w:color="auto" w:fill="F7F3E8"/>
          </w:tcPr>
          <w:p>
            <w:pPr>
              <w:pStyle w:val="Compact"/>
              <w:jc w:val="left"/>
              <w:suppressAutoHyphens/>
            </w:pPr>
            <w:r>
              <w:t xml:space="preserve">Yr5–9 (2032–36)</w:t>
            </w:r>
          </w:p>
        </w:tc>
        <w:tc>
          <w:tcPr>
            <w:tcMar>
              <w:top w:w="100" w:type="dxa"/>
              <w:bottom w:w="100" w:type="dxa"/>
              <w:left w:w="150" w:type="dxa"/>
              <w:right w:w="150" w:type="dxa"/>
            </w:tcMar>
            <w:vAlign w:val="center"/>
            <w:shd w:val="clear" w:color="auto" w:fill="F7F3E8"/>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tcMar>
              <w:top w:w="100" w:type="dxa"/>
              <w:bottom w:w="100" w:type="dxa"/>
              <w:left w:w="150" w:type="dxa"/>
              <w:right w:w="150" w:type="dxa"/>
            </w:tcMar>
            <w:vAlign w:val="center"/>
          </w:tcPr>
          <w:p>
            <w:pPr>
              <w:pStyle w:val="Compact"/>
              <w:jc w:val="left"/>
              <w:suppressAutoHyphens/>
            </w:pPr>
            <w:r>
              <w:t xml:space="preserve">4 – Sovereign Expansion Support</w:t>
            </w:r>
          </w:p>
        </w:tc>
        <w:tc>
          <w:tcPr>
            <w:tcMar>
              <w:top w:w="100" w:type="dxa"/>
              <w:bottom w:w="100" w:type="dxa"/>
              <w:left w:w="150" w:type="dxa"/>
              <w:right w:w="150" w:type="dxa"/>
            </w:tcMar>
            <w:vAlign w:val="center"/>
          </w:tcPr>
          <w:p>
            <w:pPr>
              <w:pStyle w:val="Compact"/>
              <w:jc w:val="left"/>
              <w:suppressAutoHyphens/>
            </w:pPr>
            <w:r>
              <w:t xml:space="preserve">Yr10–13 (2037–40)</w:t>
            </w:r>
          </w:p>
        </w:tc>
        <w:tc>
          <w:tcPr>
            <w:tcMar>
              <w:top w:w="100" w:type="dxa"/>
              <w:bottom w:w="100" w:type="dxa"/>
              <w:left w:w="150" w:type="dxa"/>
              <w:right w:w="150" w:type="dxa"/>
            </w:tcMar>
            <w:vAlign w:val="center"/>
          </w:tcPr>
          <w:p>
            <w:pPr>
              <w:pStyle w:val="Compact"/>
              <w:jc w:val="left"/>
              <w:suppressAutoHyphens/>
            </w:pPr>
            <w:r>
              <w:t xml:space="preserve">Relationship-building ahead of Nigeria NUC charter presentation (Yr10) and first Gulf ministry recognition agreements (Yr13 target).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Secular Widening</w:t>
            </w:r>
          </w:p>
        </w:tc>
        <w:tc>
          <w:tcPr>
            <w:tcMar>
              <w:top w:w="100" w:type="dxa"/>
              <w:bottom w:w="100" w:type="dxa"/>
              <w:left w:w="150" w:type="dxa"/>
              <w:right w:w="150" w:type="dxa"/>
            </w:tcMar>
            <w:vAlign w:val="center"/>
            <w:shd w:val="clear" w:color="auto" w:fill="F7F3E8"/>
          </w:tcPr>
          <w:p>
            <w:pPr>
              <w:pStyle w:val="Compact"/>
              <w:jc w:val="left"/>
              <w:suppressAutoHyphens/>
            </w:pPr>
            <w:r>
              <w:t xml:space="preserve">Yr11–20 (2038–47)</w:t>
            </w:r>
          </w:p>
        </w:tc>
        <w:tc>
          <w:tcPr>
            <w:tcMar>
              <w:top w:w="100" w:type="dxa"/>
              <w:bottom w:w="100" w:type="dxa"/>
              <w:left w:w="150" w:type="dxa"/>
              <w:right w:w="150" w:type="dxa"/>
            </w:tcMar>
            <w:vAlign w:val="center"/>
            <w:shd w:val="clear" w:color="auto" w:fill="F7F3E8"/>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Partnership outreach materials, travel</w:t>
            </w:r>
          </w:p>
        </w:tc>
        <w:tc>
          <w:tcPr>
            <w:tcMar>
              <w:top w:w="100" w:type="dxa"/>
              <w:bottom w:w="100" w:type="dxa"/>
              <w:left w:w="150" w:type="dxa"/>
              <w:right w:w="150" w:type="dxa"/>
            </w:tcMar>
            <w:vAlign w:val="center"/>
            <w:shd w:val="clear" w:color="auto" w:fill="F7F3E8"/>
          </w:tcPr>
          <w:p>
            <w:pPr>
              <w:pStyle w:val="Compact"/>
              <w:jc w:val="left"/>
              <w:suppressAutoHyphens/>
            </w:pPr>
            <w:r>
              <w:t xml:space="preserve">Marketing (10%)</w:t>
            </w:r>
          </w:p>
        </w:tc>
      </w:tr>
      <w:tr>
        <w:trPr>
          <w:cantSplit/>
        </w:trPr>
        <w:tc>
          <w:tcPr>
            <w:tcMar>
              <w:top w:w="100" w:type="dxa"/>
              <w:bottom w:w="100" w:type="dxa"/>
              <w:left w:w="150" w:type="dxa"/>
              <w:right w:w="150" w:type="dxa"/>
            </w:tcMar>
            <w:vAlign w:val="center"/>
          </w:tcPr>
          <w:p>
            <w:pPr>
              <w:pStyle w:val="Compact"/>
              <w:jc w:val="left"/>
              <w:suppressAutoHyphens/>
            </w:pPr>
            <w:r>
              <w:t xml:space="preserve">Mosque/school engagement events</w:t>
            </w:r>
          </w:p>
        </w:tc>
        <w:tc>
          <w:tcPr>
            <w:tcMar>
              <w:top w:w="100" w:type="dxa"/>
              <w:bottom w:w="100" w:type="dxa"/>
              <w:left w:w="150" w:type="dxa"/>
              <w:right w:w="150" w:type="dxa"/>
            </w:tcMar>
            <w:vAlign w:val="center"/>
          </w:tcPr>
          <w:p>
            <w:pPr>
              <w:pStyle w:val="Compact"/>
              <w:jc w:val="left"/>
              <w:suppressAutoHyphens/>
            </w:pPr>
            <w:r>
              <w:t xml:space="preserve">Da’wah &amp; Community Outreach (5%)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Direct partner mosque/school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sub-line: Islamic Schools/Mosque Support (25% of Waqf 20%)</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donor channel administration</w:t>
            </w:r>
          </w:p>
        </w:tc>
        <w:tc>
          <w:tcPr>
            <w:tcMar>
              <w:top w:w="100" w:type="dxa"/>
              <w:bottom w:w="100" w:type="dxa"/>
              <w:left w:w="150" w:type="dxa"/>
              <w:right w:w="150" w:type="dxa"/>
            </w:tcMar>
            <w:vAlign w:val="center"/>
          </w:tcPr>
          <w:p>
            <w:pPr>
              <w:pStyle w:val="Compact"/>
              <w:jc w:val="left"/>
              <w:suppressAutoHyphens/>
            </w:pPr>
            <w:r>
              <w:t xml:space="preserve">Waqf &amp; Endowment Board fiduciary oversight; &gt;$250,000/yr requires 2/3 Senate vote incl. ≥2 independent seats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Gambia legal/local MOU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Partner MOU non-performance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renewal review, sunset clauses</w:t>
            </w:r>
          </w:p>
        </w:tc>
      </w:tr>
      <w:tr>
        <w:trPr>
          <w:cantSplit/>
        </w:trPr>
        <w:tc>
          <w:tcPr>
            <w:tcMar>
              <w:top w:w="100" w:type="dxa"/>
              <w:bottom w:w="100" w:type="dxa"/>
              <w:left w:w="150" w:type="dxa"/>
              <w:right w:w="150" w:type="dxa"/>
            </w:tcMar>
            <w:vAlign w:val="center"/>
          </w:tcPr>
          <w:p>
            <w:pPr>
              <w:pStyle w:val="Compact"/>
              <w:jc w:val="left"/>
              <w:suppressAutoHyphens/>
            </w:pPr>
            <w:r>
              <w:t xml:space="preserve">Nigeria NUC / Gulf recognition delay</w:t>
            </w:r>
          </w:p>
        </w:tc>
        <w:tc>
          <w:tcPr>
            <w:tcMar>
              <w:top w:w="100" w:type="dxa"/>
              <w:bottom w:w="100" w:type="dxa"/>
              <w:left w:w="150" w:type="dxa"/>
              <w:right w:w="150" w:type="dxa"/>
            </w:tcMar>
            <w:vAlign w:val="center"/>
          </w:tcPr>
          <w:p>
            <w:pPr>
              <w:pStyle w:val="Compact"/>
              <w:jc w:val="left"/>
              <w:suppressAutoHyphens/>
            </w:pPr>
            <w:r>
              <w:t xml:space="preserve">Already framed in risk register as funding target, not guarantee — partnerships continue regardless of sovereign 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Reputational exposure from unvetted religious partners</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Layout w:type="fixed"/>
      </w:tblPr>
      <w:tblGrid>
        <w:gridCol w:w="1141"/>
        <w:gridCol w:w="1876"/>
        <w:gridCol w:w="2296"/>
        <w:gridCol w:w="1771"/>
        <w:gridCol w:w="19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141"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876" w:type="dxa"/>
          </w:tcPr>
          <w:p>
            <w:pPr>
              <w:pStyle w:val="Compact"/>
              <w:jc w:val="left"/>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W w:w="2296"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177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1988" w:type="dxa"/>
          </w:tcPr>
          <w:p>
            <w:pPr>
              <w:pStyle w:val="Compact"/>
              <w:jc w:val="left"/>
            </w:pPr>
            <w:r>
              <w:rPr>
                <w:b/>
                <w:color w:val="FFFFFF"/>
                <w:caps/>
                <w:spacing w:val="4"/>
              </w:rPr>
              <w:t xml:space="preserve">Independence</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Yr2 (2029)</w:t>
            </w:r>
          </w:p>
        </w:tc>
        <w:tc>
          <w:tcPr>
            <w:tcMar>
              <w:top w:w="100" w:type="dxa"/>
              <w:bottom w:w="100" w:type="dxa"/>
              <w:left w:w="150" w:type="dxa"/>
              <w:right w:w="150" w:type="dxa"/>
            </w:tcMar>
            <w:vAlign w:val="center"/>
            <w:shd w:val="clear" w:color="auto" w:fill="F7F3E8"/>
            <w:tcW w:w="1876" w:type="dxa"/>
          </w:tcPr>
          <w:p>
            <w:pPr>
              <w:pStyle w:val="Compact"/>
              <w:jc w:val="left"/>
            </w:pPr>
            <w:r>
              <w:t xml:space="preserve">CPD Accreditation target</w:t>
            </w:r>
          </w:p>
        </w:tc>
        <w:tc>
          <w:tcPr>
            <w:tcMar>
              <w:top w:w="100" w:type="dxa"/>
              <w:bottom w:w="100" w:type="dxa"/>
              <w:left w:w="150" w:type="dxa"/>
              <w:right w:w="150" w:type="dxa"/>
            </w:tcMar>
            <w:vAlign w:val="center"/>
            <w:shd w:val="clear" w:color="auto" w:fill="F7F3E8"/>
            <w:tcW w:w="2296" w:type="dxa"/>
          </w:tcPr>
          <w:p>
            <w:pPr>
              <w:pStyle w:val="Compact"/>
              <w:jc w:val="left"/>
            </w:pPr>
            <w:r>
              <w:t xml:space="preserve">$4,000 initial + $1,200/yr</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(5%)</w:t>
            </w:r>
          </w:p>
        </w:tc>
        <w:tc>
          <w:tcPr>
            <w:tcMar>
              <w:top w:w="100" w:type="dxa"/>
              <w:bottom w:w="100" w:type="dxa"/>
              <w:left w:w="150" w:type="dxa"/>
              <w:right w:w="150" w:type="dxa"/>
            </w:tcMar>
            <w:vAlign w:val="center"/>
            <w:shd w:val="clear" w:color="auto" w:fill="F7F3E8"/>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Yr2–4 (2029–31)</w:t>
            </w:r>
          </w:p>
        </w:tc>
        <w:tc>
          <w:tcPr>
            <w:tcMar>
              <w:top w:w="100" w:type="dxa"/>
              <w:bottom w:w="100" w:type="dxa"/>
              <w:left w:w="150" w:type="dxa"/>
              <w:right w:w="150" w:type="dxa"/>
            </w:tcMar>
            <w:vAlign w:val="center"/>
            <w:tcW w:w="1876" w:type="dxa"/>
          </w:tcPr>
          <w:p>
            <w:pPr>
              <w:pStyle w:val="Compact"/>
              <w:jc w:val="left"/>
            </w:pPr>
            <w:r>
              <w:t xml:space="preserve">Gambia NAQAA accreditation (Stage 3)</w:t>
            </w:r>
          </w:p>
        </w:tc>
        <w:tc>
          <w:tcPr>
            <w:tcMar>
              <w:top w:w="100" w:type="dxa"/>
              <w:bottom w:w="100" w:type="dxa"/>
              <w:left w:w="150" w:type="dxa"/>
              <w:right w:w="150" w:type="dxa"/>
            </w:tcMar>
            <w:vAlign w:val="center"/>
            <w:tcW w:w="2296" w:type="dxa"/>
          </w:tcPr>
          <w:p>
            <w:pPr>
              <w:pStyle w:val="Compact"/>
              <w:jc w:val="left"/>
            </w:pPr>
            <w:r>
              <w:t xml:space="preserve">$50,000 ceiling ($10k trust/endowment capitalization, $35k application/review/site-visits, $5k local legal counsel)</w:t>
            </w:r>
          </w:p>
        </w:tc>
        <w:tc>
          <w:tcPr>
            <w:tcMar>
              <w:top w:w="100" w:type="dxa"/>
              <w:bottom w:w="100" w:type="dxa"/>
              <w:left w:w="150" w:type="dxa"/>
              <w:right w:w="150" w:type="dxa"/>
            </w:tcMar>
            <w:vAlign w:val="center"/>
            <w:tcW w:w="1771" w:type="dxa"/>
          </w:tcPr>
          <w:p>
            <w:pPr>
              <w:pStyle w:val="Compact"/>
              <w:jc w:val="left"/>
            </w:pPr>
            <w:r>
              <w:t xml:space="preserve">Board-approved Gambia ceiling</w:t>
            </w:r>
          </w:p>
        </w:tc>
        <w:tc>
          <w:tcPr>
            <w:tcMar>
              <w:top w:w="100" w:type="dxa"/>
              <w:bottom w:w="100" w:type="dxa"/>
              <w:left w:w="150" w:type="dxa"/>
              <w:right w:w="150" w:type="dxa"/>
            </w:tcMar>
            <w:vAlign w:val="center"/>
            <w:tcW w:w="1988" w:type="dxa"/>
          </w:tcPr>
          <w:p>
            <w:pPr>
              <w:pStyle w:val="Compact"/>
              <w:jc w:val="left"/>
            </w:pPr>
            <w:r>
              <w:t xml:space="preserve">Independent of Texas parent</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Yr3 (2030)</w:t>
            </w:r>
          </w:p>
        </w:tc>
        <w:tc>
          <w:tcPr>
            <w:tcMar>
              <w:top w:w="100" w:type="dxa"/>
              <w:bottom w:w="100" w:type="dxa"/>
              <w:left w:w="150" w:type="dxa"/>
              <w:right w:w="150" w:type="dxa"/>
            </w:tcMar>
            <w:vAlign w:val="center"/>
            <w:shd w:val="clear" w:color="auto" w:fill="F7F3E8"/>
            <w:tcW w:w="1876" w:type="dxa"/>
          </w:tcPr>
          <w:p>
            <w:pPr>
              <w:pStyle w:val="Compact"/>
              <w:jc w:val="left"/>
            </w:pPr>
            <w:r>
              <w:t xml:space="preserve">ISO 21001 (EOMS) target</w:t>
            </w:r>
          </w:p>
        </w:tc>
        <w:tc>
          <w:tcPr>
            <w:tcMar>
              <w:top w:w="100" w:type="dxa"/>
              <w:bottom w:w="100" w:type="dxa"/>
              <w:left w:w="150" w:type="dxa"/>
              <w:right w:w="150" w:type="dxa"/>
            </w:tcMar>
            <w:vAlign w:val="center"/>
            <w:shd w:val="clear" w:color="auto" w:fill="F7F3E8"/>
            <w:tcW w:w="2296" w:type="dxa"/>
          </w:tcPr>
          <w:p>
            <w:pPr>
              <w:pStyle w:val="Compact"/>
              <w:jc w:val="left"/>
            </w:pPr>
            <w:r>
              <w:t xml:space="preserve">$12,000 initial + $3,500/yr</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(5%)</w:t>
            </w:r>
          </w:p>
        </w:tc>
        <w:tc>
          <w:tcPr>
            <w:tcMar>
              <w:top w:w="100" w:type="dxa"/>
              <w:bottom w:w="100" w:type="dxa"/>
              <w:left w:w="150" w:type="dxa"/>
              <w:right w:w="150" w:type="dxa"/>
            </w:tcMar>
            <w:vAlign w:val="center"/>
            <w:shd w:val="clear" w:color="auto" w:fill="F7F3E8"/>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Yr10 (2037)</w:t>
            </w:r>
          </w:p>
        </w:tc>
        <w:tc>
          <w:tcPr>
            <w:tcMar>
              <w:top w:w="100" w:type="dxa"/>
              <w:bottom w:w="100" w:type="dxa"/>
              <w:left w:w="150" w:type="dxa"/>
              <w:right w:w="150" w:type="dxa"/>
            </w:tcMar>
            <w:vAlign w:val="center"/>
            <w:tcW w:w="1876" w:type="dxa"/>
          </w:tcPr>
          <w:p>
            <w:pPr>
              <w:pStyle w:val="Compact"/>
              <w:jc w:val="left"/>
            </w:pPr>
            <w:r>
              <w:t xml:space="preserve">Nigeria Mega-University: formal charter presentation to National Assembly/NUC</w:t>
            </w:r>
          </w:p>
        </w:tc>
        <w:tc>
          <w:tcPr>
            <w:tcMar>
              <w:top w:w="100" w:type="dxa"/>
              <w:bottom w:w="100" w:type="dxa"/>
              <w:left w:w="150" w:type="dxa"/>
              <w:right w:w="150" w:type="dxa"/>
            </w:tcMar>
            <w:vAlign w:val="center"/>
            <w:tcW w:w="2296" w:type="dxa"/>
          </w:tcPr>
          <w:p>
            <w:pPr>
              <w:pStyle w:val="Compact"/>
              <w:jc w:val="left"/>
            </w:pPr>
            <w:r>
              <w:t xml:space="preserve">Variable, sovereign-controlled</w:t>
            </w:r>
          </w:p>
        </w:tc>
        <w:tc>
          <w:tcPr>
            <w:tcMar>
              <w:top w:w="100" w:type="dxa"/>
              <w:bottom w:w="100" w:type="dxa"/>
              <w:left w:w="150" w:type="dxa"/>
              <w:right w:w="150" w:type="dxa"/>
            </w:tcMar>
            <w:vAlign w:val="center"/>
            <w:tcW w:w="1771" w:type="dxa"/>
          </w:tcPr>
          <w:p>
            <w:pPr>
              <w:pStyle w:val="Compact"/>
              <w:jc w:val="left"/>
            </w:pPr>
            <w:r>
              <w:t xml:space="preserve">Waqf Nigeria Mega-University Reserve (20% of Waqf 20%)</w:t>
            </w:r>
          </w:p>
        </w:tc>
        <w:tc>
          <w:tcPr>
            <w:tcMar>
              <w:top w:w="100" w:type="dxa"/>
              <w:bottom w:w="100" w:type="dxa"/>
              <w:left w:w="150" w:type="dxa"/>
              <w:right w:w="150" w:type="dxa"/>
            </w:tcMar>
            <w:vAlign w:val="center"/>
            <w:tcW w:w="1988" w:type="dxa"/>
          </w:tcPr>
          <w:p>
            <w:pPr>
              <w:pStyle w:val="Compact"/>
              <w:jc w:val="left"/>
            </w:pPr>
            <w:r>
              <w:t xml:space="preserve">Independent of Texas parent; sovereign process outside AMIU control</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Yr11–12 (2038–39)</w:t>
            </w:r>
          </w:p>
        </w:tc>
        <w:tc>
          <w:tcPr>
            <w:tcMar>
              <w:top w:w="100" w:type="dxa"/>
              <w:bottom w:w="100" w:type="dxa"/>
              <w:left w:w="150" w:type="dxa"/>
              <w:right w:w="150" w:type="dxa"/>
            </w:tcMar>
            <w:vAlign w:val="center"/>
            <w:shd w:val="clear" w:color="auto" w:fill="F7F3E8"/>
            <w:tcW w:w="1876" w:type="dxa"/>
          </w:tcPr>
          <w:p>
            <w:pPr>
              <w:pStyle w:val="Compact"/>
              <w:jc w:val="left"/>
            </w:pPr>
            <w:r>
              <w:t xml:space="preserve">Texas/US secular (regional/national) accreditation process begins</w:t>
            </w:r>
          </w:p>
        </w:tc>
        <w:tc>
          <w:tcPr>
            <w:tcMar>
              <w:top w:w="100" w:type="dxa"/>
              <w:bottom w:w="100" w:type="dxa"/>
              <w:left w:w="150" w:type="dxa"/>
              <w:right w:w="150" w:type="dxa"/>
            </w:tcMar>
            <w:vAlign w:val="center"/>
            <w:shd w:val="clear" w:color="auto" w:fill="F7F3E8"/>
            <w:tcW w:w="2296" w:type="dxa"/>
          </w:tcPr>
          <w:p>
            <w:pPr>
              <w:pStyle w:val="Compact"/>
              <w:jc w:val="left"/>
            </w:pPr>
            <w:r>
              <w:t xml:space="preserve">TBD, funded from retained reserve</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 Liquidity Reserve draw, Board-approved</w:t>
            </w:r>
          </w:p>
        </w:tc>
        <w:tc>
          <w:tcPr>
            <w:tcMar>
              <w:top w:w="100" w:type="dxa"/>
              <w:bottom w:w="100" w:type="dxa"/>
              <w:left w:w="150" w:type="dxa"/>
              <w:right w:w="150" w:type="dxa"/>
            </w:tcMar>
            <w:vAlign w:val="center"/>
            <w:shd w:val="clear" w:color="auto" w:fill="F7F3E8"/>
            <w:tcW w:w="1988" w:type="dxa"/>
          </w:tcPr>
          <w:p>
            <w:pPr>
              <w:pStyle w:val="Compact"/>
              <w:jc w:val="left"/>
            </w:pPr>
            <w:r>
              <w:t xml:space="preserve">Not a survival dependency</w:t>
            </w:r>
          </w:p>
        </w:tc>
      </w:tr>
      <w:tr>
        <w:trPr>
          <w:cantSplit/>
        </w:trPr>
        <w:tc>
          <w:tcPr>
            <w:tcMar>
              <w:top w:w="100" w:type="dxa"/>
              <w:bottom w:w="100" w:type="dxa"/>
              <w:left w:w="150" w:type="dxa"/>
              <w:right w:w="150" w:type="dxa"/>
            </w:tcMar>
            <w:vAlign w:val="center"/>
            <w:tcW w:w="1141" w:type="dxa"/>
          </w:tcPr>
          <w:p>
            <w:pPr>
              <w:pStyle w:val="Compact"/>
              <w:jc w:val="left"/>
            </w:pPr>
            <w:r>
              <w:t xml:space="preserve">Yr13 (2040)</w:t>
            </w:r>
          </w:p>
        </w:tc>
        <w:tc>
          <w:tcPr>
            <w:tcMar>
              <w:top w:w="100" w:type="dxa"/>
              <w:bottom w:w="100" w:type="dxa"/>
              <w:left w:w="150" w:type="dxa"/>
              <w:right w:w="150" w:type="dxa"/>
            </w:tcMar>
            <w:vAlign w:val="center"/>
            <w:tcW w:w="1876" w:type="dxa"/>
          </w:tcPr>
          <w:p>
            <w:pPr>
              <w:pStyle w:val="Compact"/>
              <w:jc w:val="left"/>
            </w:pPr>
            <w:r>
              <w:t xml:space="preserve">First Gulf ministry recognition agreements targeted</w:t>
            </w:r>
          </w:p>
        </w:tc>
        <w:tc>
          <w:tcPr>
            <w:tcMar>
              <w:top w:w="100" w:type="dxa"/>
              <w:bottom w:w="100" w:type="dxa"/>
              <w:left w:w="150" w:type="dxa"/>
              <w:right w:w="150" w:type="dxa"/>
            </w:tcMar>
            <w:vAlign w:val="center"/>
            <w:tcW w:w="2296" w:type="dxa"/>
          </w:tcPr>
          <w:p>
            <w:pPr>
              <w:pStyle w:val="Compact"/>
              <w:jc w:val="left"/>
            </w:pPr>
            <w:r>
              <w:t xml:space="preserve">Administrative, minimal direct cost</w:t>
            </w:r>
          </w:p>
        </w:tc>
        <w:tc>
          <w:tcPr>
            <w:tcMar>
              <w:top w:w="100" w:type="dxa"/>
              <w:bottom w:w="100" w:type="dxa"/>
              <w:left w:w="150" w:type="dxa"/>
              <w:right w:w="150" w:type="dxa"/>
            </w:tcMar>
            <w:vAlign w:val="center"/>
            <w:tcW w:w="1771" w:type="dxa"/>
          </w:tcPr>
          <w:p>
            <w:pPr>
              <w:pStyle w:val="Compact"/>
              <w:jc w:val="left"/>
            </w:pPr>
            <w:r>
              <w:t xml:space="preserve">OpEx / Marketing (outreach)</w:t>
            </w:r>
          </w:p>
        </w:tc>
        <w:tc>
          <w:tcPr>
            <w:tcMar>
              <w:top w:w="100" w:type="dxa"/>
              <w:bottom w:w="100" w:type="dxa"/>
              <w:left w:w="150" w:type="dxa"/>
              <w:right w:w="150" w:type="dxa"/>
            </w:tcMar>
            <w:vAlign w:val="center"/>
            <w:tcW w:w="1988" w:type="dxa"/>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Awareness &amp; Gap Analysis</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Build</w:t>
            </w:r>
          </w:p>
        </w:tc>
        <w:tc>
          <w:tcPr>
            <w:tcMar>
              <w:top w:w="100" w:type="dxa"/>
              <w:bottom w:w="100" w:type="dxa"/>
              <w:left w:w="150" w:type="dxa"/>
              <w:right w:w="150" w:type="dxa"/>
            </w:tcMar>
            <w:vAlign w:val="center"/>
          </w:tcPr>
          <w:p>
            <w:pPr>
              <w:pStyle w:val="Compact"/>
              <w:jc w:val="left"/>
              <w:suppressAutoHyphens/>
            </w:pPr>
            <w:r>
              <w:t xml:space="preserve">Yr3 H1 (early 2030)</w:t>
            </w:r>
          </w:p>
        </w:tc>
        <w:tc>
          <w:tcPr>
            <w:tcMar>
              <w:top w:w="100" w:type="dxa"/>
              <w:bottom w:w="100" w:type="dxa"/>
              <w:left w:w="150" w:type="dxa"/>
              <w:right w:w="150" w:type="dxa"/>
            </w:tcMar>
            <w:vAlign w:val="center"/>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Internal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Yr3 H1–H2 (2030)</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tcMar>
              <w:top w:w="100" w:type="dxa"/>
              <w:bottom w:w="100" w:type="dxa"/>
              <w:left w:w="150" w:type="dxa"/>
              <w:right w:w="150" w:type="dxa"/>
            </w:tcMar>
            <w:vAlign w:val="center"/>
          </w:tcPr>
          <w:p>
            <w:pPr>
              <w:pStyle w:val="Compact"/>
              <w:jc w:val="left"/>
              <w:suppressAutoHyphens/>
            </w:pPr>
            <w:r>
              <w:t xml:space="preserve">External Certification</w:t>
            </w:r>
          </w:p>
        </w:tc>
        <w:tc>
          <w:tcPr>
            <w:tcMar>
              <w:top w:w="100" w:type="dxa"/>
              <w:bottom w:w="100" w:type="dxa"/>
              <w:left w:w="150" w:type="dxa"/>
              <w:right w:w="150" w:type="dxa"/>
            </w:tcMar>
            <w:vAlign w:val="center"/>
          </w:tcPr>
          <w:p>
            <w:pPr>
              <w:pStyle w:val="Compact"/>
              <w:jc w:val="left"/>
              <w:suppressAutoHyphens/>
            </w:pPr>
            <w:r>
              <w:t xml:space="preserve">Yr3 H2 (2030, target completion)</w:t>
            </w:r>
          </w:p>
        </w:tc>
        <w:tc>
          <w:tcPr>
            <w:tcMar>
              <w:top w:w="100" w:type="dxa"/>
              <w:bottom w:w="100" w:type="dxa"/>
              <w:left w:w="150" w:type="dxa"/>
              <w:right w:w="150" w:type="dxa"/>
            </w:tcMar>
            <w:vAlign w:val="center"/>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Surveillance 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Yr4–20 (2031–47)</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Layout w:type="fixed"/>
      </w:tblPr>
      <w:tblGrid>
        <w:gridCol w:w="2703"/>
        <w:gridCol w:w="1560"/>
        <w:gridCol w:w="1984"/>
        <w:gridCol w:w="282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3" w:type="dxa"/>
          </w:tcPr>
          <w:p>
            <w:pPr>
              <w:pStyle w:val="Compact"/>
              <w:jc w:val="left"/>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W w:w="156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984"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2825" w:type="dxa"/>
          </w:tcPr>
          <w:p>
            <w:pPr>
              <w:pStyle w:val="Compact"/>
              <w:jc w:val="left"/>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W w:w="2703" w:type="dxa"/>
          </w:tcPr>
          <w:p>
            <w:pPr>
              <w:pStyle w:val="Compact"/>
              <w:jc w:val="left"/>
            </w:pPr>
            <w:r>
              <w:t xml:space="preserve">Initial certification (Stage 1 + Stage 2 audits, cert body fees)</w:t>
            </w:r>
          </w:p>
        </w:tc>
        <w:tc>
          <w:tcPr>
            <w:tcMar>
              <w:top w:w="100" w:type="dxa"/>
              <w:bottom w:w="100" w:type="dxa"/>
              <w:left w:w="150" w:type="dxa"/>
              <w:right w:w="150" w:type="dxa"/>
            </w:tcMar>
            <w:vAlign w:val="center"/>
            <w:shd w:val="clear" w:color="auto" w:fill="F7F3E8"/>
            <w:tcW w:w="1560" w:type="dxa"/>
          </w:tcPr>
          <w:p>
            <w:pPr>
              <w:pStyle w:val="Compact"/>
              <w:jc w:val="left"/>
            </w:pPr>
            <w:r>
              <w:t xml:space="preserve">Yr3 (2030)</w:t>
            </w:r>
          </w:p>
        </w:tc>
        <w:tc>
          <w:tcPr>
            <w:tcMar>
              <w:top w:w="100" w:type="dxa"/>
              <w:bottom w:w="100" w:type="dxa"/>
              <w:left w:w="150" w:type="dxa"/>
              <w:right w:w="150" w:type="dxa"/>
            </w:tcMar>
            <w:vAlign w:val="center"/>
            <w:shd w:val="clear" w:color="auto" w:fill="F7F3E8"/>
            <w:tcW w:w="1984" w:type="dxa"/>
          </w:tcPr>
          <w:p>
            <w:pPr>
              <w:pStyle w:val="Compact"/>
              <w:jc w:val="left"/>
            </w:pPr>
            <w:r>
              <w:t xml:space="preserve">$12,000 one-time</w:t>
            </w:r>
          </w:p>
        </w:tc>
        <w:tc>
          <w:tcPr>
            <w:tcMar>
              <w:top w:w="100" w:type="dxa"/>
              <w:bottom w:w="100" w:type="dxa"/>
              <w:left w:w="150" w:type="dxa"/>
              <w:right w:w="150" w:type="dxa"/>
            </w:tcMar>
            <w:vAlign w:val="center"/>
            <w:shd w:val="clear" w:color="auto" w:fill="F7F3E8"/>
            <w:tcW w:w="2825" w:type="dxa"/>
          </w:tcPr>
          <w:p>
            <w:pPr>
              <w:pStyle w:val="Compact"/>
              <w:jc w:val="left"/>
            </w:pPr>
            <w:r>
              <w:t xml:space="preserve">OpEx (5%); Board-approved reserve draw only if a single year’s OpEx is insufficient</w:t>
            </w:r>
          </w:p>
        </w:tc>
      </w:tr>
      <w:tr>
        <w:trPr>
          <w:cantSplit/>
        </w:trPr>
        <w:tc>
          <w:tcPr>
            <w:tcMar>
              <w:top w:w="100" w:type="dxa"/>
              <w:bottom w:w="100" w:type="dxa"/>
              <w:left w:w="150" w:type="dxa"/>
              <w:right w:w="150" w:type="dxa"/>
            </w:tcMar>
            <w:vAlign w:val="center"/>
            <w:tcW w:w="2703" w:type="dxa"/>
          </w:tcPr>
          <w:p>
            <w:pPr>
              <w:pStyle w:val="Compact"/>
              <w:jc w:val="left"/>
            </w:pPr>
            <w:r>
              <w:t xml:space="preserve">Annual surveillance audit</w:t>
            </w:r>
          </w:p>
        </w:tc>
        <w:tc>
          <w:tcPr>
            <w:tcMar>
              <w:top w:w="100" w:type="dxa"/>
              <w:bottom w:w="100" w:type="dxa"/>
              <w:left w:w="150" w:type="dxa"/>
              <w:right w:w="150" w:type="dxa"/>
            </w:tcMar>
            <w:vAlign w:val="center"/>
            <w:tcW w:w="1560" w:type="dxa"/>
          </w:tcPr>
          <w:p>
            <w:pPr>
              <w:pStyle w:val="Compact"/>
              <w:jc w:val="left"/>
            </w:pPr>
            <w:r>
              <w:t xml:space="preserve">Yr4+ (2031+)</w:t>
            </w:r>
          </w:p>
        </w:tc>
        <w:tc>
          <w:tcPr>
            <w:tcMar>
              <w:top w:w="100" w:type="dxa"/>
              <w:bottom w:w="100" w:type="dxa"/>
              <w:left w:w="150" w:type="dxa"/>
              <w:right w:w="150" w:type="dxa"/>
            </w:tcMar>
            <w:vAlign w:val="center"/>
            <w:tcW w:w="1984" w:type="dxa"/>
          </w:tcPr>
          <w:p>
            <w:pPr>
              <w:pStyle w:val="Compact"/>
              <w:jc w:val="left"/>
            </w:pPr>
            <w:r>
              <w:t xml:space="preserve">$3,500/yr</w:t>
            </w:r>
          </w:p>
        </w:tc>
        <w:tc>
          <w:tcPr>
            <w:tcMar>
              <w:top w:w="100" w:type="dxa"/>
              <w:bottom w:w="100" w:type="dxa"/>
              <w:left w:w="150" w:type="dxa"/>
              <w:right w:w="150" w:type="dxa"/>
            </w:tcMar>
            <w:vAlign w:val="center"/>
            <w:tcW w:w="2825" w:type="dxa"/>
          </w:tcPr>
          <w:p>
            <w:pPr>
              <w:pStyle w:val="Compact"/>
              <w:jc w:val="left"/>
            </w:pPr>
            <w:r>
              <w:t xml:space="preserve">OpEx (5%)</w:t>
            </w:r>
          </w:p>
        </w:tc>
      </w:tr>
      <w:tr>
        <w:trPr>
          <w:cantSplit/>
        </w:trPr>
        <w:tc>
          <w:tcPr>
            <w:tcMar>
              <w:top w:w="100" w:type="dxa"/>
              <w:bottom w:w="100" w:type="dxa"/>
              <w:left w:w="150" w:type="dxa"/>
              <w:right w:w="150" w:type="dxa"/>
            </w:tcMar>
            <w:vAlign w:val="center"/>
            <w:shd w:val="clear" w:color="auto" w:fill="F7F3E8"/>
            <w:tcW w:w="2703" w:type="dxa"/>
          </w:tcPr>
          <w:p>
            <w:pPr>
              <w:pStyle w:val="Compact"/>
              <w:jc w:val="left"/>
            </w:pPr>
            <w:r>
              <w:t xml:space="preserve">Internal audit training/contractor</w:t>
            </w:r>
          </w:p>
        </w:tc>
        <w:tc>
          <w:tcPr>
            <w:tcMar>
              <w:top w:w="100" w:type="dxa"/>
              <w:bottom w:w="100" w:type="dxa"/>
              <w:left w:w="150" w:type="dxa"/>
              <w:right w:w="150" w:type="dxa"/>
            </w:tcMar>
            <w:vAlign w:val="center"/>
            <w:shd w:val="clear" w:color="auto" w:fill="F7F3E8"/>
            <w:tcW w:w="1560" w:type="dxa"/>
          </w:tcPr>
          <w:p>
            <w:pPr>
              <w:pStyle w:val="Compact"/>
              <w:jc w:val="left"/>
            </w:pPr>
            <w:r>
              <w:t xml:space="preserve">Yr2–3</w:t>
            </w:r>
          </w:p>
        </w:tc>
        <w:tc>
          <w:tcPr>
            <w:tcMar>
              <w:top w:w="100" w:type="dxa"/>
              <w:bottom w:w="100" w:type="dxa"/>
              <w:left w:w="150" w:type="dxa"/>
              <w:right w:w="150" w:type="dxa"/>
            </w:tcMar>
            <w:vAlign w:val="center"/>
            <w:shd w:val="clear" w:color="auto" w:fill="F7F3E8"/>
            <w:tcW w:w="1984" w:type="dxa"/>
          </w:tcPr>
          <w:p>
            <w:pPr>
              <w:pStyle w:val="Compact"/>
              <w:jc w:val="left"/>
            </w:pPr>
            <w:r>
              <w:t xml:space="preserve">Modest, within OpEx</w:t>
            </w:r>
          </w:p>
        </w:tc>
        <w:tc>
          <w:tcPr>
            <w:tcMar>
              <w:top w:w="100" w:type="dxa"/>
              <w:bottom w:w="100" w:type="dxa"/>
              <w:left w:w="150" w:type="dxa"/>
              <w:right w:w="150" w:type="dxa"/>
            </w:tcMar>
            <w:vAlign w:val="center"/>
            <w:shd w:val="clear" w:color="auto" w:fill="F7F3E8"/>
            <w:tcW w:w="2825" w:type="dxa"/>
          </w:tcPr>
          <w:p>
            <w:pPr>
              <w:pStyle w:val="Compact"/>
              <w:jc w:val="left"/>
            </w:pPr>
            <w:r>
              <w:t xml:space="preserve">OpEx (5%)</w:t>
            </w:r>
          </w:p>
        </w:tc>
      </w:tr>
      <w:tr>
        <w:trPr>
          <w:cantSplit/>
        </w:trPr>
        <w:tc>
          <w:tcPr>
            <w:tcMar>
              <w:top w:w="100" w:type="dxa"/>
              <w:bottom w:w="100" w:type="dxa"/>
              <w:left w:w="150" w:type="dxa"/>
              <w:right w:w="150" w:type="dxa"/>
            </w:tcMar>
            <w:vAlign w:val="center"/>
            <w:tcW w:w="2703" w:type="dxa"/>
          </w:tcPr>
          <w:p>
            <w:pPr>
              <w:pStyle w:val="Compact"/>
              <w:jc w:val="left"/>
            </w:pPr>
            <w:r>
              <w:t xml:space="preserve">Documentation tooling</w:t>
            </w:r>
          </w:p>
        </w:tc>
        <w:tc>
          <w:tcPr>
            <w:tcMar>
              <w:top w:w="100" w:type="dxa"/>
              <w:bottom w:w="100" w:type="dxa"/>
              <w:left w:w="150" w:type="dxa"/>
              <w:right w:w="150" w:type="dxa"/>
            </w:tcMar>
            <w:vAlign w:val="center"/>
            <w:tcW w:w="1560" w:type="dxa"/>
          </w:tcPr>
          <w:p>
            <w:pPr>
              <w:pStyle w:val="Compact"/>
              <w:jc w:val="left"/>
            </w:pPr>
            <w:r>
              <w:t xml:space="preserve">Ongoing</w:t>
            </w:r>
          </w:p>
        </w:tc>
        <w:tc>
          <w:tcPr>
            <w:tcMar>
              <w:top w:w="100" w:type="dxa"/>
              <w:bottom w:w="100" w:type="dxa"/>
              <w:left w:w="150" w:type="dxa"/>
              <w:right w:w="150" w:type="dxa"/>
            </w:tcMar>
            <w:vAlign w:val="center"/>
            <w:tcW w:w="1984" w:type="dxa"/>
          </w:tcPr>
          <w:p>
            <w:pPr>
              <w:pStyle w:val="Compact"/>
              <w:jc w:val="left"/>
            </w:pPr>
            <w:r>
              <w:t xml:space="preserve">Near-zero (shared drive/existing LMS)</w:t>
            </w:r>
          </w:p>
        </w:tc>
        <w:tc>
          <w:tcPr>
            <w:tcMar>
              <w:top w:w="100" w:type="dxa"/>
              <w:bottom w:w="100" w:type="dxa"/>
              <w:left w:w="150" w:type="dxa"/>
              <w:right w:w="150" w:type="dxa"/>
            </w:tcMar>
            <w:vAlign w:val="center"/>
            <w:tcW w:w="2825" w:type="dxa"/>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Cost overrun beyond $12,000/$3,500</w:t>
            </w:r>
          </w:p>
        </w:tc>
        <w:tc>
          <w:tcPr>
            <w:tcMar>
              <w:top w:w="100" w:type="dxa"/>
              <w:bottom w:w="100" w:type="dxa"/>
              <w:left w:w="150" w:type="dxa"/>
              <w:right w:w="150" w:type="dxa"/>
            </w:tcMar>
            <w:vAlign w:val="center"/>
            <w:shd w:val="clear" w:color="auto" w:fill="F7F3E8"/>
          </w:tcPr>
          <w:p>
            <w:pPr>
              <w:pStyle w:val="Compact"/>
              <w:jc w:val="left"/>
              <w:suppressAutoHyphens/>
            </w:pPr>
            <w:r>
              <w:t xml:space="preserve">Hard-capped within OpEx; Board approval gate before any reserve draw</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burden diverting Founder/Senate time</w:t>
            </w:r>
          </w:p>
        </w:tc>
        <w:tc>
          <w:tcPr>
            <w:tcMar>
              <w:top w:w="100" w:type="dxa"/>
              <w:bottom w:w="100" w:type="dxa"/>
              <w:left w:w="150" w:type="dxa"/>
              <w:right w:w="150" w:type="dxa"/>
            </w:tcMar>
            <w:vAlign w:val="center"/>
          </w:tcPr>
          <w:p>
            <w:pPr>
              <w:pStyle w:val="Compact"/>
              <w:jc w:val="left"/>
              <w:suppressAutoHyphens/>
            </w:pPr>
            <w:r>
              <w:t xml:space="preserve">Gap analysis begins Yr1, spreading workload over two years before the Yr3 deadline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Failed Stage 2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Buffer built into Yr3 H2 schedule; internal audit precedes external audit by a full quarter</w:t>
            </w:r>
          </w:p>
        </w:tc>
      </w:tr>
      <w:tr>
        <w:trPr>
          <w:cantSplit/>
        </w:trPr>
        <w:tc>
          <w:tcPr>
            <w:tcMar>
              <w:top w:w="100" w:type="dxa"/>
              <w:bottom w:w="100" w:type="dxa"/>
              <w:left w:w="150" w:type="dxa"/>
              <w:right w:w="150" w:type="dxa"/>
            </w:tcMar>
            <w:vAlign w:val="center"/>
          </w:tcPr>
          <w:p>
            <w:pPr>
              <w:pStyle w:val="Compact"/>
              <w:jc w:val="left"/>
              <w:suppressAutoHyphens/>
            </w:pPr>
            <w:r>
              <w:t xml:space="preserve">Surveillance lapse causing certificate suspension</w:t>
            </w:r>
          </w:p>
        </w:tc>
        <w:tc>
          <w:tcPr>
            <w:tcMar>
              <w:top w:w="100" w:type="dxa"/>
              <w:bottom w:w="100" w:type="dxa"/>
              <w:left w:w="150" w:type="dxa"/>
              <w:right w:w="150" w:type="dxa"/>
            </w:tcMar>
            <w:vAlign w:val="center"/>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Source Serif 4" w:hAnsi="Source Serif 4"/>
          <w:i/>
          <w:smallCap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p>
      <w:pPr>
        <w:pStyle w:val="Heading2"/>
        <w:spacing w:before="0" w:after="0"/>
        <w:pBdr>
          <w:bottom w:val="none" w:sz="0" w:space="0" w:color="auto"/>
        </w:pBdr>
        <w:rPr>
          <w:vanish/>
          <w:sz w:val="2"/>
        </w:rPr>
      </w:pPr>
      <w:r>
        <w:rPr>
          <w:vanish/>
          <w:sz w:val="2"/>
        </w:rPr>
        <w:t>Part V — Digital Infrastructure, AI &amp; Waqf Development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Source Serif 4" w:hAnsi="Source Serif 4"/>
                <w:i/>
                <w:smallCaps/>
                <w:color w:val="8C97AB"/>
                <w:sz w:val="19"/>
                <w:spacing w:val="10"/>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Scope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Foundation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tcMar>
              <w:top w:w="100" w:type="dxa"/>
              <w:bottom w:w="100" w:type="dxa"/>
              <w:left w:w="150" w:type="dxa"/>
              <w:right w:w="150" w:type="dxa"/>
            </w:tcMar>
            <w:vAlign w:val="center"/>
          </w:tcPr>
          <w:p>
            <w:pPr>
              <w:pStyle w:val="Compact"/>
              <w:jc w:val="left"/>
              <w:suppressAutoHyphens/>
            </w:pPr>
            <w:r>
              <w:t xml:space="preserve">2 — Stabilization</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Scale</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2033–2037</w:t>
            </w:r>
          </w:p>
        </w:tc>
        <w:tc>
          <w:tcPr>
            <w:tcMar>
              <w:top w:w="100" w:type="dxa"/>
              <w:bottom w:w="100" w:type="dxa"/>
              <w:left w:w="150" w:type="dxa"/>
              <w:right w:w="150" w:type="dxa"/>
            </w:tcMar>
            <w:vAlign w:val="center"/>
            <w:shd w:val="clear" w:color="auto" w:fill="F7F3E8"/>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tcMar>
              <w:top w:w="100" w:type="dxa"/>
              <w:bottom w:w="100" w:type="dxa"/>
              <w:left w:w="150" w:type="dxa"/>
              <w:right w:w="150" w:type="dxa"/>
            </w:tcMar>
            <w:vAlign w:val="center"/>
          </w:tcPr>
          <w:p>
            <w:pPr>
              <w:pStyle w:val="Compact"/>
              <w:jc w:val="left"/>
              <w:suppressAutoHyphens/>
            </w:pPr>
            <w:r>
              <w:t xml:space="preserve">4 — Secular-Expansion Maturity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3"/>
        </w:numPr>
        <w:pStyle w:val="Compact"/>
        <w:jc w:val="both"/>
      </w:pPr>
      <w:r>
        <w:t xml:space="preserve">Year 1: part-time/contract LMS Administrator (Payroll line, ~0.5 FTE)</w:t>
      </w:r>
    </w:p>
    <w:p>
      <w:pPr>
        <w:numPr>
          <w:ilvl w:val="0"/>
          <w:numId w:val="1013"/>
        </w:numPr>
        <w:pStyle w:val="Compact"/>
        <w:jc w:val="both"/>
      </w:pPr>
      <w:r>
        <w:t xml:space="preserve">Year 3–5: full-time LMS Manager</w:t>
      </w:r>
    </w:p>
    <w:p>
      <w:pPr>
        <w:numPr>
          <w:ilvl w:val="0"/>
          <w:numId w:val="1013"/>
        </w:numPr>
        <w:pStyle w:val="Compact"/>
        <w:jc w:val="both"/>
      </w:pPr>
      <w:r>
        <w:t xml:space="preserve">Year 6–10: LMS Manager + 1–2 junior support technicians + content-conversion coordinator (all Payroll-funded; tooling/hosting on LMS&amp;Tech line)</w:t>
      </w:r>
    </w:p>
    <w:p>
      <w:pPr>
        <w:numPr>
          <w:ilvl w:val="0"/>
          <w:numId w:val="1013"/>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LMS &amp; Tech Budget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Use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(2028)</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Hosting, base plugins, gateway integration fees</w:t>
            </w:r>
          </w:p>
        </w:tc>
      </w:tr>
      <w:tr>
        <w:trPr>
          <w:cantSplit/>
        </w:trPr>
        <w:tc>
          <w:tcPr>
            <w:tcMar>
              <w:top w:w="100" w:type="dxa"/>
              <w:bottom w:w="100" w:type="dxa"/>
              <w:left w:w="150" w:type="dxa"/>
              <w:right w:w="150" w:type="dxa"/>
            </w:tcMar>
            <w:vAlign w:val="center"/>
          </w:tcPr>
          <w:p>
            <w:pPr>
              <w:pStyle w:val="Compact"/>
              <w:jc w:val="left"/>
              <w:suppressAutoHyphens/>
            </w:pPr>
            <w:r>
              <w:t xml:space="preserve">5 (2032)</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Mobile/PWA build-out, CDN, plugin licensing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 (2037)</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$191,527/yr</w:t>
            </w:r>
          </w:p>
        </w:tc>
        <w:tc>
          <w:tcPr>
            <w:tcMar>
              <w:top w:w="100" w:type="dxa"/>
              <w:bottom w:w="100" w:type="dxa"/>
              <w:left w:w="150" w:type="dxa"/>
              <w:right w:w="150" w:type="dxa"/>
            </w:tcMar>
            <w:vAlign w:val="center"/>
            <w:shd w:val="clear" w:color="auto" w:fill="F7F3E8"/>
          </w:tcPr>
          <w:p>
            <w:pPr>
              <w:pStyle w:val="Compact"/>
              <w:jc w:val="left"/>
              <w:suppressAutoHyphens/>
            </w:pPr>
            <w:r>
              <w:t xml:space="preserve">Redundant infrastructure, API/SIS integration, catalog completion</w:t>
            </w:r>
          </w:p>
        </w:tc>
      </w:tr>
      <w:tr>
        <w:trPr>
          <w:cantSplit/>
        </w:trPr>
        <w:tc>
          <w:tcPr>
            <w:tcMar>
              <w:top w:w="100" w:type="dxa"/>
              <w:bottom w:w="100" w:type="dxa"/>
              <w:left w:w="150" w:type="dxa"/>
              <w:right w:w="150" w:type="dxa"/>
            </w:tcMar>
            <w:vAlign w:val="center"/>
          </w:tcPr>
          <w:p>
            <w:pPr>
              <w:pStyle w:val="Compact"/>
              <w:jc w:val="left"/>
              <w:suppressAutoHyphens/>
            </w:pPr>
            <w:r>
              <w:t xml:space="preserve">10-yr cumulative</w:t>
            </w:r>
          </w:p>
        </w:tc>
        <w:tc>
          <w:tcPr>
            <w:tcMar>
              <w:top w:w="100" w:type="dxa"/>
              <w:bottom w:w="100" w:type="dxa"/>
              <w:left w:w="150" w:type="dxa"/>
              <w:right w:w="150" w:type="dxa"/>
            </w:tcMar>
            <w:vAlign w:val="center"/>
          </w:tcPr>
          <w:p>
            <w:pPr>
              <w:pStyle w:val="Compact"/>
              <w:jc w:val="left"/>
              <w:suppressAutoHyphens/>
            </w:pPr>
            <w:r>
              <w:t xml:space="preserve">$833,460</w:t>
            </w:r>
          </w:p>
        </w:tc>
        <w:tc>
          <w:tcPr>
            <w:tcMar>
              <w:top w:w="100" w:type="dxa"/>
              <w:bottom w:w="100" w:type="dxa"/>
              <w:left w:w="150" w:type="dxa"/>
              <w:right w:w="150" w:type="dxa"/>
            </w:tcMar>
            <w:vAlign w:val="center"/>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Use Case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Nature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Sharī’ah Review Required?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Arabic/Qur’ānic-text-aware tutoring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RAG assistant over faculty-curated corpus, human-supervised</w:t>
            </w:r>
          </w:p>
        </w:tc>
        <w:tc>
          <w:tcPr>
            <w:tcMar>
              <w:top w:w="100" w:type="dxa"/>
              <w:bottom w:w="100" w:type="dxa"/>
              <w:left w:w="150" w:type="dxa"/>
              <w:right w:w="150" w:type="dxa"/>
            </w:tcMar>
            <w:vAlign w:val="center"/>
            <w:shd w:val="clear" w:color="auto" w:fill="F7F3E8"/>
          </w:tcPr>
          <w:p>
            <w:pPr>
              <w:pStyle w:val="Compact"/>
              <w:jc w:val="left"/>
              <w:suppressAutoHyphens/>
            </w:pPr>
            <w:r>
              <w:t xml:space="preserve">Yes — mandatory pre-deployment + biennial re-cert</w:t>
            </w:r>
          </w:p>
        </w:tc>
      </w:tr>
      <w:tr>
        <w:trPr>
          <w:cantSplit/>
        </w:trPr>
        <w:tc>
          <w:tcPr>
            <w:tcMar>
              <w:top w:w="100" w:type="dxa"/>
              <w:bottom w:w="100" w:type="dxa"/>
              <w:left w:w="150" w:type="dxa"/>
              <w:right w:w="150" w:type="dxa"/>
            </w:tcMar>
            <w:vAlign w:val="center"/>
          </w:tcPr>
          <w:p>
            <w:pPr>
              <w:pStyle w:val="Compact"/>
              <w:jc w:val="left"/>
              <w:suppressAutoHyphens/>
            </w:pPr>
            <w:r>
              <w:t xml:space="preserve">Automated Tajweed/recitation feedback</w:t>
            </w:r>
          </w:p>
        </w:tc>
        <w:tc>
          <w:tcPr>
            <w:tcMar>
              <w:top w:w="100" w:type="dxa"/>
              <w:bottom w:w="100" w:type="dxa"/>
              <w:left w:w="150" w:type="dxa"/>
              <w:right w:w="150" w:type="dxa"/>
            </w:tcMar>
            <w:vAlign w:val="center"/>
          </w:tcPr>
          <w:p>
            <w:pPr>
              <w:pStyle w:val="Compact"/>
              <w:jc w:val="left"/>
              <w:suppressAutoHyphens/>
            </w:pPr>
            <w:r>
              <w:t xml:space="preserve">Licensed third-party speech-analysis API</w:t>
            </w:r>
          </w:p>
        </w:tc>
        <w:tc>
          <w:tcPr>
            <w:tcMar>
              <w:top w:w="100" w:type="dxa"/>
              <w:bottom w:w="100" w:type="dxa"/>
              <w:left w:w="150" w:type="dxa"/>
              <w:right w:w="150" w:type="dxa"/>
            </w:tcMar>
            <w:vAlign w:val="center"/>
          </w:tcPr>
          <w:p>
            <w:pPr>
              <w:pStyle w:val="Compact"/>
              <w:jc w:val="left"/>
              <w:suppressAutoHyphens/>
            </w:pPr>
            <w:r>
              <w:t xml:space="preserve">Yes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Admissions document verification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OCR + fraud-flagging for tier eligibility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No (administrative, non-religious)</w:t>
            </w:r>
          </w:p>
        </w:tc>
      </w:tr>
      <w:tr>
        <w:trPr>
          <w:cantSplit/>
        </w:trPr>
        <w:tc>
          <w:tcPr>
            <w:tcMar>
              <w:top w:w="100" w:type="dxa"/>
              <w:bottom w:w="100" w:type="dxa"/>
              <w:left w:w="150" w:type="dxa"/>
              <w:right w:w="150" w:type="dxa"/>
            </w:tcMar>
            <w:vAlign w:val="center"/>
          </w:tcPr>
          <w:p>
            <w:pPr>
              <w:pStyle w:val="Compact"/>
              <w:jc w:val="left"/>
              <w:suppressAutoHyphens/>
            </w:pPr>
            <w:r>
              <w:t xml:space="preserve">Faculty content-authoring assistance</w:t>
            </w:r>
          </w:p>
        </w:tc>
        <w:tc>
          <w:tcPr>
            <w:tcMar>
              <w:top w:w="100" w:type="dxa"/>
              <w:bottom w:w="100" w:type="dxa"/>
              <w:left w:w="150" w:type="dxa"/>
              <w:right w:w="150" w:type="dxa"/>
            </w:tcMar>
            <w:vAlign w:val="center"/>
          </w:tcPr>
          <w:p>
            <w:pPr>
              <w:pStyle w:val="Compact"/>
              <w:jc w:val="left"/>
              <w:suppressAutoHyphens/>
            </w:pPr>
            <w:r>
              <w:t xml:space="preserve">LLM-drafted quiz banks/translations, faculty-reviewed</w:t>
            </w:r>
          </w:p>
        </w:tc>
        <w:tc>
          <w:tcPr>
            <w:tcMar>
              <w:top w:w="100" w:type="dxa"/>
              <w:bottom w:w="100" w:type="dxa"/>
              <w:left w:w="150" w:type="dxa"/>
              <w:right w:w="150" w:type="dxa"/>
            </w:tcMar>
            <w:vAlign w:val="center"/>
          </w:tcPr>
          <w:p>
            <w:pPr>
              <w:pStyle w:val="Compact"/>
              <w:jc w:val="left"/>
              <w:suppressAutoHyphens/>
            </w:pPr>
            <w:r>
              <w:t xml:space="preserve">Yes if religious-studies content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Student support chatbot (FAQ/advising)</w:t>
            </w:r>
          </w:p>
        </w:tc>
        <w:tc>
          <w:tcPr>
            <w:tcMar>
              <w:top w:w="100" w:type="dxa"/>
              <w:bottom w:w="100" w:type="dxa"/>
              <w:left w:w="150" w:type="dxa"/>
              <w:right w:w="150" w:type="dxa"/>
            </w:tcMar>
            <w:vAlign w:val="center"/>
            <w:shd w:val="clear" w:color="auto" w:fill="F7F3E8"/>
          </w:tcPr>
          <w:p>
            <w:pPr>
              <w:pStyle w:val="Compact"/>
              <w:jc w:val="left"/>
              <w:suppressAutoHyphens/>
            </w:pPr>
            <w:r>
              <w:t xml:space="preserve">Off-the-shelf/free-tier chatbot, non-religious scope</w:t>
            </w:r>
          </w:p>
        </w:tc>
        <w:tc>
          <w:tcPr>
            <w:tcMar>
              <w:top w:w="100" w:type="dxa"/>
              <w:bottom w:w="100" w:type="dxa"/>
              <w:left w:w="150" w:type="dxa"/>
              <w:right w:w="150" w:type="dxa"/>
            </w:tcMar>
            <w:vAlign w:val="center"/>
            <w:shd w:val="clear" w:color="auto" w:fill="F7F3E8"/>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4"/>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4"/>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4"/>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4"/>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AI Tooling Share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~$0–1,000 (free-tier chatbot)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~$3,000–6,000 (Tajweed API, OCR licensing)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w:t>
            </w:r>
          </w:p>
        </w:tc>
        <w:tc>
          <w:tcPr>
            <w:tcMar>
              <w:top w:w="100" w:type="dxa"/>
              <w:bottom w:w="100" w:type="dxa"/>
              <w:left w:w="150" w:type="dxa"/>
              <w:right w:w="150" w:type="dxa"/>
            </w:tcMar>
            <w:vAlign w:val="center"/>
            <w:shd w:val="clear" w:color="auto" w:fill="F7F3E8"/>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Layout w:type="fixed"/>
      </w:tblPr>
      <w:tblGrid>
        <w:gridCol w:w="1521"/>
        <w:gridCol w:w="1302"/>
        <w:gridCol w:w="1706"/>
        <w:gridCol w:w="1706"/>
        <w:gridCol w:w="28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1" w:type="dxa"/>
          </w:tcPr>
          <w:p>
            <w:pPr>
              <w:pStyle w:val="Compact"/>
              <w:jc w:val="left"/>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W w:w="1302" w:type="dxa"/>
          </w:tcPr>
          <w:p>
            <w:pPr>
              <w:pStyle w:val="Compact"/>
              <w:jc w:val="left"/>
            </w:pPr>
            <w:r>
              <w:rPr>
                <w:b/>
                <w:color w:val="FFFFFF"/>
                <w:caps/>
                <w:spacing w:val="4"/>
              </w:rPr>
              <w:t xml:space="preserve">Y1–2 (Lean)</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Y3–5 (Growth)</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Y6–10 (Scale)</w:t>
            </w:r>
          </w:p>
        </w:tc>
        <w:tc>
          <w:tcPr>
            <w:shd w:val="clear" w:color="auto" w:fill="122A4E"/>
            <w:tcMar>
              <w:top w:w="130" w:type="dxa"/>
              <w:bottom w:w="130" w:type="dxa"/>
              <w:left w:w="150" w:type="dxa"/>
              <w:right w:w="150" w:type="dxa"/>
            </w:tcMar>
            <w:tcBorders>
              <w:bottom w:val="single" w:sz="16" w:space="0" w:color="B08625"/>
            </w:tcBorders>
            <w:vAlign w:val="center"/>
            <w:tcW w:w="2837" w:type="dxa"/>
          </w:tcPr>
          <w:p>
            <w:pPr>
              <w:pStyle w:val="Compact"/>
              <w:jc w:val="left"/>
            </w:pPr>
            <w:r>
              <w:rPr>
                <w:b/>
                <w:color w:val="FFFFFF"/>
                <w:caps/>
                <w:spacing w:val="4"/>
              </w:rPr>
              <w:t xml:space="preserve">Y11+ (Secular-Expansion)</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LMS</w:t>
            </w:r>
          </w:p>
        </w:tc>
        <w:tc>
          <w:tcPr>
            <w:tcMar>
              <w:top w:w="100" w:type="dxa"/>
              <w:bottom w:w="100" w:type="dxa"/>
              <w:left w:w="150" w:type="dxa"/>
              <w:right w:w="150" w:type="dxa"/>
            </w:tcMar>
            <w:vAlign w:val="center"/>
            <w:shd w:val="clear" w:color="auto" w:fill="F7F3E8"/>
            <w:tcW w:w="1302" w:type="dxa"/>
          </w:tcPr>
          <w:p>
            <w:pPr>
              <w:pStyle w:val="Compact"/>
              <w:jc w:val="left"/>
            </w:pPr>
            <w:r>
              <w:t xml:space="preserve">Single Moodle instance</w:t>
            </w:r>
          </w:p>
        </w:tc>
        <w:tc>
          <w:tcPr>
            <w:tcMar>
              <w:top w:w="100" w:type="dxa"/>
              <w:bottom w:w="100" w:type="dxa"/>
              <w:left w:w="150" w:type="dxa"/>
              <w:right w:w="150" w:type="dxa"/>
            </w:tcMar>
            <w:vAlign w:val="center"/>
            <w:shd w:val="clear" w:color="auto" w:fill="F7F3E8"/>
            <w:tcW w:w="1706" w:type="dxa"/>
          </w:tcPr>
          <w:p>
            <w:pPr>
              <w:pStyle w:val="Compact"/>
              <w:jc w:val="left"/>
            </w:pPr>
            <w:r>
              <w:t xml:space="preserve">Mobile/PWA + plugins</w:t>
            </w:r>
          </w:p>
        </w:tc>
        <w:tc>
          <w:tcPr>
            <w:tcMar>
              <w:top w:w="100" w:type="dxa"/>
              <w:bottom w:w="100" w:type="dxa"/>
              <w:left w:w="150" w:type="dxa"/>
              <w:right w:w="150" w:type="dxa"/>
            </w:tcMar>
            <w:vAlign w:val="center"/>
            <w:shd w:val="clear" w:color="auto" w:fill="F7F3E8"/>
            <w:tcW w:w="1706" w:type="dxa"/>
          </w:tcPr>
          <w:p>
            <w:pPr>
              <w:pStyle w:val="Compact"/>
              <w:jc w:val="left"/>
            </w:pPr>
            <w:r>
              <w:t xml:space="preserve">API-integrated, redundant hosting</w:t>
            </w:r>
          </w:p>
        </w:tc>
        <w:tc>
          <w:tcPr>
            <w:tcMar>
              <w:top w:w="100" w:type="dxa"/>
              <w:bottom w:w="100" w:type="dxa"/>
              <w:left w:w="150" w:type="dxa"/>
              <w:right w:w="150" w:type="dxa"/>
            </w:tcMar>
            <w:vAlign w:val="center"/>
            <w:shd w:val="clear" w:color="auto" w:fill="F7F3E8"/>
            <w:tcW w:w="2837" w:type="dxa"/>
          </w:tcPr>
          <w:p>
            <w:pPr>
              <w:pStyle w:val="Compact"/>
              <w:jc w:val="left"/>
            </w:pPr>
            <w:r>
              <w:t xml:space="preserve">Multi-tenant</w:t>
            </w:r>
          </w:p>
        </w:tc>
      </w:tr>
      <w:tr>
        <w:trPr>
          <w:cantSplit/>
        </w:trPr>
        <w:tc>
          <w:tcPr>
            <w:tcMar>
              <w:top w:w="100" w:type="dxa"/>
              <w:bottom w:w="100" w:type="dxa"/>
              <w:left w:w="150" w:type="dxa"/>
              <w:right w:w="150" w:type="dxa"/>
            </w:tcMar>
            <w:vAlign w:val="center"/>
            <w:tcW w:w="1521" w:type="dxa"/>
          </w:tcPr>
          <w:p>
            <w:pPr>
              <w:pStyle w:val="Compact"/>
              <w:jc w:val="left"/>
            </w:pPr>
            <w:r>
              <w:t xml:space="preserve">SIS/Registrar</w:t>
            </w:r>
          </w:p>
        </w:tc>
        <w:tc>
          <w:tcPr>
            <w:tcMar>
              <w:top w:w="100" w:type="dxa"/>
              <w:bottom w:w="100" w:type="dxa"/>
              <w:left w:w="150" w:type="dxa"/>
              <w:right w:w="150" w:type="dxa"/>
            </w:tcMar>
            <w:vAlign w:val="center"/>
            <w:tcW w:w="1302" w:type="dxa"/>
          </w:tcPr>
          <w:p>
            <w:pPr>
              <w:pStyle w:val="Compact"/>
              <w:jc w:val="left"/>
            </w:pPr>
            <w:r>
              <w:t xml:space="preserve">Spreadsheet/manual</w:t>
            </w:r>
          </w:p>
        </w:tc>
        <w:tc>
          <w:tcPr>
            <w:tcMar>
              <w:top w:w="100" w:type="dxa"/>
              <w:bottom w:w="100" w:type="dxa"/>
              <w:left w:w="150" w:type="dxa"/>
              <w:right w:w="150" w:type="dxa"/>
            </w:tcMar>
            <w:vAlign w:val="center"/>
            <w:tcW w:w="1706" w:type="dxa"/>
          </w:tcPr>
          <w:p>
            <w:pPr>
              <w:pStyle w:val="Compact"/>
              <w:jc w:val="left"/>
            </w:pPr>
            <w:r>
              <w:t xml:space="preserve">Dedicated light SIS software</w:t>
            </w:r>
          </w:p>
        </w:tc>
        <w:tc>
          <w:tcPr>
            <w:tcMar>
              <w:top w:w="100" w:type="dxa"/>
              <w:bottom w:w="100" w:type="dxa"/>
              <w:left w:w="150" w:type="dxa"/>
              <w:right w:w="150" w:type="dxa"/>
            </w:tcMar>
            <w:vAlign w:val="center"/>
            <w:tcW w:w="1706" w:type="dxa"/>
          </w:tcPr>
          <w:p>
            <w:pPr>
              <w:pStyle w:val="Compact"/>
              <w:jc w:val="left"/>
            </w:pPr>
            <w:r>
              <w:t xml:space="preserve">LMS-SIS API integration</w:t>
            </w:r>
          </w:p>
        </w:tc>
        <w:tc>
          <w:tcPr>
            <w:tcMar>
              <w:top w:w="100" w:type="dxa"/>
              <w:bottom w:w="100" w:type="dxa"/>
              <w:left w:w="150" w:type="dxa"/>
              <w:right w:w="150" w:type="dxa"/>
            </w:tcMar>
            <w:vAlign w:val="center"/>
            <w:tcW w:w="2837" w:type="dxa"/>
          </w:tcPr>
          <w:p>
            <w:pPr>
              <w:pStyle w:val="Compact"/>
              <w:jc w:val="left"/>
            </w:pPr>
            <w:r>
              <w:t xml:space="preserve">Full SIS platform</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Payments</w:t>
            </w:r>
          </w:p>
        </w:tc>
        <w:tc>
          <w:tcPr>
            <w:tcMar>
              <w:top w:w="100" w:type="dxa"/>
              <w:bottom w:w="100" w:type="dxa"/>
              <w:left w:w="150" w:type="dxa"/>
              <w:right w:w="150" w:type="dxa"/>
            </w:tcMar>
            <w:vAlign w:val="center"/>
            <w:shd w:val="clear" w:color="auto" w:fill="F7F3E8"/>
            <w:tcW w:w="1302" w:type="dxa"/>
          </w:tcPr>
          <w:p>
            <w:pPr>
              <w:pStyle w:val="Compact"/>
              <w:jc w:val="left"/>
            </w:pPr>
            <w:r>
              <w:t xml:space="preserve">2 gateways + bank transfer</w:t>
            </w:r>
          </w:p>
        </w:tc>
        <w:tc>
          <w:tcPr>
            <w:tcMar>
              <w:top w:w="100" w:type="dxa"/>
              <w:bottom w:w="100" w:type="dxa"/>
              <w:left w:w="150" w:type="dxa"/>
              <w:right w:w="150" w:type="dxa"/>
            </w:tcMar>
            <w:vAlign w:val="center"/>
            <w:shd w:val="clear" w:color="auto" w:fill="F7F3E8"/>
            <w:tcW w:w="1706" w:type="dxa"/>
          </w:tcPr>
          <w:p>
            <w:pPr>
              <w:pStyle w:val="Compact"/>
              <w:jc w:val="left"/>
            </w:pPr>
            <w:r>
              <w:t xml:space="preserve">Regional gateway expansion</w:t>
            </w:r>
          </w:p>
        </w:tc>
        <w:tc>
          <w:tcPr>
            <w:tcMar>
              <w:top w:w="100" w:type="dxa"/>
              <w:bottom w:w="100" w:type="dxa"/>
              <w:left w:w="150" w:type="dxa"/>
              <w:right w:w="150" w:type="dxa"/>
            </w:tcMar>
            <w:vAlign w:val="center"/>
            <w:shd w:val="clear" w:color="auto" w:fill="F7F3E8"/>
            <w:tcW w:w="1706" w:type="dxa"/>
          </w:tcPr>
          <w:p>
            <w:pPr>
              <w:pStyle w:val="Compact"/>
              <w:jc w:val="left"/>
            </w:pPr>
            <w:r>
              <w:t xml:space="preserve">Automated multi-currency reconciliation</w:t>
            </w:r>
          </w:p>
        </w:tc>
        <w:tc>
          <w:tcPr>
            <w:tcMar>
              <w:top w:w="100" w:type="dxa"/>
              <w:bottom w:w="100" w:type="dxa"/>
              <w:left w:w="150" w:type="dxa"/>
              <w:right w:w="150" w:type="dxa"/>
            </w:tcMar>
            <w:vAlign w:val="center"/>
            <w:shd w:val="clear" w:color="auto" w:fill="F7F3E8"/>
            <w:tcW w:w="2837" w:type="dxa"/>
          </w:tcPr>
          <w:p>
            <w:pPr>
              <w:pStyle w:val="Compact"/>
              <w:jc w:val="left"/>
            </w:pPr>
            <w:r>
              <w:t xml:space="preserve">Enterprise payment orchestration</w:t>
            </w:r>
          </w:p>
        </w:tc>
      </w:tr>
      <w:tr>
        <w:trPr>
          <w:cantSplit/>
        </w:trPr>
        <w:tc>
          <w:tcPr>
            <w:tcMar>
              <w:top w:w="100" w:type="dxa"/>
              <w:bottom w:w="100" w:type="dxa"/>
              <w:left w:w="150" w:type="dxa"/>
              <w:right w:w="150" w:type="dxa"/>
            </w:tcMar>
            <w:vAlign w:val="center"/>
            <w:tcW w:w="1521" w:type="dxa"/>
          </w:tcPr>
          <w:p>
            <w:pPr>
              <w:pStyle w:val="Compact"/>
              <w:jc w:val="left"/>
            </w:pPr>
            <w:r>
              <w:t xml:space="preserve">Comms</w:t>
            </w:r>
          </w:p>
        </w:tc>
        <w:tc>
          <w:tcPr>
            <w:tcMar>
              <w:top w:w="100" w:type="dxa"/>
              <w:bottom w:w="100" w:type="dxa"/>
              <w:left w:w="150" w:type="dxa"/>
              <w:right w:w="150" w:type="dxa"/>
            </w:tcMar>
            <w:vAlign w:val="center"/>
            <w:tcW w:w="1302" w:type="dxa"/>
          </w:tcPr>
          <w:p>
            <w:pPr>
              <w:pStyle w:val="Compact"/>
              <w:jc w:val="left"/>
            </w:pPr>
            <w:r>
              <w:t xml:space="preserve">Email + WhatsApp (Tier 3/4)</w:t>
            </w:r>
          </w:p>
        </w:tc>
        <w:tc>
          <w:tcPr>
            <w:tcMar>
              <w:top w:w="100" w:type="dxa"/>
              <w:bottom w:w="100" w:type="dxa"/>
              <w:left w:w="150" w:type="dxa"/>
              <w:right w:w="150" w:type="dxa"/>
            </w:tcMar>
            <w:vAlign w:val="center"/>
            <w:tcW w:w="1706" w:type="dxa"/>
          </w:tcPr>
          <w:p>
            <w:pPr>
              <w:pStyle w:val="Compact"/>
              <w:jc w:val="left"/>
            </w:pPr>
            <w:r>
              <w:t xml:space="preserve">CRM/admissions tracking</w:t>
            </w:r>
          </w:p>
        </w:tc>
        <w:tc>
          <w:tcPr>
            <w:tcMar>
              <w:top w:w="100" w:type="dxa"/>
              <w:bottom w:w="100" w:type="dxa"/>
              <w:left w:w="150" w:type="dxa"/>
              <w:right w:w="150" w:type="dxa"/>
            </w:tcMar>
            <w:vAlign w:val="center"/>
            <w:tcW w:w="1706" w:type="dxa"/>
          </w:tcPr>
          <w:p>
            <w:pPr>
              <w:pStyle w:val="Compact"/>
              <w:jc w:val="left"/>
            </w:pPr>
            <w:r>
              <w:t xml:space="preserve">Integrated support ticketing</w:t>
            </w:r>
          </w:p>
        </w:tc>
        <w:tc>
          <w:tcPr>
            <w:tcMar>
              <w:top w:w="100" w:type="dxa"/>
              <w:bottom w:w="100" w:type="dxa"/>
              <w:left w:w="150" w:type="dxa"/>
              <w:right w:w="150" w:type="dxa"/>
            </w:tcMar>
            <w:vAlign w:val="center"/>
            <w:tcW w:w="2837" w:type="dxa"/>
          </w:tcPr>
          <w:p>
            <w:pPr>
              <w:pStyle w:val="Compact"/>
              <w:jc w:val="left"/>
            </w:pPr>
            <w:r>
              <w:t xml:space="preserve">Omnichannel support</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Security</w:t>
            </w:r>
          </w:p>
        </w:tc>
        <w:tc>
          <w:tcPr>
            <w:tcMar>
              <w:top w:w="100" w:type="dxa"/>
              <w:bottom w:w="100" w:type="dxa"/>
              <w:left w:w="150" w:type="dxa"/>
              <w:right w:w="150" w:type="dxa"/>
            </w:tcMar>
            <w:vAlign w:val="center"/>
            <w:shd w:val="clear" w:color="auto" w:fill="F7F3E8"/>
            <w:tcW w:w="1302" w:type="dxa"/>
          </w:tcPr>
          <w:p>
            <w:pPr>
              <w:pStyle w:val="Compact"/>
              <w:jc w:val="left"/>
            </w:pPr>
            <w:r>
              <w:t xml:space="preserve">Basic MFA, SSL, backups</w:t>
            </w:r>
          </w:p>
        </w:tc>
        <w:tc>
          <w:tcPr>
            <w:tcMar>
              <w:top w:w="100" w:type="dxa"/>
              <w:bottom w:w="100" w:type="dxa"/>
              <w:left w:w="150" w:type="dxa"/>
              <w:right w:w="150" w:type="dxa"/>
            </w:tcMar>
            <w:vAlign w:val="center"/>
            <w:shd w:val="clear" w:color="auto" w:fill="F7F3E8"/>
            <w:tcW w:w="1706" w:type="dxa"/>
          </w:tcPr>
          <w:p>
            <w:pPr>
              <w:pStyle w:val="Compact"/>
              <w:jc w:val="left"/>
            </w:pPr>
            <w:r>
              <w:t xml:space="preserve">Formal data-governance policy</w:t>
            </w:r>
          </w:p>
        </w:tc>
        <w:tc>
          <w:tcPr>
            <w:tcMar>
              <w:top w:w="100" w:type="dxa"/>
              <w:bottom w:w="100" w:type="dxa"/>
              <w:left w:w="150" w:type="dxa"/>
              <w:right w:w="150" w:type="dxa"/>
            </w:tcMar>
            <w:vAlign w:val="center"/>
            <w:shd w:val="clear" w:color="auto" w:fill="F7F3E8"/>
            <w:tcW w:w="1706" w:type="dxa"/>
          </w:tcPr>
          <w:p>
            <w:pPr>
              <w:pStyle w:val="Compact"/>
              <w:jc w:val="left"/>
            </w:pPr>
            <w:r>
              <w:t xml:space="preserve">Annual third-party security audit</w:t>
            </w:r>
          </w:p>
        </w:tc>
        <w:tc>
          <w:tcPr>
            <w:tcMar>
              <w:top w:w="100" w:type="dxa"/>
              <w:bottom w:w="100" w:type="dxa"/>
              <w:left w:w="150" w:type="dxa"/>
              <w:right w:w="150" w:type="dxa"/>
            </w:tcMar>
            <w:vAlign w:val="center"/>
            <w:shd w:val="clear" w:color="auto" w:fill="F7F3E8"/>
            <w:tcW w:w="2837" w:type="dxa"/>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Curate open-access Islamic-studies digital collection; minimal licensed-database spend</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Modest expansion of licensed subscriptions (regional/Arabic-language databases); LMS integration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2033–36</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repository for faculty publications; digitization of AMIU’s own curriculum materials</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2037+</w:t>
            </w:r>
          </w:p>
        </w:tc>
        <w:tc>
          <w:tcPr>
            <w:tcMar>
              <w:top w:w="100" w:type="dxa"/>
              <w:bottom w:w="100" w:type="dxa"/>
              <w:left w:w="150" w:type="dxa"/>
              <w:right w:w="150" w:type="dxa"/>
            </w:tcMar>
            <w:vAlign w:val="center"/>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Library Sub-Share (~10%)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~$1,100</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~$6,450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w:t>
            </w:r>
          </w:p>
        </w:tc>
        <w:tc>
          <w:tcPr>
            <w:tcMar>
              <w:top w:w="100" w:type="dxa"/>
              <w:bottom w:w="100" w:type="dxa"/>
              <w:left w:w="150" w:type="dxa"/>
              <w:right w:w="150" w:type="dxa"/>
            </w:tcMar>
            <w:vAlign w:val="center"/>
            <w:shd w:val="clear" w:color="auto" w:fill="F7F3E8"/>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 every year, fixed</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(annually spent)</w:t>
            </w:r>
          </w:p>
        </w:tc>
        <w:tc>
          <w:tcPr>
            <w:tcMar>
              <w:top w:w="100" w:type="dxa"/>
              <w:bottom w:w="100" w:type="dxa"/>
              <w:left w:w="150" w:type="dxa"/>
              <w:right w:w="150" w:type="dxa"/>
            </w:tcMar>
            <w:vAlign w:val="center"/>
          </w:tcPr>
          <w:p>
            <w:pPr>
              <w:pStyle w:val="Compact"/>
              <w:jc w:val="left"/>
              <w:suppressAutoHyphens/>
            </w:pPr>
            <w:r>
              <w:t xml:space="preserve">50% of the 20% 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Retained (AMIU Strategic Business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50% of the 20% line, Sharī’ah-compliant investment only</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sub-split</w:t>
            </w:r>
          </w:p>
        </w:tc>
        <w:tc>
          <w:tcPr>
            <w:tcMar>
              <w:top w:w="100" w:type="dxa"/>
              <w:bottom w:w="100" w:type="dxa"/>
              <w:left w:w="150" w:type="dxa"/>
              <w:right w:w="150" w:type="dxa"/>
            </w:tcMar>
            <w:vAlign w:val="center"/>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Ten-year cumulative (distributed sub-lines)</w:t>
            </w:r>
          </w:p>
        </w:tc>
        <w:tc>
          <w:tcPr>
            <w:tcMar>
              <w:top w:w="100" w:type="dxa"/>
              <w:bottom w:w="100" w:type="dxa"/>
              <w:left w:w="150" w:type="dxa"/>
              <w:right w:w="150" w:type="dxa"/>
            </w:tcMar>
            <w:vAlign w:val="center"/>
            <w:shd w:val="clear" w:color="auto" w:fill="F7F3E8"/>
          </w:tcPr>
          <w:p>
            <w:pPr>
              <w:pStyle w:val="Compact"/>
              <w:jc w:val="left"/>
              <w:suppressAutoHyphens/>
            </w:pPr>
            <w:r>
              <w:t xml:space="preserve">$416,729 / $416,729 / $333,383 / $333,383 / $166,692 respectively</w:t>
            </w:r>
          </w:p>
        </w:tc>
      </w:tr>
      <w:tr>
        <w:trPr>
          <w:cantSplit/>
        </w:trPr>
        <w:tc>
          <w:tcPr>
            <w:tcMar>
              <w:top w:w="100" w:type="dxa"/>
              <w:bottom w:w="100" w:type="dxa"/>
              <w:left w:w="150" w:type="dxa"/>
              <w:right w:w="150" w:type="dxa"/>
            </w:tcMar>
            <w:vAlign w:val="center"/>
          </w:tcPr>
          <w:p>
            <w:pPr>
              <w:pStyle w:val="Compact"/>
              <w:jc w:val="left"/>
              <w:suppressAutoHyphens/>
            </w:pPr>
            <w:r>
              <w:t xml:space="preserve">Strategic Business Reserve, Year-10 cumulative balance</w:t>
            </w:r>
          </w:p>
        </w:tc>
        <w:tc>
          <w:tcPr>
            <w:tcMar>
              <w:top w:w="100" w:type="dxa"/>
              <w:bottom w:w="100" w:type="dxa"/>
              <w:left w:w="150" w:type="dxa"/>
              <w:right w:w="150" w:type="dxa"/>
            </w:tcMar>
            <w:vAlign w:val="center"/>
          </w:tcPr>
          <w:p>
            <w:pPr>
              <w:pStyle w:val="Compact"/>
              <w:jc w:val="left"/>
              <w:suppressAutoHyphens/>
            </w:pPr>
            <w:r>
              <w:t xml:space="preserve">$1,240,527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Deployment threshold</w:t>
            </w:r>
          </w:p>
        </w:tc>
        <w:tc>
          <w:tcPr>
            <w:tcMar>
              <w:top w:w="100" w:type="dxa"/>
              <w:bottom w:w="100" w:type="dxa"/>
              <w:left w:w="150" w:type="dxa"/>
              <w:right w:w="150" w:type="dxa"/>
            </w:tcMar>
            <w:vAlign w:val="center"/>
            <w:shd w:val="clear" w:color="auto" w:fill="F7F3E8"/>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Establishment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tcMar>
              <w:top w:w="100" w:type="dxa"/>
              <w:bottom w:w="100" w:type="dxa"/>
              <w:left w:w="150" w:type="dxa"/>
              <w:right w:w="150" w:type="dxa"/>
            </w:tcMar>
            <w:vAlign w:val="center"/>
          </w:tcPr>
          <w:p>
            <w:pPr>
              <w:pStyle w:val="Compact"/>
              <w:jc w:val="left"/>
              <w:suppressAutoHyphens/>
            </w:pPr>
            <w:r>
              <w:t xml:space="preserve">2 — Formalization</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Waqf &amp; Endowment Board adopts formal Investment Policy Statement; begins modest diversification as balance grows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Scale-Up</w:t>
            </w:r>
          </w:p>
        </w:tc>
        <w:tc>
          <w:tcPr>
            <w:tcMar>
              <w:top w:w="100" w:type="dxa"/>
              <w:bottom w:w="100" w:type="dxa"/>
              <w:left w:w="150" w:type="dxa"/>
              <w:right w:w="150" w:type="dxa"/>
            </w:tcMar>
            <w:vAlign w:val="center"/>
            <w:shd w:val="clear" w:color="auto" w:fill="F7F3E8"/>
          </w:tcPr>
          <w:p>
            <w:pPr>
              <w:pStyle w:val="Compact"/>
              <w:jc w:val="left"/>
              <w:suppressAutoHyphens/>
            </w:pPr>
            <w:r>
              <w:t xml:space="preserve">2033–37</w:t>
            </w:r>
          </w:p>
        </w:tc>
        <w:tc>
          <w:tcPr>
            <w:tcMar>
              <w:top w:w="100" w:type="dxa"/>
              <w:bottom w:w="100" w:type="dxa"/>
              <w:left w:w="150" w:type="dxa"/>
              <w:right w:w="150" w:type="dxa"/>
            </w:tcMar>
            <w:vAlign w:val="center"/>
            <w:shd w:val="clear" w:color="auto" w:fill="F7F3E8"/>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tcMar>
              <w:top w:w="100" w:type="dxa"/>
              <w:bottom w:w="100" w:type="dxa"/>
              <w:left w:w="150" w:type="dxa"/>
              <w:right w:w="150" w:type="dxa"/>
            </w:tcMar>
            <w:vAlign w:val="center"/>
          </w:tcPr>
          <w:p>
            <w:pPr>
              <w:pStyle w:val="Compact"/>
              <w:jc w:val="left"/>
              <w:suppressAutoHyphens/>
            </w:pPr>
            <w:r>
              <w:t xml:space="preserve">4 — Endowment Maturation</w:t>
            </w:r>
          </w:p>
        </w:tc>
        <w:tc>
          <w:tcPr>
            <w:tcMar>
              <w:top w:w="100" w:type="dxa"/>
              <w:bottom w:w="100" w:type="dxa"/>
              <w:left w:w="150" w:type="dxa"/>
              <w:right w:w="150" w:type="dxa"/>
            </w:tcMar>
            <w:vAlign w:val="center"/>
          </w:tcPr>
          <w:p>
            <w:pPr>
              <w:pStyle w:val="Compact"/>
              <w:jc w:val="left"/>
              <w:suppressAutoHyphens/>
            </w:pPr>
            <w:r>
              <w:t xml:space="preserve">2038–47</w:t>
            </w:r>
          </w:p>
        </w:tc>
        <w:tc>
          <w:tcPr>
            <w:tcMar>
              <w:top w:w="100" w:type="dxa"/>
              <w:bottom w:w="100" w:type="dxa"/>
              <w:left w:w="150" w:type="dxa"/>
              <w:right w:w="150" w:type="dxa"/>
            </w:tcMar>
            <w:vAlign w:val="center"/>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Perpetual Endowment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 — Financial Growth, Marketing &amp; Branding</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Source Serif 4" w:hAnsi="Source Serif 4"/>
                <w:i/>
                <w:smallCaps/>
                <w:color w:val="8C97AB"/>
                <w:sz w:val="19"/>
                <w:spacing w:val="10"/>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Instrument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Scholarship Block</w:t>
            </w:r>
          </w:p>
        </w:tc>
        <w:tc>
          <w:tcPr>
            <w:tcMar>
              <w:top w:w="100" w:type="dxa"/>
              <w:bottom w:w="100" w:type="dxa"/>
              <w:left w:w="150" w:type="dxa"/>
              <w:right w:w="150" w:type="dxa"/>
            </w:tcMar>
            <w:vAlign w:val="center"/>
            <w:shd w:val="clear" w:color="auto" w:fill="F7F3E8"/>
          </w:tcPr>
          <w:p>
            <w:pPr>
              <w:pStyle w:val="Compact"/>
              <w:jc w:val="left"/>
              <w:suppressAutoHyphens/>
            </w:pPr>
            <w:r>
              <w:t xml:space="preserve">Discretionary awards drawn annually from distributed Waqf income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(20% of gross revenue)</w:t>
            </w:r>
          </w:p>
        </w:tc>
      </w:tr>
      <w:tr>
        <w:trPr>
          <w:cantSplit/>
        </w:trPr>
        <w:tc>
          <w:tcPr>
            <w:tcMar>
              <w:top w:w="100" w:type="dxa"/>
              <w:bottom w:w="100" w:type="dxa"/>
              <w:left w:w="150" w:type="dxa"/>
              <w:right w:w="150" w:type="dxa"/>
            </w:tcMar>
            <w:vAlign w:val="center"/>
          </w:tcPr>
          <w:p>
            <w:pPr>
              <w:pStyle w:val="Compact"/>
              <w:jc w:val="left"/>
              <w:suppressAutoHyphens/>
            </w:pPr>
            <w:r>
              <w:t xml:space="preserve">Merit / Hifz Scholarships</w:t>
            </w:r>
          </w:p>
        </w:tc>
        <w:tc>
          <w:tcPr>
            <w:tcMar>
              <w:top w:w="100" w:type="dxa"/>
              <w:bottom w:w="100" w:type="dxa"/>
              <w:left w:w="150" w:type="dxa"/>
              <w:right w:w="150" w:type="dxa"/>
            </w:tcMar>
            <w:vAlign w:val="center"/>
          </w:tcPr>
          <w:p>
            <w:pPr>
              <w:pStyle w:val="Compact"/>
              <w:jc w:val="left"/>
              <w:suppressAutoHyphens/>
            </w:pPr>
            <w:r>
              <w:t xml:space="preserve">Published academic and Qur’ān-memorization criteria, Senate-approved</w:t>
            </w:r>
          </w:p>
        </w:tc>
        <w:tc>
          <w:tcPr>
            <w:tcMar>
              <w:top w:w="100" w:type="dxa"/>
              <w:bottom w:w="100" w:type="dxa"/>
              <w:left w:w="150" w:type="dxa"/>
              <w:right w:w="150" w:type="dxa"/>
            </w:tcMar>
            <w:vAlign w:val="center"/>
          </w:tcPr>
          <w:p>
            <w:pPr>
              <w:pStyle w:val="Compact"/>
              <w:jc w:val="left"/>
              <w:suppressAutoHyphens/>
            </w:pPr>
            <w:r>
              <w:t xml:space="preserve">Waqf &amp; Stakeholder 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Tier-4 Built-in Waivers</w:t>
            </w:r>
          </w:p>
        </w:tc>
        <w:tc>
          <w:tcPr>
            <w:tcMar>
              <w:top w:w="100" w:type="dxa"/>
              <w:bottom w:w="100" w:type="dxa"/>
              <w:left w:w="150" w:type="dxa"/>
              <w:right w:w="150" w:type="dxa"/>
            </w:tcMar>
            <w:vAlign w:val="center"/>
            <w:shd w:val="clear" w:color="auto" w:fill="F7F3E8"/>
          </w:tcPr>
          <w:p>
            <w:pPr>
              <w:pStyle w:val="Compact"/>
              <w:jc w:val="left"/>
              <w:suppressAutoHyphens/>
            </w:pPr>
            <w:r>
              <w:t xml:space="preserve">Structural, not discretionary — embedded in the Sponsored/conflict-affected tuition tier</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pricing architecture (revenue-side, Board-set)</w:t>
            </w:r>
          </w:p>
        </w:tc>
      </w:tr>
      <w:tr>
        <w:trPr>
          <w:cantSplit/>
        </w:trPr>
        <w:tc>
          <w:tcPr>
            <w:tcMar>
              <w:top w:w="100" w:type="dxa"/>
              <w:bottom w:w="100" w:type="dxa"/>
              <w:left w:w="150" w:type="dxa"/>
              <w:right w:w="150" w:type="dxa"/>
            </w:tcMar>
            <w:vAlign w:val="center"/>
          </w:tcPr>
          <w:p>
            <w:pPr>
              <w:pStyle w:val="Compact"/>
              <w:jc w:val="left"/>
              <w:suppressAutoHyphens/>
            </w:pPr>
            <w:r>
              <w:t xml:space="preserve">Community &amp; Institutional Nominated Seats</w:t>
            </w:r>
          </w:p>
        </w:tc>
        <w:tc>
          <w:tcPr>
            <w:tcMar>
              <w:top w:w="100" w:type="dxa"/>
              <w:bottom w:w="100" w:type="dxa"/>
              <w:left w:w="150" w:type="dxa"/>
              <w:right w:w="150" w:type="dxa"/>
            </w:tcMar>
            <w:vAlign w:val="center"/>
          </w:tcPr>
          <w:p>
            <w:pPr>
              <w:pStyle w:val="Compact"/>
              <w:jc w:val="left"/>
              <w:suppressAutoHyphens/>
            </w:pPr>
            <w:r>
              <w:t xml:space="preserve">Partner mosques/organizations nominate 1–2 students/year</w:t>
            </w:r>
          </w:p>
        </w:tc>
        <w:tc>
          <w:tcPr>
            <w:tcMar>
              <w:top w:w="100" w:type="dxa"/>
              <w:bottom w:w="100" w:type="dxa"/>
              <w:left w:w="150" w:type="dxa"/>
              <w:right w:w="150" w:type="dxa"/>
            </w:tcMar>
            <w:vAlign w:val="center"/>
          </w:tcPr>
          <w:p>
            <w:pPr>
              <w:pStyle w:val="Compact"/>
              <w:jc w:val="left"/>
              <w:suppressAutoHyphens/>
            </w:pPr>
            <w:r>
              <w:t xml:space="preserve">Waqf &amp; Stakeholder Reserve (administrative overlay, no incremental cost)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Named Sadaqah Jāriyah Scholarships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Donor-endowed, permanently named, publicly reported</w:t>
            </w:r>
          </w:p>
        </w:tc>
        <w:tc>
          <w:tcPr>
            <w:tcMar>
              <w:top w:w="100" w:type="dxa"/>
              <w:bottom w:w="100" w:type="dxa"/>
              <w:left w:w="150" w:type="dxa"/>
              <w:right w:w="150" w:type="dxa"/>
            </w:tcMar>
            <w:vAlign w:val="center"/>
            <w:shd w:val="clear" w:color="auto" w:fill="F7F3E8"/>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9"/>
        <w:gridCol w:w="2876"/>
        <w:gridCol w:w="1964"/>
        <w:gridCol w:w="275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9"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7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6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75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79" w:type="dxa"/>
          </w:tcPr>
          <w:p>
            <w:pPr>
              <w:pStyle w:val="Compact"/>
              <w:jc w:val="left"/>
            </w:pPr>
            <w:r>
              <w:t xml:space="preserve">1</w:t>
            </w:r>
          </w:p>
        </w:tc>
        <w:tc>
          <w:tcPr>
            <w:tcMar>
              <w:top w:w="100" w:type="dxa"/>
              <w:bottom w:w="100" w:type="dxa"/>
              <w:left w:w="150" w:type="dxa"/>
              <w:right w:w="150" w:type="dxa"/>
            </w:tcMar>
            <w:vAlign w:val="center"/>
            <w:shd w:val="clear" w:color="auto" w:fill="F7F3E8"/>
            <w:tcW w:w="2876" w:type="dxa"/>
          </w:tcPr>
          <w:p>
            <w:pPr>
              <w:pStyle w:val="Compact"/>
              <w:jc w:val="left"/>
            </w:pPr>
            <w:r>
              <w:t xml:space="preserve">Scholarship duties held by Registrar/Admissions</w:t>
            </w:r>
          </w:p>
        </w:tc>
        <w:tc>
          <w:tcPr>
            <w:tcMar>
              <w:top w:w="100" w:type="dxa"/>
              <w:bottom w:w="100" w:type="dxa"/>
              <w:left w:w="150" w:type="dxa"/>
              <w:right w:w="150" w:type="dxa"/>
            </w:tcMar>
            <w:vAlign w:val="center"/>
            <w:shd w:val="clear" w:color="auto" w:fill="F7F3E8"/>
            <w:tcW w:w="1964" w:type="dxa"/>
          </w:tcPr>
          <w:p>
            <w:pPr>
              <w:pStyle w:val="Compact"/>
              <w:jc w:val="left"/>
            </w:pPr>
            <w:r>
              <w:t xml:space="preserve">0 dedicated</w:t>
            </w:r>
          </w:p>
        </w:tc>
        <w:tc>
          <w:tcPr>
            <w:tcMar>
              <w:top w:w="100" w:type="dxa"/>
              <w:bottom w:w="100" w:type="dxa"/>
              <w:left w:w="150" w:type="dxa"/>
              <w:right w:w="150" w:type="dxa"/>
            </w:tcMar>
            <w:vAlign w:val="center"/>
            <w:shd w:val="clear" w:color="auto" w:fill="F7F3E8"/>
            <w:tcW w:w="2753" w:type="dxa"/>
          </w:tcPr>
          <w:p>
            <w:pPr>
              <w:pStyle w:val="Compact"/>
              <w:jc w:val="left"/>
            </w:pPr>
            <w:r>
              <w:t xml:space="preserve">Payroll — Core Admin Staff (18%)</w:t>
            </w:r>
          </w:p>
        </w:tc>
      </w:tr>
      <w:tr>
        <w:trPr>
          <w:cantSplit/>
        </w:trPr>
        <w:tc>
          <w:tcPr>
            <w:tcMar>
              <w:top w:w="100" w:type="dxa"/>
              <w:bottom w:w="100" w:type="dxa"/>
              <w:left w:w="150" w:type="dxa"/>
              <w:right w:w="150" w:type="dxa"/>
            </w:tcMar>
            <w:vAlign w:val="center"/>
            <w:tcW w:w="1479" w:type="dxa"/>
          </w:tcPr>
          <w:p>
            <w:pPr>
              <w:pStyle w:val="Compact"/>
              <w:jc w:val="left"/>
            </w:pPr>
            <w:r>
              <w:t xml:space="preserve">3–5</w:t>
            </w:r>
          </w:p>
        </w:tc>
        <w:tc>
          <w:tcPr>
            <w:tcMar>
              <w:top w:w="100" w:type="dxa"/>
              <w:bottom w:w="100" w:type="dxa"/>
              <w:left w:w="150" w:type="dxa"/>
              <w:right w:w="150" w:type="dxa"/>
            </w:tcMar>
            <w:vAlign w:val="center"/>
            <w:tcW w:w="2876" w:type="dxa"/>
          </w:tcPr>
          <w:p>
            <w:pPr>
              <w:pStyle w:val="Compact"/>
              <w:jc w:val="left"/>
            </w:pPr>
            <w:r>
              <w:t xml:space="preserve">Scholarship &amp; Financial Aid Officer</w:t>
            </w:r>
          </w:p>
        </w:tc>
        <w:tc>
          <w:tcPr>
            <w:tcMar>
              <w:top w:w="100" w:type="dxa"/>
              <w:bottom w:w="100" w:type="dxa"/>
              <w:left w:w="150" w:type="dxa"/>
              <w:right w:w="150" w:type="dxa"/>
            </w:tcMar>
            <w:vAlign w:val="center"/>
            <w:tcW w:w="1964" w:type="dxa"/>
          </w:tcPr>
          <w:p>
            <w:pPr>
              <w:pStyle w:val="Compact"/>
              <w:jc w:val="left"/>
            </w:pPr>
            <w:r>
              <w:t xml:space="preserve">0.5</w:t>
            </w:r>
          </w:p>
        </w:tc>
        <w:tc>
          <w:tcPr>
            <w:tcMar>
              <w:top w:w="100" w:type="dxa"/>
              <w:bottom w:w="100" w:type="dxa"/>
              <w:left w:w="150" w:type="dxa"/>
              <w:right w:w="150" w:type="dxa"/>
            </w:tcMar>
            <w:vAlign w:val="center"/>
            <w:tcW w:w="2753"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F7F3E8"/>
            <w:tcW w:w="1479" w:type="dxa"/>
          </w:tcPr>
          <w:p>
            <w:pPr>
              <w:pStyle w:val="Compact"/>
              <w:jc w:val="left"/>
            </w:pPr>
            <w:r>
              <w:t xml:space="preserve">10</w:t>
            </w:r>
          </w:p>
        </w:tc>
        <w:tc>
          <w:tcPr>
            <w:tcMar>
              <w:top w:w="100" w:type="dxa"/>
              <w:bottom w:w="100" w:type="dxa"/>
              <w:left w:w="150" w:type="dxa"/>
              <w:right w:w="150" w:type="dxa"/>
            </w:tcMar>
            <w:vAlign w:val="center"/>
            <w:shd w:val="clear" w:color="auto" w:fill="F7F3E8"/>
            <w:tcW w:w="2876" w:type="dxa"/>
          </w:tcPr>
          <w:p>
            <w:pPr>
              <w:pStyle w:val="Compact"/>
              <w:jc w:val="left"/>
            </w:pPr>
            <w:r>
              <w:t xml:space="preserve">Scholarship Officer + Waqf Donor Relations Coordinator</w:t>
            </w:r>
          </w:p>
        </w:tc>
        <w:tc>
          <w:tcPr>
            <w:tcMar>
              <w:top w:w="100" w:type="dxa"/>
              <w:bottom w:w="100" w:type="dxa"/>
              <w:left w:w="150" w:type="dxa"/>
              <w:right w:w="150" w:type="dxa"/>
            </w:tcMar>
            <w:vAlign w:val="center"/>
            <w:shd w:val="clear" w:color="auto" w:fill="F7F3E8"/>
            <w:tcW w:w="1964" w:type="dxa"/>
          </w:tcPr>
          <w:p>
            <w:pPr>
              <w:pStyle w:val="Compact"/>
              <w:jc w:val="left"/>
            </w:pPr>
            <w:r>
              <w:t xml:space="preserve">1.5</w:t>
            </w:r>
          </w:p>
        </w:tc>
        <w:tc>
          <w:tcPr>
            <w:tcMar>
              <w:top w:w="100" w:type="dxa"/>
              <w:bottom w:w="100" w:type="dxa"/>
              <w:left w:w="150" w:type="dxa"/>
              <w:right w:w="150" w:type="dxa"/>
            </w:tcMar>
            <w:vAlign w:val="center"/>
            <w:shd w:val="clear" w:color="auto" w:fill="F7F3E8"/>
            <w:tcW w:w="2753" w:type="dxa"/>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Allocation Category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Tiered tuition volume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driver: 347 (Yr1) → 3,493 (Yr5) → 11,021 (Yr10) students across 4 tiers</w:t>
            </w:r>
          </w:p>
        </w:tc>
        <w:tc>
          <w:tcPr>
            <w:tcMar>
              <w:top w:w="100" w:type="dxa"/>
              <w:bottom w:w="100" w:type="dxa"/>
              <w:left w:w="150" w:type="dxa"/>
              <w:right w:w="150" w:type="dxa"/>
            </w:tcMar>
            <w:vAlign w:val="center"/>
            <w:shd w:val="clear" w:color="auto" w:fill="F7F3E8"/>
          </w:tcPr>
          <w:p>
            <w:pPr>
              <w:pStyle w:val="Compact"/>
              <w:jc w:val="left"/>
              <w:suppressAutoHyphens/>
            </w:pPr>
            <w:r>
              <w:t xml:space="preserve">Gross Revenue base</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 philanthropic Waqf inflows</w:t>
            </w:r>
          </w:p>
        </w:tc>
        <w:tc>
          <w:tcPr>
            <w:tcMar>
              <w:top w:w="100" w:type="dxa"/>
              <w:bottom w:w="100" w:type="dxa"/>
              <w:left w:w="150" w:type="dxa"/>
              <w:right w:w="150" w:type="dxa"/>
            </w:tcMar>
            <w:vAlign w:val="center"/>
          </w:tcPr>
          <w:p>
            <w:pPr>
              <w:pStyle w:val="Compact"/>
              <w:jc w:val="left"/>
              <w:suppressAutoHyphens/>
            </w:pPr>
            <w:r>
              <w:t xml:space="preserve">Donor gifts additive to tuition, not tuition itself</w:t>
            </w:r>
          </w:p>
        </w:tc>
        <w:tc>
          <w:tcPr>
            <w:tcMar>
              <w:top w:w="100" w:type="dxa"/>
              <w:bottom w:w="100" w:type="dxa"/>
              <w:left w:w="150" w:type="dxa"/>
              <w:right w:w="150" w:type="dxa"/>
            </w:tcMar>
            <w:vAlign w:val="center"/>
          </w:tcPr>
          <w:p>
            <w:pPr>
              <w:pStyle w:val="Compact"/>
              <w:jc w:val="left"/>
              <w:suppressAutoHyphens/>
            </w:pPr>
            <w:r>
              <w:t xml:space="preserve">Waqf &amp; Stakeholder Reserve (20%)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 / short-course / digital-certificate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Low-cost, LMS-delivered, non-degree offerings for working professionals and community learners</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&amp; Technology Infrastructure (5%) for delivery; Payroll/Core Admin for coordination</w:t>
            </w:r>
          </w:p>
        </w:tc>
      </w:tr>
      <w:tr>
        <w:trPr>
          <w:cantSplit/>
        </w:trPr>
        <w:tc>
          <w:tcPr>
            <w:tcMar>
              <w:top w:w="100" w:type="dxa"/>
              <w:bottom w:w="100" w:type="dxa"/>
              <w:left w:w="150" w:type="dxa"/>
              <w:right w:w="150" w:type="dxa"/>
            </w:tcMar>
            <w:vAlign w:val="center"/>
          </w:tcPr>
          <w:p>
            <w:pPr>
              <w:pStyle w:val="Compact"/>
              <w:jc w:val="left"/>
              <w:suppressAutoHyphens/>
            </w:pPr>
            <w:r>
              <w:t xml:space="preserve">Liquidity-Reserve-funded resilience initiatives</w:t>
            </w:r>
          </w:p>
        </w:tc>
        <w:tc>
          <w:tcPr>
            <w:tcMar>
              <w:top w:w="100" w:type="dxa"/>
              <w:bottom w:w="100" w:type="dxa"/>
              <w:left w:w="150" w:type="dxa"/>
              <w:right w:w="150" w:type="dxa"/>
            </w:tcMar>
            <w:vAlign w:val="center"/>
          </w:tcPr>
          <w:p>
            <w:pPr>
              <w:pStyle w:val="Compact"/>
              <w:jc w:val="left"/>
              <w:suppressAutoHyphens/>
            </w:pPr>
            <w:r>
              <w:t xml:space="preserve">Reserve-funded forward investment (campus expansion, accreditation costs), not new revenue but risk buffer enabling growth</w:t>
            </w:r>
          </w:p>
        </w:tc>
        <w:tc>
          <w:tcPr>
            <w:tcMar>
              <w:top w:w="100" w:type="dxa"/>
              <w:bottom w:w="100" w:type="dxa"/>
              <w:left w:w="150" w:type="dxa"/>
              <w:right w:w="150" w:type="dxa"/>
            </w:tcMar>
            <w:vAlign w:val="center"/>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6"/>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Emphasis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Channels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1 (Premium)</w:t>
            </w:r>
          </w:p>
        </w:tc>
        <w:tc>
          <w:tcPr>
            <w:tcMar>
              <w:top w:w="100" w:type="dxa"/>
              <w:bottom w:w="100" w:type="dxa"/>
              <w:left w:w="150" w:type="dxa"/>
              <w:right w:w="150" w:type="dxa"/>
            </w:tcMar>
            <w:vAlign w:val="center"/>
            <w:shd w:val="clear" w:color="auto" w:fill="F7F3E8"/>
          </w:tcPr>
          <w:p>
            <w:pPr>
              <w:pStyle w:val="Compact"/>
              <w:jc w:val="left"/>
              <w:suppressAutoHyphens/>
            </w:pPr>
            <w:r>
              <w:t xml:space="preserve">Rigor, credential trajectory, global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LinkedIn, diaspora mosque boards, email, alumni networks</w:t>
            </w:r>
          </w:p>
        </w:tc>
      </w:tr>
      <w:tr>
        <w:trPr>
          <w:cantSplit/>
        </w:trPr>
        <w:tc>
          <w:tcPr>
            <w:tcMar>
              <w:top w:w="100" w:type="dxa"/>
              <w:bottom w:w="100" w:type="dxa"/>
              <w:left w:w="150" w:type="dxa"/>
              <w:right w:w="150" w:type="dxa"/>
            </w:tcMar>
            <w:vAlign w:val="center"/>
          </w:tcPr>
          <w:p>
            <w:pPr>
              <w:pStyle w:val="Compact"/>
              <w:jc w:val="left"/>
              <w:suppressAutoHyphens/>
            </w:pPr>
            <w:r>
              <w:t xml:space="preserve">Tier 2 (Standard)</w:t>
            </w:r>
          </w:p>
        </w:tc>
        <w:tc>
          <w:tcPr>
            <w:tcMar>
              <w:top w:w="100" w:type="dxa"/>
              <w:bottom w:w="100" w:type="dxa"/>
              <w:left w:w="150" w:type="dxa"/>
              <w:right w:w="150" w:type="dxa"/>
            </w:tcMar>
            <w:vAlign w:val="center"/>
          </w:tcPr>
          <w:p>
            <w:pPr>
              <w:pStyle w:val="Compact"/>
              <w:jc w:val="left"/>
              <w:suppressAutoHyphens/>
            </w:pPr>
            <w:r>
              <w:t xml:space="preserve">Balanced value + accessibility</w:t>
            </w:r>
          </w:p>
        </w:tc>
        <w:tc>
          <w:tcPr>
            <w:tcMar>
              <w:top w:w="100" w:type="dxa"/>
              <w:bottom w:w="100" w:type="dxa"/>
              <w:left w:w="150" w:type="dxa"/>
              <w:right w:w="150" w:type="dxa"/>
            </w:tcMar>
            <w:vAlign w:val="center"/>
          </w:tcPr>
          <w:p>
            <w:pPr>
              <w:pStyle w:val="Compact"/>
              <w:jc w:val="left"/>
              <w:suppressAutoHyphens/>
            </w:pPr>
            <w:r>
              <w:t xml:space="preserve">Social media, community referral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3 (Accessible: Nigeria/Pakistan/Bangladesh/India/Indonesia)</w:t>
            </w:r>
          </w:p>
        </w:tc>
        <w:tc>
          <w:tcPr>
            <w:tcMar>
              <w:top w:w="100" w:type="dxa"/>
              <w:bottom w:w="100" w:type="dxa"/>
              <w:left w:w="150" w:type="dxa"/>
              <w:right w:w="150" w:type="dxa"/>
            </w:tcMar>
            <w:vAlign w:val="center"/>
            <w:shd w:val="clear" w:color="auto" w:fill="F7F3E8"/>
          </w:tcPr>
          <w:p>
            <w:pPr>
              <w:pStyle w:val="Compact"/>
              <w:jc w:val="left"/>
              <w:suppressAutoHyphens/>
            </w:pPr>
            <w:r>
              <w:t xml:space="preserve">Affordability, stackable ladder, scholarship</w:t>
            </w:r>
          </w:p>
        </w:tc>
        <w:tc>
          <w:tcPr>
            <w:tcMar>
              <w:top w:w="100" w:type="dxa"/>
              <w:bottom w:w="100" w:type="dxa"/>
              <w:left w:w="150" w:type="dxa"/>
              <w:right w:w="150" w:type="dxa"/>
            </w:tcMar>
            <w:vAlign w:val="center"/>
            <w:shd w:val="clear" w:color="auto" w:fill="F7F3E8"/>
          </w:tcPr>
          <w:p>
            <w:pPr>
              <w:pStyle w:val="Compact"/>
              <w:jc w:val="left"/>
              <w:suppressAutoHyphens/>
            </w:pPr>
            <w:r>
              <w:t xml:space="preserve">WhatsApp/Facebook groups, local ambassadors, mosque partners, local-language content</w:t>
            </w:r>
          </w:p>
        </w:tc>
      </w:tr>
      <w:tr>
        <w:trPr>
          <w:cantSplit/>
        </w:trPr>
        <w:tc>
          <w:tcPr>
            <w:tcMar>
              <w:top w:w="100" w:type="dxa"/>
              <w:bottom w:w="100" w:type="dxa"/>
              <w:left w:w="150" w:type="dxa"/>
              <w:right w:w="150" w:type="dxa"/>
            </w:tcMar>
            <w:vAlign w:val="center"/>
          </w:tcPr>
          <w:p>
            <w:pPr>
              <w:pStyle w:val="Compact"/>
              <w:jc w:val="left"/>
              <w:suppressAutoHyphens/>
            </w:pPr>
            <w:r>
              <w:t xml:space="preserve">Tier 4 (Sponsored/conflict-affected)</w:t>
            </w:r>
          </w:p>
        </w:tc>
        <w:tc>
          <w:tcPr>
            <w:tcMar>
              <w:top w:w="100" w:type="dxa"/>
              <w:bottom w:w="100" w:type="dxa"/>
              <w:left w:w="150" w:type="dxa"/>
              <w:right w:w="150" w:type="dxa"/>
            </w:tcMar>
            <w:vAlign w:val="center"/>
          </w:tcPr>
          <w:p>
            <w:pPr>
              <w:pStyle w:val="Compact"/>
              <w:jc w:val="left"/>
              <w:suppressAutoHyphens/>
            </w:pPr>
            <w:r>
              <w:t xml:space="preserve">Zero/near-zero barrier</w:t>
            </w:r>
          </w:p>
        </w:tc>
        <w:tc>
          <w:tcPr>
            <w:tcMar>
              <w:top w:w="100" w:type="dxa"/>
              <w:bottom w:w="100" w:type="dxa"/>
              <w:left w:w="150" w:type="dxa"/>
              <w:right w:w="150" w:type="dxa"/>
            </w:tcMar>
            <w:vAlign w:val="center"/>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6"/>
        <w:gridCol w:w="2882"/>
        <w:gridCol w:w="2031"/>
        <w:gridCol w:w="268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82"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031"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68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76" w:type="dxa"/>
          </w:tcPr>
          <w:p>
            <w:pPr>
              <w:pStyle w:val="Compact"/>
              <w:jc w:val="left"/>
            </w:pPr>
            <w:r>
              <w:t xml:space="preserve">1</w:t>
            </w:r>
          </w:p>
        </w:tc>
        <w:tc>
          <w:tcPr>
            <w:tcMar>
              <w:top w:w="100" w:type="dxa"/>
              <w:bottom w:w="100" w:type="dxa"/>
              <w:left w:w="150" w:type="dxa"/>
              <w:right w:w="150" w:type="dxa"/>
            </w:tcMar>
            <w:vAlign w:val="center"/>
            <w:shd w:val="clear" w:color="auto" w:fill="F7F3E8"/>
            <w:tcW w:w="2882" w:type="dxa"/>
          </w:tcPr>
          <w:p>
            <w:pPr>
              <w:pStyle w:val="Compact"/>
              <w:jc w:val="left"/>
            </w:pPr>
            <w:r>
              <w:t xml:space="preserve">Founders + volunteer ambassadors</w:t>
            </w:r>
          </w:p>
        </w:tc>
        <w:tc>
          <w:tcPr>
            <w:tcMar>
              <w:top w:w="100" w:type="dxa"/>
              <w:bottom w:w="100" w:type="dxa"/>
              <w:left w:w="150" w:type="dxa"/>
              <w:right w:w="150" w:type="dxa"/>
            </w:tcMar>
            <w:vAlign w:val="center"/>
            <w:shd w:val="clear" w:color="auto" w:fill="F7F3E8"/>
            <w:tcW w:w="2031" w:type="dxa"/>
          </w:tcPr>
          <w:p>
            <w:pPr>
              <w:pStyle w:val="Compact"/>
              <w:jc w:val="left"/>
            </w:pPr>
            <w:r>
              <w:t xml:space="preserve">0 dedicated FTE</w:t>
            </w:r>
          </w:p>
        </w:tc>
        <w:tc>
          <w:tcPr>
            <w:tcMar>
              <w:top w:w="100" w:type="dxa"/>
              <w:bottom w:w="100" w:type="dxa"/>
              <w:left w:w="150" w:type="dxa"/>
              <w:right w:w="150" w:type="dxa"/>
            </w:tcMar>
            <w:vAlign w:val="center"/>
            <w:shd w:val="clear" w:color="auto" w:fill="F7F3E8"/>
            <w:tcW w:w="2683" w:type="dxa"/>
          </w:tcPr>
          <w:p>
            <w:pPr>
              <w:pStyle w:val="Compact"/>
              <w:jc w:val="left"/>
            </w:pPr>
            <w:r>
              <w:t xml:space="preserve">Marketing 10% line (stipends only)</w:t>
            </w:r>
          </w:p>
        </w:tc>
      </w:tr>
      <w:tr>
        <w:trPr>
          <w:cantSplit/>
        </w:trPr>
        <w:tc>
          <w:tcPr>
            <w:tcMar>
              <w:top w:w="100" w:type="dxa"/>
              <w:bottom w:w="100" w:type="dxa"/>
              <w:left w:w="150" w:type="dxa"/>
              <w:right w:w="150" w:type="dxa"/>
            </w:tcMar>
            <w:vAlign w:val="center"/>
            <w:tcW w:w="1476" w:type="dxa"/>
          </w:tcPr>
          <w:p>
            <w:pPr>
              <w:pStyle w:val="Compact"/>
              <w:jc w:val="left"/>
            </w:pPr>
            <w:r>
              <w:t xml:space="preserve">3–5</w:t>
            </w:r>
          </w:p>
        </w:tc>
        <w:tc>
          <w:tcPr>
            <w:tcMar>
              <w:top w:w="100" w:type="dxa"/>
              <w:bottom w:w="100" w:type="dxa"/>
              <w:left w:w="150" w:type="dxa"/>
              <w:right w:w="150" w:type="dxa"/>
            </w:tcMar>
            <w:vAlign w:val="center"/>
            <w:tcW w:w="2882" w:type="dxa"/>
          </w:tcPr>
          <w:p>
            <w:pPr>
              <w:pStyle w:val="Compact"/>
              <w:jc w:val="left"/>
            </w:pPr>
            <w:r>
              <w:t xml:space="preserve">Marketing &amp; Admissions Outreach Coordinator</w:t>
            </w:r>
          </w:p>
        </w:tc>
        <w:tc>
          <w:tcPr>
            <w:tcMar>
              <w:top w:w="100" w:type="dxa"/>
              <w:bottom w:w="100" w:type="dxa"/>
              <w:left w:w="150" w:type="dxa"/>
              <w:right w:w="150" w:type="dxa"/>
            </w:tcMar>
            <w:vAlign w:val="center"/>
            <w:tcW w:w="2031" w:type="dxa"/>
          </w:tcPr>
          <w:p>
            <w:pPr>
              <w:pStyle w:val="Compact"/>
              <w:jc w:val="left"/>
            </w:pPr>
            <w:r>
              <w:t xml:space="preserve">0.5–1.0</w:t>
            </w:r>
          </w:p>
        </w:tc>
        <w:tc>
          <w:tcPr>
            <w:tcMar>
              <w:top w:w="100" w:type="dxa"/>
              <w:bottom w:w="100" w:type="dxa"/>
              <w:left w:w="150" w:type="dxa"/>
              <w:right w:w="150" w:type="dxa"/>
            </w:tcMar>
            <w:vAlign w:val="center"/>
            <w:tcW w:w="2683" w:type="dxa"/>
          </w:tcPr>
          <w:p>
            <w:pPr>
              <w:pStyle w:val="Compact"/>
              <w:jc w:val="left"/>
            </w:pPr>
            <w:r>
              <w:t xml:space="preserve">Payroll — Core Admin Staff sub-line</w:t>
            </w:r>
          </w:p>
        </w:tc>
      </w:tr>
      <w:tr>
        <w:trPr>
          <w:cantSplit/>
        </w:trPr>
        <w:tc>
          <w:tcPr>
            <w:tcMar>
              <w:top w:w="100" w:type="dxa"/>
              <w:bottom w:w="100" w:type="dxa"/>
              <w:left w:w="150" w:type="dxa"/>
              <w:right w:w="150" w:type="dxa"/>
            </w:tcMar>
            <w:vAlign w:val="center"/>
            <w:shd w:val="clear" w:color="auto" w:fill="F7F3E8"/>
            <w:tcW w:w="1476" w:type="dxa"/>
          </w:tcPr>
          <w:p>
            <w:pPr>
              <w:pStyle w:val="Compact"/>
              <w:jc w:val="left"/>
            </w:pPr>
            <w:r>
              <w:t xml:space="preserve">10</w:t>
            </w:r>
          </w:p>
        </w:tc>
        <w:tc>
          <w:tcPr>
            <w:tcMar>
              <w:top w:w="100" w:type="dxa"/>
              <w:bottom w:w="100" w:type="dxa"/>
              <w:left w:w="150" w:type="dxa"/>
              <w:right w:w="150" w:type="dxa"/>
            </w:tcMar>
            <w:vAlign w:val="center"/>
            <w:shd w:val="clear" w:color="auto" w:fill="F7F3E8"/>
            <w:tcW w:w="2882" w:type="dxa"/>
          </w:tcPr>
          <w:p>
            <w:pPr>
              <w:pStyle w:val="Compact"/>
              <w:jc w:val="left"/>
            </w:pPr>
            <w:r>
              <w:t xml:space="preserve">Regional marketing/admissions liaisons (one per major tier region)</w:t>
            </w:r>
          </w:p>
        </w:tc>
        <w:tc>
          <w:tcPr>
            <w:tcMar>
              <w:top w:w="100" w:type="dxa"/>
              <w:bottom w:w="100" w:type="dxa"/>
              <w:left w:w="150" w:type="dxa"/>
              <w:right w:w="150" w:type="dxa"/>
            </w:tcMar>
            <w:vAlign w:val="center"/>
            <w:shd w:val="clear" w:color="auto" w:fill="F7F3E8"/>
            <w:tcW w:w="2031" w:type="dxa"/>
          </w:tcPr>
          <w:p>
            <w:pPr>
              <w:pStyle w:val="Compact"/>
              <w:jc w:val="left"/>
            </w:pPr>
            <w:r>
              <w:t xml:space="preserve">2–3</w:t>
            </w:r>
          </w:p>
        </w:tc>
        <w:tc>
          <w:tcPr>
            <w:tcMar>
              <w:top w:w="100" w:type="dxa"/>
              <w:bottom w:w="100" w:type="dxa"/>
              <w:left w:w="150" w:type="dxa"/>
              <w:right w:w="150" w:type="dxa"/>
            </w:tcMar>
            <w:vAlign w:val="center"/>
            <w:shd w:val="clear" w:color="auto" w:fill="F7F3E8"/>
            <w:tcW w:w="2683" w:type="dxa"/>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8"/>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19"/>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19"/>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19"/>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10"/>
        <w:gridCol w:w="3181"/>
        <w:gridCol w:w="1914"/>
        <w:gridCol w:w="25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1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318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1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567"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10" w:type="dxa"/>
          </w:tcPr>
          <w:p>
            <w:pPr>
              <w:pStyle w:val="Compact"/>
              <w:jc w:val="left"/>
            </w:pPr>
            <w:r>
              <w:t xml:space="preserve">1</w:t>
            </w:r>
          </w:p>
        </w:tc>
        <w:tc>
          <w:tcPr>
            <w:tcMar>
              <w:top w:w="100" w:type="dxa"/>
              <w:bottom w:w="100" w:type="dxa"/>
              <w:left w:w="150" w:type="dxa"/>
              <w:right w:w="150" w:type="dxa"/>
            </w:tcMar>
            <w:vAlign w:val="center"/>
            <w:shd w:val="clear" w:color="auto" w:fill="F7F3E8"/>
            <w:tcW w:w="3181" w:type="dxa"/>
          </w:tcPr>
          <w:p>
            <w:pPr>
              <w:pStyle w:val="Compact"/>
              <w:jc w:val="left"/>
            </w:pPr>
            <w:r>
              <w:t xml:space="preserve">Brand/comms duties held by Founders/DVC Admin &amp; Finance</w:t>
            </w:r>
          </w:p>
        </w:tc>
        <w:tc>
          <w:tcPr>
            <w:tcMar>
              <w:top w:w="100" w:type="dxa"/>
              <w:bottom w:w="100" w:type="dxa"/>
              <w:left w:w="150" w:type="dxa"/>
              <w:right w:w="150" w:type="dxa"/>
            </w:tcMar>
            <w:vAlign w:val="center"/>
            <w:shd w:val="clear" w:color="auto" w:fill="F7F3E8"/>
            <w:tcW w:w="1914" w:type="dxa"/>
          </w:tcPr>
          <w:p>
            <w:pPr>
              <w:pStyle w:val="Compact"/>
              <w:jc w:val="left"/>
            </w:pPr>
            <w:r>
              <w:t xml:space="preserve">0 dedicated</w:t>
            </w:r>
          </w:p>
        </w:tc>
        <w:tc>
          <w:tcPr>
            <w:tcMar>
              <w:top w:w="100" w:type="dxa"/>
              <w:bottom w:w="100" w:type="dxa"/>
              <w:left w:w="150" w:type="dxa"/>
              <w:right w:w="150" w:type="dxa"/>
            </w:tcMar>
            <w:vAlign w:val="center"/>
            <w:shd w:val="clear" w:color="auto" w:fill="F7F3E8"/>
            <w:tcW w:w="2567" w:type="dxa"/>
          </w:tcPr>
          <w:p>
            <w:pPr>
              <w:pStyle w:val="Compact"/>
              <w:jc w:val="left"/>
            </w:pPr>
            <w:r>
              <w:t xml:space="preserve">Payroll — Core Admin Staff (nominal)</w:t>
            </w:r>
          </w:p>
        </w:tc>
      </w:tr>
      <w:tr>
        <w:trPr>
          <w:cantSplit/>
        </w:trPr>
        <w:tc>
          <w:tcPr>
            <w:tcMar>
              <w:top w:w="100" w:type="dxa"/>
              <w:bottom w:w="100" w:type="dxa"/>
              <w:left w:w="150" w:type="dxa"/>
              <w:right w:w="150" w:type="dxa"/>
            </w:tcMar>
            <w:vAlign w:val="center"/>
            <w:tcW w:w="1410" w:type="dxa"/>
          </w:tcPr>
          <w:p>
            <w:pPr>
              <w:pStyle w:val="Compact"/>
              <w:jc w:val="left"/>
            </w:pPr>
            <w:r>
              <w:t xml:space="preserve">5</w:t>
            </w:r>
          </w:p>
        </w:tc>
        <w:tc>
          <w:tcPr>
            <w:tcMar>
              <w:top w:w="100" w:type="dxa"/>
              <w:bottom w:w="100" w:type="dxa"/>
              <w:left w:w="150" w:type="dxa"/>
              <w:right w:w="150" w:type="dxa"/>
            </w:tcMar>
            <w:vAlign w:val="center"/>
            <w:tcW w:w="3181" w:type="dxa"/>
          </w:tcPr>
          <w:p>
            <w:pPr>
              <w:pStyle w:val="Compact"/>
              <w:jc w:val="left"/>
            </w:pPr>
            <w:r>
              <w:t xml:space="preserve">Brand &amp; Communications Officer</w:t>
            </w:r>
          </w:p>
        </w:tc>
        <w:tc>
          <w:tcPr>
            <w:tcMar>
              <w:top w:w="100" w:type="dxa"/>
              <w:bottom w:w="100" w:type="dxa"/>
              <w:left w:w="150" w:type="dxa"/>
              <w:right w:w="150" w:type="dxa"/>
            </w:tcMar>
            <w:vAlign w:val="center"/>
            <w:tcW w:w="1914" w:type="dxa"/>
          </w:tcPr>
          <w:p>
            <w:pPr>
              <w:pStyle w:val="Compact"/>
              <w:jc w:val="left"/>
            </w:pPr>
            <w:r>
              <w:t xml:space="preserve">0.5</w:t>
            </w:r>
          </w:p>
        </w:tc>
        <w:tc>
          <w:tcPr>
            <w:tcMar>
              <w:top w:w="100" w:type="dxa"/>
              <w:bottom w:w="100" w:type="dxa"/>
              <w:left w:w="150" w:type="dxa"/>
              <w:right w:w="150" w:type="dxa"/>
            </w:tcMar>
            <w:vAlign w:val="center"/>
            <w:tcW w:w="2567"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F7F3E8"/>
            <w:tcW w:w="1410" w:type="dxa"/>
          </w:tcPr>
          <w:p>
            <w:pPr>
              <w:pStyle w:val="Compact"/>
              <w:jc w:val="left"/>
            </w:pPr>
            <w:r>
              <w:t xml:space="preserve">10</w:t>
            </w:r>
          </w:p>
        </w:tc>
        <w:tc>
          <w:tcPr>
            <w:tcMar>
              <w:top w:w="100" w:type="dxa"/>
              <w:bottom w:w="100" w:type="dxa"/>
              <w:left w:w="150" w:type="dxa"/>
              <w:right w:w="150" w:type="dxa"/>
            </w:tcMar>
            <w:vAlign w:val="center"/>
            <w:shd w:val="clear" w:color="auto" w:fill="F7F3E8"/>
            <w:tcW w:w="3181" w:type="dxa"/>
          </w:tcPr>
          <w:p>
            <w:pPr>
              <w:pStyle w:val="Compact"/>
              <w:jc w:val="left"/>
            </w:pPr>
            <w:r>
              <w:t xml:space="preserve">Brand/Communications Officer + regional brand liaisons (part-time)</w:t>
            </w:r>
          </w:p>
        </w:tc>
        <w:tc>
          <w:tcPr>
            <w:tcMar>
              <w:top w:w="100" w:type="dxa"/>
              <w:bottom w:w="100" w:type="dxa"/>
              <w:left w:w="150" w:type="dxa"/>
              <w:right w:w="150" w:type="dxa"/>
            </w:tcMar>
            <w:vAlign w:val="center"/>
            <w:shd w:val="clear" w:color="auto" w:fill="F7F3E8"/>
            <w:tcW w:w="1914" w:type="dxa"/>
          </w:tcPr>
          <w:p>
            <w:pPr>
              <w:pStyle w:val="Compact"/>
              <w:jc w:val="left"/>
            </w:pPr>
            <w:r>
              <w:t xml:space="preserve">1.0 +</w:t>
            </w:r>
          </w:p>
        </w:tc>
        <w:tc>
          <w:tcPr>
            <w:tcMar>
              <w:top w:w="100" w:type="dxa"/>
              <w:bottom w:w="100" w:type="dxa"/>
              <w:left w:w="150" w:type="dxa"/>
              <w:right w:w="150" w:type="dxa"/>
            </w:tcMar>
            <w:vAlign w:val="center"/>
            <w:shd w:val="clear" w:color="auto" w:fill="F7F3E8"/>
            <w:tcW w:w="2567" w:type="dxa"/>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Layout w:type="fixed"/>
      </w:tblPr>
      <w:tblGrid>
        <w:gridCol w:w="2530"/>
        <w:gridCol w:w="1930"/>
        <w:gridCol w:w="2381"/>
        <w:gridCol w:w="223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0"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1930"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381" w:type="dxa"/>
          </w:tcPr>
          <w:p>
            <w:pPr>
              <w:pStyle w:val="Compact"/>
              <w:jc w:val="left"/>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W w:w="2231"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2530" w:type="dxa"/>
          </w:tcPr>
          <w:p>
            <w:pPr>
              <w:pStyle w:val="Compact"/>
              <w:jc w:val="left"/>
            </w:pPr>
            <w:r>
              <w:t xml:space="preserve">Digital four-tier global reach</w:t>
            </w:r>
          </w:p>
        </w:tc>
        <w:tc>
          <w:tcPr>
            <w:tcMar>
              <w:top w:w="100" w:type="dxa"/>
              <w:bottom w:w="100" w:type="dxa"/>
              <w:left w:w="150" w:type="dxa"/>
              <w:right w:w="150" w:type="dxa"/>
            </w:tcMar>
            <w:vAlign w:val="center"/>
            <w:shd w:val="clear" w:color="auto" w:fill="F7F3E8"/>
            <w:tcW w:w="1930" w:type="dxa"/>
          </w:tcPr>
          <w:p>
            <w:pPr>
              <w:pStyle w:val="Compact"/>
              <w:jc w:val="left"/>
            </w:pPr>
            <w:r>
              <w:t xml:space="preserve">Ongoing from Year 1 (2028)</w:t>
            </w:r>
          </w:p>
        </w:tc>
        <w:tc>
          <w:tcPr>
            <w:tcMar>
              <w:top w:w="100" w:type="dxa"/>
              <w:bottom w:w="100" w:type="dxa"/>
              <w:left w:w="150" w:type="dxa"/>
              <w:right w:w="150" w:type="dxa"/>
            </w:tcMar>
            <w:vAlign w:val="center"/>
            <w:shd w:val="clear" w:color="auto" w:fill="F7F3E8"/>
            <w:tcW w:w="2381" w:type="dxa"/>
          </w:tcPr>
          <w:p>
            <w:pPr>
              <w:pStyle w:val="Compact"/>
              <w:jc w:val="left"/>
            </w:pPr>
            <w:r>
              <w:t xml:space="preserve">Core tuition model, no campus required</w:t>
            </w:r>
          </w:p>
        </w:tc>
        <w:tc>
          <w:tcPr>
            <w:tcMar>
              <w:top w:w="100" w:type="dxa"/>
              <w:bottom w:w="100" w:type="dxa"/>
              <w:left w:w="150" w:type="dxa"/>
              <w:right w:w="150" w:type="dxa"/>
            </w:tcMar>
            <w:vAlign w:val="center"/>
            <w:shd w:val="clear" w:color="auto" w:fill="F7F3E8"/>
            <w:tcW w:w="2231" w:type="dxa"/>
          </w:tcPr>
          <w:p>
            <w:pPr>
              <w:pStyle w:val="Compact"/>
              <w:jc w:val="left"/>
            </w:pPr>
            <w:r>
              <w:t xml:space="preserve">Gross tuition revenue</w:t>
            </w:r>
          </w:p>
        </w:tc>
      </w:tr>
      <w:tr>
        <w:trPr>
          <w:cantSplit/>
        </w:trPr>
        <w:tc>
          <w:tcPr>
            <w:tcMar>
              <w:top w:w="100" w:type="dxa"/>
              <w:bottom w:w="100" w:type="dxa"/>
              <w:left w:w="150" w:type="dxa"/>
              <w:right w:w="150" w:type="dxa"/>
            </w:tcMar>
            <w:vAlign w:val="center"/>
            <w:tcW w:w="2530" w:type="dxa"/>
          </w:tcPr>
          <w:p>
            <w:pPr>
              <w:pStyle w:val="Compact"/>
              <w:jc w:val="left"/>
            </w:pPr>
            <w:r>
              <w:t xml:space="preserve">Gambia Branch Campus</w:t>
            </w:r>
          </w:p>
        </w:tc>
        <w:tc>
          <w:tcPr>
            <w:tcMar>
              <w:top w:w="100" w:type="dxa"/>
              <w:bottom w:w="100" w:type="dxa"/>
              <w:left w:w="150" w:type="dxa"/>
              <w:right w:w="150" w:type="dxa"/>
            </w:tcMar>
            <w:vAlign w:val="center"/>
            <w:tcW w:w="1930" w:type="dxa"/>
          </w:tcPr>
          <w:p>
            <w:pPr>
              <w:pStyle w:val="Compact"/>
              <w:jc w:val="left"/>
            </w:pPr>
            <w:r>
              <w:t xml:space="preserve">Stage 3, Years 2–4 (2029–2031)</w:t>
            </w:r>
          </w:p>
        </w:tc>
        <w:tc>
          <w:tcPr>
            <w:tcMar>
              <w:top w:w="100" w:type="dxa"/>
              <w:bottom w:w="100" w:type="dxa"/>
              <w:left w:w="150" w:type="dxa"/>
              <w:right w:w="150" w:type="dxa"/>
            </w:tcMar>
            <w:vAlign w:val="center"/>
            <w:tcW w:w="2381" w:type="dxa"/>
          </w:tcPr>
          <w:p>
            <w:pPr>
              <w:pStyle w:val="Compact"/>
              <w:jc w:val="left"/>
            </w:pPr>
            <w:r>
              <w:t xml:space="preserve">$50,000 Board-approved ceiling; independent NAQAA accreditation pursuit</w:t>
            </w:r>
          </w:p>
        </w:tc>
        <w:tc>
          <w:tcPr>
            <w:tcMar>
              <w:top w:w="100" w:type="dxa"/>
              <w:bottom w:w="100" w:type="dxa"/>
              <w:left w:w="150" w:type="dxa"/>
              <w:right w:w="150" w:type="dxa"/>
            </w:tcMar>
            <w:vAlign w:val="center"/>
            <w:tcW w:w="2231" w:type="dxa"/>
          </w:tcPr>
          <w:p>
            <w:pPr>
              <w:pStyle w:val="Compact"/>
              <w:jc w:val="left"/>
            </w:pPr>
            <w:r>
              <w:t xml:space="preserve">Liquidity Reserve (35%)</w:t>
            </w:r>
          </w:p>
        </w:tc>
      </w:tr>
      <w:tr>
        <w:trPr>
          <w:cantSplit/>
        </w:trPr>
        <w:tc>
          <w:tcPr>
            <w:tcMar>
              <w:top w:w="100" w:type="dxa"/>
              <w:bottom w:w="100" w:type="dxa"/>
              <w:left w:w="150" w:type="dxa"/>
              <w:right w:w="150" w:type="dxa"/>
            </w:tcMar>
            <w:vAlign w:val="center"/>
            <w:shd w:val="clear" w:color="auto" w:fill="F7F3E8"/>
            <w:tcW w:w="2530" w:type="dxa"/>
          </w:tcPr>
          <w:p>
            <w:pPr>
              <w:pStyle w:val="Compact"/>
              <w:jc w:val="left"/>
            </w:pPr>
            <w:r>
              <w:t xml:space="preserve">Nigeria Mega-University Initiative</w:t>
            </w:r>
          </w:p>
        </w:tc>
        <w:tc>
          <w:tcPr>
            <w:tcMar>
              <w:top w:w="100" w:type="dxa"/>
              <w:bottom w:w="100" w:type="dxa"/>
              <w:left w:w="150" w:type="dxa"/>
              <w:right w:w="150" w:type="dxa"/>
            </w:tcMar>
            <w:vAlign w:val="center"/>
            <w:shd w:val="clear" w:color="auto" w:fill="F7F3E8"/>
            <w:tcW w:w="1930" w:type="dxa"/>
          </w:tcPr>
          <w:p>
            <w:pPr>
              <w:pStyle w:val="Compact"/>
              <w:jc w:val="left"/>
            </w:pPr>
            <w:r>
              <w:t xml:space="preserve">Target Year 10 (2037) charter application to National Assembly/NUC</w:t>
            </w:r>
          </w:p>
        </w:tc>
        <w:tc>
          <w:tcPr>
            <w:tcMar>
              <w:top w:w="100" w:type="dxa"/>
              <w:bottom w:w="100" w:type="dxa"/>
              <w:left w:w="150" w:type="dxa"/>
              <w:right w:w="150" w:type="dxa"/>
            </w:tcMar>
            <w:vAlign w:val="center"/>
            <w:shd w:val="clear" w:color="auto" w:fill="F7F3E8"/>
            <w:tcW w:w="2381" w:type="dxa"/>
          </w:tcPr>
          <w:p>
            <w:pPr>
              <w:pStyle w:val="Compact"/>
              <w:jc w:val="left"/>
            </w:pPr>
            <w:r>
              <w:t xml:space="preserve">Physical charter for public legitimacy in largest Tier-3 market</w:t>
            </w:r>
          </w:p>
        </w:tc>
        <w:tc>
          <w:tcPr>
            <w:tcMar>
              <w:top w:w="100" w:type="dxa"/>
              <w:bottom w:w="100" w:type="dxa"/>
              <w:left w:w="150" w:type="dxa"/>
              <w:right w:w="150" w:type="dxa"/>
            </w:tcMar>
            <w:vAlign w:val="center"/>
            <w:shd w:val="clear" w:color="auto" w:fill="F7F3E8"/>
            <w:tcW w:w="2231" w:type="dxa"/>
          </w:tcPr>
          <w:p>
            <w:pPr>
              <w:pStyle w:val="Compact"/>
              <w:jc w:val="left"/>
            </w:pPr>
            <w:r>
              <w:t xml:space="preserve">Waqf Nigeria Reserve sub-line ($333,383 10-yr cumulative, within Waqf &amp; Stakeholder Reserve 20%)</w:t>
            </w:r>
          </w:p>
        </w:tc>
      </w:tr>
      <w:tr>
        <w:trPr>
          <w:cantSplit/>
        </w:trPr>
        <w:tc>
          <w:tcPr>
            <w:tcMar>
              <w:top w:w="100" w:type="dxa"/>
              <w:bottom w:w="100" w:type="dxa"/>
              <w:left w:w="150" w:type="dxa"/>
              <w:right w:w="150" w:type="dxa"/>
            </w:tcMar>
            <w:vAlign w:val="center"/>
            <w:tcW w:w="2530" w:type="dxa"/>
          </w:tcPr>
          <w:p>
            <w:pPr>
              <w:pStyle w:val="Compact"/>
              <w:jc w:val="left"/>
            </w:pPr>
            <w:r>
              <w:t xml:space="preserve">First Gulf ministry recognition</w:t>
            </w:r>
          </w:p>
        </w:tc>
        <w:tc>
          <w:tcPr>
            <w:tcMar>
              <w:top w:w="100" w:type="dxa"/>
              <w:bottom w:w="100" w:type="dxa"/>
              <w:left w:w="150" w:type="dxa"/>
              <w:right w:w="150" w:type="dxa"/>
            </w:tcMar>
            <w:vAlign w:val="center"/>
            <w:tcW w:w="1930" w:type="dxa"/>
          </w:tcPr>
          <w:p>
            <w:pPr>
              <w:pStyle w:val="Compact"/>
              <w:jc w:val="left"/>
            </w:pPr>
            <w:r>
              <w:t xml:space="preserve">Target Year 13 (2040)</w:t>
            </w:r>
          </w:p>
        </w:tc>
        <w:tc>
          <w:tcPr>
            <w:tcMar>
              <w:top w:w="100" w:type="dxa"/>
              <w:bottom w:w="100" w:type="dxa"/>
              <w:left w:w="150" w:type="dxa"/>
              <w:right w:w="150" w:type="dxa"/>
            </w:tcMar>
            <w:vAlign w:val="center"/>
            <w:tcW w:w="2381" w:type="dxa"/>
          </w:tcPr>
          <w:p>
            <w:pPr>
              <w:pStyle w:val="Compact"/>
              <w:jc w:val="left"/>
            </w:pPr>
            <w:r>
              <w:t xml:space="preserve">Recognition agreement, not a physical campus</w:t>
            </w:r>
          </w:p>
        </w:tc>
        <w:tc>
          <w:tcPr>
            <w:tcMar>
              <w:top w:w="100" w:type="dxa"/>
              <w:bottom w:w="100" w:type="dxa"/>
              <w:left w:w="150" w:type="dxa"/>
              <w:right w:w="150" w:type="dxa"/>
            </w:tcMar>
            <w:vAlign w:val="center"/>
            <w:tcW w:w="2231"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0"/>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2527"/>
        <w:gridCol w:w="2166"/>
        <w:gridCol w:w="1775"/>
        <w:gridCol w:w="260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27"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216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775"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604"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2527" w:type="dxa"/>
          </w:tcPr>
          <w:p>
            <w:pPr>
              <w:pStyle w:val="Compact"/>
              <w:jc w:val="left"/>
            </w:pPr>
            <w:r>
              <w:t xml:space="preserve">Gambia</w:t>
            </w:r>
          </w:p>
        </w:tc>
        <w:tc>
          <w:tcPr>
            <w:tcMar>
              <w:top w:w="100" w:type="dxa"/>
              <w:bottom w:w="100" w:type="dxa"/>
              <w:left w:w="150" w:type="dxa"/>
              <w:right w:w="150" w:type="dxa"/>
            </w:tcMar>
            <w:vAlign w:val="center"/>
            <w:shd w:val="clear" w:color="auto" w:fill="F7F3E8"/>
            <w:tcW w:w="2166" w:type="dxa"/>
          </w:tcPr>
          <w:p>
            <w:pPr>
              <w:pStyle w:val="Compact"/>
              <w:jc w:val="left"/>
            </w:pPr>
            <w:r>
              <w:t xml:space="preserve">Campus Director/Registrar (1 FTE) + 1–2 local admin hires</w:t>
            </w:r>
          </w:p>
        </w:tc>
        <w:tc>
          <w:tcPr>
            <w:tcMar>
              <w:top w:w="100" w:type="dxa"/>
              <w:bottom w:w="100" w:type="dxa"/>
              <w:left w:w="150" w:type="dxa"/>
              <w:right w:w="150" w:type="dxa"/>
            </w:tcMar>
            <w:vAlign w:val="center"/>
            <w:shd w:val="clear" w:color="auto" w:fill="F7F3E8"/>
            <w:tcW w:w="1775" w:type="dxa"/>
          </w:tcPr>
          <w:p>
            <w:pPr>
              <w:pStyle w:val="Compact"/>
              <w:jc w:val="left"/>
            </w:pPr>
            <w:r>
              <w:t xml:space="preserve">From Year 2</w:t>
            </w:r>
          </w:p>
        </w:tc>
        <w:tc>
          <w:tcPr>
            <w:tcMar>
              <w:top w:w="100" w:type="dxa"/>
              <w:bottom w:w="100" w:type="dxa"/>
              <w:left w:w="150" w:type="dxa"/>
              <w:right w:w="150" w:type="dxa"/>
            </w:tcMar>
            <w:vAlign w:val="center"/>
            <w:shd w:val="clear" w:color="auto" w:fill="F7F3E8"/>
            <w:tcW w:w="2604" w:type="dxa"/>
          </w:tcPr>
          <w:p>
            <w:pPr>
              <w:pStyle w:val="Compact"/>
              <w:jc w:val="left"/>
            </w:pPr>
            <w:r>
              <w:t xml:space="preserve">Payroll — Founders’ Compensation / Core Admin Staff</w:t>
            </w:r>
          </w:p>
        </w:tc>
      </w:tr>
      <w:tr>
        <w:trPr>
          <w:cantSplit/>
        </w:trPr>
        <w:tc>
          <w:tcPr>
            <w:tcMar>
              <w:top w:w="100" w:type="dxa"/>
              <w:bottom w:w="100" w:type="dxa"/>
              <w:left w:w="150" w:type="dxa"/>
              <w:right w:w="150" w:type="dxa"/>
            </w:tcMar>
            <w:vAlign w:val="center"/>
            <w:tcW w:w="2527" w:type="dxa"/>
          </w:tcPr>
          <w:p>
            <w:pPr>
              <w:pStyle w:val="Compact"/>
              <w:jc w:val="left"/>
            </w:pPr>
            <w:r>
              <w:t xml:space="preserve">Nigeria</w:t>
            </w:r>
          </w:p>
        </w:tc>
        <w:tc>
          <w:tcPr>
            <w:tcMar>
              <w:top w:w="100" w:type="dxa"/>
              <w:bottom w:w="100" w:type="dxa"/>
              <w:left w:w="150" w:type="dxa"/>
              <w:right w:w="150" w:type="dxa"/>
            </w:tcMar>
            <w:vAlign w:val="center"/>
            <w:tcW w:w="2166" w:type="dxa"/>
          </w:tcPr>
          <w:p>
            <w:pPr>
              <w:pStyle w:val="Compact"/>
              <w:jc w:val="left"/>
            </w:pPr>
            <w:r>
              <w:t xml:space="preserve">Charter Liaison/Government Relations Officer (part-time)</w:t>
            </w:r>
          </w:p>
        </w:tc>
        <w:tc>
          <w:tcPr>
            <w:tcMar>
              <w:top w:w="100" w:type="dxa"/>
              <w:bottom w:w="100" w:type="dxa"/>
              <w:left w:w="150" w:type="dxa"/>
              <w:right w:w="150" w:type="dxa"/>
            </w:tcMar>
            <w:vAlign w:val="center"/>
            <w:tcW w:w="1775" w:type="dxa"/>
          </w:tcPr>
          <w:p>
            <w:pPr>
              <w:pStyle w:val="Compact"/>
              <w:jc w:val="left"/>
            </w:pPr>
            <w:r>
              <w:t xml:space="preserve">Years 7–10</w:t>
            </w:r>
          </w:p>
        </w:tc>
        <w:tc>
          <w:tcPr>
            <w:tcMar>
              <w:top w:w="100" w:type="dxa"/>
              <w:bottom w:w="100" w:type="dxa"/>
              <w:left w:w="150" w:type="dxa"/>
              <w:right w:w="150" w:type="dxa"/>
            </w:tcMar>
            <w:vAlign w:val="center"/>
            <w:tcW w:w="2604" w:type="dxa"/>
          </w:tcPr>
          <w:p>
            <w:pPr>
              <w:pStyle w:val="Compact"/>
              <w:jc w:val="left"/>
            </w:pPr>
            <w:r>
              <w:t xml:space="preserve">Waqf Nigeria Reserve sub-line administrative allowance</w:t>
            </w:r>
          </w:p>
        </w:tc>
      </w:tr>
      <w:tr>
        <w:trPr>
          <w:cantSplit/>
        </w:trPr>
        <w:tc>
          <w:tcPr>
            <w:tcMar>
              <w:top w:w="100" w:type="dxa"/>
              <w:bottom w:w="100" w:type="dxa"/>
              <w:left w:w="150" w:type="dxa"/>
              <w:right w:w="150" w:type="dxa"/>
            </w:tcMar>
            <w:vAlign w:val="center"/>
            <w:shd w:val="clear" w:color="auto" w:fill="F7F3E8"/>
            <w:tcW w:w="2527" w:type="dxa"/>
          </w:tcPr>
          <w:p>
            <w:pPr>
              <w:pStyle w:val="Compact"/>
              <w:jc w:val="left"/>
            </w:pPr>
            <w:r>
              <w:t xml:space="preserve">Gulf</w:t>
            </w:r>
          </w:p>
        </w:tc>
        <w:tc>
          <w:tcPr>
            <w:tcMar>
              <w:top w:w="100" w:type="dxa"/>
              <w:bottom w:w="100" w:type="dxa"/>
              <w:left w:w="150" w:type="dxa"/>
              <w:right w:w="150" w:type="dxa"/>
            </w:tcMar>
            <w:vAlign w:val="center"/>
            <w:shd w:val="clear" w:color="auto" w:fill="F7F3E8"/>
            <w:tcW w:w="2166" w:type="dxa"/>
          </w:tcPr>
          <w:p>
            <w:pPr>
              <w:pStyle w:val="Compact"/>
              <w:jc w:val="left"/>
            </w:pPr>
            <w:r>
              <w:t xml:space="preserve">Ministry Relations Officer (part-time contract)</w:t>
            </w:r>
          </w:p>
        </w:tc>
        <w:tc>
          <w:tcPr>
            <w:tcMar>
              <w:top w:w="100" w:type="dxa"/>
              <w:bottom w:w="100" w:type="dxa"/>
              <w:left w:w="150" w:type="dxa"/>
              <w:right w:w="150" w:type="dxa"/>
            </w:tcMar>
            <w:vAlign w:val="center"/>
            <w:shd w:val="clear" w:color="auto" w:fill="F7F3E8"/>
            <w:tcW w:w="1775" w:type="dxa"/>
          </w:tcPr>
          <w:p>
            <w:pPr>
              <w:pStyle w:val="Compact"/>
              <w:jc w:val="left"/>
            </w:pPr>
            <w:r>
              <w:t xml:space="preserve">Years 11–13</w:t>
            </w:r>
          </w:p>
        </w:tc>
        <w:tc>
          <w:tcPr>
            <w:tcMar>
              <w:top w:w="100" w:type="dxa"/>
              <w:bottom w:w="100" w:type="dxa"/>
              <w:left w:w="150" w:type="dxa"/>
              <w:right w:w="150" w:type="dxa"/>
            </w:tcMar>
            <w:vAlign w:val="center"/>
            <w:shd w:val="clear" w:color="auto" w:fill="F7F3E8"/>
            <w:tcW w:w="2604"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VII — Regional Campuses &amp; Student Lifecycle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Source Serif 4" w:hAnsi="Source Serif 4"/>
                <w:i/>
                <w:smallCaps/>
                <w:color w:val="8C97AB"/>
                <w:sz w:val="19"/>
                <w:spacing w:val="10"/>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Groundwork</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Desk research, Nigerian diaspora/community consultation, no physical footprint or committed spend</w:t>
            </w:r>
          </w:p>
        </w:tc>
      </w:tr>
      <w:tr>
        <w:trPr>
          <w:cantSplit/>
        </w:trPr>
        <w:tc>
          <w:tcPr>
            <w:tcMar>
              <w:top w:w="100" w:type="dxa"/>
              <w:bottom w:w="100" w:type="dxa"/>
              <w:left w:w="150" w:type="dxa"/>
              <w:right w:w="150" w:type="dxa"/>
            </w:tcMar>
            <w:vAlign w:val="center"/>
          </w:tcPr>
          <w:p>
            <w:pPr>
              <w:pStyle w:val="Compact"/>
              <w:jc w:val="left"/>
              <w:suppressAutoHyphens/>
            </w:pPr>
            <w:r>
              <w:t xml:space="preserve">1 — Feasibility</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Statutory Sequencing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2034–2036</w:t>
            </w:r>
          </w:p>
        </w:tc>
        <w:tc>
          <w:tcPr>
            <w:tcMar>
              <w:top w:w="100" w:type="dxa"/>
              <w:bottom w:w="100" w:type="dxa"/>
              <w:left w:w="150" w:type="dxa"/>
              <w:right w:w="150" w:type="dxa"/>
            </w:tcMar>
            <w:vAlign w:val="center"/>
            <w:shd w:val="clear" w:color="auto" w:fill="F7F3E8"/>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tcMar>
              <w:top w:w="100" w:type="dxa"/>
              <w:bottom w:w="100" w:type="dxa"/>
              <w:left w:w="150" w:type="dxa"/>
              <w:right w:w="150" w:type="dxa"/>
            </w:tcMar>
            <w:vAlign w:val="center"/>
          </w:tcPr>
          <w:p>
            <w:pPr>
              <w:pStyle w:val="Compact"/>
              <w:jc w:val="left"/>
              <w:suppressAutoHyphens/>
            </w:pPr>
            <w:r>
              <w:t xml:space="preserve">3 — Charter Application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10 / 2037</w:t>
            </w:r>
          </w:p>
        </w:tc>
        <w:tc>
          <w:tcPr>
            <w:tcMar>
              <w:top w:w="100" w:type="dxa"/>
              <w:bottom w:w="100" w:type="dxa"/>
              <w:left w:w="150" w:type="dxa"/>
              <w:right w:w="150" w:type="dxa"/>
            </w:tcMar>
            <w:vAlign w:val="center"/>
          </w:tcPr>
          <w:p>
            <w:pPr>
              <w:pStyle w:val="Compact"/>
              <w:jc w:val="left"/>
              <w:suppressAutoHyphens/>
            </w:pPr>
            <w:r>
              <w:t xml:space="preserve">Formal presentation and charter application to Nigeria’s National Assembly and NUC (sovereign processes outside AMIU control)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 — Contingent Build-Out</w:t>
            </w:r>
          </w:p>
        </w:tc>
        <w:tc>
          <w:tcPr>
            <w:tcMar>
              <w:top w:w="100" w:type="dxa"/>
              <w:bottom w:w="100" w:type="dxa"/>
              <w:left w:w="150" w:type="dxa"/>
              <w:right w:w="150" w:type="dxa"/>
            </w:tcMar>
            <w:vAlign w:val="center"/>
            <w:shd w:val="clear" w:color="auto" w:fill="F7F3E8"/>
          </w:tcPr>
          <w:p>
            <w:pPr>
              <w:pStyle w:val="Compact"/>
              <w:jc w:val="left"/>
              <w:suppressAutoHyphens/>
            </w:pPr>
            <w:r>
              <w:t xml:space="preserve">2038+ (Year 11+)</w:t>
            </w:r>
          </w:p>
        </w:tc>
        <w:tc>
          <w:tcPr>
            <w:tcMar>
              <w:top w:w="100" w:type="dxa"/>
              <w:bottom w:w="100" w:type="dxa"/>
              <w:left w:w="150" w:type="dxa"/>
              <w:right w:w="150" w:type="dxa"/>
            </w:tcMar>
            <w:vAlign w:val="center"/>
            <w:shd w:val="clear" w:color="auto" w:fill="F7F3E8"/>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1"/>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1"/>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Digital Presence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2028–2031</w:t>
            </w:r>
          </w:p>
        </w:tc>
        <w:tc>
          <w:tcPr>
            <w:tcMar>
              <w:top w:w="100" w:type="dxa"/>
              <w:bottom w:w="100" w:type="dxa"/>
              <w:left w:w="150" w:type="dxa"/>
              <w:right w:w="150" w:type="dxa"/>
            </w:tcMar>
            <w:vAlign w:val="center"/>
            <w:shd w:val="clear" w:color="auto" w:fill="F7F3E8"/>
          </w:tcPr>
          <w:p>
            <w:pPr>
              <w:pStyle w:val="Compact"/>
              <w:jc w:val="left"/>
              <w:suppressAutoHyphens/>
            </w:pPr>
            <w:r>
              <w:t xml:space="preserve">Arabic-English bilingual marketing, Gulf-targeted social/digital campaigns, mosque community engagement (informal)</w:t>
            </w:r>
          </w:p>
        </w:tc>
      </w:tr>
      <w:tr>
        <w:trPr>
          <w:cantSplit/>
        </w:trPr>
        <w:tc>
          <w:tcPr>
            <w:tcMar>
              <w:top w:w="100" w:type="dxa"/>
              <w:bottom w:w="100" w:type="dxa"/>
              <w:left w:w="150" w:type="dxa"/>
              <w:right w:w="150" w:type="dxa"/>
            </w:tcMar>
            <w:vAlign w:val="center"/>
          </w:tcPr>
          <w:p>
            <w:pPr>
              <w:pStyle w:val="Compact"/>
              <w:jc w:val="left"/>
              <w:suppressAutoHyphens/>
            </w:pPr>
            <w:r>
              <w:t xml:space="preserve">2 — Relationship Building</w:t>
            </w:r>
          </w:p>
        </w:tc>
        <w:tc>
          <w:tcPr>
            <w:tcMar>
              <w:top w:w="100" w:type="dxa"/>
              <w:bottom w:w="100" w:type="dxa"/>
              <w:left w:w="150" w:type="dxa"/>
              <w:right w:w="150" w:type="dxa"/>
            </w:tcMar>
            <w:vAlign w:val="center"/>
          </w:tcPr>
          <w:p>
            <w:pPr>
              <w:pStyle w:val="Compact"/>
              <w:jc w:val="left"/>
              <w:suppressAutoHyphens/>
            </w:pPr>
            <w:r>
              <w:t xml:space="preserve">2032–2035</w:t>
            </w:r>
          </w:p>
        </w:tc>
        <w:tc>
          <w:tcPr>
            <w:tcMar>
              <w:top w:w="100" w:type="dxa"/>
              <w:bottom w:w="100" w:type="dxa"/>
              <w:left w:w="150" w:type="dxa"/>
              <w:right w:w="150" w:type="dxa"/>
            </w:tcMar>
            <w:vAlign w:val="center"/>
          </w:tcPr>
          <w:p>
            <w:pPr>
              <w:pStyle w:val="Compact"/>
              <w:jc w:val="left"/>
              <w:suppressAutoHyphens/>
            </w:pPr>
            <w:r>
              <w:t xml:space="preserve">Gulf student ambassador program, informal contact with individual scholars/mosques, early donor cultivation conversations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Pre-Recognition Groundwork</w:t>
            </w:r>
          </w:p>
        </w:tc>
        <w:tc>
          <w:tcPr>
            <w:tcMar>
              <w:top w:w="100" w:type="dxa"/>
              <w:bottom w:w="100" w:type="dxa"/>
              <w:left w:w="150" w:type="dxa"/>
              <w:right w:w="150" w:type="dxa"/>
            </w:tcMar>
            <w:vAlign w:val="center"/>
            <w:shd w:val="clear" w:color="auto" w:fill="F7F3E8"/>
          </w:tcPr>
          <w:p>
            <w:pPr>
              <w:pStyle w:val="Compact"/>
              <w:jc w:val="left"/>
              <w:suppressAutoHyphens/>
            </w:pPr>
            <w:r>
              <w:t xml:space="preserve">2036–2039</w:t>
            </w:r>
          </w:p>
        </w:tc>
        <w:tc>
          <w:tcPr>
            <w:tcMar>
              <w:top w:w="100" w:type="dxa"/>
              <w:bottom w:w="100" w:type="dxa"/>
              <w:left w:w="150" w:type="dxa"/>
              <w:right w:w="150" w:type="dxa"/>
            </w:tcMar>
            <w:vAlign w:val="center"/>
            <w:shd w:val="clear" w:color="auto" w:fill="F7F3E8"/>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tcMar>
              <w:top w:w="100" w:type="dxa"/>
              <w:bottom w:w="100" w:type="dxa"/>
              <w:left w:w="150" w:type="dxa"/>
              <w:right w:w="150" w:type="dxa"/>
            </w:tcMar>
            <w:vAlign w:val="center"/>
          </w:tcPr>
          <w:p>
            <w:pPr>
              <w:pStyle w:val="Compact"/>
              <w:jc w:val="left"/>
              <w:suppressAutoHyphens/>
            </w:pPr>
            <w:r>
              <w:t xml:space="preserve">4 — Ministry Recognition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13 / 2040</w:t>
            </w:r>
          </w:p>
        </w:tc>
        <w:tc>
          <w:tcPr>
            <w:tcMar>
              <w:top w:w="100" w:type="dxa"/>
              <w:bottom w:w="100" w:type="dxa"/>
              <w:left w:w="150" w:type="dxa"/>
              <w:right w:w="150" w:type="dxa"/>
            </w:tcMar>
            <w:vAlign w:val="center"/>
          </w:tcPr>
          <w:p>
            <w:pPr>
              <w:pStyle w:val="Compact"/>
              <w:jc w:val="left"/>
              <w:suppressAutoHyphens/>
            </w:pPr>
            <w:r>
              <w:t xml:space="preserve">First Gulf ministry recognition/accreditation agreement(s) targeted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Scaled Cross-Subsidy</w:t>
            </w:r>
          </w:p>
        </w:tc>
        <w:tc>
          <w:tcPr>
            <w:tcMar>
              <w:top w:w="100" w:type="dxa"/>
              <w:bottom w:w="100" w:type="dxa"/>
              <w:left w:w="150" w:type="dxa"/>
              <w:right w:w="150" w:type="dxa"/>
            </w:tcMar>
            <w:vAlign w:val="center"/>
            <w:shd w:val="clear" w:color="auto" w:fill="F7F3E8"/>
          </w:tcPr>
          <w:p>
            <w:pPr>
              <w:pStyle w:val="Compact"/>
              <w:jc w:val="left"/>
              <w:suppressAutoHyphens/>
            </w:pPr>
            <w:r>
              <w:t xml:space="preserve">2041+</w:t>
            </w:r>
          </w:p>
        </w:tc>
        <w:tc>
          <w:tcPr>
            <w:tcMar>
              <w:top w:w="100" w:type="dxa"/>
              <w:bottom w:w="100" w:type="dxa"/>
              <w:left w:w="150" w:type="dxa"/>
              <w:right w:w="150" w:type="dxa"/>
            </w:tcMar>
            <w:vAlign w:val="center"/>
            <w:shd w:val="clear" w:color="auto" w:fill="F7F3E8"/>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2"/>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2"/>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Digital Foundation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LMS self-service advising portal, FAQ/knowledge base, async email support (Core Admin Staff), volunteer chaplaincy-faculty pastoral care</w:t>
            </w:r>
          </w:p>
        </w:tc>
      </w:tr>
      <w:tr>
        <w:trPr>
          <w:cantSplit/>
        </w:trPr>
        <w:tc>
          <w:tcPr>
            <w:tcMar>
              <w:top w:w="100" w:type="dxa"/>
              <w:bottom w:w="100" w:type="dxa"/>
              <w:left w:w="150" w:type="dxa"/>
              <w:right w:w="150" w:type="dxa"/>
            </w:tcMar>
            <w:vAlign w:val="center"/>
          </w:tcPr>
          <w:p>
            <w:pPr>
              <w:pStyle w:val="Compact"/>
              <w:jc w:val="left"/>
              <w:suppressAutoHyphens/>
            </w:pPr>
            <w:r>
              <w:t xml:space="preserve">2 — Structured Peer Support</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Formalized Escalation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tcMar>
              <w:top w:w="100" w:type="dxa"/>
              <w:bottom w:w="100" w:type="dxa"/>
              <w:left w:w="150" w:type="dxa"/>
              <w:right w:w="150" w:type="dxa"/>
            </w:tcMar>
            <w:vAlign w:val="center"/>
          </w:tcPr>
          <w:p>
            <w:pPr>
              <w:pStyle w:val="Compact"/>
              <w:jc w:val="left"/>
              <w:suppressAutoHyphens/>
            </w:pPr>
            <w:r>
              <w:t xml:space="preserve">4 — Dedicated Function</w:t>
            </w:r>
          </w:p>
        </w:tc>
        <w:tc>
          <w:tcPr>
            <w:tcMar>
              <w:top w:w="100" w:type="dxa"/>
              <w:bottom w:w="100" w:type="dxa"/>
              <w:left w:w="150" w:type="dxa"/>
              <w:right w:w="150" w:type="dxa"/>
            </w:tcMar>
            <w:vAlign w:val="center"/>
          </w:tcPr>
          <w:p>
            <w:pPr>
              <w:pStyle w:val="Compact"/>
              <w:jc w:val="left"/>
              <w:suppressAutoHyphens/>
            </w:pPr>
            <w:r>
              <w:t xml:space="preserve">2038+ (Year 11+)</w:t>
            </w:r>
          </w:p>
        </w:tc>
        <w:tc>
          <w:tcPr>
            <w:tcMar>
              <w:top w:w="100" w:type="dxa"/>
              <w:bottom w:w="100" w:type="dxa"/>
              <w:left w:w="150" w:type="dxa"/>
              <w:right w:w="150" w:type="dxa"/>
            </w:tcMar>
            <w:vAlign w:val="center"/>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3"/>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Identity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tcMar>
              <w:top w:w="100" w:type="dxa"/>
              <w:bottom w:w="100" w:type="dxa"/>
              <w:left w:w="150" w:type="dxa"/>
              <w:right w:w="150" w:type="dxa"/>
            </w:tcMar>
            <w:vAlign w:val="center"/>
          </w:tcPr>
          <w:p>
            <w:pPr>
              <w:pStyle w:val="Compact"/>
              <w:jc w:val="left"/>
              <w:suppressAutoHyphens/>
            </w:pPr>
            <w:r>
              <w:t xml:space="preserve">2 — Ambassador Network</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Structured Engagement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2033–2036</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tcMar>
              <w:top w:w="100" w:type="dxa"/>
              <w:bottom w:w="100" w:type="dxa"/>
              <w:left w:w="150" w:type="dxa"/>
              <w:right w:w="150" w:type="dxa"/>
            </w:tcMar>
            <w:vAlign w:val="center"/>
          </w:tcPr>
          <w:p>
            <w:pPr>
              <w:pStyle w:val="Compact"/>
              <w:jc w:val="left"/>
              <w:suppressAutoHyphens/>
            </w:pPr>
            <w:r>
              <w:t xml:space="preserve">4 — First Paid Role</w:t>
            </w:r>
          </w:p>
        </w:tc>
        <w:tc>
          <w:tcPr>
            <w:tcMar>
              <w:top w:w="100" w:type="dxa"/>
              <w:bottom w:w="100" w:type="dxa"/>
              <w:left w:w="150" w:type="dxa"/>
              <w:right w:w="150" w:type="dxa"/>
            </w:tcMar>
            <w:vAlign w:val="center"/>
          </w:tcPr>
          <w:p>
            <w:pPr>
              <w:pStyle w:val="Compact"/>
              <w:jc w:val="left"/>
              <w:suppressAutoHyphens/>
            </w:pPr>
            <w:r>
              <w:t xml:space="preserve">2037–2040 (Year 10+)</w:t>
            </w:r>
          </w:p>
        </w:tc>
        <w:tc>
          <w:tcPr>
            <w:tcMar>
              <w:top w:w="100" w:type="dxa"/>
              <w:bottom w:w="100" w:type="dxa"/>
              <w:left w:w="150" w:type="dxa"/>
              <w:right w:w="150" w:type="dxa"/>
            </w:tcMar>
            <w:vAlign w:val="center"/>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Dedicated Function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2041+ (Year 11+)</w:t>
            </w:r>
          </w:p>
        </w:tc>
        <w:tc>
          <w:tcPr>
            <w:tcMar>
              <w:top w:w="100" w:type="dxa"/>
              <w:bottom w:w="100" w:type="dxa"/>
              <w:left w:w="150" w:type="dxa"/>
              <w:right w:w="150" w:type="dxa"/>
            </w:tcMar>
            <w:vAlign w:val="center"/>
            <w:shd w:val="clear" w:color="auto" w:fill="F7F3E8"/>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4"/>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4"/>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Embedded &amp; Informal</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Career-readiness content embedded in curriculum; informal mosque/employer-network referral; free LMS job-postings board</w:t>
            </w:r>
          </w:p>
        </w:tc>
      </w:tr>
      <w:tr>
        <w:trPr>
          <w:cantSplit/>
        </w:trPr>
        <w:tc>
          <w:tcPr>
            <w:tcMar>
              <w:top w:w="100" w:type="dxa"/>
              <w:bottom w:w="100" w:type="dxa"/>
              <w:left w:w="150" w:type="dxa"/>
              <w:right w:w="150" w:type="dxa"/>
            </w:tcMar>
            <w:vAlign w:val="center"/>
          </w:tcPr>
          <w:p>
            <w:pPr>
              <w:pStyle w:val="Compact"/>
              <w:jc w:val="left"/>
              <w:suppressAutoHyphens/>
            </w:pPr>
            <w:r>
              <w:t xml:space="preserve">2 — Partnership Formalization</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MOUs with mosque associations, Islamic schools, Islamic finance institutions — faculty/Admin relationship-building, no new spend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Fractional Liaison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 (Year 10)</w:t>
            </w:r>
          </w:p>
        </w:tc>
        <w:tc>
          <w:tcPr>
            <w:tcMar>
              <w:top w:w="100" w:type="dxa"/>
              <w:bottom w:w="100" w:type="dxa"/>
              <w:left w:w="150" w:type="dxa"/>
              <w:right w:w="150" w:type="dxa"/>
            </w:tcMar>
            <w:vAlign w:val="center"/>
            <w:shd w:val="clear" w:color="auto" w:fill="F7F3E8"/>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tcMar>
              <w:top w:w="100" w:type="dxa"/>
              <w:bottom w:w="100" w:type="dxa"/>
              <w:left w:w="150" w:type="dxa"/>
              <w:right w:w="150" w:type="dxa"/>
            </w:tcMar>
            <w:vAlign w:val="center"/>
          </w:tcPr>
          <w:p>
            <w:pPr>
              <w:pStyle w:val="Compact"/>
              <w:jc w:val="left"/>
              <w:suppressAutoHyphens/>
            </w:pPr>
            <w:r>
              <w:t xml:space="preserve">4 — Dual-Track Expansion</w:t>
            </w:r>
          </w:p>
        </w:tc>
        <w:tc>
          <w:tcPr>
            <w:tcMar>
              <w:top w:w="100" w:type="dxa"/>
              <w:bottom w:w="100" w:type="dxa"/>
              <w:left w:w="150" w:type="dxa"/>
              <w:right w:w="150" w:type="dxa"/>
            </w:tcMar>
            <w:vAlign w:val="center"/>
          </w:tcPr>
          <w:p>
            <w:pPr>
              <w:pStyle w:val="Compact"/>
              <w:jc w:val="left"/>
              <w:suppressAutoHyphens/>
            </w:pPr>
            <w:r>
              <w:t xml:space="preserve">2038–2040 (Year 11–13)</w:t>
            </w:r>
          </w:p>
        </w:tc>
        <w:tc>
          <w:tcPr>
            <w:tcMar>
              <w:top w:w="100" w:type="dxa"/>
              <w:bottom w:w="100" w:type="dxa"/>
              <w:left w:w="150" w:type="dxa"/>
              <w:right w:w="150" w:type="dxa"/>
            </w:tcMar>
            <w:vAlign w:val="center"/>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Dedicated Dual Office</w:t>
            </w:r>
          </w:p>
        </w:tc>
        <w:tc>
          <w:tcPr>
            <w:tcMar>
              <w:top w:w="100" w:type="dxa"/>
              <w:bottom w:w="100" w:type="dxa"/>
              <w:left w:w="150" w:type="dxa"/>
              <w:right w:w="150" w:type="dxa"/>
            </w:tcMar>
            <w:vAlign w:val="center"/>
            <w:shd w:val="clear" w:color="auto" w:fill="F7F3E8"/>
          </w:tcPr>
          <w:p>
            <w:pPr>
              <w:pStyle w:val="Compact"/>
              <w:jc w:val="left"/>
              <w:suppressAutoHyphens/>
            </w:pPr>
            <w:r>
              <w:t xml:space="preserve">2041+</w:t>
            </w:r>
          </w:p>
        </w:tc>
        <w:tc>
          <w:tcPr>
            <w:tcMar>
              <w:top w:w="100" w:type="dxa"/>
              <w:bottom w:w="100" w:type="dxa"/>
              <w:left w:w="150" w:type="dxa"/>
              <w:right w:w="150" w:type="dxa"/>
            </w:tcMar>
            <w:vAlign w:val="center"/>
            <w:shd w:val="clear" w:color="auto" w:fill="F7F3E8"/>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5"/>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5"/>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VIII — Risk, Compliance, Sustainability &amp; the 20-Year Roadmap</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Source Serif 4" w:hAnsi="Source Serif 4"/>
                <w:i/>
                <w:smallCaps/>
                <w:color w:val="8C97AB"/>
                <w:sz w:val="19"/>
                <w:spacing w:val="10"/>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6"/>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Founding Oversight</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 (Yr 1–2)</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Register formalized; Audit &amp; Risk Committee seated; external CPA engaged</w:t>
            </w:r>
          </w:p>
        </w:tc>
      </w:tr>
      <w:tr>
        <w:trPr>
          <w:cantSplit/>
        </w:trPr>
        <w:tc>
          <w:tcPr>
            <w:tcMar>
              <w:top w:w="100" w:type="dxa"/>
              <w:bottom w:w="100" w:type="dxa"/>
              <w:left w:w="150" w:type="dxa"/>
              <w:right w:w="150" w:type="dxa"/>
            </w:tcMar>
            <w:vAlign w:val="center"/>
          </w:tcPr>
          <w:p>
            <w:pPr>
              <w:pStyle w:val="Compact"/>
              <w:jc w:val="left"/>
              <w:suppressAutoHyphens/>
            </w:pPr>
            <w:r>
              <w:t xml:space="preserve">II — Embedded Coordination</w:t>
            </w:r>
          </w:p>
        </w:tc>
        <w:tc>
          <w:tcPr>
            <w:tcMar>
              <w:top w:w="100" w:type="dxa"/>
              <w:bottom w:w="100" w:type="dxa"/>
              <w:left w:w="150" w:type="dxa"/>
              <w:right w:w="150" w:type="dxa"/>
            </w:tcMar>
            <w:vAlign w:val="center"/>
          </w:tcPr>
          <w:p>
            <w:pPr>
              <w:pStyle w:val="Compact"/>
              <w:jc w:val="left"/>
              <w:suppressAutoHyphens/>
            </w:pPr>
            <w:r>
              <w:t xml:space="preserve">2030–2032 (Yr 3–5)</w:t>
            </w:r>
          </w:p>
        </w:tc>
        <w:tc>
          <w:tcPr>
            <w:tcMar>
              <w:top w:w="100" w:type="dxa"/>
              <w:bottom w:w="100" w:type="dxa"/>
              <w:left w:w="150" w:type="dxa"/>
              <w:right w:w="150" w:type="dxa"/>
            </w:tcMar>
            <w:vAlign w:val="center"/>
          </w:tcPr>
          <w:p>
            <w:pPr>
              <w:pStyle w:val="Compact"/>
              <w:jc w:val="left"/>
              <w:suppressAutoHyphens/>
            </w:pPr>
            <w:r>
              <w:t xml:space="preserve">Fractional risk/compliance coordination folded into Core Admin Staff; Gambia-specific risk lines active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Systematic Monitoring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2033–2037 (Yr 6–10)</w:t>
            </w:r>
          </w:p>
        </w:tc>
        <w:tc>
          <w:tcPr>
            <w:tcMar>
              <w:top w:w="100" w:type="dxa"/>
              <w:bottom w:w="100" w:type="dxa"/>
              <w:left w:w="150" w:type="dxa"/>
              <w:right w:w="150" w:type="dxa"/>
            </w:tcMar>
            <w:vAlign w:val="center"/>
            <w:shd w:val="clear" w:color="auto" w:fill="F7F3E8"/>
          </w:tcPr>
          <w:p>
            <w:pPr>
              <w:pStyle w:val="Compact"/>
              <w:jc w:val="left"/>
              <w:suppressAutoHyphens/>
            </w:pPr>
            <w:r>
              <w:t xml:space="preserve">Full-time coordinator; quarterly heat-map reporting to Board; register closes founding decade at 14+ risks reviewed</w:t>
            </w:r>
          </w:p>
        </w:tc>
      </w:tr>
      <w:tr>
        <w:trPr>
          <w:cantSplit/>
        </w:trPr>
        <w:tc>
          <w:tcPr>
            <w:tcMar>
              <w:top w:w="100" w:type="dxa"/>
              <w:bottom w:w="100" w:type="dxa"/>
              <w:left w:w="150" w:type="dxa"/>
              <w:right w:w="150" w:type="dxa"/>
            </w:tcMar>
            <w:vAlign w:val="center"/>
          </w:tcPr>
          <w:p>
            <w:pPr>
              <w:pStyle w:val="Compact"/>
              <w:jc w:val="left"/>
              <w:suppressAutoHyphens/>
            </w:pPr>
            <w:r>
              <w:t xml:space="preserve">IV — Secular-Era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Layout w:type="fixed"/>
      </w:tblPr>
      <w:tblGrid>
        <w:gridCol w:w="603"/>
        <w:gridCol w:w="2716"/>
        <w:gridCol w:w="2126"/>
        <w:gridCol w:w="36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03"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716"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126"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627"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w:t>
            </w:r>
          </w:p>
        </w:tc>
        <w:tc>
          <w:tcPr>
            <w:tcMar>
              <w:top w:w="100" w:type="dxa"/>
              <w:bottom w:w="100" w:type="dxa"/>
              <w:left w:w="150" w:type="dxa"/>
              <w:right w:w="150" w:type="dxa"/>
            </w:tcMar>
            <w:vAlign w:val="center"/>
            <w:shd w:val="clear" w:color="auto" w:fill="F7F3E8"/>
            <w:tcW w:w="2716" w:type="dxa"/>
          </w:tcPr>
          <w:p>
            <w:pPr>
              <w:pStyle w:val="Compact"/>
              <w:jc w:val="left"/>
            </w:pPr>
            <w:r>
              <w:t xml:space="preserve">Commercial Engine project underperforms/fails Gate clearance</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Moderate/Low</w:t>
            </w:r>
          </w:p>
        </w:tc>
        <w:tc>
          <w:tcPr>
            <w:tcMar>
              <w:top w:w="100" w:type="dxa"/>
              <w:bottom w:w="100" w:type="dxa"/>
              <w:left w:w="150" w:type="dxa"/>
              <w:right w:w="150" w:type="dxa"/>
            </w:tcMar>
            <w:vAlign w:val="center"/>
            <w:shd w:val="clear" w:color="auto" w:fill="F7F3E8"/>
            <w:tcW w:w="3627" w:type="dxa"/>
          </w:tcPr>
          <w:p>
            <w:pPr>
              <w:pStyle w:val="Compact"/>
              <w:jc w:val="left"/>
            </w:pPr>
            <w:r>
              <w:t xml:space="preserve">Gate A/B/C due-diligence clearance required before capital deployment</w:t>
            </w:r>
          </w:p>
        </w:tc>
      </w:tr>
      <w:tr>
        <w:trPr>
          <w:cantSplit/>
        </w:trPr>
        <w:tc>
          <w:tcPr>
            <w:tcMar>
              <w:top w:w="100" w:type="dxa"/>
              <w:bottom w:w="100" w:type="dxa"/>
              <w:left w:w="150" w:type="dxa"/>
              <w:right w:w="150" w:type="dxa"/>
            </w:tcMar>
            <w:vAlign w:val="center"/>
            <w:tcW w:w="603" w:type="dxa"/>
          </w:tcPr>
          <w:p>
            <w:pPr>
              <w:pStyle w:val="Compact"/>
              <w:jc w:val="left"/>
            </w:pPr>
            <w:r>
              <w:t xml:space="preserve">2</w:t>
            </w:r>
          </w:p>
        </w:tc>
        <w:tc>
          <w:tcPr>
            <w:tcMar>
              <w:top w:w="100" w:type="dxa"/>
              <w:bottom w:w="100" w:type="dxa"/>
              <w:left w:w="150" w:type="dxa"/>
              <w:right w:w="150" w:type="dxa"/>
            </w:tcMar>
            <w:vAlign w:val="center"/>
            <w:tcW w:w="2716" w:type="dxa"/>
          </w:tcPr>
          <w:p>
            <w:pPr>
              <w:pStyle w:val="Compact"/>
              <w:jc w:val="left"/>
            </w:pPr>
            <w:r>
              <w:t xml:space="preserve">Credibility risk in a future CE offering</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Offering documents, disclosure discipline, arm’s-length firewall</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3</w:t>
            </w:r>
          </w:p>
        </w:tc>
        <w:tc>
          <w:tcPr>
            <w:tcMar>
              <w:top w:w="100" w:type="dxa"/>
              <w:bottom w:w="100" w:type="dxa"/>
              <w:left w:w="150" w:type="dxa"/>
              <w:right w:w="150" w:type="dxa"/>
            </w:tcMar>
            <w:vAlign w:val="center"/>
            <w:shd w:val="clear" w:color="auto" w:fill="F7F3E8"/>
            <w:tcW w:w="2716" w:type="dxa"/>
          </w:tcPr>
          <w:p>
            <w:pPr>
              <w:pStyle w:val="Compact"/>
              <w:jc w:val="left"/>
            </w:pPr>
            <w:r>
              <w:t xml:space="preserve">Sharī’ah-compliance risk in the CE</w:t>
            </w:r>
          </w:p>
        </w:tc>
        <w:tc>
          <w:tcPr>
            <w:tcMar>
              <w:top w:w="100" w:type="dxa"/>
              <w:bottom w:w="100" w:type="dxa"/>
              <w:left w:w="150" w:type="dxa"/>
              <w:right w:w="150" w:type="dxa"/>
            </w:tcMar>
            <w:vAlign w:val="center"/>
            <w:shd w:val="clear" w:color="auto" w:fill="F7F3E8"/>
            <w:tcW w:w="2126" w:type="dxa"/>
          </w:tcPr>
          <w:p>
            <w:pPr>
              <w:pStyle w:val="Compact"/>
              <w:jc w:val="left"/>
            </w:pPr>
            <w:r>
              <w:t xml:space="preserve">Low/High</w:t>
            </w:r>
          </w:p>
        </w:tc>
        <w:tc>
          <w:tcPr>
            <w:tcMar>
              <w:top w:w="100" w:type="dxa"/>
              <w:bottom w:w="100" w:type="dxa"/>
              <w:left w:w="150" w:type="dxa"/>
              <w:right w:w="150" w:type="dxa"/>
            </w:tcMar>
            <w:vAlign w:val="center"/>
            <w:shd w:val="clear" w:color="auto" w:fill="F7F3E8"/>
            <w:tcW w:w="3627" w:type="dxa"/>
          </w:tcPr>
          <w:p>
            <w:pPr>
              <w:pStyle w:val="Compact"/>
              <w:jc w:val="left"/>
            </w:pPr>
            <w:r>
              <w:t xml:space="preserve">Independent Sharī’ah Advisory Board biennial re-certification</w:t>
            </w:r>
          </w:p>
        </w:tc>
      </w:tr>
      <w:tr>
        <w:trPr>
          <w:cantSplit/>
        </w:trPr>
        <w:tc>
          <w:tcPr>
            <w:tcMar>
              <w:top w:w="100" w:type="dxa"/>
              <w:bottom w:w="100" w:type="dxa"/>
              <w:left w:w="150" w:type="dxa"/>
              <w:right w:w="150" w:type="dxa"/>
            </w:tcMar>
            <w:vAlign w:val="center"/>
            <w:tcW w:w="603" w:type="dxa"/>
          </w:tcPr>
          <w:p>
            <w:pPr>
              <w:pStyle w:val="Compact"/>
              <w:jc w:val="left"/>
            </w:pPr>
            <w:r>
              <w:t xml:space="preserve">4</w:t>
            </w:r>
          </w:p>
        </w:tc>
        <w:tc>
          <w:tcPr>
            <w:tcMar>
              <w:top w:w="100" w:type="dxa"/>
              <w:bottom w:w="100" w:type="dxa"/>
              <w:left w:w="150" w:type="dxa"/>
              <w:right w:w="150" w:type="dxa"/>
            </w:tcMar>
            <w:vAlign w:val="center"/>
            <w:tcW w:w="2716" w:type="dxa"/>
          </w:tcPr>
          <w:p>
            <w:pPr>
              <w:pStyle w:val="Compact"/>
              <w:jc w:val="left"/>
            </w:pPr>
            <w:r>
              <w:t xml:space="preserve">Waqf Strategic Business Reserve deployment governance</w:t>
            </w:r>
          </w:p>
        </w:tc>
        <w:tc>
          <w:tcPr>
            <w:tcMar>
              <w:top w:w="100" w:type="dxa"/>
              <w:bottom w:w="100" w:type="dxa"/>
              <w:left w:w="150" w:type="dxa"/>
              <w:right w:w="150" w:type="dxa"/>
            </w:tcMar>
            <w:vAlign w:val="center"/>
            <w:tcW w:w="2126" w:type="dxa"/>
          </w:tcPr>
          <w:p>
            <w:pPr>
              <w:pStyle w:val="Compact"/>
              <w:jc w:val="left"/>
            </w:pPr>
            <w:r>
              <w:t xml:space="preserve">Low/Medium</w:t>
            </w:r>
          </w:p>
        </w:tc>
        <w:tc>
          <w:tcPr>
            <w:tcMar>
              <w:top w:w="100" w:type="dxa"/>
              <w:bottom w:w="100" w:type="dxa"/>
              <w:left w:w="150" w:type="dxa"/>
              <w:right w:w="150" w:type="dxa"/>
            </w:tcMar>
            <w:vAlign w:val="center"/>
            <w:tcW w:w="3627" w:type="dxa"/>
          </w:tcPr>
          <w:p>
            <w:pPr>
              <w:pStyle w:val="Compact"/>
              <w:jc w:val="left"/>
            </w:pPr>
            <w:r>
              <w:t xml:space="preserve">2/3 Senate vote + 2 independent seats above $250,000/yr</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5</w:t>
            </w:r>
          </w:p>
        </w:tc>
        <w:tc>
          <w:tcPr>
            <w:tcMar>
              <w:top w:w="100" w:type="dxa"/>
              <w:bottom w:w="100" w:type="dxa"/>
              <w:left w:w="150" w:type="dxa"/>
              <w:right w:w="150" w:type="dxa"/>
            </w:tcMar>
            <w:vAlign w:val="center"/>
            <w:shd w:val="clear" w:color="auto" w:fill="F7F3E8"/>
            <w:tcW w:w="2716" w:type="dxa"/>
          </w:tcPr>
          <w:p>
            <w:pPr>
              <w:pStyle w:val="Compact"/>
              <w:jc w:val="left"/>
            </w:pPr>
            <w:r>
              <w:t xml:space="preserve">Founder/Senate self-compensation governance</w:t>
            </w:r>
          </w:p>
        </w:tc>
        <w:tc>
          <w:tcPr>
            <w:tcMar>
              <w:top w:w="100" w:type="dxa"/>
              <w:bottom w:w="100" w:type="dxa"/>
              <w:left w:w="150" w:type="dxa"/>
              <w:right w:w="150" w:type="dxa"/>
            </w:tcMar>
            <w:vAlign w:val="center"/>
            <w:shd w:val="clear" w:color="auto" w:fill="F7F3E8"/>
            <w:tcW w:w="2126" w:type="dxa"/>
          </w:tcPr>
          <w:p>
            <w:pPr>
              <w:pStyle w:val="Compact"/>
              <w:jc w:val="left"/>
            </w:pPr>
            <w:r>
              <w:t xml:space="preserve">Low/Medium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All 4 independent Senate seats’ affirmative approval, published annually</w:t>
            </w:r>
          </w:p>
        </w:tc>
      </w:tr>
      <w:tr>
        <w:trPr>
          <w:cantSplit/>
        </w:trPr>
        <w:tc>
          <w:tcPr>
            <w:tcMar>
              <w:top w:w="100" w:type="dxa"/>
              <w:bottom w:w="100" w:type="dxa"/>
              <w:left w:w="150" w:type="dxa"/>
              <w:right w:w="150" w:type="dxa"/>
            </w:tcMar>
            <w:vAlign w:val="center"/>
            <w:tcW w:w="603" w:type="dxa"/>
          </w:tcPr>
          <w:p>
            <w:pPr>
              <w:pStyle w:val="Compact"/>
              <w:jc w:val="left"/>
            </w:pPr>
            <w:r>
              <w:t xml:space="preserve">6</w:t>
            </w:r>
          </w:p>
        </w:tc>
        <w:tc>
          <w:tcPr>
            <w:tcMar>
              <w:top w:w="100" w:type="dxa"/>
              <w:bottom w:w="100" w:type="dxa"/>
              <w:left w:w="150" w:type="dxa"/>
              <w:right w:w="150" w:type="dxa"/>
            </w:tcMar>
            <w:vAlign w:val="center"/>
            <w:tcW w:w="2716" w:type="dxa"/>
          </w:tcPr>
          <w:p>
            <w:pPr>
              <w:pStyle w:val="Compact"/>
              <w:jc w:val="left"/>
            </w:pPr>
            <w:r>
              <w:t xml:space="preserve">Nigeria Mega-University delay/non-approval</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Framed as funding target, not guarantee; doesn’t affect solvency</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7</w:t>
            </w:r>
          </w:p>
        </w:tc>
        <w:tc>
          <w:tcPr>
            <w:tcMar>
              <w:top w:w="100" w:type="dxa"/>
              <w:bottom w:w="100" w:type="dxa"/>
              <w:left w:w="150" w:type="dxa"/>
              <w:right w:w="150" w:type="dxa"/>
            </w:tcMar>
            <w:vAlign w:val="center"/>
            <w:shd w:val="clear" w:color="auto" w:fill="F7F3E8"/>
            <w:tcW w:w="2716" w:type="dxa"/>
          </w:tcPr>
          <w:p>
            <w:pPr>
              <w:pStyle w:val="Compact"/>
              <w:jc w:val="left"/>
            </w:pPr>
            <w:r>
              <w:t xml:space="preserve">Faculty attrition/burnout during founding growth</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Faculty Honoraria contractually 40% of Payroll, no ceiling, scales with revenue</w:t>
            </w:r>
          </w:p>
        </w:tc>
      </w:tr>
      <w:tr>
        <w:trPr>
          <w:cantSplit/>
        </w:trPr>
        <w:tc>
          <w:tcPr>
            <w:tcMar>
              <w:top w:w="100" w:type="dxa"/>
              <w:bottom w:w="100" w:type="dxa"/>
              <w:left w:w="150" w:type="dxa"/>
              <w:right w:w="150" w:type="dxa"/>
            </w:tcMar>
            <w:vAlign w:val="center"/>
            <w:tcW w:w="603" w:type="dxa"/>
          </w:tcPr>
          <w:p>
            <w:pPr>
              <w:pStyle w:val="Compact"/>
              <w:jc w:val="left"/>
            </w:pPr>
            <w:r>
              <w:t xml:space="preserve">8</w:t>
            </w:r>
          </w:p>
        </w:tc>
        <w:tc>
          <w:tcPr>
            <w:tcMar>
              <w:top w:w="100" w:type="dxa"/>
              <w:bottom w:w="100" w:type="dxa"/>
              <w:left w:w="150" w:type="dxa"/>
              <w:right w:w="150" w:type="dxa"/>
            </w:tcMar>
            <w:vAlign w:val="center"/>
            <w:tcW w:w="2716" w:type="dxa"/>
          </w:tcPr>
          <w:p>
            <w:pPr>
              <w:pStyle w:val="Compact"/>
              <w:jc w:val="left"/>
            </w:pPr>
            <w:r>
              <w:t xml:space="preserve">Nonprofit/for-profit commingling scrutiny (IRS)</w:t>
            </w:r>
          </w:p>
        </w:tc>
        <w:tc>
          <w:tcPr>
            <w:tcMar>
              <w:top w:w="100" w:type="dxa"/>
              <w:bottom w:w="100" w:type="dxa"/>
              <w:left w:w="150" w:type="dxa"/>
              <w:right w:w="150" w:type="dxa"/>
            </w:tcMar>
            <w:vAlign w:val="center"/>
            <w:tcW w:w="2126" w:type="dxa"/>
          </w:tcPr>
          <w:p>
            <w:pPr>
              <w:pStyle w:val="Compact"/>
              <w:jc w:val="left"/>
            </w:pPr>
            <w:r>
              <w:t xml:space="preserve">Low/High</w:t>
            </w:r>
          </w:p>
        </w:tc>
        <w:tc>
          <w:tcPr>
            <w:tcMar>
              <w:top w:w="100" w:type="dxa"/>
              <w:bottom w:w="100" w:type="dxa"/>
              <w:left w:w="150" w:type="dxa"/>
              <w:right w:w="150" w:type="dxa"/>
            </w:tcMar>
            <w:vAlign w:val="center"/>
            <w:tcW w:w="3627" w:type="dxa"/>
          </w:tcPr>
          <w:p>
            <w:pPr>
              <w:pStyle w:val="Compact"/>
              <w:jc w:val="left"/>
            </w:pPr>
            <w:r>
              <w:t xml:space="preserve">University costs never touch CE obligations; fair-market-value shared services; independent legal counsel before any firewall amendment</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9</w:t>
            </w:r>
          </w:p>
        </w:tc>
        <w:tc>
          <w:tcPr>
            <w:tcMar>
              <w:top w:w="100" w:type="dxa"/>
              <w:bottom w:w="100" w:type="dxa"/>
              <w:left w:w="150" w:type="dxa"/>
              <w:right w:w="150" w:type="dxa"/>
            </w:tcMar>
            <w:vAlign w:val="center"/>
            <w:shd w:val="clear" w:color="auto" w:fill="F7F3E8"/>
            <w:tcW w:w="2716" w:type="dxa"/>
          </w:tcPr>
          <w:p>
            <w:pPr>
              <w:pStyle w:val="Compact"/>
              <w:jc w:val="left"/>
            </w:pPr>
            <w:r>
              <w:t xml:space="preserve">Regional payment-gateway disruption</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Redundant gateways per region + bank-transfer fallback</w:t>
            </w:r>
          </w:p>
        </w:tc>
      </w:tr>
      <w:tr>
        <w:trPr>
          <w:cantSplit/>
        </w:trPr>
        <w:tc>
          <w:tcPr>
            <w:tcMar>
              <w:top w:w="100" w:type="dxa"/>
              <w:bottom w:w="100" w:type="dxa"/>
              <w:left w:w="150" w:type="dxa"/>
              <w:right w:w="150" w:type="dxa"/>
            </w:tcMar>
            <w:vAlign w:val="center"/>
            <w:tcW w:w="603" w:type="dxa"/>
          </w:tcPr>
          <w:p>
            <w:pPr>
              <w:pStyle w:val="Compact"/>
              <w:jc w:val="left"/>
            </w:pPr>
            <w:r>
              <w:t xml:space="preserve">10</w:t>
            </w:r>
          </w:p>
        </w:tc>
        <w:tc>
          <w:tcPr>
            <w:tcMar>
              <w:top w:w="100" w:type="dxa"/>
              <w:bottom w:w="100" w:type="dxa"/>
              <w:left w:w="150" w:type="dxa"/>
              <w:right w:w="150" w:type="dxa"/>
            </w:tcMar>
            <w:vAlign w:val="center"/>
            <w:tcW w:w="2716" w:type="dxa"/>
          </w:tcPr>
          <w:p>
            <w:pPr>
              <w:pStyle w:val="Compact"/>
              <w:jc w:val="left"/>
            </w:pPr>
            <w:r>
              <w:t xml:space="preserve">Country tier misclassification disputes</w:t>
            </w:r>
          </w:p>
        </w:tc>
        <w:tc>
          <w:tcPr>
            <w:tcMar>
              <w:top w:w="100" w:type="dxa"/>
              <w:bottom w:w="100" w:type="dxa"/>
              <w:left w:w="150" w:type="dxa"/>
              <w:right w:w="150" w:type="dxa"/>
            </w:tcMar>
            <w:vAlign w:val="center"/>
            <w:tcW w:w="2126" w:type="dxa"/>
          </w:tcPr>
          <w:p>
            <w:pPr>
              <w:pStyle w:val="Compact"/>
              <w:jc w:val="left"/>
            </w:pPr>
            <w:r>
              <w:t xml:space="preserve">Low/Low</w:t>
            </w:r>
          </w:p>
        </w:tc>
        <w:tc>
          <w:tcPr>
            <w:tcMar>
              <w:top w:w="100" w:type="dxa"/>
              <w:bottom w:w="100" w:type="dxa"/>
              <w:left w:w="150" w:type="dxa"/>
              <w:right w:w="150" w:type="dxa"/>
            </w:tcMar>
            <w:vAlign w:val="center"/>
            <w:tcW w:w="3627" w:type="dxa"/>
          </w:tcPr>
          <w:p>
            <w:pPr>
              <w:pStyle w:val="Compact"/>
              <w:jc w:val="left"/>
            </w:pPr>
            <w:r>
              <w:t xml:space="preserve">Transparent published tier list; appeal via info@edu.amiu.com</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11</w:t>
            </w:r>
          </w:p>
        </w:tc>
        <w:tc>
          <w:tcPr>
            <w:tcMar>
              <w:top w:w="100" w:type="dxa"/>
              <w:bottom w:w="100" w:type="dxa"/>
              <w:left w:w="150" w:type="dxa"/>
              <w:right w:w="150" w:type="dxa"/>
            </w:tcMar>
            <w:vAlign w:val="center"/>
            <w:shd w:val="clear" w:color="auto" w:fill="F7F3E8"/>
            <w:tcW w:w="2716" w:type="dxa"/>
          </w:tcPr>
          <w:p>
            <w:pPr>
              <w:pStyle w:val="Compact"/>
              <w:jc w:val="left"/>
            </w:pPr>
            <w:r>
              <w:t xml:space="preserve">Accreditation candidacy delay beyond Year 5</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Programs remain religious-exemption-valid; candidacy funded from retained reserve, not survival-dependent</w:t>
            </w:r>
          </w:p>
        </w:tc>
      </w:tr>
      <w:tr>
        <w:trPr>
          <w:cantSplit/>
        </w:trPr>
        <w:tc>
          <w:tcPr>
            <w:tcMar>
              <w:top w:w="100" w:type="dxa"/>
              <w:bottom w:w="100" w:type="dxa"/>
              <w:left w:w="150" w:type="dxa"/>
              <w:right w:w="150" w:type="dxa"/>
            </w:tcMar>
            <w:vAlign w:val="center"/>
            <w:tcW w:w="603" w:type="dxa"/>
          </w:tcPr>
          <w:p>
            <w:pPr>
              <w:pStyle w:val="Compact"/>
              <w:jc w:val="left"/>
            </w:pPr>
            <w:r>
              <w:t xml:space="preserve">12</w:t>
            </w:r>
          </w:p>
        </w:tc>
        <w:tc>
          <w:tcPr>
            <w:tcMar>
              <w:top w:w="100" w:type="dxa"/>
              <w:bottom w:w="100" w:type="dxa"/>
              <w:left w:w="150" w:type="dxa"/>
              <w:right w:w="150" w:type="dxa"/>
            </w:tcMar>
            <w:vAlign w:val="center"/>
            <w:tcW w:w="2716" w:type="dxa"/>
          </w:tcPr>
          <w:p>
            <w:pPr>
              <w:pStyle w:val="Compact"/>
              <w:jc w:val="left"/>
            </w:pPr>
            <w:r>
              <w:t xml:space="preserve">Key-person risk (three founders)</w:t>
            </w:r>
          </w:p>
        </w:tc>
        <w:tc>
          <w:tcPr>
            <w:tcMar>
              <w:top w:w="100" w:type="dxa"/>
              <w:bottom w:w="100" w:type="dxa"/>
              <w:left w:w="150" w:type="dxa"/>
              <w:right w:w="150" w:type="dxa"/>
            </w:tcMar>
            <w:vAlign w:val="center"/>
            <w:tcW w:w="2126" w:type="dxa"/>
          </w:tcPr>
          <w:p>
            <w:pPr>
              <w:pStyle w:val="Compact"/>
              <w:jc w:val="left"/>
            </w:pPr>
            <w:r>
              <w:t xml:space="preserve">Moderate/High</w:t>
            </w:r>
          </w:p>
        </w:tc>
        <w:tc>
          <w:tcPr>
            <w:tcMar>
              <w:top w:w="100" w:type="dxa"/>
              <w:bottom w:w="100" w:type="dxa"/>
              <w:left w:w="150" w:type="dxa"/>
              <w:right w:w="150" w:type="dxa"/>
            </w:tcMar>
            <w:vAlign w:val="center"/>
            <w:tcW w:w="3627" w:type="dxa"/>
          </w:tcPr>
          <w:p>
            <w:pPr>
              <w:pStyle w:val="Compact"/>
              <w:jc w:val="left"/>
            </w:pPr>
            <w:r>
              <w:t xml:space="preserve">Senate succession policy; documented successor plans for seats 2–4 by Year 3</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13</w:t>
            </w:r>
          </w:p>
        </w:tc>
        <w:tc>
          <w:tcPr>
            <w:tcMar>
              <w:top w:w="100" w:type="dxa"/>
              <w:bottom w:w="100" w:type="dxa"/>
              <w:left w:w="150" w:type="dxa"/>
              <w:right w:w="150" w:type="dxa"/>
            </w:tcMar>
            <w:vAlign w:val="center"/>
            <w:shd w:val="clear" w:color="auto" w:fill="F7F3E8"/>
            <w:tcW w:w="2716" w:type="dxa"/>
          </w:tcPr>
          <w:p>
            <w:pPr>
              <w:pStyle w:val="Compact"/>
              <w:jc w:val="left"/>
            </w:pPr>
            <w:r>
              <w:t xml:space="preserve">Currency/FX exposure across four pricing tiers</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Multi-currency collection converted to USD on rolling basis</w:t>
            </w:r>
          </w:p>
        </w:tc>
      </w:tr>
      <w:tr>
        <w:trPr>
          <w:cantSplit/>
        </w:trPr>
        <w:tc>
          <w:tcPr>
            <w:tcMar>
              <w:top w:w="100" w:type="dxa"/>
              <w:bottom w:w="100" w:type="dxa"/>
              <w:left w:w="150" w:type="dxa"/>
              <w:right w:w="150" w:type="dxa"/>
            </w:tcMar>
            <w:vAlign w:val="center"/>
            <w:tcW w:w="603" w:type="dxa"/>
          </w:tcPr>
          <w:p>
            <w:pPr>
              <w:pStyle w:val="Compact"/>
              <w:jc w:val="left"/>
            </w:pPr>
            <w:r>
              <w:t xml:space="preserve">14</w:t>
            </w:r>
          </w:p>
        </w:tc>
        <w:tc>
          <w:tcPr>
            <w:tcMar>
              <w:top w:w="100" w:type="dxa"/>
              <w:bottom w:w="100" w:type="dxa"/>
              <w:left w:w="150" w:type="dxa"/>
              <w:right w:w="150" w:type="dxa"/>
            </w:tcMar>
            <w:vAlign w:val="center"/>
            <w:tcW w:w="2716" w:type="dxa"/>
          </w:tcPr>
          <w:p>
            <w:pPr>
              <w:pStyle w:val="Compact"/>
              <w:jc w:val="left"/>
            </w:pPr>
            <w:r>
              <w:t xml:space="preserve">Geopolitical disruption in Tier-4 weighted regions</w:t>
            </w:r>
          </w:p>
        </w:tc>
        <w:tc>
          <w:tcPr>
            <w:tcMar>
              <w:top w:w="100" w:type="dxa"/>
              <w:bottom w:w="100" w:type="dxa"/>
              <w:left w:w="150" w:type="dxa"/>
              <w:right w:w="150" w:type="dxa"/>
            </w:tcMar>
            <w:vAlign w:val="center"/>
            <w:tcW w:w="2126" w:type="dxa"/>
          </w:tcPr>
          <w:p>
            <w:pPr>
              <w:pStyle w:val="Compact"/>
              <w:jc w:val="left"/>
            </w:pPr>
            <w:r>
              <w:t xml:space="preserve">Moderate/Low-Medium</w:t>
            </w:r>
          </w:p>
        </w:tc>
        <w:tc>
          <w:tcPr>
            <w:tcMar>
              <w:top w:w="100" w:type="dxa"/>
              <w:bottom w:w="100" w:type="dxa"/>
              <w:left w:w="150" w:type="dxa"/>
              <w:right w:w="150" w:type="dxa"/>
            </w:tcMar>
            <w:vAlign w:val="center"/>
            <w:tcW w:w="3627" w:type="dxa"/>
          </w:tcPr>
          <w:p>
            <w:pPr>
              <w:pStyle w:val="Compact"/>
              <w:jc w:val="left"/>
            </w:pPr>
            <w:r>
              <w:t xml:space="preserve">No single region exceeds 10% of Tier-4 population-weighted share</w:t>
            </w:r>
          </w:p>
        </w:tc>
      </w:tr>
    </w:tbl>
    <w:p>
      <w:pPr>
        <w:pStyle w:val="BodyText"/>
        <w:jc w:val="both"/>
      </w:pPr>
      <w:r>
        <w:rPr>
          <w:bCs/>
          <w:b/>
        </w:rPr>
        <w:t xml:space="preserve">Founding-Decade Addition: Risk 15 — Cybersecurity &amp; Data Breach</w:t>
      </w:r>
    </w:p>
    <w:p>
      <w:pPr>
        <w:pStyle w:val="BodyText"/>
        <w:jc w:val="both"/>
      </w:pPr>
      <w:r>
        <w:t xml:space="preserve">The 14 risks above are the register AMIU-MP-001 adopted at founding. A subsequent governance review identified one omission from that original register that could not wait for the Year-11 expansion window: a cybersecurity incident or student-data breach, given AMIU’s entirely online, globally distributed student body from Year 1. Section 37 (Compliance Framework) had already noted this exposure but treated it as a technical-control matter outside the register; that treatment is corrected here, since a breach of this kind carries reputational, regulatory, and enrollment consequences at least as severe as several risks already scored above (Risks 9 and 13), and a risk of that severity belongs in the register the Audit &amp; Risk Committee actually reviews quarterly, not left to be managed silently at the IT-operations level.</w:t>
      </w:r>
    </w:p>
    <w:tbl>
      <w:tblPr>
        <w:tblStyle w:val="Table"/>
        <w:tblW w:type="pct" w:w="5000"/>
        <w:tblLook w:firstRow="1" w:lastRow="0" w:firstColumn="0" w:lastColumn="0" w:noHBand="0" w:noVBand="0" w:val="0020"/>
        <w:jc w:val="start"/>
        <w:tblLayout w:type="fixed"/>
      </w:tblPr>
      <w:tblGrid>
        <w:gridCol w:w="747"/>
        <w:gridCol w:w="2501"/>
        <w:gridCol w:w="2582"/>
        <w:gridCol w:w="3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7"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501"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582"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242"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F7F3E8"/>
            <w:tcW w:w="747" w:type="dxa"/>
          </w:tcPr>
          <w:p>
            <w:pPr>
              <w:pStyle w:val="Compact"/>
              <w:jc w:val="left"/>
            </w:pPr>
            <w:r>
              <w:t xml:space="preserve">15</w:t>
            </w:r>
          </w:p>
        </w:tc>
        <w:tc>
          <w:tcPr>
            <w:tcMar>
              <w:top w:w="100" w:type="dxa"/>
              <w:bottom w:w="100" w:type="dxa"/>
              <w:left w:w="150" w:type="dxa"/>
              <w:right w:w="150" w:type="dxa"/>
            </w:tcMar>
            <w:vAlign w:val="center"/>
            <w:shd w:val="clear" w:color="auto" w:fill="F7F3E8"/>
            <w:tcW w:w="2501" w:type="dxa"/>
          </w:tcPr>
          <w:p>
            <w:pPr>
              <w:pStyle w:val="Compact"/>
              <w:jc w:val="left"/>
            </w:pPr>
            <w:r>
              <w:t xml:space="preserve">Cybersecurity incident or student/financial data breach</w:t>
            </w:r>
          </w:p>
        </w:tc>
        <w:tc>
          <w:tcPr>
            <w:tcMar>
              <w:top w:w="100" w:type="dxa"/>
              <w:bottom w:w="100" w:type="dxa"/>
              <w:left w:w="150" w:type="dxa"/>
              <w:right w:w="150" w:type="dxa"/>
            </w:tcMar>
            <w:vAlign w:val="center"/>
            <w:shd w:val="clear" w:color="auto" w:fill="F7F3E8"/>
            <w:tcW w:w="2582" w:type="dxa"/>
          </w:tcPr>
          <w:p>
            <w:pPr>
              <w:pStyle w:val="Compact"/>
              <w:jc w:val="left"/>
            </w:pPr>
            <w:r>
              <w:t xml:space="preserve">Moderate/High</w:t>
            </w:r>
          </w:p>
        </w:tc>
        <w:tc>
          <w:tcPr>
            <w:tcMar>
              <w:top w:w="100" w:type="dxa"/>
              <w:bottom w:w="100" w:type="dxa"/>
              <w:left w:w="150" w:type="dxa"/>
              <w:right w:w="150" w:type="dxa"/>
            </w:tcMar>
            <w:vAlign w:val="center"/>
            <w:shd w:val="clear" w:color="auto" w:fill="F7F3E8"/>
            <w:tcW w:w="3242" w:type="dxa"/>
          </w:tcPr>
          <w:p>
            <w:pPr>
              <w:pStyle w:val="Compact"/>
              <w:jc w:val="left"/>
            </w:pPr>
            <w:r>
              <w:t xml:space="preserve">LMS &amp; Technology Infrastructure line (5%) funds technical controls (access management, encryption, breach-response retainer); Data Privacy &amp; Security Policy (OPS-016) and Backup &amp; Disaster Recovery Plan (OPS-017) govern response; Audit &amp; Risk Committee receives incident reports within 72 hours of detection and quarterly control-testing results year-round, not only upon incident</w:t>
            </w:r>
          </w:p>
        </w:tc>
      </w:tr>
    </w:tbl>
    <w:p>
      <w:pPr>
        <w:pStyle w:val="BodyText"/>
        <w:jc w:val="both"/>
      </w:pPr>
      <w:r>
        <w:t xml:space="preserve">Risk 15 is scored and reviewed on the same cadence as Risks 1–14 from Year 1 (2028) — it is a founding-decade risk, not a Year-11+ expansion risk. Its mitigation funding remains inside the existing LMS &amp; Technology Infrastructure line rather than a new budget category, consistent with this section’s proportionate-resourcing discipline, but its presence in the register ensures it receives Board-level visibility rather than purely operational handling.</w:t>
      </w:r>
    </w:p>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16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17 — Nigeria NUC compliance risk</w:t>
      </w:r>
      <w:r>
        <w:t xml:space="preserve"> </w:t>
      </w:r>
      <w:r>
        <w:t xml:space="preserve">(National Universities Commission approval separate from NAQAA/Texas tracks);</w:t>
      </w:r>
      <w:r>
        <w:t xml:space="preserve"> </w:t>
      </w:r>
      <w:r>
        <w:rPr>
          <w:bCs/>
          <w:b/>
        </w:rPr>
        <w:t xml:space="preserve">Risk 18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1–15,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7"/>
        </w:numPr>
        <w:pStyle w:val="Compact"/>
        <w:shd w:val="clear" w:color="auto" w:fill="F7F3E8"/>
        <w:pBdr>
          <w:left w:val="single" w:sz="24" w:space="10" w:color="B08625"/>
        </w:pBdr>
        <w:ind w:left="300"/>
        <w:spacing w:before="0" w:after="0"/>
        <w:jc w:val="both"/>
      </w:pPr>
      <w:r>
        <w:t xml:space="preserve">100% of the 15 (growing to 18+)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Risk 15 (cybersecurity/data breach) added at founding. 2029–2030: external audit cadence established. 2030 (Yr 3): succession plans documented (Risk 12 closes). 2033 (Yr 6): coordinator reaches 1.0 FTE. 2037 (Yr 10): founding-decade risk retrospective delivered to Board. 2038 (Yr 11): Risks 16–18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Ultimate risk-appetite owner; approves Liquidity Reserve draws for resilience</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Operational register owner; quarterly review; independent of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Escalates academic/program risk; 4 independent seats safeguard compensation-risk items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Owns Risks 4 and 6 (Waqf deployment, Nigeria 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8"/>
        </w:numPr>
        <w:pStyle w:val="Compact"/>
        <w:jc w:val="both"/>
      </w:pPr>
      <w:r>
        <w:t xml:space="preserve">Single compliance calendar maintained centrally (not per-department), reviewed by the Board Audit &amp; Risk Committee — standard nonprofit governance practice.</w:t>
      </w:r>
    </w:p>
    <w:p>
      <w:pPr>
        <w:numPr>
          <w:ilvl w:val="0"/>
          <w:numId w:val="1028"/>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Formation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2027–2028</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Certificate of Formation, EIN, IRS Form 1023, TX tax exemption, TWC Ch.132, USPTO Class 41 trademark</w:t>
            </w:r>
          </w:p>
        </w:tc>
      </w:tr>
      <w:tr>
        <w:trPr>
          <w:cantSplit/>
        </w:trPr>
        <w:tc>
          <w:tcPr>
            <w:tcMar>
              <w:top w:w="100" w:type="dxa"/>
              <w:bottom w:w="100" w:type="dxa"/>
              <w:left w:w="150" w:type="dxa"/>
              <w:right w:w="150" w:type="dxa"/>
            </w:tcMar>
            <w:vAlign w:val="center"/>
          </w:tcPr>
          <w:p>
            <w:pPr>
              <w:pStyle w:val="Compact"/>
              <w:jc w:val="left"/>
              <w:suppressAutoHyphens/>
            </w:pPr>
            <w:r>
              <w:t xml:space="preserve">II — Accreditation Onboarding</w:t>
            </w:r>
          </w:p>
        </w:tc>
        <w:tc>
          <w:tcPr>
            <w:tcMar>
              <w:top w:w="100" w:type="dxa"/>
              <w:bottom w:w="100" w:type="dxa"/>
              <w:left w:w="150" w:type="dxa"/>
              <w:right w:w="150" w:type="dxa"/>
            </w:tcMar>
            <w:vAlign w:val="center"/>
          </w:tcPr>
          <w:p>
            <w:pPr>
              <w:pStyle w:val="Compact"/>
              <w:jc w:val="left"/>
              <w:suppressAutoHyphens/>
            </w:pPr>
            <w:r>
              <w:t xml:space="preserve">2029–2031 (Yr 2–4)</w:t>
            </w:r>
          </w:p>
        </w:tc>
        <w:tc>
          <w:tcPr>
            <w:tcMar>
              <w:top w:w="100" w:type="dxa"/>
              <w:bottom w:w="100" w:type="dxa"/>
              <w:left w:w="150" w:type="dxa"/>
              <w:right w:w="150" w:type="dxa"/>
            </w:tcMar>
            <w:vAlign w:val="center"/>
          </w:tcPr>
          <w:p>
            <w:pPr>
              <w:pStyle w:val="Compact"/>
              <w:jc w:val="left"/>
              <w:suppressAutoHyphens/>
            </w:pPr>
            <w:r>
              <w:t xml:space="preserve">CPD (Yr 2), ISO 21001 (Yr 3), Gambia NAQAA registration and site visits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Steady-State 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2032–2037 (Yr 5–10)</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990 filings, ISO surveillance audits, CPD renewals, NAQAA reporting</w:t>
            </w:r>
          </w:p>
        </w:tc>
      </w:tr>
      <w:tr>
        <w:trPr>
          <w:cantSplit/>
        </w:trPr>
        <w:tc>
          <w:tcPr>
            <w:tcMar>
              <w:top w:w="100" w:type="dxa"/>
              <w:bottom w:w="100" w:type="dxa"/>
              <w:left w:w="150" w:type="dxa"/>
              <w:right w:w="150" w:type="dxa"/>
            </w:tcMar>
            <w:vAlign w:val="center"/>
          </w:tcPr>
          <w:p>
            <w:pPr>
              <w:pStyle w:val="Compact"/>
              <w:jc w:val="left"/>
              <w:suppressAutoHyphens/>
            </w:pPr>
            <w:r>
              <w:t xml:space="preserve">IV — Secular/Regulatory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Texas formation (one-time)</w:t>
            </w:r>
          </w:p>
        </w:tc>
        <w:tc>
          <w:tcPr>
            <w:tcMar>
              <w:top w:w="100" w:type="dxa"/>
              <w:bottom w:w="100" w:type="dxa"/>
              <w:left w:w="150" w:type="dxa"/>
              <w:right w:w="150" w:type="dxa"/>
            </w:tcMar>
            <w:vAlign w:val="center"/>
            <w:shd w:val="clear" w:color="auto" w:fill="F7F3E8"/>
          </w:tcPr>
          <w:p>
            <w:pPr>
              <w:pStyle w:val="Compact"/>
              <w:jc w:val="left"/>
              <w:suppressAutoHyphens/>
            </w:pPr>
            <w:r>
              <w:t xml:space="preserve">~$1,015</w:t>
            </w:r>
          </w:p>
        </w:tc>
        <w:tc>
          <w:tcPr>
            <w:tcMar>
              <w:top w:w="100" w:type="dxa"/>
              <w:bottom w:w="100" w:type="dxa"/>
              <w:left w:w="150" w:type="dxa"/>
              <w:right w:w="150" w:type="dxa"/>
            </w:tcMar>
            <w:vAlign w:val="center"/>
            <w:shd w:val="clear" w:color="auto" w:fill="F7F3E8"/>
          </w:tcPr>
          <w:p>
            <w:pPr>
              <w:pStyle w:val="Compact"/>
              <w:jc w:val="left"/>
              <w:suppressAutoHyphens/>
            </w:pPr>
            <w:r>
              <w:t xml:space="preserve">Year-1 OpEx ($11,237)</w:t>
            </w:r>
          </w:p>
        </w:tc>
      </w:tr>
      <w:tr>
        <w:trPr>
          <w:cantSplit/>
        </w:trPr>
        <w:tc>
          <w:tcPr>
            <w:tcMar>
              <w:top w:w="100" w:type="dxa"/>
              <w:bottom w:w="100" w:type="dxa"/>
              <w:left w:w="150" w:type="dxa"/>
              <w:right w:w="150" w:type="dxa"/>
            </w:tcMar>
            <w:vAlign w:val="center"/>
          </w:tcPr>
          <w:p>
            <w:pPr>
              <w:pStyle w:val="Compact"/>
              <w:jc w:val="left"/>
              <w:suppressAutoHyphens/>
            </w:pPr>
            <w:r>
              <w:t xml:space="preserve">Registered agent</w:t>
            </w:r>
          </w:p>
        </w:tc>
        <w:tc>
          <w:tcPr>
            <w:tcMar>
              <w:top w:w="100" w:type="dxa"/>
              <w:bottom w:w="100" w:type="dxa"/>
              <w:left w:w="150" w:type="dxa"/>
              <w:right w:w="150" w:type="dxa"/>
            </w:tcMar>
            <w:vAlign w:val="center"/>
          </w:tcPr>
          <w:p>
            <w:pPr>
              <w:pStyle w:val="Compact"/>
              <w:jc w:val="left"/>
              <w:suppressAutoHyphens/>
            </w:pPr>
            <w:r>
              <w:t xml:space="preserve">~$150/yr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 accreditation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$4,000 initial (Yr 2) + $1,200/yr</w:t>
            </w:r>
          </w:p>
        </w:tc>
        <w:tc>
          <w:tcPr>
            <w:tcMar>
              <w:top w:w="100" w:type="dxa"/>
              <w:bottom w:w="100" w:type="dxa"/>
              <w:left w:w="150" w:type="dxa"/>
              <w:right w:w="150" w:type="dxa"/>
            </w:tcMar>
            <w:vAlign w:val="center"/>
            <w:shd w:val="clear" w:color="auto" w:fill="F7F3E8"/>
          </w:tcPr>
          <w:p>
            <w:pPr>
              <w:pStyle w:val="Compact"/>
              <w:jc w:val="left"/>
              <w:suppressAutoHyphens/>
            </w:pPr>
            <w:r>
              <w:t xml:space="preserve">OpEx</w:t>
            </w:r>
          </w:p>
        </w:tc>
      </w:tr>
      <w:tr>
        <w:trPr>
          <w:cantSplit/>
        </w:trPr>
        <w:tc>
          <w:tcPr>
            <w:tcMar>
              <w:top w:w="100" w:type="dxa"/>
              <w:bottom w:w="100" w:type="dxa"/>
              <w:left w:w="150" w:type="dxa"/>
              <w:right w:w="150" w:type="dxa"/>
            </w:tcMar>
            <w:vAlign w:val="center"/>
          </w:tcPr>
          <w:p>
            <w:pPr>
              <w:pStyle w:val="Compact"/>
              <w:jc w:val="left"/>
              <w:suppressAutoHyphens/>
            </w:pPr>
            <w:r>
              <w:t xml:space="preserve">ISO 21001</w:t>
            </w:r>
          </w:p>
        </w:tc>
        <w:tc>
          <w:tcPr>
            <w:tcMar>
              <w:top w:w="100" w:type="dxa"/>
              <w:bottom w:w="100" w:type="dxa"/>
              <w:left w:w="150" w:type="dxa"/>
              <w:right w:w="150" w:type="dxa"/>
            </w:tcMar>
            <w:vAlign w:val="center"/>
          </w:tcPr>
          <w:p>
            <w:pPr>
              <w:pStyle w:val="Compact"/>
              <w:jc w:val="left"/>
              <w:suppressAutoHyphens/>
            </w:pPr>
            <w:r>
              <w:t xml:space="preserve">$12,000 initial (Yr 3) + $3,500/yr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Gambia registration/trust/NAQAA (Stage 3 ceiling)</w:t>
            </w:r>
          </w:p>
        </w:tc>
        <w:tc>
          <w:tcPr>
            <w:tcMar>
              <w:top w:w="100" w:type="dxa"/>
              <w:bottom w:w="100" w:type="dxa"/>
              <w:left w:w="150" w:type="dxa"/>
              <w:right w:w="150" w:type="dxa"/>
            </w:tcMar>
            <w:vAlign w:val="center"/>
            <w:shd w:val="clear" w:color="auto" w:fill="F7F3E8"/>
          </w:tcPr>
          <w:p>
            <w:pPr>
              <w:pStyle w:val="Compact"/>
              <w:jc w:val="left"/>
              <w:suppressAutoHyphens/>
            </w:pPr>
            <w:r>
              <w:t xml:space="preserve">$50,000 total (Yr 2–4)</w:t>
            </w:r>
          </w:p>
        </w:tc>
        <w:tc>
          <w:tcPr>
            <w:tcMar>
              <w:top w:w="100" w:type="dxa"/>
              <w:bottom w:w="100" w:type="dxa"/>
              <w:left w:w="150" w:type="dxa"/>
              <w:right w:w="150" w:type="dxa"/>
            </w:tcMar>
            <w:vAlign w:val="center"/>
            <w:shd w:val="clear" w:color="auto" w:fill="F7F3E8"/>
          </w:tcPr>
          <w:p>
            <w:pPr>
              <w:pStyle w:val="Compact"/>
              <w:jc w:val="left"/>
              <w:suppressAutoHyphens/>
            </w:pPr>
            <w:r>
              <w:t xml:space="preserve">Liquidity Reserve (35%)</w:t>
            </w:r>
          </w:p>
        </w:tc>
      </w:tr>
      <w:tr>
        <w:trPr>
          <w:cantSplit/>
        </w:trPr>
        <w:tc>
          <w:tcPr>
            <w:tcMar>
              <w:top w:w="100" w:type="dxa"/>
              <w:bottom w:w="100" w:type="dxa"/>
              <w:left w:w="150" w:type="dxa"/>
              <w:right w:w="150" w:type="dxa"/>
            </w:tcMar>
            <w:vAlign w:val="center"/>
          </w:tcPr>
          <w:p>
            <w:pPr>
              <w:pStyle w:val="Compact"/>
              <w:jc w:val="left"/>
              <w:suppressAutoHyphens/>
            </w:pPr>
            <w:r>
              <w:t xml:space="preserve">Compliance coordinator time</w:t>
            </w:r>
          </w:p>
        </w:tc>
        <w:tc>
          <w:tcPr>
            <w:tcMar>
              <w:top w:w="100" w:type="dxa"/>
              <w:bottom w:w="100" w:type="dxa"/>
              <w:left w:w="150" w:type="dxa"/>
              <w:right w:w="150" w:type="dxa"/>
            </w:tcMar>
            <w:vAlign w:val="center"/>
          </w:tcPr>
          <w:p>
            <w:pPr>
              <w:pStyle w:val="Compact"/>
              <w:jc w:val="left"/>
              <w:suppressAutoHyphens/>
            </w:pPr>
            <w:r>
              <w:t xml:space="preserve">Embedded, no separate line</w:t>
            </w:r>
          </w:p>
        </w:tc>
        <w:tc>
          <w:tcPr>
            <w:tcMar>
              <w:top w:w="100" w:type="dxa"/>
              <w:bottom w:w="100" w:type="dxa"/>
              <w:left w:w="150" w:type="dxa"/>
              <w:right w:w="150" w:type="dxa"/>
            </w:tcMar>
            <w:vAlign w:val="center"/>
          </w:tcPr>
          <w:p>
            <w:pPr>
              <w:pStyle w:val="Compact"/>
              <w:jc w:val="left"/>
              <w:suppressAutoHyphens/>
            </w:pPr>
            <w:r>
              <w:t xml:space="preserve">Core Admin Staff (18% of Payroll)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Future secular-accreditor candidacy fees (Yr 11+)</w:t>
            </w:r>
          </w:p>
        </w:tc>
        <w:tc>
          <w:tcPr>
            <w:tcMar>
              <w:top w:w="100" w:type="dxa"/>
              <w:bottom w:w="100" w:type="dxa"/>
              <w:left w:w="150" w:type="dxa"/>
              <w:right w:w="150" w:type="dxa"/>
            </w:tcMar>
            <w:vAlign w:val="center"/>
            <w:shd w:val="clear" w:color="auto" w:fill="F7F3E8"/>
          </w:tcPr>
          <w:p>
            <w:pPr>
              <w:pStyle w:val="Compact"/>
              <w:jc w:val="left"/>
              <w:suppressAutoHyphens/>
            </w:pPr>
            <w:r>
              <w:t xml:space="preserve">Sized to that era’s OpEx/Liquidity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Period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Q1</w:t>
            </w:r>
          </w:p>
        </w:tc>
        <w:tc>
          <w:tcPr>
            <w:tcMar>
              <w:top w:w="100" w:type="dxa"/>
              <w:bottom w:w="100" w:type="dxa"/>
              <w:left w:w="150" w:type="dxa"/>
              <w:right w:w="150" w:type="dxa"/>
            </w:tcMar>
            <w:vAlign w:val="center"/>
            <w:shd w:val="clear" w:color="auto" w:fill="F7F3E8"/>
          </w:tcPr>
          <w:p>
            <w:pPr>
              <w:pStyle w:val="Compact"/>
              <w:jc w:val="left"/>
              <w:suppressAutoHyphens/>
            </w:pPr>
            <w:r>
              <w:t xml:space="preserve">IRS Form 990 preparation; TX registered-agent renewal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ISO 21001 surveillance audit window (post-Yr 3); CPD renewal filing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Q3</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 biennial re-certification (odd-numbered cycles) of Commercial Engine structures</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Ongoing</w:t>
            </w:r>
          </w:p>
        </w:tc>
        <w:tc>
          <w:tcPr>
            <w:tcMar>
              <w:top w:w="100" w:type="dxa"/>
              <w:bottom w:w="100" w:type="dxa"/>
              <w:left w:w="150" w:type="dxa"/>
              <w:right w:w="150" w:type="dxa"/>
            </w:tcMar>
            <w:vAlign w:val="center"/>
            <w:shd w:val="clear" w:color="auto" w:fill="F7F3E8"/>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Risk 11 (accreditation candidacy delay — mitigated by framing candidacy as reserve-funded, not survival-dependent), and Risk 15 (cybersecurity/data breach — see Section 36). Risk 15’s mitigation cost sits inside the existing LMS &amp; Technology Infrastructure line (5%) rather than a new budget category, since it is a technical-control matter, but it is scored and reviewed as a full register item, not handled as an operational matter with no Board-level visibility.</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Ultimate compliance accountability; approves Liquidity Reserve draws for Gambia/accreditation costs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calendar adherence; commissions independent legal-counsel opinions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academic-content compliance (TWC Ch.132 scope, future licensure-adjacent curricula)</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N/A directly, but reviewed for compliance of Waqf fund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jc w:val="both"/>
      </w:pPr>
      <w:r>
        <w:t xml:space="preserve">Scenario planning (conservative/expected/growth bands around one structural model, not three different budgets) is standard in nonprofit financial resilience planning.</w:t>
      </w:r>
    </w:p>
    <w:p>
      <w:pPr>
        <w:numPr>
          <w:ilvl w:val="0"/>
          <w:numId w:val="1029"/>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0"/>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Model Validation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Confirm actual revenue tracks within Conservative–Growth band</w:t>
            </w:r>
          </w:p>
        </w:tc>
      </w:tr>
      <w:tr>
        <w:trPr>
          <w:cantSplit/>
        </w:trPr>
        <w:tc>
          <w:tcPr>
            <w:tcMar>
              <w:top w:w="100" w:type="dxa"/>
              <w:bottom w:w="100" w:type="dxa"/>
              <w:left w:w="150" w:type="dxa"/>
              <w:right w:w="150" w:type="dxa"/>
            </w:tcMar>
            <w:vAlign w:val="center"/>
          </w:tcPr>
          <w:p>
            <w:pPr>
              <w:pStyle w:val="Compact"/>
              <w:jc w:val="left"/>
              <w:suppressAutoHyphens/>
            </w:pPr>
            <w:r>
              <w:t xml:space="preserve">II — Reserve Build</w:t>
            </w:r>
          </w:p>
        </w:tc>
        <w:tc>
          <w:tcPr>
            <w:tcMar>
              <w:top w:w="100" w:type="dxa"/>
              <w:bottom w:w="100" w:type="dxa"/>
              <w:left w:w="150" w:type="dxa"/>
              <w:right w:w="150" w:type="dxa"/>
            </w:tcMar>
            <w:vAlign w:val="center"/>
          </w:tcPr>
          <w:p>
            <w:pPr>
              <w:pStyle w:val="Compact"/>
              <w:jc w:val="left"/>
              <w:suppressAutoHyphens/>
            </w:pPr>
            <w:r>
              <w:t xml:space="preserve">2030–2034</w:t>
            </w:r>
          </w:p>
        </w:tc>
        <w:tc>
          <w:tcPr>
            <w:tcMar>
              <w:top w:w="100" w:type="dxa"/>
              <w:bottom w:w="100" w:type="dxa"/>
              <w:left w:w="150" w:type="dxa"/>
              <w:right w:w="150" w:type="dxa"/>
            </w:tcMar>
            <w:vAlign w:val="center"/>
          </w:tcPr>
          <w:p>
            <w:pPr>
              <w:pStyle w:val="Compact"/>
              <w:jc w:val="left"/>
              <w:suppressAutoHyphens/>
            </w:pPr>
            <w:r>
              <w:t xml:space="preserve">Liquidity Reserve and Strategic Business Reserve compound; first Gambia/accreditation draws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Decade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2035–2037</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audited zero-deficit track record completed — precondition for Year-11 secular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IV — Scaled Sustainability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1"/>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Exclusive tuition-setting authority; approves Liquidity Reserve draws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reconciliation-to-the-dollar; triggers Downside Review</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Reviews Payroll-line implications (Faculty Honoraria, Senate Stipends)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over Strategic Business Reserve investment discipline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2"/>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jc w:val="both"/>
      </w:pPr>
      <w:r>
        <w:t xml:space="preserve">Phased capital ceilings (a board-approved not-to-exceed figure before groundbreaking) rather than open-ended construction budgets — exactly the Gambia $50,000 model.</w:t>
      </w:r>
    </w:p>
    <w:p>
      <w:pPr>
        <w:numPr>
          <w:ilvl w:val="0"/>
          <w:numId w:val="1032"/>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Layout w:type="fixed"/>
      </w:tblPr>
      <w:tblGrid>
        <w:gridCol w:w="2776"/>
        <w:gridCol w:w="1760"/>
        <w:gridCol w:w="2141"/>
        <w:gridCol w:w="23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76" w:type="dxa"/>
          </w:tcPr>
          <w:p>
            <w:pPr>
              <w:pStyle w:val="Compact"/>
              <w:jc w:val="left"/>
            </w:pPr>
            <w:r>
              <w:rPr>
                <w:b/>
                <w:color w:val="FFFFFF"/>
                <w:caps/>
                <w:spacing w:val="4"/>
              </w:rPr>
              <w:t xml:space="preserve">Project</w:t>
            </w:r>
          </w:p>
        </w:tc>
        <w:tc>
          <w:tcPr>
            <w:shd w:val="clear" w:color="auto" w:fill="122A4E"/>
            <w:tcMar>
              <w:top w:w="130" w:type="dxa"/>
              <w:bottom w:w="130" w:type="dxa"/>
              <w:left w:w="150" w:type="dxa"/>
              <w:right w:w="150" w:type="dxa"/>
            </w:tcMar>
            <w:tcBorders>
              <w:bottom w:val="single" w:sz="16" w:space="0" w:color="B08625"/>
            </w:tcBorders>
            <w:vAlign w:val="center"/>
            <w:tcW w:w="1760"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14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2395"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Gambia Branch Campus build-out</w:t>
            </w:r>
          </w:p>
        </w:tc>
        <w:tc>
          <w:tcPr>
            <w:tcMar>
              <w:top w:w="100" w:type="dxa"/>
              <w:bottom w:w="100" w:type="dxa"/>
              <w:left w:w="150" w:type="dxa"/>
              <w:right w:w="150" w:type="dxa"/>
            </w:tcMar>
            <w:vAlign w:val="center"/>
            <w:shd w:val="clear" w:color="auto" w:fill="F7F3E8"/>
            <w:tcW w:w="1760" w:type="dxa"/>
          </w:tcPr>
          <w:p>
            <w:pPr>
              <w:pStyle w:val="Compact"/>
              <w:jc w:val="left"/>
            </w:pPr>
            <w:r>
              <w:t xml:space="preserve">Yr 2–4 (2029–2031)</w:t>
            </w:r>
          </w:p>
        </w:tc>
        <w:tc>
          <w:tcPr>
            <w:tcMar>
              <w:top w:w="100" w:type="dxa"/>
              <w:bottom w:w="100" w:type="dxa"/>
              <w:left w:w="150" w:type="dxa"/>
              <w:right w:w="150" w:type="dxa"/>
            </w:tcMar>
            <w:vAlign w:val="center"/>
            <w:shd w:val="clear" w:color="auto" w:fill="F7F3E8"/>
            <w:tcW w:w="2141" w:type="dxa"/>
          </w:tcPr>
          <w:p>
            <w:pPr>
              <w:pStyle w:val="Compact"/>
              <w:jc w:val="left"/>
            </w:pPr>
            <w:r>
              <w:t xml:space="preserve">University Liquidity Reserve (35% line)</w:t>
            </w:r>
          </w:p>
        </w:tc>
        <w:tc>
          <w:tcPr>
            <w:tcMar>
              <w:top w:w="100" w:type="dxa"/>
              <w:bottom w:w="100" w:type="dxa"/>
              <w:left w:w="150" w:type="dxa"/>
              <w:right w:w="150" w:type="dxa"/>
            </w:tcMar>
            <w:vAlign w:val="center"/>
            <w:shd w:val="clear" w:color="auto" w:fill="F7F3E8"/>
            <w:tcW w:w="2395" w:type="dxa"/>
          </w:tcPr>
          <w:p>
            <w:pPr>
              <w:pStyle w:val="Compact"/>
              <w:jc w:val="left"/>
            </w:pPr>
            <w:r>
              <w:t xml:space="preserve">$50,000 board-approved ceiling: registration $3,000, office lease $2,000, statutory trust capitalization $10,000, NAQAA accreditation $30,000, local counsel $5,000</w:t>
            </w:r>
          </w:p>
        </w:tc>
      </w:tr>
      <w:tr>
        <w:trPr>
          <w:cantSplit/>
        </w:trPr>
        <w:tc>
          <w:tcPr>
            <w:tcMar>
              <w:top w:w="100" w:type="dxa"/>
              <w:bottom w:w="100" w:type="dxa"/>
              <w:left w:w="150" w:type="dxa"/>
              <w:right w:w="150" w:type="dxa"/>
            </w:tcMar>
            <w:vAlign w:val="center"/>
            <w:tcW w:w="2776" w:type="dxa"/>
          </w:tcPr>
          <w:p>
            <w:pPr>
              <w:pStyle w:val="Compact"/>
              <w:jc w:val="left"/>
            </w:pPr>
            <w:r>
              <w:t xml:space="preserve">Nigeria Mega-University land/seed capital</w:t>
            </w:r>
          </w:p>
        </w:tc>
        <w:tc>
          <w:tcPr>
            <w:tcMar>
              <w:top w:w="100" w:type="dxa"/>
              <w:bottom w:w="100" w:type="dxa"/>
              <w:left w:w="150" w:type="dxa"/>
              <w:right w:w="150" w:type="dxa"/>
            </w:tcMar>
            <w:vAlign w:val="center"/>
            <w:tcW w:w="1760" w:type="dxa"/>
          </w:tcPr>
          <w:p>
            <w:pPr>
              <w:pStyle w:val="Compact"/>
              <w:jc w:val="left"/>
            </w:pPr>
            <w:r>
              <w:t xml:space="preserve">Yr 6+ (2033+), target maturity 2040s</w:t>
            </w:r>
          </w:p>
        </w:tc>
        <w:tc>
          <w:tcPr>
            <w:tcMar>
              <w:top w:w="100" w:type="dxa"/>
              <w:bottom w:w="100" w:type="dxa"/>
              <w:left w:w="150" w:type="dxa"/>
              <w:right w:w="150" w:type="dxa"/>
            </w:tcMar>
            <w:vAlign w:val="center"/>
            <w:tcW w:w="2141" w:type="dxa"/>
          </w:tcPr>
          <w:p>
            <w:pPr>
              <w:pStyle w:val="Compact"/>
              <w:jc w:val="left"/>
            </w:pPr>
            <w:r>
              <w:t xml:space="preserve">Waqf Nigeria Mega-University Reserve sub-line (20% of the 50% distributed Waqf pool = 2% of gross revenue; 10-yr cumulative ≈ $333,383)</w:t>
            </w:r>
          </w:p>
        </w:tc>
        <w:tc>
          <w:tcPr>
            <w:tcMar>
              <w:top w:w="100" w:type="dxa"/>
              <w:bottom w:w="100" w:type="dxa"/>
              <w:left w:w="150" w:type="dxa"/>
              <w:right w:w="150" w:type="dxa"/>
            </w:tcMar>
            <w:vAlign w:val="center"/>
            <w:tcW w:w="2395" w:type="dxa"/>
          </w:tcPr>
          <w:p>
            <w:pPr>
              <w:pStyle w:val="Compact"/>
              <w:jc w:val="left"/>
            </w:pPr>
            <w:r>
              <w:t xml:space="preserve">Framed per Risk 6 as a funding target, not a guarantee; delay does not affect University solvency</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Nigeria residential colleges/library (full build-out)</w:t>
            </w:r>
          </w:p>
        </w:tc>
        <w:tc>
          <w:tcPr>
            <w:tcMar>
              <w:top w:w="100" w:type="dxa"/>
              <w:bottom w:w="100" w:type="dxa"/>
              <w:left w:w="150" w:type="dxa"/>
              <w:right w:w="150" w:type="dxa"/>
            </w:tcMar>
            <w:vAlign w:val="center"/>
            <w:shd w:val="clear" w:color="auto" w:fill="F7F3E8"/>
            <w:tcW w:w="1760" w:type="dxa"/>
          </w:tcPr>
          <w:p>
            <w:pPr>
              <w:pStyle w:val="Compact"/>
              <w:jc w:val="left"/>
            </w:pPr>
            <w:r>
              <w:t xml:space="preserve">Post Yr 11 (2038+)</w:t>
            </w:r>
          </w:p>
        </w:tc>
        <w:tc>
          <w:tcPr>
            <w:tcMar>
              <w:top w:w="100" w:type="dxa"/>
              <w:bottom w:w="100" w:type="dxa"/>
              <w:left w:w="150" w:type="dxa"/>
              <w:right w:w="150" w:type="dxa"/>
            </w:tcMar>
            <w:vAlign w:val="center"/>
            <w:shd w:val="clear" w:color="auto" w:fill="F7F3E8"/>
            <w:tcW w:w="2141" w:type="dxa"/>
          </w:tcPr>
          <w:p>
            <w:pPr>
              <w:pStyle w:val="Compact"/>
              <w:jc w:val="left"/>
            </w:pPr>
            <w:r>
              <w:t xml:space="preserve">Waqf Nigeria Reserve continuing accrual + possible dedicated Waqf capital campaign</w:t>
            </w:r>
          </w:p>
        </w:tc>
        <w:tc>
          <w:tcPr>
            <w:tcMar>
              <w:top w:w="100" w:type="dxa"/>
              <w:bottom w:w="100" w:type="dxa"/>
              <w:left w:w="150" w:type="dxa"/>
              <w:right w:w="150" w:type="dxa"/>
            </w:tcMar>
            <w:vAlign w:val="center"/>
            <w:shd w:val="clear" w:color="auto" w:fill="F7F3E8"/>
            <w:tcW w:w="2395" w:type="dxa"/>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tcMar>
              <w:top w:w="100" w:type="dxa"/>
              <w:bottom w:w="100" w:type="dxa"/>
              <w:left w:w="150" w:type="dxa"/>
              <w:right w:w="150" w:type="dxa"/>
            </w:tcMar>
            <w:vAlign w:val="center"/>
            <w:tcW w:w="2776" w:type="dxa"/>
          </w:tcPr>
          <w:p>
            <w:pPr>
              <w:pStyle w:val="Compact"/>
              <w:jc w:val="left"/>
            </w:pPr>
            <w:r>
              <w:t xml:space="preserve">Future Tier-1-region facilities</w:t>
            </w:r>
          </w:p>
        </w:tc>
        <w:tc>
          <w:tcPr>
            <w:tcMar>
              <w:top w:w="100" w:type="dxa"/>
              <w:bottom w:w="100" w:type="dxa"/>
              <w:left w:w="150" w:type="dxa"/>
              <w:right w:w="150" w:type="dxa"/>
            </w:tcMar>
            <w:vAlign w:val="center"/>
            <w:tcW w:w="1760" w:type="dxa"/>
          </w:tcPr>
          <w:p>
            <w:pPr>
              <w:pStyle w:val="Compact"/>
              <w:jc w:val="left"/>
            </w:pPr>
            <w:r>
              <w:t xml:space="preserve">Yr 15+ (2042+), illustrative only</w:t>
            </w:r>
          </w:p>
        </w:tc>
        <w:tc>
          <w:tcPr>
            <w:tcMar>
              <w:top w:w="100" w:type="dxa"/>
              <w:bottom w:w="100" w:type="dxa"/>
              <w:left w:w="150" w:type="dxa"/>
              <w:right w:w="150" w:type="dxa"/>
            </w:tcMar>
            <w:vAlign w:val="center"/>
            <w:tcW w:w="2141" w:type="dxa"/>
          </w:tcPr>
          <w:p>
            <w:pPr>
              <w:pStyle w:val="Compact"/>
              <w:jc w:val="left"/>
            </w:pPr>
            <w:r>
              <w:t xml:space="preserve">Primarily Commercial Engine (Gate B real-estate acquisition, independently raised investor capital)</w:t>
            </w:r>
          </w:p>
        </w:tc>
        <w:tc>
          <w:tcPr>
            <w:tcMar>
              <w:top w:w="100" w:type="dxa"/>
              <w:bottom w:w="100" w:type="dxa"/>
              <w:left w:w="150" w:type="dxa"/>
              <w:right w:w="150" w:type="dxa"/>
            </w:tcMar>
            <w:vAlign w:val="center"/>
            <w:tcW w:w="2395" w:type="dxa"/>
          </w:tcPr>
          <w:p>
            <w:pPr>
              <w:pStyle w:val="Compact"/>
              <w:jc w:val="left"/>
            </w:pPr>
            <w:r>
              <w:t xml:space="preserve">University may only participate via fair-market-value lease-back, never capital contribution</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Accreditation-linked capital costs (ISO surveillance, future US secular-accreditor site visits)</w:t>
            </w:r>
          </w:p>
        </w:tc>
        <w:tc>
          <w:tcPr>
            <w:tcMar>
              <w:top w:w="100" w:type="dxa"/>
              <w:bottom w:w="100" w:type="dxa"/>
              <w:left w:w="150" w:type="dxa"/>
              <w:right w:w="150" w:type="dxa"/>
            </w:tcMar>
            <w:vAlign w:val="center"/>
            <w:shd w:val="clear" w:color="auto" w:fill="F7F3E8"/>
            <w:tcW w:w="1760" w:type="dxa"/>
          </w:tcPr>
          <w:p>
            <w:pPr>
              <w:pStyle w:val="Compact"/>
              <w:jc w:val="left"/>
            </w:pPr>
            <w:r>
              <w:t xml:space="preserve">Ongoing / Yr 11–12</w:t>
            </w:r>
          </w:p>
        </w:tc>
        <w:tc>
          <w:tcPr>
            <w:tcMar>
              <w:top w:w="100" w:type="dxa"/>
              <w:bottom w:w="100" w:type="dxa"/>
              <w:left w:w="150" w:type="dxa"/>
              <w:right w:w="150" w:type="dxa"/>
            </w:tcMar>
            <w:vAlign w:val="center"/>
            <w:shd w:val="clear" w:color="auto" w:fill="F7F3E8"/>
            <w:tcW w:w="2141" w:type="dxa"/>
          </w:tcPr>
          <w:p>
            <w:pPr>
              <w:pStyle w:val="Compact"/>
              <w:jc w:val="left"/>
            </w:pPr>
            <w:r>
              <w:t xml:space="preserve">OpEx (5%) for recurring; Liquidity Reserve for larger one-off candidacy costs</w:t>
            </w:r>
          </w:p>
        </w:tc>
        <w:tc>
          <w:tcPr>
            <w:tcMar>
              <w:top w:w="100" w:type="dxa"/>
              <w:bottom w:w="100" w:type="dxa"/>
              <w:left w:w="150" w:type="dxa"/>
              <w:right w:w="150" w:type="dxa"/>
            </w:tcMar>
            <w:vAlign w:val="center"/>
            <w:shd w:val="clear" w:color="auto" w:fill="F7F3E8"/>
            <w:tcW w:w="2395" w:type="dxa"/>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Gambia Build-out</w:t>
            </w:r>
          </w:p>
        </w:tc>
        <w:tc>
          <w:tcPr>
            <w:tcMar>
              <w:top w:w="100" w:type="dxa"/>
              <w:bottom w:w="100" w:type="dxa"/>
              <w:left w:w="150" w:type="dxa"/>
              <w:right w:w="150" w:type="dxa"/>
            </w:tcMar>
            <w:vAlign w:val="center"/>
            <w:shd w:val="clear" w:color="auto" w:fill="F7F3E8"/>
          </w:tcPr>
          <w:p>
            <w:pPr>
              <w:pStyle w:val="Compact"/>
              <w:jc w:val="left"/>
              <w:suppressAutoHyphens/>
            </w:pPr>
            <w:r>
              <w:t xml:space="preserve">2029–2031</w:t>
            </w:r>
          </w:p>
        </w:tc>
        <w:tc>
          <w:tcPr>
            <w:tcMar>
              <w:top w:w="100" w:type="dxa"/>
              <w:bottom w:w="100" w:type="dxa"/>
              <w:left w:w="150" w:type="dxa"/>
              <w:right w:w="150" w:type="dxa"/>
            </w:tcMar>
            <w:vAlign w:val="center"/>
            <w:shd w:val="clear" w:color="auto" w:fill="F7F3E8"/>
          </w:tcPr>
          <w:p>
            <w:pPr>
              <w:pStyle w:val="Compact"/>
              <w:jc w:val="left"/>
              <w:suppressAutoHyphens/>
            </w:pPr>
            <w:r>
              <w:t xml:space="preserve">$50,000 ceiling spent, NAQAA accreditation earned independently of Texas parent</w:t>
            </w:r>
          </w:p>
        </w:tc>
      </w:tr>
      <w:tr>
        <w:trPr>
          <w:cantSplit/>
        </w:trPr>
        <w:tc>
          <w:tcPr>
            <w:tcMar>
              <w:top w:w="100" w:type="dxa"/>
              <w:bottom w:w="100" w:type="dxa"/>
              <w:left w:w="150" w:type="dxa"/>
              <w:right w:w="150" w:type="dxa"/>
            </w:tcMar>
            <w:vAlign w:val="center"/>
          </w:tcPr>
          <w:p>
            <w:pPr>
              <w:pStyle w:val="Compact"/>
              <w:jc w:val="left"/>
              <w:suppressAutoHyphens/>
            </w:pPr>
            <w:r>
              <w:t xml:space="preserve">II — Nigeria Reserve Accrual</w:t>
            </w:r>
          </w:p>
        </w:tc>
        <w:tc>
          <w:tcPr>
            <w:tcMar>
              <w:top w:w="100" w:type="dxa"/>
              <w:bottom w:w="100" w:type="dxa"/>
              <w:left w:w="150" w:type="dxa"/>
              <w:right w:w="150" w:type="dxa"/>
            </w:tcMar>
            <w:vAlign w:val="center"/>
          </w:tcPr>
          <w:p>
            <w:pPr>
              <w:pStyle w:val="Compact"/>
              <w:jc w:val="left"/>
              <w:suppressAutoHyphens/>
            </w:pPr>
            <w:r>
              <w:t xml:space="preserve">2033–2037</w:t>
            </w:r>
          </w:p>
        </w:tc>
        <w:tc>
          <w:tcPr>
            <w:tcMar>
              <w:top w:w="100" w:type="dxa"/>
              <w:bottom w:w="100" w:type="dxa"/>
              <w:left w:w="150" w:type="dxa"/>
              <w:right w:w="150" w:type="dxa"/>
            </w:tcMar>
            <w:vAlign w:val="center"/>
          </w:tcPr>
          <w:p>
            <w:pPr>
              <w:pStyle w:val="Compact"/>
              <w:jc w:val="left"/>
              <w:suppressAutoHyphens/>
            </w:pPr>
            <w:r>
              <w:t xml:space="preserve">Waqf Nigeria sub-line compounds; feasibility study conducted, funded from 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Nigeria Capital Deployment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2038–2044 (indicative)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Land/seed capital deployed if Reserve + campaign sufficient; framed as target throughout</w:t>
            </w:r>
          </w:p>
        </w:tc>
      </w:tr>
      <w:tr>
        <w:trPr>
          <w:cantSplit/>
        </w:trPr>
        <w:tc>
          <w:tcPr>
            <w:tcMar>
              <w:top w:w="100" w:type="dxa"/>
              <w:bottom w:w="100" w:type="dxa"/>
              <w:left w:w="150" w:type="dxa"/>
              <w:right w:w="150" w:type="dxa"/>
            </w:tcMar>
            <w:vAlign w:val="center"/>
          </w:tcPr>
          <w:p>
            <w:pPr>
              <w:pStyle w:val="Compact"/>
              <w:jc w:val="left"/>
              <w:suppressAutoHyphens/>
            </w:pPr>
            <w:r>
              <w:t xml:space="preserve">IV — Tier-1 Facilities (illustrative)</w:t>
            </w:r>
          </w:p>
        </w:tc>
        <w:tc>
          <w:tcPr>
            <w:tcMar>
              <w:top w:w="100" w:type="dxa"/>
              <w:bottom w:w="100" w:type="dxa"/>
              <w:left w:w="150" w:type="dxa"/>
              <w:right w:w="150" w:type="dxa"/>
            </w:tcMar>
            <w:vAlign w:val="center"/>
          </w:tcPr>
          <w:p>
            <w:pPr>
              <w:pStyle w:val="Compact"/>
              <w:jc w:val="left"/>
              <w:suppressAutoHyphens/>
            </w:pPr>
            <w:r>
              <w:t xml:space="preserve">2042+</w:t>
            </w:r>
          </w:p>
        </w:tc>
        <w:tc>
          <w:tcPr>
            <w:tcMar>
              <w:top w:w="100" w:type="dxa"/>
              <w:bottom w:w="100" w:type="dxa"/>
              <w:left w:w="150" w:type="dxa"/>
              <w:right w:w="150" w:type="dxa"/>
            </w:tcMar>
            <w:vAlign w:val="center"/>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capital ceilings; enforces firewall on every project</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Audits source-of-funds tagging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No direct capital authority; informed of academic-capacity implications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owner of the Nigeria Reserve sub-line and any Waqf capital campaign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2027 (Dec 6)</w:t>
            </w:r>
          </w:p>
        </w:tc>
        <w:tc>
          <w:tcPr>
            <w:tcMar>
              <w:top w:w="100" w:type="dxa"/>
              <w:bottom w:w="100" w:type="dxa"/>
              <w:left w:w="150" w:type="dxa"/>
              <w:right w:w="150" w:type="dxa"/>
            </w:tcMar>
            <w:vAlign w:val="center"/>
            <w:shd w:val="clear" w:color="auto" w:fill="F7F3E8"/>
          </w:tcPr>
          <w:p>
            <w:pPr>
              <w:pStyle w:val="Compact"/>
              <w:jc w:val="left"/>
              <w:suppressAutoHyphens/>
            </w:pPr>
            <w:r>
              <w:t xml:space="preserve">Incorporation, Texas Nonprofit Corp, 501(c)(3) religious-exempt</w:t>
            </w:r>
          </w:p>
        </w:tc>
        <w:tc>
          <w:tcPr>
            <w:tcMar>
              <w:top w:w="100" w:type="dxa"/>
              <w:bottom w:w="100" w:type="dxa"/>
              <w:left w:w="150" w:type="dxa"/>
              <w:right w:w="150" w:type="dxa"/>
            </w:tcMar>
            <w:vAlign w:val="center"/>
            <w:shd w:val="clear" w:color="auto" w:fill="F7F3E8"/>
          </w:tcPr>
          <w:p>
            <w:pPr>
              <w:pStyle w:val="Compact"/>
              <w:jc w:val="left"/>
              <w:suppressAutoHyphens/>
            </w:pPr>
            <w:r>
              <w:t xml:space="preserve">3–5; 37</w:t>
            </w:r>
          </w:p>
        </w:tc>
      </w:tr>
      <w:tr>
        <w:trPr>
          <w:cantSplit/>
        </w:trPr>
        <w:tc>
          <w:tcPr>
            <w:tcMar>
              <w:top w:w="100" w:type="dxa"/>
              <w:bottom w:w="100" w:type="dxa"/>
              <w:left w:w="150" w:type="dxa"/>
              <w:right w:w="150" w:type="dxa"/>
            </w:tcMar>
            <w:vAlign w:val="center"/>
          </w:tcPr>
          <w:p>
            <w:pPr>
              <w:pStyle w:val="Compact"/>
              <w:jc w:val="left"/>
              <w:suppressAutoHyphens/>
            </w:pPr>
            <w:r>
              <w:t xml:space="preserve">2028 (Yr 1)</w:t>
            </w:r>
          </w:p>
        </w:tc>
        <w:tc>
          <w:tcPr>
            <w:tcMar>
              <w:top w:w="100" w:type="dxa"/>
              <w:bottom w:w="100" w:type="dxa"/>
              <w:left w:w="150" w:type="dxa"/>
              <w:right w:w="150" w:type="dxa"/>
            </w:tcMar>
            <w:vAlign w:val="center"/>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tcMar>
              <w:top w:w="100" w:type="dxa"/>
              <w:bottom w:w="100" w:type="dxa"/>
              <w:left w:w="150" w:type="dxa"/>
              <w:right w:w="150" w:type="dxa"/>
            </w:tcMar>
            <w:vAlign w:val="center"/>
          </w:tcPr>
          <w:p>
            <w:pPr>
              <w:pStyle w:val="Compact"/>
              <w:jc w:val="left"/>
              <w:suppressAutoHyphens/>
            </w:pPr>
            <w:r>
              <w:t xml:space="preserve">1–5; 36–38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2029 (Yr 2)</w:t>
            </w:r>
          </w:p>
        </w:tc>
        <w:tc>
          <w:tcPr>
            <w:tcMar>
              <w:top w:w="100" w:type="dxa"/>
              <w:bottom w:w="100" w:type="dxa"/>
              <w:left w:w="150" w:type="dxa"/>
              <w:right w:w="150" w:type="dxa"/>
            </w:tcMar>
            <w:vAlign w:val="center"/>
            <w:shd w:val="clear" w:color="auto" w:fill="F7F3E8"/>
          </w:tcPr>
          <w:p>
            <w:pPr>
              <w:pStyle w:val="Compact"/>
              <w:jc w:val="left"/>
              <w:suppressAutoHyphens/>
            </w:pPr>
            <w:r>
              <w:t xml:space="preserve">CPD accreditation achieved ($4,000 initial); Gambia Branch Campus Stage 3 begins ($50,000 ceiling)</w:t>
            </w:r>
          </w:p>
        </w:tc>
        <w:tc>
          <w:tcPr>
            <w:tcMar>
              <w:top w:w="100" w:type="dxa"/>
              <w:bottom w:w="100" w:type="dxa"/>
              <w:left w:w="150" w:type="dxa"/>
              <w:right w:w="150" w:type="dxa"/>
            </w:tcMar>
            <w:vAlign w:val="center"/>
            <w:shd w:val="clear" w:color="auto" w:fill="F7F3E8"/>
          </w:tcPr>
          <w:p>
            <w:pPr>
              <w:pStyle w:val="Compact"/>
              <w:jc w:val="left"/>
              <w:suppressAutoHyphens/>
            </w:pPr>
            <w:r>
              <w:t xml:space="preserve">19–20; 30; 37; 39</w:t>
            </w:r>
          </w:p>
        </w:tc>
      </w:tr>
      <w:tr>
        <w:trPr>
          <w:cantSplit/>
        </w:trPr>
        <w:tc>
          <w:tcPr>
            <w:tcMar>
              <w:top w:w="100" w:type="dxa"/>
              <w:bottom w:w="100" w:type="dxa"/>
              <w:left w:w="150" w:type="dxa"/>
              <w:right w:w="150" w:type="dxa"/>
            </w:tcMar>
            <w:vAlign w:val="center"/>
          </w:tcPr>
          <w:p>
            <w:pPr>
              <w:pStyle w:val="Compact"/>
              <w:jc w:val="left"/>
              <w:suppressAutoHyphens/>
            </w:pPr>
            <w:r>
              <w:t xml:space="preserve">2030 (Yr 3)</w:t>
            </w:r>
          </w:p>
        </w:tc>
        <w:tc>
          <w:tcPr>
            <w:tcMar>
              <w:top w:w="100" w:type="dxa"/>
              <w:bottom w:w="100" w:type="dxa"/>
              <w:left w:w="150" w:type="dxa"/>
              <w:right w:w="150" w:type="dxa"/>
            </w:tcMar>
            <w:vAlign w:val="center"/>
          </w:tcPr>
          <w:p>
            <w:pPr>
              <w:pStyle w:val="Compact"/>
              <w:jc w:val="left"/>
              <w:suppressAutoHyphens/>
            </w:pPr>
            <w:r>
              <w:t xml:space="preserve">ISO 21001 achieved ($12,000 initial); PhD tier launches; Senate succession plans documented for founder-linked seats 2–4 (Risk 12 closes)</w:t>
            </w:r>
          </w:p>
        </w:tc>
        <w:tc>
          <w:tcPr>
            <w:tcMar>
              <w:top w:w="100" w:type="dxa"/>
              <w:bottom w:w="100" w:type="dxa"/>
              <w:left w:w="150" w:type="dxa"/>
              <w:right w:w="150" w:type="dxa"/>
            </w:tcMar>
            <w:vAlign w:val="center"/>
          </w:tcPr>
          <w:p>
            <w:pPr>
              <w:pStyle w:val="Compact"/>
              <w:jc w:val="left"/>
              <w:suppressAutoHyphens/>
            </w:pPr>
            <w:r>
              <w:t xml:space="preserve">7; 16; 19–20; 36–37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2031 (Yr 4)</w:t>
            </w:r>
          </w:p>
        </w:tc>
        <w:tc>
          <w:tcPr>
            <w:tcMar>
              <w:top w:w="100" w:type="dxa"/>
              <w:bottom w:w="100" w:type="dxa"/>
              <w:left w:w="150" w:type="dxa"/>
              <w:right w:w="150" w:type="dxa"/>
            </w:tcMar>
            <w:vAlign w:val="center"/>
            <w:shd w:val="clear" w:color="auto" w:fill="F7F3E8"/>
          </w:tcPr>
          <w:p>
            <w:pPr>
              <w:pStyle w:val="Compact"/>
              <w:jc w:val="left"/>
              <w:suppressAutoHyphens/>
            </w:pPr>
            <w:r>
              <w:t xml:space="preserve">Gambia Branch Campus NAQAA-accredited, independent of Texas parent</w:t>
            </w:r>
          </w:p>
        </w:tc>
        <w:tc>
          <w:tcPr>
            <w:tcMar>
              <w:top w:w="100" w:type="dxa"/>
              <w:bottom w:w="100" w:type="dxa"/>
              <w:left w:w="150" w:type="dxa"/>
              <w:right w:w="150" w:type="dxa"/>
            </w:tcMar>
            <w:vAlign w:val="center"/>
            <w:shd w:val="clear" w:color="auto" w:fill="F7F3E8"/>
          </w:tcPr>
          <w:p>
            <w:pPr>
              <w:pStyle w:val="Compact"/>
              <w:jc w:val="left"/>
              <w:suppressAutoHyphens/>
            </w:pPr>
            <w:r>
              <w:t xml:space="preserve">30; 39</w:t>
            </w:r>
          </w:p>
        </w:tc>
      </w:tr>
      <w:tr>
        <w:trPr>
          <w:cantSplit/>
        </w:trPr>
        <w:tc>
          <w:tcPr>
            <w:tcMar>
              <w:top w:w="100" w:type="dxa"/>
              <w:bottom w:w="100" w:type="dxa"/>
              <w:left w:w="150" w:type="dxa"/>
              <w:right w:w="150" w:type="dxa"/>
            </w:tcMar>
            <w:vAlign w:val="center"/>
          </w:tcPr>
          <w:p>
            <w:pPr>
              <w:pStyle w:val="Compact"/>
              <w:jc w:val="left"/>
              <w:suppressAutoHyphens/>
            </w:pPr>
            <w:r>
              <w:t xml:space="preserve">2032 (Yr 5)</w:t>
            </w:r>
          </w:p>
        </w:tc>
        <w:tc>
          <w:tcPr>
            <w:tcMar>
              <w:top w:w="100" w:type="dxa"/>
              <w:bottom w:w="100" w:type="dxa"/>
              <w:left w:w="150" w:type="dxa"/>
              <w:right w:w="150" w:type="dxa"/>
            </w:tcMar>
            <w:vAlign w:val="center"/>
          </w:tcPr>
          <w:p>
            <w:pPr>
              <w:pStyle w:val="Compact"/>
              <w:jc w:val="left"/>
              <w:suppressAutoHyphens/>
            </w:pPr>
            <w:r>
              <w:t xml:space="preserve">3,493 students / $1,290,784 revenue; reserves compounding on schedule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2033 (Yr 6)</w:t>
            </w:r>
          </w:p>
        </w:tc>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 tier launches</w:t>
            </w:r>
          </w:p>
        </w:tc>
        <w:tc>
          <w:tcPr>
            <w:tcMar>
              <w:top w:w="100" w:type="dxa"/>
              <w:bottom w:w="100" w:type="dxa"/>
              <w:left w:w="150" w:type="dxa"/>
              <w:right w:w="150" w:type="dxa"/>
            </w:tcMar>
            <w:vAlign w:val="center"/>
            <w:shd w:val="clear" w:color="auto" w:fill="F7F3E8"/>
          </w:tcPr>
          <w:p>
            <w:pPr>
              <w:pStyle w:val="Compact"/>
              <w:jc w:val="left"/>
              <w:suppressAutoHyphens/>
            </w:pPr>
            <w:r>
              <w:t xml:space="preserve">7; 16</w:t>
            </w:r>
          </w:p>
        </w:tc>
      </w:tr>
      <w:tr>
        <w:trPr>
          <w:cantSplit/>
        </w:trPr>
        <w:tc>
          <w:tcPr>
            <w:tcMar>
              <w:top w:w="100" w:type="dxa"/>
              <w:bottom w:w="100" w:type="dxa"/>
              <w:left w:w="150" w:type="dxa"/>
              <w:right w:w="150" w:type="dxa"/>
            </w:tcMar>
            <w:vAlign w:val="center"/>
          </w:tcPr>
          <w:p>
            <w:pPr>
              <w:pStyle w:val="Compact"/>
              <w:jc w:val="left"/>
              <w:suppressAutoHyphens/>
            </w:pPr>
            <w:r>
              <w:t xml:space="preserve">2033–2036 (Yr 6–9)</w:t>
            </w:r>
          </w:p>
        </w:tc>
        <w:tc>
          <w:tcPr>
            <w:tcMar>
              <w:top w:w="100" w:type="dxa"/>
              <w:bottom w:w="100" w:type="dxa"/>
              <w:left w:w="150" w:type="dxa"/>
              <w:right w:w="150" w:type="dxa"/>
            </w:tcMar>
            <w:vAlign w:val="center"/>
          </w:tcPr>
          <w:p>
            <w:pPr>
              <w:pStyle w:val="Compact"/>
              <w:jc w:val="left"/>
              <w:suppressAutoHyphens/>
            </w:pPr>
            <w:r>
              <w:t xml:space="preserve">Risk/Compliance coordinator scales to 1.0 FTE; Nigeria feasibility study initiated; steady-state compliance cycle in force</w:t>
            </w:r>
          </w:p>
        </w:tc>
        <w:tc>
          <w:tcPr>
            <w:tcMar>
              <w:top w:w="100" w:type="dxa"/>
              <w:bottom w:w="100" w:type="dxa"/>
              <w:left w:w="150" w:type="dxa"/>
              <w:right w:w="150" w:type="dxa"/>
            </w:tcMar>
            <w:vAlign w:val="center"/>
          </w:tcPr>
          <w:p>
            <w:pPr>
              <w:pStyle w:val="Compact"/>
              <w:jc w:val="left"/>
              <w:suppressAutoHyphens/>
            </w:pPr>
            <w:r>
              <w:t xml:space="preserve">31; 36–39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2037 (Yr 10)</w:t>
            </w:r>
          </w:p>
        </w:tc>
        <w:tc>
          <w:tcPr>
            <w:tcMar>
              <w:top w:w="100" w:type="dxa"/>
              <w:bottom w:w="100" w:type="dxa"/>
              <w:left w:w="150" w:type="dxa"/>
              <w:right w:w="150" w:type="dxa"/>
            </w:tcMar>
            <w:vAlign w:val="center"/>
            <w:shd w:val="clear" w:color="auto" w:fill="F7F3E8"/>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tcMar>
              <w:top w:w="100" w:type="dxa"/>
              <w:bottom w:w="100" w:type="dxa"/>
              <w:left w:w="150" w:type="dxa"/>
              <w:right w:w="150" w:type="dxa"/>
            </w:tcMar>
            <w:vAlign w:val="center"/>
            <w:shd w:val="clear" w:color="auto" w:fill="F7F3E8"/>
          </w:tcPr>
          <w:p>
            <w:pPr>
              <w:pStyle w:val="Compact"/>
              <w:jc w:val="left"/>
              <w:suppressAutoHyphens/>
            </w:pPr>
            <w:r>
              <w:t xml:space="preserve">1; 31; 38–39</w:t>
            </w:r>
          </w:p>
        </w:tc>
      </w:tr>
      <w:tr>
        <w:trPr>
          <w:cantSplit/>
        </w:trPr>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Secular accreditation era begins: 28 secular programs (#72–99), 7 new schools, launch; revenue $8.36M; Risks 16–18 (licensure, NUC, Gulf recognition) formally added to register</w:t>
            </w:r>
          </w:p>
        </w:tc>
        <w:tc>
          <w:tcPr>
            <w:tcMar>
              <w:top w:w="100" w:type="dxa"/>
              <w:bottom w:w="100" w:type="dxa"/>
              <w:left w:w="150" w:type="dxa"/>
              <w:right w:w="150" w:type="dxa"/>
            </w:tcMar>
            <w:vAlign w:val="center"/>
          </w:tcPr>
          <w:p>
            <w:pPr>
              <w:pStyle w:val="Compact"/>
              <w:jc w:val="left"/>
              <w:suppressAutoHyphens/>
            </w:pPr>
            <w:r>
              <w:t xml:space="preserve">6–11; 19; 36–37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2039 (Yr 12)</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$14.6M; Texas secular accreditation targeted 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19; 37</w:t>
            </w:r>
          </w:p>
        </w:tc>
      </w:tr>
      <w:tr>
        <w:trPr>
          <w:cantSplit/>
        </w:trPr>
        <w:tc>
          <w:tcPr>
            <w:tcMar>
              <w:top w:w="100" w:type="dxa"/>
              <w:bottom w:w="100" w:type="dxa"/>
              <w:left w:w="150" w:type="dxa"/>
              <w:right w:w="150" w:type="dxa"/>
            </w:tcMar>
            <w:vAlign w:val="center"/>
          </w:tcPr>
          <w:p>
            <w:pPr>
              <w:pStyle w:val="Compact"/>
              <w:jc w:val="left"/>
              <w:suppressAutoHyphens/>
            </w:pPr>
            <w:r>
              <w:t xml:space="preserve">2040 (Yr 13)</w:t>
            </w:r>
          </w:p>
        </w:tc>
        <w:tc>
          <w:tcPr>
            <w:tcMar>
              <w:top w:w="100" w:type="dxa"/>
              <w:bottom w:w="100" w:type="dxa"/>
              <w:left w:w="150" w:type="dxa"/>
              <w:right w:w="150" w:type="dxa"/>
            </w:tcMar>
            <w:vAlign w:val="center"/>
          </w:tcPr>
          <w:p>
            <w:pPr>
              <w:pStyle w:val="Compact"/>
              <w:jc w:val="left"/>
              <w:suppressAutoHyphens/>
            </w:pPr>
            <w:r>
              <w:t xml:space="preserve">Revenue $22.7M; first Gulf ministry recognition targeted</w:t>
            </w:r>
          </w:p>
        </w:tc>
        <w:tc>
          <w:tcPr>
            <w:tcMar>
              <w:top w:w="100" w:type="dxa"/>
              <w:bottom w:w="100" w:type="dxa"/>
              <w:left w:w="150" w:type="dxa"/>
              <w:right w:w="150" w:type="dxa"/>
            </w:tcMar>
            <w:vAlign w:val="center"/>
          </w:tcPr>
          <w:p>
            <w:pPr>
              <w:pStyle w:val="Compact"/>
              <w:jc w:val="left"/>
              <w:suppressAutoHyphens/>
            </w:pPr>
            <w:r>
              <w:t xml:space="preserve">19; 32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2041 (Yr 14)</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$32.2M; Nigeria capital-deployment phase evaluated against Reserve sufficiency</w:t>
            </w:r>
          </w:p>
        </w:tc>
        <w:tc>
          <w:tcPr>
            <w:tcMar>
              <w:top w:w="100" w:type="dxa"/>
              <w:bottom w:w="100" w:type="dxa"/>
              <w:left w:w="150" w:type="dxa"/>
              <w:right w:w="150" w:type="dxa"/>
            </w:tcMar>
            <w:vAlign w:val="center"/>
            <w:shd w:val="clear" w:color="auto" w:fill="F7F3E8"/>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2042 (Yr 15)</w:t>
            </w:r>
          </w:p>
        </w:tc>
        <w:tc>
          <w:tcPr>
            <w:tcMar>
              <w:top w:w="100" w:type="dxa"/>
              <w:bottom w:w="100" w:type="dxa"/>
              <w:left w:w="150" w:type="dxa"/>
              <w:right w:w="150" w:type="dxa"/>
            </w:tcMar>
            <w:vAlign w:val="center"/>
          </w:tcPr>
          <w:p>
            <w:pPr>
              <w:pStyle w:val="Compact"/>
              <w:jc w:val="left"/>
              <w:suppressAutoHyphens/>
            </w:pPr>
            <w:r>
              <w:t xml:space="preserve">Revenue $43.1M; Vision trajectory re-forecast checkpoint; illustrative Tier-1-region Commercial Engine facilities phase begins (firewall-observant)</w:t>
            </w:r>
          </w:p>
        </w:tc>
        <w:tc>
          <w:tcPr>
            <w:tcMar>
              <w:top w:w="100" w:type="dxa"/>
              <w:bottom w:w="100" w:type="dxa"/>
              <w:left w:w="150" w:type="dxa"/>
              <w:right w:w="150" w:type="dxa"/>
            </w:tcMar>
            <w:vAlign w:val="center"/>
          </w:tcPr>
          <w:p>
            <w:pPr>
              <w:pStyle w:val="Compact"/>
              <w:jc w:val="left"/>
              <w:suppressAutoHyphens/>
            </w:pPr>
            <w:r>
              <w:t xml:space="preserve">1; 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2043–2046 (Yr 16–19)</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trajectory $54.8M → $86.1M; Nigeria Mega-University residential colleges/library targeted toward operational maturity</w:t>
            </w:r>
          </w:p>
        </w:tc>
        <w:tc>
          <w:tcPr>
            <w:tcMar>
              <w:top w:w="100" w:type="dxa"/>
              <w:bottom w:w="100" w:type="dxa"/>
              <w:left w:w="150" w:type="dxa"/>
              <w:right w:w="150" w:type="dxa"/>
            </w:tcMar>
            <w:vAlign w:val="center"/>
            <w:shd w:val="clear" w:color="auto" w:fill="F7F3E8"/>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2047 (Yr 20)</w:t>
            </w:r>
          </w:p>
        </w:tc>
        <w:tc>
          <w:tcPr>
            <w:tcMar>
              <w:top w:w="100" w:type="dxa"/>
              <w:bottom w:w="100" w:type="dxa"/>
              <w:left w:w="150" w:type="dxa"/>
              <w:right w:w="150" w:type="dxa"/>
            </w:tcMar>
            <w:vAlign w:val="center"/>
          </w:tcPr>
          <w:p>
            <w:pPr>
              <w:pStyle w:val="Compact"/>
              <w:jc w:val="left"/>
              <w:suppressAutoHyphens/>
            </w:pPr>
            <w:r>
              <w:t xml:space="preserve">Revenue $93.9M, within the $90–150M institutional-economy target; twenty-year audited firewall track record complete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tcMar>
              <w:top w:w="100" w:type="dxa"/>
              <w:bottom w:w="100" w:type="dxa"/>
              <w:left w:w="150" w:type="dxa"/>
              <w:right w:w="150" w:type="dxa"/>
            </w:tcMar>
            <w:vAlign w:val="center"/>
            <w:shd w:val="clear" w:color="auto" w:fill="F7F3E8"/>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Layout w:type="fixed"/>
      </w:tblPr>
      <w:tblGrid>
        <w:gridCol w:w="1092"/>
        <w:gridCol w:w="1758"/>
        <w:gridCol w:w="1903"/>
        <w:gridCol w:w="1647"/>
        <w:gridCol w:w="26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92"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58" w:type="dxa"/>
          </w:tcPr>
          <w:p>
            <w:pPr>
              <w:pStyle w:val="Compact"/>
              <w:jc w:val="left"/>
            </w:pPr>
            <w:r>
              <w:rPr>
                <w:b/>
                <w:color w:val="FFFFFF"/>
                <w:caps/>
                <w:spacing w:val="4"/>
              </w:rPr>
              <w:t xml:space="preserve">Calendar</w:t>
            </w:r>
          </w:p>
        </w:tc>
        <w:tc>
          <w:tcPr>
            <w:shd w:val="clear" w:color="auto" w:fill="122A4E"/>
            <w:tcMar>
              <w:top w:w="130" w:type="dxa"/>
              <w:bottom w:w="130" w:type="dxa"/>
              <w:left w:w="150" w:type="dxa"/>
              <w:right w:w="150" w:type="dxa"/>
            </w:tcMar>
            <w:tcBorders>
              <w:bottom w:val="single" w:sz="16" w:space="0" w:color="B08625"/>
            </w:tcBorders>
            <w:vAlign w:val="center"/>
            <w:tcW w:w="190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647" w:type="dxa"/>
          </w:tcPr>
          <w:p>
            <w:pPr>
              <w:pStyle w:val="Compact"/>
              <w:jc w:val="left"/>
            </w:pPr>
            <w:r>
              <w:rPr>
                <w:b/>
                <w:color w:val="FFFFFF"/>
                <w:caps/>
                <w:spacing w:val="4"/>
              </w:rPr>
              <w:t xml:space="preserve">Status</w:t>
            </w:r>
          </w:p>
        </w:tc>
        <w:tc>
          <w:tcPr>
            <w:shd w:val="clear" w:color="auto" w:fill="122A4E"/>
            <w:tcMar>
              <w:top w:w="130" w:type="dxa"/>
              <w:bottom w:w="130" w:type="dxa"/>
              <w:left w:w="150" w:type="dxa"/>
              <w:right w:w="150" w:type="dxa"/>
            </w:tcMar>
            <w:tcBorders>
              <w:bottom w:val="single" w:sz="16" w:space="0" w:color="B08625"/>
            </w:tcBorders>
            <w:vAlign w:val="center"/>
            <w:tcW w:w="2672" w:type="dxa"/>
          </w:tcPr>
          <w:p>
            <w:pPr>
              <w:pStyle w:val="Compact"/>
              <w:jc w:val="left"/>
            </w:pPr>
            <w:r>
              <w:rPr>
                <w:b/>
                <w:color w:val="FFFFFF"/>
                <w:caps/>
                <w:spacing w:val="4"/>
              </w:rPr>
              <w:t xml:space="preserve">What This Means</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1</w:t>
            </w:r>
          </w:p>
        </w:tc>
        <w:tc>
          <w:tcPr>
            <w:tcMar>
              <w:top w:w="100" w:type="dxa"/>
              <w:bottom w:w="100" w:type="dxa"/>
              <w:left w:w="150" w:type="dxa"/>
              <w:right w:w="150" w:type="dxa"/>
            </w:tcMar>
            <w:vAlign w:val="center"/>
            <w:shd w:val="clear" w:color="auto" w:fill="F7F3E8"/>
            <w:tcW w:w="1758" w:type="dxa"/>
          </w:tcPr>
          <w:p>
            <w:pPr>
              <w:pStyle w:val="Compact"/>
              <w:jc w:val="left"/>
            </w:pPr>
            <w:r>
              <w:t xml:space="preserve">2028</w:t>
            </w:r>
          </w:p>
        </w:tc>
        <w:tc>
          <w:tcPr>
            <w:tcMar>
              <w:top w:w="100" w:type="dxa"/>
              <w:bottom w:w="100" w:type="dxa"/>
              <w:left w:w="150" w:type="dxa"/>
              <w:right w:w="150" w:type="dxa"/>
            </w:tcMar>
            <w:vAlign w:val="center"/>
            <w:shd w:val="clear" w:color="auto" w:fill="F7F3E8"/>
            <w:tcW w:w="1903" w:type="dxa"/>
          </w:tcPr>
          <w:p>
            <w:pPr>
              <w:pStyle w:val="Compact"/>
              <w:jc w:val="left"/>
            </w:pPr>
            <w:r>
              <w:t xml:space="preserve">Foundation &amp; Struggle</w:t>
            </w:r>
          </w:p>
        </w:tc>
        <w:tc>
          <w:tcPr>
            <w:tcMar>
              <w:top w:w="100" w:type="dxa"/>
              <w:bottom w:w="100" w:type="dxa"/>
              <w:left w:w="150" w:type="dxa"/>
              <w:right w:w="150" w:type="dxa"/>
            </w:tcMar>
            <w:vAlign w:val="center"/>
            <w:shd w:val="clear" w:color="auto" w:fill="F7F3E8"/>
            <w:tcW w:w="1647" w:type="dxa"/>
          </w:tcPr>
          <w:p>
            <w:pPr>
              <w:pStyle w:val="Compact"/>
              <w:jc w:val="left"/>
            </w:pPr>
            <w:r>
              <w:t xml:space="preserve">RED</w:t>
            </w:r>
          </w:p>
        </w:tc>
        <w:tc>
          <w:tcPr>
            <w:tcMar>
              <w:top w:w="100" w:type="dxa"/>
              <w:bottom w:w="100" w:type="dxa"/>
              <w:left w:w="150" w:type="dxa"/>
              <w:right w:w="150" w:type="dxa"/>
            </w:tcMar>
            <w:vAlign w:val="center"/>
            <w:shd w:val="clear" w:color="auto" w:fill="F7F3E8"/>
            <w:tcW w:w="2672" w:type="dxa"/>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tcMar>
              <w:top w:w="100" w:type="dxa"/>
              <w:bottom w:w="100" w:type="dxa"/>
              <w:left w:w="150" w:type="dxa"/>
              <w:right w:w="150" w:type="dxa"/>
            </w:tcMar>
            <w:vAlign w:val="center"/>
            <w:tcW w:w="1092" w:type="dxa"/>
          </w:tcPr>
          <w:p>
            <w:pPr>
              <w:pStyle w:val="Compact"/>
              <w:jc w:val="left"/>
            </w:pPr>
            <w:r>
              <w:t xml:space="preserve">2</w:t>
            </w:r>
          </w:p>
        </w:tc>
        <w:tc>
          <w:tcPr>
            <w:tcMar>
              <w:top w:w="100" w:type="dxa"/>
              <w:bottom w:w="100" w:type="dxa"/>
              <w:left w:w="150" w:type="dxa"/>
              <w:right w:w="150" w:type="dxa"/>
            </w:tcMar>
            <w:vAlign w:val="center"/>
            <w:tcW w:w="1758" w:type="dxa"/>
          </w:tcPr>
          <w:p>
            <w:pPr>
              <w:pStyle w:val="Compact"/>
              <w:jc w:val="left"/>
            </w:pPr>
            <w:r>
              <w:t xml:space="preserve">2029</w:t>
            </w:r>
          </w:p>
        </w:tc>
        <w:tc>
          <w:tcPr>
            <w:tcMar>
              <w:top w:w="100" w:type="dxa"/>
              <w:bottom w:w="100" w:type="dxa"/>
              <w:left w:w="150" w:type="dxa"/>
              <w:right w:w="150" w:type="dxa"/>
            </w:tcMar>
            <w:vAlign w:val="center"/>
            <w:tcW w:w="1903" w:type="dxa"/>
          </w:tcPr>
          <w:p>
            <w:pPr>
              <w:pStyle w:val="Compact"/>
              <w:jc w:val="left"/>
            </w:pPr>
            <w:r>
              <w:t xml:space="preserve">Stabilization &amp; Survival</w:t>
            </w:r>
          </w:p>
        </w:tc>
        <w:tc>
          <w:tcPr>
            <w:tcMar>
              <w:top w:w="100" w:type="dxa"/>
              <w:bottom w:w="100" w:type="dxa"/>
              <w:left w:w="150" w:type="dxa"/>
              <w:right w:w="150" w:type="dxa"/>
            </w:tcMar>
            <w:vAlign w:val="center"/>
            <w:tcW w:w="1647" w:type="dxa"/>
          </w:tcPr>
          <w:p>
            <w:pPr>
              <w:pStyle w:val="Compact"/>
              <w:jc w:val="left"/>
            </w:pPr>
            <w:r>
              <w:t xml:space="preserve">RED</w:t>
            </w:r>
          </w:p>
        </w:tc>
        <w:tc>
          <w:tcPr>
            <w:tcMar>
              <w:top w:w="100" w:type="dxa"/>
              <w:bottom w:w="100" w:type="dxa"/>
              <w:left w:w="150" w:type="dxa"/>
              <w:right w:w="150" w:type="dxa"/>
            </w:tcMar>
            <w:vAlign w:val="center"/>
            <w:tcW w:w="2672" w:type="dxa"/>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3</w:t>
            </w:r>
          </w:p>
        </w:tc>
        <w:tc>
          <w:tcPr>
            <w:tcMar>
              <w:top w:w="100" w:type="dxa"/>
              <w:bottom w:w="100" w:type="dxa"/>
              <w:left w:w="150" w:type="dxa"/>
              <w:right w:w="150" w:type="dxa"/>
            </w:tcMar>
            <w:vAlign w:val="center"/>
            <w:shd w:val="clear" w:color="auto" w:fill="F7F3E8"/>
            <w:tcW w:w="1758" w:type="dxa"/>
          </w:tcPr>
          <w:p>
            <w:pPr>
              <w:pStyle w:val="Compact"/>
              <w:jc w:val="left"/>
            </w:pPr>
            <w:r>
              <w:t xml:space="preserve">2030</w:t>
            </w:r>
          </w:p>
        </w:tc>
        <w:tc>
          <w:tcPr>
            <w:tcMar>
              <w:top w:w="100" w:type="dxa"/>
              <w:bottom w:w="100" w:type="dxa"/>
              <w:left w:w="150" w:type="dxa"/>
              <w:right w:w="150" w:type="dxa"/>
            </w:tcMar>
            <w:vAlign w:val="center"/>
            <w:shd w:val="clear" w:color="auto" w:fill="F7F3E8"/>
            <w:tcW w:w="1903" w:type="dxa"/>
          </w:tcPr>
          <w:p>
            <w:pPr>
              <w:pStyle w:val="Compact"/>
              <w:jc w:val="left"/>
            </w:pPr>
            <w:r>
              <w:t xml:space="preserve">Controlled Growth</w:t>
            </w:r>
          </w:p>
        </w:tc>
        <w:tc>
          <w:tcPr>
            <w:tcMar>
              <w:top w:w="100" w:type="dxa"/>
              <w:bottom w:w="100" w:type="dxa"/>
              <w:left w:w="150" w:type="dxa"/>
              <w:right w:w="150" w:type="dxa"/>
            </w:tcMar>
            <w:vAlign w:val="center"/>
            <w:shd w:val="clear" w:color="auto" w:fill="F7F3E8"/>
            <w:tcW w:w="1647" w:type="dxa"/>
          </w:tcPr>
          <w:p>
            <w:pPr>
              <w:pStyle w:val="Compact"/>
              <w:jc w:val="left"/>
            </w:pPr>
            <w:r>
              <w:t xml:space="preserve">AMBER</w:t>
            </w:r>
          </w:p>
        </w:tc>
        <w:tc>
          <w:tcPr>
            <w:tcMar>
              <w:top w:w="100" w:type="dxa"/>
              <w:bottom w:w="100" w:type="dxa"/>
              <w:left w:w="150" w:type="dxa"/>
              <w:right w:w="150" w:type="dxa"/>
            </w:tcMar>
            <w:vAlign w:val="center"/>
            <w:shd w:val="clear" w:color="auto" w:fill="F7F3E8"/>
            <w:tcW w:w="2672" w:type="dxa"/>
          </w:tcPr>
          <w:p>
            <w:pPr>
              <w:pStyle w:val="Compact"/>
              <w:jc w:val="left"/>
            </w:pPr>
            <w:r>
              <w:t xml:space="preserve">Formation stack complete; still zero tuition increase assumed (AMIU-MP-001 §5.8 — no fee review before Year 4).</w:t>
            </w:r>
          </w:p>
        </w:tc>
      </w:tr>
      <w:tr>
        <w:trPr>
          <w:cantSplit/>
        </w:trPr>
        <w:tc>
          <w:tcPr>
            <w:tcMar>
              <w:top w:w="100" w:type="dxa"/>
              <w:bottom w:w="100" w:type="dxa"/>
              <w:left w:w="150" w:type="dxa"/>
              <w:right w:w="150" w:type="dxa"/>
            </w:tcMar>
            <w:vAlign w:val="center"/>
            <w:tcW w:w="1092" w:type="dxa"/>
          </w:tcPr>
          <w:p>
            <w:pPr>
              <w:pStyle w:val="Compact"/>
              <w:jc w:val="left"/>
            </w:pPr>
            <w:r>
              <w:t xml:space="preserve">4–5</w:t>
            </w:r>
          </w:p>
        </w:tc>
        <w:tc>
          <w:tcPr>
            <w:tcMar>
              <w:top w:w="100" w:type="dxa"/>
              <w:bottom w:w="100" w:type="dxa"/>
              <w:left w:w="150" w:type="dxa"/>
              <w:right w:w="150" w:type="dxa"/>
            </w:tcMar>
            <w:vAlign w:val="center"/>
            <w:tcW w:w="1758" w:type="dxa"/>
          </w:tcPr>
          <w:p>
            <w:pPr>
              <w:pStyle w:val="Compact"/>
              <w:jc w:val="left"/>
            </w:pPr>
            <w:r>
              <w:t xml:space="preserve">2031–2032</w:t>
            </w:r>
          </w:p>
        </w:tc>
        <w:tc>
          <w:tcPr>
            <w:tcMar>
              <w:top w:w="100" w:type="dxa"/>
              <w:bottom w:w="100" w:type="dxa"/>
              <w:left w:w="150" w:type="dxa"/>
              <w:right w:w="150" w:type="dxa"/>
            </w:tcMar>
            <w:vAlign w:val="center"/>
            <w:tcW w:w="1903" w:type="dxa"/>
          </w:tcPr>
          <w:p>
            <w:pPr>
              <w:pStyle w:val="Compact"/>
              <w:jc w:val="left"/>
            </w:pPr>
            <w:r>
              <w:t xml:space="preserve">Institutional Consolidation</w:t>
            </w:r>
          </w:p>
        </w:tc>
        <w:tc>
          <w:tcPr>
            <w:tcMar>
              <w:top w:w="100" w:type="dxa"/>
              <w:bottom w:w="100" w:type="dxa"/>
              <w:left w:w="150" w:type="dxa"/>
              <w:right w:w="150" w:type="dxa"/>
            </w:tcMar>
            <w:vAlign w:val="center"/>
            <w:tcW w:w="1647" w:type="dxa"/>
          </w:tcPr>
          <w:p>
            <w:pPr>
              <w:pStyle w:val="Compact"/>
              <w:jc w:val="left"/>
            </w:pPr>
            <w:r>
              <w:t xml:space="preserve">AMBER→GREEN</w:t>
            </w:r>
          </w:p>
        </w:tc>
        <w:tc>
          <w:tcPr>
            <w:tcMar>
              <w:top w:w="100" w:type="dxa"/>
              <w:bottom w:w="100" w:type="dxa"/>
              <w:left w:w="150" w:type="dxa"/>
              <w:right w:w="150" w:type="dxa"/>
            </w:tcMar>
            <w:vAlign w:val="center"/>
            <w:tcW w:w="2672" w:type="dxa"/>
          </w:tcPr>
          <w:p>
            <w:pPr>
              <w:pStyle w:val="Compact"/>
              <w:jc w:val="left"/>
            </w:pPr>
            <w:r>
              <w:t xml:space="preserve">First governance-approved fee review; Liquidity Reserve crosses $1.29M cumulative.</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6–10</w:t>
            </w:r>
          </w:p>
        </w:tc>
        <w:tc>
          <w:tcPr>
            <w:tcMar>
              <w:top w:w="100" w:type="dxa"/>
              <w:bottom w:w="100" w:type="dxa"/>
              <w:left w:w="150" w:type="dxa"/>
              <w:right w:w="150" w:type="dxa"/>
            </w:tcMar>
            <w:vAlign w:val="center"/>
            <w:shd w:val="clear" w:color="auto" w:fill="F7F3E8"/>
            <w:tcW w:w="1758" w:type="dxa"/>
          </w:tcPr>
          <w:p>
            <w:pPr>
              <w:pStyle w:val="Compact"/>
              <w:jc w:val="left"/>
            </w:pPr>
            <w:r>
              <w:t xml:space="preserve">2033–2037</w:t>
            </w:r>
          </w:p>
        </w:tc>
        <w:tc>
          <w:tcPr>
            <w:tcMar>
              <w:top w:w="100" w:type="dxa"/>
              <w:bottom w:w="100" w:type="dxa"/>
              <w:left w:w="150" w:type="dxa"/>
              <w:right w:w="150" w:type="dxa"/>
            </w:tcMar>
            <w:vAlign w:val="center"/>
            <w:shd w:val="clear" w:color="auto" w:fill="F7F3E8"/>
            <w:tcW w:w="1903" w:type="dxa"/>
          </w:tcPr>
          <w:p>
            <w:pPr>
              <w:pStyle w:val="Compact"/>
              <w:jc w:val="left"/>
            </w:pPr>
            <w:r>
              <w:t xml:space="preserve">Expansion</w:t>
            </w:r>
          </w:p>
        </w:tc>
        <w:tc>
          <w:tcPr>
            <w:tcMar>
              <w:top w:w="100" w:type="dxa"/>
              <w:bottom w:w="100" w:type="dxa"/>
              <w:left w:w="150" w:type="dxa"/>
              <w:right w:w="150" w:type="dxa"/>
            </w:tcMar>
            <w:vAlign w:val="center"/>
            <w:shd w:val="clear" w:color="auto" w:fill="F7F3E8"/>
            <w:tcW w:w="1647" w:type="dxa"/>
          </w:tcPr>
          <w:p>
            <w:pPr>
              <w:pStyle w:val="Compact"/>
              <w:jc w:val="left"/>
            </w:pPr>
            <w:r>
              <w:t xml:space="preserve">GREEN</w:t>
            </w:r>
          </w:p>
        </w:tc>
        <w:tc>
          <w:tcPr>
            <w:tcMar>
              <w:top w:w="100" w:type="dxa"/>
              <w:bottom w:w="100" w:type="dxa"/>
              <w:left w:w="150" w:type="dxa"/>
              <w:right w:w="150" w:type="dxa"/>
            </w:tcMar>
            <w:vAlign w:val="center"/>
            <w:shd w:val="clear" w:color="auto" w:fill="F7F3E8"/>
            <w:tcW w:w="2672" w:type="dxa"/>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Layout w:type="fixed"/>
      </w:tblPr>
      <w:tblGrid>
        <w:gridCol w:w="1014"/>
        <w:gridCol w:w="2265"/>
        <w:gridCol w:w="1901"/>
        <w:gridCol w:w="2174"/>
        <w:gridCol w:w="171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14" w:type="dxa"/>
          </w:tcPr>
          <w:p>
            <w:pPr>
              <w:pStyle w:val="Compact"/>
              <w:jc w:val="left"/>
            </w:pPr>
            <w:r>
              <w:rPr>
                <w:b/>
                <w:color w:val="FFFFFF"/>
                <w:caps/>
                <w:spacing w:val="4"/>
              </w:rPr>
              <w:t xml:space="preserve">Window</w:t>
            </w:r>
          </w:p>
        </w:tc>
        <w:tc>
          <w:tcPr>
            <w:shd w:val="clear" w:color="auto" w:fill="122A4E"/>
            <w:tcMar>
              <w:top w:w="130" w:type="dxa"/>
              <w:bottom w:w="130" w:type="dxa"/>
              <w:left w:w="150" w:type="dxa"/>
              <w:right w:w="150" w:type="dxa"/>
            </w:tcMar>
            <w:tcBorders>
              <w:bottom w:val="single" w:sz="16" w:space="0" w:color="B08625"/>
            </w:tcBorders>
            <w:vAlign w:val="center"/>
            <w:tcW w:w="2265" w:type="dxa"/>
          </w:tcPr>
          <w:p>
            <w:pPr>
              <w:pStyle w:val="Compact"/>
              <w:jc w:val="left"/>
            </w:pPr>
            <w:r>
              <w:rPr>
                <w:b/>
                <w:color w:val="FFFFFF"/>
                <w:caps/>
                <w:spacing w:val="4"/>
              </w:rPr>
              <w:t xml:space="preserve">Designation</w:t>
            </w:r>
          </w:p>
        </w:tc>
        <w:tc>
          <w:tcPr>
            <w:shd w:val="clear" w:color="auto" w:fill="122A4E"/>
            <w:tcMar>
              <w:top w:w="130" w:type="dxa"/>
              <w:bottom w:w="130" w:type="dxa"/>
              <w:left w:w="150" w:type="dxa"/>
              <w:right w:w="150" w:type="dxa"/>
            </w:tcMar>
            <w:tcBorders>
              <w:bottom w:val="single" w:sz="16" w:space="0" w:color="B08625"/>
            </w:tcBorders>
            <w:vAlign w:val="center"/>
            <w:tcW w:w="1901" w:type="dxa"/>
          </w:tcPr>
          <w:p>
            <w:pPr>
              <w:pStyle w:val="Compact"/>
              <w:jc w:val="left"/>
            </w:pPr>
            <w:r>
              <w:rPr>
                <w:b/>
                <w:color w:val="FFFFFF"/>
                <w:caps/>
                <w:spacing w:val="4"/>
              </w:rPr>
              <w:t xml:space="preserve">Acting Party</w:t>
            </w:r>
          </w:p>
        </w:tc>
        <w:tc>
          <w:tcPr>
            <w:shd w:val="clear" w:color="auto" w:fill="122A4E"/>
            <w:tcMar>
              <w:top w:w="130" w:type="dxa"/>
              <w:bottom w:w="130" w:type="dxa"/>
              <w:left w:w="150" w:type="dxa"/>
              <w:right w:w="150" w:type="dxa"/>
            </w:tcMar>
            <w:tcBorders>
              <w:bottom w:val="single" w:sz="16" w:space="0" w:color="B08625"/>
            </w:tcBorders>
            <w:vAlign w:val="center"/>
            <w:tcW w:w="2174" w:type="dxa"/>
          </w:tcPr>
          <w:p>
            <w:pPr>
              <w:pStyle w:val="Compact"/>
              <w:jc w:val="left"/>
            </w:pPr>
            <w:r>
              <w:rPr>
                <w:b/>
                <w:color w:val="FFFFFF"/>
                <w:caps/>
                <w:spacing w:val="4"/>
              </w:rPr>
              <w:t xml:space="preserve">Cost to Registrant</w:t>
            </w:r>
          </w:p>
        </w:tc>
        <w:tc>
          <w:tcPr>
            <w:shd w:val="clear" w:color="auto" w:fill="122A4E"/>
            <w:tcMar>
              <w:top w:w="130" w:type="dxa"/>
              <w:bottom w:w="130" w:type="dxa"/>
              <w:left w:w="150" w:type="dxa"/>
              <w:right w:w="150" w:type="dxa"/>
            </w:tcMar>
            <w:tcBorders>
              <w:bottom w:val="single" w:sz="16" w:space="0" w:color="B08625"/>
            </w:tcBorders>
            <w:vAlign w:val="center"/>
            <w:tcW w:w="1718" w:type="dxa"/>
          </w:tcPr>
          <w:p>
            <w:pPr>
              <w:pStyle w:val="Compact"/>
              <w:jc w:val="left"/>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F7F3E8"/>
            <w:tcW w:w="1014" w:type="dxa"/>
          </w:tcPr>
          <w:p>
            <w:pPr>
              <w:pStyle w:val="Compact"/>
              <w:jc w:val="left"/>
            </w:pPr>
            <w:r>
              <w:t xml:space="preserve">~Mid-2027 – 6 Dec 2027</w:t>
            </w:r>
          </w:p>
        </w:tc>
        <w:tc>
          <w:tcPr>
            <w:tcMar>
              <w:top w:w="100" w:type="dxa"/>
              <w:bottom w:w="100" w:type="dxa"/>
              <w:left w:w="150" w:type="dxa"/>
              <w:right w:w="150" w:type="dxa"/>
            </w:tcMar>
            <w:vAlign w:val="center"/>
            <w:shd w:val="clear" w:color="auto" w:fill="F7F3E8"/>
            <w:tcW w:w="2265" w:type="dxa"/>
          </w:tcPr>
          <w:p>
            <w:pPr>
              <w:pStyle w:val="Compact"/>
              <w:jc w:val="left"/>
            </w:pPr>
            <w:r>
              <w:t xml:space="preserve">Founding Registration &amp; Outreach</w:t>
            </w:r>
          </w:p>
        </w:tc>
        <w:tc>
          <w:tcPr>
            <w:tcMar>
              <w:top w:w="100" w:type="dxa"/>
              <w:bottom w:w="100" w:type="dxa"/>
              <w:left w:w="150" w:type="dxa"/>
              <w:right w:w="150" w:type="dxa"/>
            </w:tcMar>
            <w:vAlign w:val="center"/>
            <w:shd w:val="clear" w:color="auto" w:fill="F7F3E8"/>
            <w:tcW w:w="1901" w:type="dxa"/>
          </w:tcPr>
          <w:p>
            <w:pPr>
              <w:pStyle w:val="Compact"/>
              <w:jc w:val="left"/>
            </w:pPr>
            <w:r>
              <w:t xml:space="preserve">Founding Committee (pre-incorporation; trustees-designate, in a founding rather than institutional capacity)</w:t>
            </w:r>
          </w:p>
        </w:tc>
        <w:tc>
          <w:tcPr>
            <w:tcMar>
              <w:top w:w="100" w:type="dxa"/>
              <w:bottom w:w="100" w:type="dxa"/>
              <w:left w:w="150" w:type="dxa"/>
              <w:right w:w="150" w:type="dxa"/>
            </w:tcMar>
            <w:vAlign w:val="center"/>
            <w:shd w:val="clear" w:color="auto" w:fill="F7F3E8"/>
            <w:tcW w:w="2174" w:type="dxa"/>
          </w:tcPr>
          <w:p>
            <w:pPr>
              <w:pStyle w:val="Compact"/>
              <w:jc w:val="left"/>
            </w:pPr>
            <w:r>
              <w:t xml:space="preserve">Free — registration of interest only; no admission decision issued</w:t>
            </w:r>
          </w:p>
        </w:tc>
        <w:tc>
          <w:tcPr>
            <w:tcMar>
              <w:top w:w="100" w:type="dxa"/>
              <w:bottom w:w="100" w:type="dxa"/>
              <w:left w:w="150" w:type="dxa"/>
              <w:right w:w="150" w:type="dxa"/>
            </w:tcMar>
            <w:vAlign w:val="center"/>
            <w:shd w:val="clear" w:color="auto" w:fill="F7F3E8"/>
            <w:tcW w:w="1718" w:type="dxa"/>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tcMar>
              <w:top w:w="100" w:type="dxa"/>
              <w:bottom w:w="100" w:type="dxa"/>
              <w:left w:w="150" w:type="dxa"/>
              <w:right w:w="150" w:type="dxa"/>
            </w:tcMar>
            <w:vAlign w:val="center"/>
            <w:tcW w:w="1014" w:type="dxa"/>
          </w:tcPr>
          <w:p>
            <w:pPr>
              <w:pStyle w:val="Compact"/>
              <w:jc w:val="left"/>
            </w:pPr>
            <w:r>
              <w:t xml:space="preserve">6 Dec 2027 – 31 Dec 2027</w:t>
            </w:r>
          </w:p>
        </w:tc>
        <w:tc>
          <w:tcPr>
            <w:tcMar>
              <w:top w:w="100" w:type="dxa"/>
              <w:bottom w:w="100" w:type="dxa"/>
              <w:left w:w="150" w:type="dxa"/>
              <w:right w:w="150" w:type="dxa"/>
            </w:tcMar>
            <w:vAlign w:val="center"/>
            <w:tcW w:w="2265" w:type="dxa"/>
          </w:tcPr>
          <w:p>
            <w:pPr>
              <w:pStyle w:val="Compact"/>
              <w:jc w:val="left"/>
            </w:pPr>
            <w:r>
              <w:t xml:space="preserve">Incorporation-to-Launch Bridge</w:t>
            </w:r>
          </w:p>
        </w:tc>
        <w:tc>
          <w:tcPr>
            <w:tcMar>
              <w:top w:w="100" w:type="dxa"/>
              <w:bottom w:w="100" w:type="dxa"/>
              <w:left w:w="150" w:type="dxa"/>
              <w:right w:w="150" w:type="dxa"/>
            </w:tcMar>
            <w:vAlign w:val="center"/>
            <w:tcW w:w="1901" w:type="dxa"/>
          </w:tcPr>
          <w:p>
            <w:pPr>
              <w:pStyle w:val="Compact"/>
              <w:jc w:val="left"/>
            </w:pPr>
            <w:r>
              <w:t xml:space="preserve">AMIU (newly incorporated)</w:t>
            </w:r>
          </w:p>
        </w:tc>
        <w:tc>
          <w:tcPr>
            <w:tcMar>
              <w:top w:w="100" w:type="dxa"/>
              <w:bottom w:w="100" w:type="dxa"/>
              <w:left w:w="150" w:type="dxa"/>
              <w:right w:w="150" w:type="dxa"/>
            </w:tcMar>
            <w:vAlign w:val="center"/>
            <w:tcW w:w="2174" w:type="dxa"/>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tcMar>
              <w:top w:w="100" w:type="dxa"/>
              <w:bottom w:w="100" w:type="dxa"/>
              <w:left w:w="150" w:type="dxa"/>
              <w:right w:w="150" w:type="dxa"/>
            </w:tcMar>
            <w:vAlign w:val="center"/>
            <w:tcW w:w="1718" w:type="dxa"/>
          </w:tcPr>
          <w:p>
            <w:pPr>
              <w:pStyle w:val="Compact"/>
              <w:jc w:val="left"/>
            </w:pPr>
            <w:r>
              <w:t xml:space="preserve">Convert the registration pipeline into verified, fee-eligible applications; fund admissions-office setup ahead of Day 1</w:t>
            </w:r>
          </w:p>
        </w:tc>
      </w:tr>
      <w:tr>
        <w:trPr>
          <w:cantSplit/>
        </w:trPr>
        <w:tc>
          <w:tcPr>
            <w:tcMar>
              <w:top w:w="100" w:type="dxa"/>
              <w:bottom w:w="100" w:type="dxa"/>
              <w:left w:w="150" w:type="dxa"/>
              <w:right w:w="150" w:type="dxa"/>
            </w:tcMar>
            <w:vAlign w:val="center"/>
            <w:shd w:val="clear" w:color="auto" w:fill="F7F3E8"/>
            <w:tcW w:w="1014" w:type="dxa"/>
          </w:tcPr>
          <w:p>
            <w:pPr>
              <w:pStyle w:val="Compact"/>
              <w:jc w:val="left"/>
            </w:pPr>
            <w:r>
              <w:t xml:space="preserve">1 Jan 2028 →</w:t>
            </w:r>
          </w:p>
        </w:tc>
        <w:tc>
          <w:tcPr>
            <w:tcMar>
              <w:top w:w="100" w:type="dxa"/>
              <w:bottom w:w="100" w:type="dxa"/>
              <w:left w:w="150" w:type="dxa"/>
              <w:right w:w="150" w:type="dxa"/>
            </w:tcMar>
            <w:vAlign w:val="center"/>
            <w:shd w:val="clear" w:color="auto" w:fill="F7F3E8"/>
            <w:tcW w:w="2265" w:type="dxa"/>
          </w:tcPr>
          <w:p>
            <w:pPr>
              <w:pStyle w:val="Compact"/>
              <w:jc w:val="left"/>
            </w:pPr>
            <w:r>
              <w:t xml:space="preserve">Founding Academic Year</w:t>
            </w:r>
          </w:p>
        </w:tc>
        <w:tc>
          <w:tcPr>
            <w:tcMar>
              <w:top w:w="100" w:type="dxa"/>
              <w:bottom w:w="100" w:type="dxa"/>
              <w:left w:w="150" w:type="dxa"/>
              <w:right w:w="150" w:type="dxa"/>
            </w:tcMar>
            <w:vAlign w:val="center"/>
            <w:shd w:val="clear" w:color="auto" w:fill="F7F3E8"/>
            <w:tcW w:w="1901" w:type="dxa"/>
          </w:tcPr>
          <w:p>
            <w:pPr>
              <w:pStyle w:val="Compact"/>
              <w:jc w:val="left"/>
            </w:pPr>
            <w:r>
              <w:t xml:space="preserve">AMIU</w:t>
            </w:r>
          </w:p>
        </w:tc>
        <w:tc>
          <w:tcPr>
            <w:tcMar>
              <w:top w:w="100" w:type="dxa"/>
              <w:bottom w:w="100" w:type="dxa"/>
              <w:left w:w="150" w:type="dxa"/>
              <w:right w:w="150" w:type="dxa"/>
            </w:tcMar>
            <w:vAlign w:val="center"/>
            <w:shd w:val="clear" w:color="auto" w:fill="F7F3E8"/>
            <w:tcW w:w="2174" w:type="dxa"/>
          </w:tcPr>
          <w:p>
            <w:pPr>
              <w:pStyle w:val="Compact"/>
              <w:jc w:val="left"/>
            </w:pPr>
            <w:r>
              <w:t xml:space="preserve">Full Section 2 tuition architecture; the Founding Cohort incentive stack of AMIU-MP-001 §15 (15% upfront discount, 10%→15% affiliate commission in the first 90 days)</w:t>
            </w:r>
          </w:p>
        </w:tc>
        <w:tc>
          <w:tcPr>
            <w:tcMar>
              <w:top w:w="100" w:type="dxa"/>
              <w:bottom w:w="100" w:type="dxa"/>
              <w:left w:w="150" w:type="dxa"/>
              <w:right w:w="150" w:type="dxa"/>
            </w:tcMar>
            <w:vAlign w:val="center"/>
            <w:shd w:val="clear" w:color="auto" w:fill="F7F3E8"/>
            <w:tcW w:w="1718" w:type="dxa"/>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suppressAutoHyphens/>
            </w:pP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Standard Split (20% of Distributed Half)</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Reweighted for Yrs 1–2 (50% of Distributed Half)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Year 1 Scholarship Block ($22,475 distributed)</w:t>
            </w:r>
          </w:p>
        </w:tc>
        <w:tc>
          <w:tcPr>
            <w:tcMar>
              <w:top w:w="100" w:type="dxa"/>
              <w:bottom w:w="100" w:type="dxa"/>
              <w:left w:w="150" w:type="dxa"/>
              <w:right w:w="150" w:type="dxa"/>
            </w:tcMar>
            <w:vAlign w:val="center"/>
            <w:shd w:val="clear" w:color="auto" w:fill="F7F3E8"/>
          </w:tcPr>
          <w:p>
            <w:pPr>
              <w:pStyle w:val="Compact"/>
              <w:jc w:val="left"/>
              <w:suppressAutoHyphens/>
            </w:pPr>
            <w:r>
              <w:t xml:space="preserve">$4,495</w:t>
            </w:r>
          </w:p>
        </w:tc>
        <w:tc>
          <w:tcPr>
            <w:tcMar>
              <w:top w:w="100" w:type="dxa"/>
              <w:bottom w:w="100" w:type="dxa"/>
              <w:left w:w="150" w:type="dxa"/>
              <w:right w:w="150" w:type="dxa"/>
            </w:tcMar>
            <w:vAlign w:val="center"/>
            <w:shd w:val="clear" w:color="auto" w:fill="F7F3E8"/>
          </w:tcPr>
          <w:p>
            <w:pPr>
              <w:pStyle w:val="Compact"/>
              <w:jc w:val="left"/>
              <w:suppressAutoHyphens/>
            </w:pPr>
            <w:r>
              <w:t xml:space="preserve">$11,238</w:t>
            </w:r>
          </w:p>
        </w:tc>
      </w:tr>
      <w:tr>
        <w:trPr>
          <w:cantSplit/>
        </w:trPr>
        <w:tc>
          <w:tcPr>
            <w:tcMar>
              <w:top w:w="100" w:type="dxa"/>
              <w:bottom w:w="100" w:type="dxa"/>
              <w:left w:w="150" w:type="dxa"/>
              <w:right w:w="150" w:type="dxa"/>
            </w:tcMar>
            <w:vAlign w:val="center"/>
          </w:tcPr>
          <w:p>
            <w:pPr>
              <w:pStyle w:val="Compact"/>
              <w:jc w:val="left"/>
              <w:suppressAutoHyphens/>
            </w:pPr>
            <w:r>
              <w:t xml:space="preserve">Year 2 Scholarship Block ($45,139 distributed)</w:t>
            </w:r>
          </w:p>
        </w:tc>
        <w:tc>
          <w:tcPr>
            <w:tcMar>
              <w:top w:w="100" w:type="dxa"/>
              <w:bottom w:w="100" w:type="dxa"/>
              <w:left w:w="150" w:type="dxa"/>
              <w:right w:w="150" w:type="dxa"/>
            </w:tcMar>
            <w:vAlign w:val="center"/>
          </w:tcPr>
          <w:p>
            <w:pPr>
              <w:pStyle w:val="Compact"/>
              <w:jc w:val="left"/>
              <w:suppressAutoHyphens/>
            </w:pPr>
            <w:r>
              <w:t xml:space="preserve">$9,028</w:t>
            </w:r>
          </w:p>
        </w:tc>
        <w:tc>
          <w:tcPr>
            <w:tcMar>
              <w:top w:w="100" w:type="dxa"/>
              <w:bottom w:w="100" w:type="dxa"/>
              <w:left w:w="150" w:type="dxa"/>
              <w:right w:w="150" w:type="dxa"/>
            </w:tcMar>
            <w:vAlign w:val="center"/>
          </w:tcPr>
          <w:p>
            <w:pPr>
              <w:pStyle w:val="Compact"/>
              <w:jc w:val="left"/>
              <w:suppressAutoHyphens/>
            </w:pPr>
            <w:r>
              <w:t xml:space="preserve">$22,570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Two-Year Total</w:t>
            </w:r>
          </w:p>
        </w:tc>
        <w:tc>
          <w:tcPr>
            <w:tcMar>
              <w:top w:w="100" w:type="dxa"/>
              <w:bottom w:w="100" w:type="dxa"/>
              <w:left w:w="150" w:type="dxa"/>
              <w:right w:w="150" w:type="dxa"/>
            </w:tcMar>
            <w:vAlign w:val="center"/>
            <w:shd w:val="clear" w:color="auto" w:fill="F7F3E8"/>
          </w:tcPr>
          <w:p>
            <w:pPr>
              <w:pStyle w:val="Compact"/>
              <w:jc w:val="left"/>
              <w:suppressAutoHyphens/>
            </w:pPr>
            <w:r>
              <w:t xml:space="preserve">$13,523</w:t>
            </w:r>
          </w:p>
        </w:tc>
        <w:tc>
          <w:tcPr>
            <w:tcMar>
              <w:top w:w="100" w:type="dxa"/>
              <w:bottom w:w="100" w:type="dxa"/>
              <w:left w:w="150" w:type="dxa"/>
              <w:right w:w="150" w:type="dxa"/>
            </w:tcMar>
            <w:vAlign w:val="center"/>
            <w:shd w:val="clear" w:color="auto" w:fill="F7F3E8"/>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Layout w:type="fixed"/>
      </w:tblPr>
      <w:tblGrid>
        <w:gridCol w:w="1866"/>
        <w:gridCol w:w="2640"/>
        <w:gridCol w:w="2273"/>
        <w:gridCol w:w="22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66" w:type="dxa"/>
          </w:tcPr>
          <w:p>
            <w:pPr>
              <w:pStyle w:val="Compact"/>
            </w:pPr>
          </w:p>
        </w:tc>
        <w:tc>
          <w:tcPr>
            <w:shd w:val="clear" w:color="auto" w:fill="122A4E"/>
            <w:tcMar>
              <w:top w:w="130" w:type="dxa"/>
              <w:bottom w:w="130" w:type="dxa"/>
              <w:left w:w="150" w:type="dxa"/>
              <w:right w:w="150" w:type="dxa"/>
            </w:tcMar>
            <w:tcBorders>
              <w:bottom w:val="single" w:sz="16" w:space="0" w:color="B08625"/>
            </w:tcBorders>
            <w:vAlign w:val="center"/>
            <w:tcW w:w="2640" w:type="dxa"/>
          </w:tcPr>
          <w:p>
            <w:pPr>
              <w:pStyle w:val="Compact"/>
              <w:jc w:val="left"/>
            </w:pPr>
            <w:r>
              <w:rPr>
                <w:b/>
                <w:color w:val="FFFFFF"/>
                <w:caps/>
                <w:spacing w:val="4"/>
              </w:rPr>
              <w:t xml:space="preserve">Low Estimate (Tier 3 Associate, $340/seat)</w:t>
            </w:r>
          </w:p>
        </w:tc>
        <w:tc>
          <w:tcPr>
            <w:shd w:val="clear" w:color="auto" w:fill="122A4E"/>
            <w:tcMar>
              <w:top w:w="130" w:type="dxa"/>
              <w:bottom w:w="130" w:type="dxa"/>
              <w:left w:w="150" w:type="dxa"/>
              <w:right w:w="150" w:type="dxa"/>
            </w:tcMar>
            <w:tcBorders>
              <w:bottom w:val="single" w:sz="16" w:space="0" w:color="B08625"/>
            </w:tcBorders>
            <w:vAlign w:val="center"/>
            <w:tcW w:w="2273" w:type="dxa"/>
          </w:tcPr>
          <w:p>
            <w:pPr>
              <w:pStyle w:val="Compact"/>
              <w:jc w:val="left"/>
            </w:pPr>
            <w:r>
              <w:rPr>
                <w:b/>
                <w:color w:val="FFFFFF"/>
                <w:caps/>
                <w:spacing w:val="4"/>
              </w:rPr>
              <w:t xml:space="preserve">Blended Estimate ($175/seat)</w:t>
            </w:r>
          </w:p>
        </w:tc>
        <w:tc>
          <w:tcPr>
            <w:shd w:val="clear" w:color="auto" w:fill="122A4E"/>
            <w:tcMar>
              <w:top w:w="130" w:type="dxa"/>
              <w:bottom w:w="130" w:type="dxa"/>
              <w:left w:w="150" w:type="dxa"/>
              <w:right w:w="150" w:type="dxa"/>
            </w:tcMar>
            <w:tcBorders>
              <w:bottom w:val="single" w:sz="16" w:space="0" w:color="B08625"/>
            </w:tcBorders>
            <w:vAlign w:val="center"/>
            <w:tcW w:w="2293" w:type="dxa"/>
          </w:tcPr>
          <w:p>
            <w:pPr>
              <w:pStyle w:val="Compact"/>
              <w:jc w:val="left"/>
            </w:pPr>
            <w:r>
              <w:rPr>
                <w:b/>
                <w:color w:val="FFFFFF"/>
                <w:caps/>
                <w:spacing w:val="4"/>
              </w:rPr>
              <w:t xml:space="preserve">High Estimate (Tier 4 Diploma, $80/seat)</w:t>
            </w:r>
          </w:p>
        </w:tc>
      </w:tr>
      <w:tr>
        <w:trPr>
          <w:cantSplit/>
        </w:trPr>
        <w:tc>
          <w:tcPr>
            <w:tcMar>
              <w:top w:w="100" w:type="dxa"/>
              <w:bottom w:w="100" w:type="dxa"/>
              <w:left w:w="150" w:type="dxa"/>
              <w:right w:w="150" w:type="dxa"/>
            </w:tcMar>
            <w:vAlign w:val="center"/>
            <w:shd w:val="clear" w:color="auto" w:fill="F7F3E8"/>
            <w:tcW w:w="1866" w:type="dxa"/>
          </w:tcPr>
          <w:p>
            <w:pPr>
              <w:pStyle w:val="Compact"/>
              <w:jc w:val="left"/>
            </w:pPr>
            <w:r>
              <w:t xml:space="preserve">Year 1 (~33 to ~140 seats)</w:t>
            </w:r>
          </w:p>
        </w:tc>
        <w:tc>
          <w:tcPr>
            <w:tcMar>
              <w:top w:w="100" w:type="dxa"/>
              <w:bottom w:w="100" w:type="dxa"/>
              <w:left w:w="150" w:type="dxa"/>
              <w:right w:w="150" w:type="dxa"/>
            </w:tcMar>
            <w:vAlign w:val="center"/>
            <w:shd w:val="clear" w:color="auto" w:fill="F7F3E8"/>
            <w:tcW w:w="2640" w:type="dxa"/>
          </w:tcPr>
          <w:p>
            <w:pPr>
              <w:pStyle w:val="Compact"/>
              <w:jc w:val="left"/>
            </w:pPr>
            <w:r>
              <w:t xml:space="preserve">33</w:t>
            </w:r>
          </w:p>
        </w:tc>
        <w:tc>
          <w:tcPr>
            <w:tcMar>
              <w:top w:w="100" w:type="dxa"/>
              <w:bottom w:w="100" w:type="dxa"/>
              <w:left w:w="150" w:type="dxa"/>
              <w:right w:w="150" w:type="dxa"/>
            </w:tcMar>
            <w:vAlign w:val="center"/>
            <w:shd w:val="clear" w:color="auto" w:fill="F7F3E8"/>
            <w:tcW w:w="2273" w:type="dxa"/>
          </w:tcPr>
          <w:p>
            <w:pPr>
              <w:pStyle w:val="Compact"/>
              <w:jc w:val="left"/>
            </w:pPr>
            <w:r>
              <w:t xml:space="preserve">64</w:t>
            </w:r>
          </w:p>
        </w:tc>
        <w:tc>
          <w:tcPr>
            <w:tcMar>
              <w:top w:w="100" w:type="dxa"/>
              <w:bottom w:w="100" w:type="dxa"/>
              <w:left w:w="150" w:type="dxa"/>
              <w:right w:w="150" w:type="dxa"/>
            </w:tcMar>
            <w:vAlign w:val="center"/>
            <w:shd w:val="clear" w:color="auto" w:fill="F7F3E8"/>
            <w:tcW w:w="2293" w:type="dxa"/>
          </w:tcPr>
          <w:p>
            <w:pPr>
              <w:pStyle w:val="Compact"/>
              <w:jc w:val="left"/>
            </w:pPr>
            <w:r>
              <w:t xml:space="preserve">140</w:t>
            </w:r>
          </w:p>
        </w:tc>
      </w:tr>
      <w:tr>
        <w:trPr>
          <w:cantSplit/>
        </w:trPr>
        <w:tc>
          <w:tcPr>
            <w:tcMar>
              <w:top w:w="100" w:type="dxa"/>
              <w:bottom w:w="100" w:type="dxa"/>
              <w:left w:w="150" w:type="dxa"/>
              <w:right w:w="150" w:type="dxa"/>
            </w:tcMar>
            <w:vAlign w:val="center"/>
            <w:tcW w:w="1866" w:type="dxa"/>
          </w:tcPr>
          <w:p>
            <w:pPr>
              <w:pStyle w:val="Compact"/>
              <w:jc w:val="left"/>
            </w:pPr>
            <w:r>
              <w:t xml:space="preserve">Year 2 (~66 to ~282 seats)</w:t>
            </w:r>
          </w:p>
        </w:tc>
        <w:tc>
          <w:tcPr>
            <w:tcMar>
              <w:top w:w="100" w:type="dxa"/>
              <w:bottom w:w="100" w:type="dxa"/>
              <w:left w:w="150" w:type="dxa"/>
              <w:right w:w="150" w:type="dxa"/>
            </w:tcMar>
            <w:vAlign w:val="center"/>
            <w:tcW w:w="2640" w:type="dxa"/>
          </w:tcPr>
          <w:p>
            <w:pPr>
              <w:pStyle w:val="Compact"/>
              <w:jc w:val="left"/>
            </w:pPr>
            <w:r>
              <w:t xml:space="preserve">66</w:t>
            </w:r>
          </w:p>
        </w:tc>
        <w:tc>
          <w:tcPr>
            <w:tcMar>
              <w:top w:w="100" w:type="dxa"/>
              <w:bottom w:w="100" w:type="dxa"/>
              <w:left w:w="150" w:type="dxa"/>
              <w:right w:w="150" w:type="dxa"/>
            </w:tcMar>
            <w:vAlign w:val="center"/>
            <w:tcW w:w="2273" w:type="dxa"/>
          </w:tcPr>
          <w:p>
            <w:pPr>
              <w:pStyle w:val="Compact"/>
              <w:jc w:val="left"/>
            </w:pPr>
            <w:r>
              <w:t xml:space="preserve">129</w:t>
            </w:r>
          </w:p>
        </w:tc>
        <w:tc>
          <w:tcPr>
            <w:tcMar>
              <w:top w:w="100" w:type="dxa"/>
              <w:bottom w:w="100" w:type="dxa"/>
              <w:left w:w="150" w:type="dxa"/>
              <w:right w:w="150" w:type="dxa"/>
            </w:tcMar>
            <w:vAlign w:val="center"/>
            <w:tcW w:w="2293" w:type="dxa"/>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Emergency Relief sub-line deferred in Years 1–2 leaves a mission-specific buffer thin</w:t>
            </w:r>
          </w:p>
        </w:tc>
        <w:tc>
          <w:tcPr>
            <w:tcMar>
              <w:top w:w="100" w:type="dxa"/>
              <w:bottom w:w="100" w:type="dxa"/>
              <w:left w:w="150" w:type="dxa"/>
              <w:right w:w="150" w:type="dxa"/>
            </w:tcMar>
            <w:vAlign w:val="center"/>
            <w:shd w:val="clear" w:color="auto" w:fill="F7F3E8"/>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tcMar>
              <w:top w:w="100" w:type="dxa"/>
              <w:bottom w:w="100" w:type="dxa"/>
              <w:left w:w="150" w:type="dxa"/>
              <w:right w:w="150" w:type="dxa"/>
            </w:tcMar>
            <w:vAlign w:val="center"/>
          </w:tcPr>
          <w:p>
            <w:pPr>
              <w:pStyle w:val="Compact"/>
              <w:jc w:val="left"/>
              <w:suppressAutoHyphens/>
            </w:pPr>
            <w:r>
              <w:t xml:space="preserve">Nigeria Reserve deferred in Years 1–2</w:t>
            </w:r>
          </w:p>
        </w:tc>
        <w:tc>
          <w:tcPr>
            <w:tcMar>
              <w:top w:w="100" w:type="dxa"/>
              <w:bottom w:w="100" w:type="dxa"/>
              <w:left w:w="150" w:type="dxa"/>
              <w:right w:w="150" w:type="dxa"/>
            </w:tcMar>
            <w:vAlign w:val="center"/>
          </w:tcPr>
          <w:p>
            <w:pPr>
              <w:pStyle w:val="Compact"/>
              <w:jc w:val="left"/>
              <w:suppressAutoHyphens/>
            </w:pPr>
            <w:r>
              <w:t xml:space="preserve">No effect on the funding target, which is Year 10 (§6.2.1) — eight years of runway remain to rebuild the sub-line from Year 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Registration pipeline overperforms, creating expectations the Founding Scholarship pool cannot meet at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tcMar>
              <w:top w:w="100" w:type="dxa"/>
              <w:bottom w:w="100" w:type="dxa"/>
              <w:left w:w="150" w:type="dxa"/>
              <w:right w:w="150" w:type="dxa"/>
            </w:tcMar>
            <w:vAlign w:val="center"/>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tcMar>
              <w:top w:w="100" w:type="dxa"/>
              <w:bottom w:w="100" w:type="dxa"/>
              <w:left w:w="150" w:type="dxa"/>
              <w:right w:w="150" w:type="dxa"/>
            </w:tcMar>
            <w:vAlign w:val="center"/>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(or declines) the illustrative bridge-phase fee; retains exclusive tuition-setting authority (§11.3)</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Registrar / Admissions (Section 14)</w:t>
            </w:r>
          </w:p>
        </w:tc>
        <w:tc>
          <w:tcPr>
            <w:tcMar>
              <w:top w:w="100" w:type="dxa"/>
              <w:bottom w:w="100" w:type="dxa"/>
              <w:left w:w="150" w:type="dxa"/>
              <w:right w:w="150" w:type="dxa"/>
            </w:tcMar>
            <w:vAlign w:val="center"/>
            <w:shd w:val="clear" w:color="auto" w:fill="F7F3E8"/>
          </w:tcPr>
          <w:p>
            <w:pPr>
              <w:pStyle w:val="Compact"/>
              <w:jc w:val="left"/>
              <w:suppressAutoHyphens/>
            </w:pPr>
            <w:r>
              <w:t xml:space="preserve">Administers Founding Registration and the transition to formal admissions</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Source Serif 4" w:hAnsi="Source Serif 4"/>
                <w:i/>
                <w:smallCaps/>
                <w:color w:val="B08625"/>
                <w:b/>
                <w:sz w:val="18"/>
                <w:spacing w:val="10"/>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This Blueprint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AMIU-MP-001 Reference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Relationship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§10–11 (Governance: University Senate &amp; Delegation of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committee structure, elections, and succession beneath the fixed 18-seat charter</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tcMar>
              <w:top w:w="100" w:type="dxa"/>
              <w:bottom w:w="100" w:type="dxa"/>
              <w:left w:w="150" w:type="dxa"/>
              <w:right w:w="150" w:type="dxa"/>
            </w:tcMar>
            <w:vAlign w:val="center"/>
          </w:tcPr>
          <w:p>
            <w:pPr>
              <w:pStyle w:val="Compact"/>
              <w:jc w:val="left"/>
              <w:suppressAutoHyphens/>
            </w:pPr>
            <w:r>
              <w:t xml:space="preserve">§1 (Academic Credit-Hour Architecture)</w:t>
            </w:r>
          </w:p>
        </w:tc>
        <w:tc>
          <w:tcPr>
            <w:tcMar>
              <w:top w:w="100" w:type="dxa"/>
              <w:bottom w:w="100" w:type="dxa"/>
              <w:left w:w="150" w:type="dxa"/>
              <w:right w:w="150" w:type="dxa"/>
            </w:tcMar>
            <w:vAlign w:val="center"/>
          </w:tcPr>
          <w:p>
            <w:pPr>
              <w:pStyle w:val="Compact"/>
              <w:jc w:val="left"/>
              <w:suppressAutoHyphens/>
            </w:pPr>
            <w:r>
              <w:t xml:space="preserve">Operationalizes staffing, college, department, and faculty-rank structure beneath the 71-program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tcMar>
              <w:top w:w="100" w:type="dxa"/>
              <w:bottom w:w="100" w:type="dxa"/>
              <w:left w:w="150" w:type="dxa"/>
              <w:right w:w="150" w:type="dxa"/>
            </w:tcMar>
            <w:vAlign w:val="center"/>
            <w:shd w:val="clear" w:color="auto" w:fill="F7F3E8"/>
          </w:tcPr>
          <w:p>
            <w:pPr>
              <w:pStyle w:val="Compact"/>
              <w:jc w:val="left"/>
              <w:suppressAutoHyphens/>
            </w:pPr>
            <w:r>
              <w:t xml:space="preserve">§1–3 (Academic Architecture, Tuition &amp; Fees, Scholarships)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admissions, curriculum mapping, and recruitment beneath fixed CH totals and tuition tiers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tcMar>
              <w:top w:w="100" w:type="dxa"/>
              <w:bottom w:w="100" w:type="dxa"/>
              <w:left w:w="150" w:type="dxa"/>
              <w:right w:w="150" w:type="dxa"/>
            </w:tcMar>
            <w:vAlign w:val="center"/>
          </w:tcPr>
          <w:p>
            <w:pPr>
              <w:pStyle w:val="Compact"/>
              <w:jc w:val="left"/>
              <w:suppressAutoHyphens/>
            </w:pPr>
            <w:r>
              <w:t xml:space="preserve">§9.4 (ISO 21001 &amp; CPD), §9.3 (Gambia), §16 (Twenty-Year Horizon)</w:t>
            </w:r>
          </w:p>
        </w:tc>
        <w:tc>
          <w:tcPr>
            <w:tcMar>
              <w:top w:w="100" w:type="dxa"/>
              <w:bottom w:w="100" w:type="dxa"/>
              <w:left w:w="150" w:type="dxa"/>
              <w:right w:w="150" w:type="dxa"/>
            </w:tcMar>
            <w:vAlign w:val="center"/>
          </w:tcPr>
          <w:p>
            <w:pPr>
              <w:pStyle w:val="Compact"/>
              <w:jc w:val="left"/>
              <w:suppressAutoHyphens/>
            </w:pPr>
            <w:r>
              <w:t xml:space="preserve">Operationalizes the accreditation pipeline within its adopted sequencing and cost figures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tcMar>
              <w:top w:w="100" w:type="dxa"/>
              <w:bottom w:w="100" w:type="dxa"/>
              <w:left w:w="150" w:type="dxa"/>
              <w:right w:w="150" w:type="dxa"/>
            </w:tcMar>
            <w:vAlign w:val="center"/>
            <w:shd w:val="clear" w:color="auto" w:fill="F7F3E8"/>
          </w:tcPr>
          <w:p>
            <w:pPr>
              <w:pStyle w:val="Compact"/>
              <w:jc w:val="left"/>
              <w:suppressAutoHyphens/>
            </w:pPr>
            <w:r>
              <w:t xml:space="preserve">§5.4 (LMS &amp; Tech allocation), §6 (Waqf &amp; Endowment)</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digital infrastructure and Waqf development within fixed allocation lines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tcMar>
              <w:top w:w="100" w:type="dxa"/>
              <w:bottom w:w="100" w:type="dxa"/>
              <w:left w:w="150" w:type="dxa"/>
              <w:right w:w="150" w:type="dxa"/>
            </w:tcMar>
            <w:vAlign w:val="center"/>
          </w:tcPr>
          <w:p>
            <w:pPr>
              <w:pStyle w:val="Compact"/>
              <w:jc w:val="left"/>
              <w:suppressAutoHyphens/>
            </w:pPr>
            <w:r>
              <w:t xml:space="preserve">§2–3 (Tuition &amp; Fees, Scholarships), §5.4 (Marketing allocation)</w:t>
            </w:r>
          </w:p>
        </w:tc>
        <w:tc>
          <w:tcPr>
            <w:tcMar>
              <w:top w:w="100" w:type="dxa"/>
              <w:bottom w:w="100" w:type="dxa"/>
              <w:left w:w="150" w:type="dxa"/>
              <w:right w:w="150" w:type="dxa"/>
            </w:tcMar>
            <w:vAlign w:val="center"/>
          </w:tcPr>
          <w:p>
            <w:pPr>
              <w:pStyle w:val="Compact"/>
              <w:jc w:val="left"/>
              <w:suppressAutoHyphens/>
            </w:pPr>
            <w:r>
              <w:t xml:space="preserve">Operationalizes scholarship, marketing, and branding execution within fixed tuition and allocation architecture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§6.2.1 (Nigeria Mega-University), §9.3 (Gambia Branch)</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regional expansion within Waqf &amp; Stakeholder Reserve sub-lines and Board-approved ceilings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tcMar>
              <w:top w:w="100" w:type="dxa"/>
              <w:bottom w:w="100" w:type="dxa"/>
              <w:left w:w="150" w:type="dxa"/>
              <w:right w:w="150" w:type="dxa"/>
            </w:tcMar>
            <w:vAlign w:val="center"/>
          </w:tcPr>
          <w:p>
            <w:pPr>
              <w:pStyle w:val="Compact"/>
              <w:jc w:val="left"/>
              <w:suppressAutoHyphens/>
            </w:pPr>
            <w:r>
              <w:t xml:space="preserve">§14 (Risk Register), §5 (Financial Audit), §16 (Twenty-Year Horizon), §3 &amp; §6.3 (Scholarship &amp; External Waqf Donor Contributions)</w:t>
            </w:r>
          </w:p>
        </w:tc>
        <w:tc>
          <w:tcPr>
            <w:tcMar>
              <w:top w:w="100" w:type="dxa"/>
              <w:bottom w:w="100" w:type="dxa"/>
              <w:left w:w="150" w:type="dxa"/>
              <w:right w:w="150" w:type="dxa"/>
            </w:tcMar>
            <w:vAlign w:val="center"/>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Exhibit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Status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Constitution and 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B</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Program Syllabi — All 71 Named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D</w:t>
            </w:r>
          </w:p>
        </w:tc>
        <w:tc>
          <w:tcPr>
            <w:tcMar>
              <w:top w:w="100" w:type="dxa"/>
              <w:bottom w:w="100" w:type="dxa"/>
              <w:left w:w="150" w:type="dxa"/>
              <w:right w:w="150" w:type="dxa"/>
            </w:tcMar>
            <w:vAlign w:val="center"/>
          </w:tcPr>
          <w:p>
            <w:pPr>
              <w:pStyle w:val="Compact"/>
              <w:jc w:val="left"/>
              <w:suppressAutoHyphens/>
            </w:pPr>
            <w:r>
              <w:t xml:space="preserve">AMIU Global Services LLC — Offering Documents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Charter</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F–G</w:t>
            </w:r>
          </w:p>
        </w:tc>
        <w:tc>
          <w:tcPr>
            <w:tcMar>
              <w:top w:w="100" w:type="dxa"/>
              <w:bottom w:w="100" w:type="dxa"/>
              <w:left w:w="150" w:type="dxa"/>
              <w:right w:w="150" w:type="dxa"/>
            </w:tcMar>
            <w:vAlign w:val="center"/>
          </w:tcPr>
          <w:p>
            <w:pPr>
              <w:pStyle w:val="Compact"/>
              <w:jc w:val="left"/>
              <w:suppressAutoHyphens/>
            </w:pPr>
            <w:r>
              <w:t xml:space="preserve">Certificates of Formation — University &amp; LLC (Texas)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w:t>
            </w:r>
          </w:p>
        </w:tc>
        <w:tc>
          <w:tcPr>
            <w:tcMar>
              <w:top w:w="100" w:type="dxa"/>
              <w:bottom w:w="100" w:type="dxa"/>
              <w:left w:w="150" w:type="dxa"/>
              <w:right w:w="150" w:type="dxa"/>
            </w:tcMar>
            <w:vAlign w:val="center"/>
            <w:shd w:val="clear" w:color="auto" w:fill="F7F3E8"/>
          </w:tcPr>
          <w:p>
            <w:pPr>
              <w:pStyle w:val="Compact"/>
              <w:jc w:val="left"/>
              <w:suppressAutoHyphens/>
            </w:pPr>
            <w:r>
              <w:t xml:space="preserve">IRS Form 1023 Application — 501(c)(3) Status</w:t>
            </w:r>
          </w:p>
        </w:tc>
        <w:tc>
          <w:tcPr>
            <w:tcMar>
              <w:top w:w="100" w:type="dxa"/>
              <w:bottom w:w="100" w:type="dxa"/>
              <w:left w:w="150" w:type="dxa"/>
              <w:right w:w="150" w:type="dxa"/>
            </w:tcMar>
            <w:vAlign w:val="center"/>
            <w:shd w:val="clear" w:color="auto" w:fill="F7F3E8"/>
          </w:tcPr>
          <w:p>
            <w:pPr>
              <w:pStyle w:val="Compact"/>
              <w:jc w:val="left"/>
              <w:suppressAutoHyphens/>
            </w:pPr>
            <w:r>
              <w:t xml:space="preserve">Filed / pending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Financial Model — Full Audited Workbook</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J</w:t>
            </w:r>
          </w:p>
        </w:tc>
        <w:tc>
          <w:tcPr>
            <w:tcMar>
              <w:top w:w="100" w:type="dxa"/>
              <w:bottom w:w="100" w:type="dxa"/>
              <w:left w:w="150" w:type="dxa"/>
              <w:right w:w="150" w:type="dxa"/>
            </w:tcMar>
            <w:vAlign w:val="center"/>
            <w:shd w:val="clear" w:color="auto" w:fill="F7F3E8"/>
          </w:tcPr>
          <w:p>
            <w:pPr>
              <w:pStyle w:val="Compact"/>
              <w:jc w:val="left"/>
              <w:suppressAutoHyphens/>
            </w:pPr>
            <w:r>
              <w:t xml:space="preserve">NAQAA Accreditation Application — Gambia Branch Campus</w:t>
            </w:r>
          </w:p>
        </w:tc>
        <w:tc>
          <w:tcPr>
            <w:tcMar>
              <w:top w:w="100" w:type="dxa"/>
              <w:bottom w:w="100" w:type="dxa"/>
              <w:left w:w="150" w:type="dxa"/>
              <w:right w:w="150" w:type="dxa"/>
            </w:tcMar>
            <w:vAlign w:val="center"/>
            <w:shd w:val="clear" w:color="auto" w:fill="F7F3E8"/>
          </w:tcPr>
          <w:p>
            <w:pPr>
              <w:pStyle w:val="Compact"/>
              <w:jc w:val="left"/>
              <w:suppressAutoHyphens/>
            </w:pPr>
            <w:r>
              <w:t xml:space="preserve">Stage 3 preparation</w:t>
            </w:r>
          </w:p>
        </w:tc>
      </w:tr>
      <w:tr>
        <w:trPr>
          <w:cantSplit/>
        </w:trPr>
        <w:tc>
          <w:tcPr>
            <w:tcMar>
              <w:top w:w="100" w:type="dxa"/>
              <w:bottom w:w="100" w:type="dxa"/>
              <w:left w:w="150" w:type="dxa"/>
              <w:right w:w="150" w:type="dxa"/>
            </w:tcMar>
            <w:vAlign w:val="center"/>
          </w:tcPr>
          <w:p>
            <w:pPr>
              <w:pStyle w:val="Compact"/>
              <w:jc w:val="left"/>
              <w:suppressAutoHyphens/>
            </w:pPr>
            <w:r>
              <w:t xml:space="preserve">K</w:t>
            </w:r>
          </w:p>
        </w:tc>
        <w:tc>
          <w:tcPr>
            <w:tcMar>
              <w:top w:w="100" w:type="dxa"/>
              <w:bottom w:w="100" w:type="dxa"/>
              <w:left w:w="150" w:type="dxa"/>
              <w:right w:w="150" w:type="dxa"/>
            </w:tcMar>
            <w:vAlign w:val="center"/>
          </w:tcPr>
          <w:p>
            <w:pPr>
              <w:pStyle w:val="Compact"/>
              <w:jc w:val="left"/>
              <w:suppressAutoHyphens/>
            </w:pPr>
            <w:r>
              <w:t xml:space="preserve">Nigeria NUC Charter Application</w:t>
            </w:r>
          </w:p>
        </w:tc>
        <w:tc>
          <w:tcPr>
            <w:tcMar>
              <w:top w:w="100" w:type="dxa"/>
              <w:bottom w:w="100" w:type="dxa"/>
              <w:left w:w="150" w:type="dxa"/>
              <w:right w:w="150" w:type="dxa"/>
            </w:tcMar>
            <w:vAlign w:val="center"/>
          </w:tcPr>
          <w:p>
            <w:pPr>
              <w:pStyle w:val="Compact"/>
              <w:jc w:val="left"/>
              <w:suppressAutoHyphens/>
            </w:pPr>
            <w:r>
              <w:t xml:space="preserve">Preparation begins Year 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w:t>
            </w:r>
          </w:p>
        </w:tc>
        <w:tc>
          <w:tcPr>
            <w:tcMar>
              <w:top w:w="100" w:type="dxa"/>
              <w:bottom w:w="100" w:type="dxa"/>
              <w:left w:w="150" w:type="dxa"/>
              <w:right w:w="150" w:type="dxa"/>
            </w:tcMar>
            <w:vAlign w:val="center"/>
            <w:shd w:val="clear" w:color="auto" w:fill="F7F3E8"/>
          </w:tcPr>
          <w:p>
            <w:pPr>
              <w:pStyle w:val="Compact"/>
              <w:jc w:val="left"/>
              <w:suppressAutoHyphens/>
            </w:pPr>
            <w:r>
              <w:t xml:space="preserve">ISO 21001 / CPD Accreditation Application Documentation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Preparation per Blueprint Sections 19–20</w:t>
            </w:r>
          </w:p>
        </w:tc>
      </w:tr>
      <w:tr>
        <w:trPr>
          <w:cantSplit/>
        </w:trPr>
        <w:tc>
          <w:tcPr>
            <w:tcMar>
              <w:top w:w="100" w:type="dxa"/>
              <w:bottom w:w="100" w:type="dxa"/>
              <w:left w:w="150" w:type="dxa"/>
              <w:right w:w="150" w:type="dxa"/>
            </w:tcMar>
            <w:vAlign w:val="center"/>
          </w:tcPr>
          <w:p>
            <w:pPr>
              <w:pStyle w:val="Compact"/>
              <w:jc w:val="left"/>
              <w:suppressAutoHyphens/>
            </w:pPr>
            <w:r>
              <w:t xml:space="preserve">N</w:t>
            </w:r>
          </w:p>
        </w:tc>
        <w:tc>
          <w:tcPr>
            <w:tcMar>
              <w:top w:w="100" w:type="dxa"/>
              <w:bottom w:w="100" w:type="dxa"/>
              <w:left w:w="150" w:type="dxa"/>
              <w:right w:w="150" w:type="dxa"/>
            </w:tcMar>
            <w:vAlign w:val="center"/>
          </w:tcPr>
          <w:p>
            <w:pPr>
              <w:pStyle w:val="Compact"/>
              <w:jc w:val="left"/>
              <w:suppressAutoHyphens/>
            </w:pPr>
            <w:r>
              <w:t xml:space="preserve">Independent Sharī’ah Advisory Board Charter</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 Grading Policy &amp; Grievance Procedures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P</w:t>
            </w:r>
          </w:p>
        </w:tc>
        <w:tc>
          <w:tcPr>
            <w:tcMar>
              <w:top w:w="100" w:type="dxa"/>
              <w:bottom w:w="100" w:type="dxa"/>
              <w:left w:w="150" w:type="dxa"/>
              <w:right w:w="150" w:type="dxa"/>
            </w:tcMar>
            <w:vAlign w:val="center"/>
          </w:tcPr>
          <w:p>
            <w:pPr>
              <w:pStyle w:val="Compact"/>
              <w:jc w:val="left"/>
              <w:suppressAutoHyphens/>
            </w:pPr>
            <w:r>
              <w:t xml:space="preserve">Faculty Handbook &amp; Honoraria Schedule</w:t>
            </w:r>
          </w:p>
        </w:tc>
        <w:tc>
          <w:tcPr>
            <w:tcMar>
              <w:top w:w="100" w:type="dxa"/>
              <w:bottom w:w="100" w:type="dxa"/>
              <w:left w:w="150" w:type="dxa"/>
              <w:right w:w="150" w:type="dxa"/>
            </w:tcMar>
            <w:vAlign w:val="center"/>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 of Gross Revenue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Governing Body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Liquidity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35%</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Payroll (Faculty Honoraria 40% · Founders 24% · Senate 18% · Core Admin 18%)</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Board (budget) / Senate (stipends, 4-independent-seat compensation check)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(fiduciary)</w:t>
            </w:r>
          </w:p>
        </w:tc>
      </w:tr>
      <w:tr>
        <w:trPr>
          <w:cantSplit/>
        </w:trPr>
        <w:tc>
          <w:tcPr>
            <w:tcMar>
              <w:top w:w="100" w:type="dxa"/>
              <w:bottom w:w="100" w:type="dxa"/>
              <w:left w:w="150" w:type="dxa"/>
              <w:right w:w="150" w:type="dxa"/>
            </w:tcMar>
            <w:vAlign w:val="center"/>
          </w:tcPr>
          <w:p>
            <w:pPr>
              <w:pStyle w:val="Compact"/>
              <w:jc w:val="left"/>
              <w:suppressAutoHyphens/>
            </w:pPr>
            <w:r>
              <w:t xml:space="preserve">Marketing &amp; Student Acquisition</w:t>
            </w:r>
          </w:p>
        </w:tc>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 Infrastructure</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Senate Group IV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 &amp; Community Outreach</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Total</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100%, zero unallocated residual</w:t>
            </w:r>
          </w:p>
        </w:tc>
        <w:tc>
          <w:tcPr>
            <w:tcMar>
              <w:top w:w="100" w:type="dxa"/>
              <w:bottom w:w="100" w:type="dxa"/>
              <w:left w:w="150" w:type="dxa"/>
              <w:right w:w="150" w:type="dxa"/>
            </w:tcMar>
            <w:vAlign w:val="center"/>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3"/>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Source Serif 4" w:hAnsi="Source Serif 4"/>
                <w:i/>
                <w:smallCaps/>
                <w:color w:val="B08625"/>
                <w:sz w:val="18"/>
                <w:spacing w:val="8"/>
              </w:rPr>
              <w:t>Strategic Implementation Blueprint · 2028–2050 · AMIU-SB-002</w:t>
            </w:r>
          </w:p>
          <w:p>
            <w:pPr>
              <w:jc w:val="center"/>
              <w:spacing w:before="0" w:after="0"/>
              <w:suppressAutoHyphens/>
            </w:pPr>
            <w:r>
              <w:rPr>
                <w:rFonts w:ascii="Source Serif 4" w:hAnsi="Source Serif 4"/>
                <w:i/>
                <w:smallCaps/>
                <w:color w:val="8C97AB"/>
                <w:sz w:val="16"/>
                <w:spacing w:val="8"/>
              </w:rPr>
              <w:t>edu.amiu.com  ·  info@edu.amiu.com  ·  Texas-Domiciled, Religiously Exempt  ·  Incorporated 6 December 2027</w:t>
            </w:r>
          </w:p>
          <w:p>
            <w:pPr>
              <w:jc w:val="center"/>
              <w:spacing w:before="240" w:after="0"/>
              <w:suppressAutoHyphens/>
            </w:pPr>
            <w:r>
              <w:rPr>
                <w:rFonts w:ascii="Source Serif 4" w:hAnsi="Source Serif 4"/>
                <w:i/>
                <w:smallCaps/>
                <w:color w:val="8C97AB"/>
                <w:sz w:val="15"/>
              </w:rPr>
              <w:t>This document is a strategic planning model prepared for Board, Senate, and accreditation-body decision-making.</w:t>
            </w:r>
          </w:p>
          <w:p>
            <w:pPr>
              <w:jc w:val="center"/>
              <w:spacing w:before="0" w:after="0"/>
              <w:suppressAutoHyphens/>
            </w:pPr>
            <w:r>
              <w:rPr>
                <w:rFonts w:ascii="Source Serif 4" w:hAnsi="Source Serif 4"/>
                <w:i/>
                <w:smallCaps/>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2026-07-28T07:23:53Z</dcterms:created>
  <dcterms:modified xsi:type="dcterms:W3CDTF">2026-07-28T07:23:53Z</dcterms:modified>
</cp:coreProperties>
</file>

<file path=docProps/custom.xml><?xml version="1.0" encoding="utf-8"?>
<Properties xmlns="http://schemas.openxmlformats.org/officeDocument/2006/custom-properties" xmlns:vt="http://schemas.openxmlformats.org/officeDocument/2006/docPropsVTypes"/>
</file>