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9"/>
                <w:spacing w:val="16"/>
              </w:rPr>
              <w:t>Supreme Strategic Planning Council · Founding-Decade Edition</w:t>
            </w:r>
          </w:p>
          <w:p>
            <w:pPr>
              <w:jc w:val="center"/>
              <w:spacing w:before="0" w:after="60"/>
              <w:suppressAutoHyphens/>
            </w:pPr>
            <w:r>
              <w:rPr>
                <w:rFonts w:ascii="Source Serif 4" w:hAnsi="Source Serif 4"/>
                <w:b/>
                <w:smallCaps/>
                <w:color w:val="B08625"/>
                <w:sz w:val="26"/>
                <w:spacing w:val="12"/>
              </w:rPr>
              <w:t>Al-Mulk International University</w:t>
            </w:r>
          </w:p>
          <w:p>
            <w:pPr>
              <w:jc w:val="center"/>
              <w:spacing w:before="0" w:after="80"/>
              <w:suppressAutoHyphens/>
            </w:pPr>
            <w:r>
              <w:rPr>
                <w:rFonts w:ascii="Source Serif 4" w:hAnsi="Source Serif 4"/>
                <w:i/>
                <w:smallCaps/>
                <w:color w:val="DCE3F0"/>
                <w:sz w:val="21"/>
                <w:spacing w:val="10"/>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Source Serif 4" w:hAnsi="Source Serif 4"/>
                <w:i/>
                <w:smallCaps/>
                <w:color w:val="8C97AB"/>
                <w:sz w:val="17"/>
              </w:rPr>
              <w:t xml:space="preserve">Document Reference  </w:t>
            </w:r>
            <w:r>
              <w:rPr>
                <w:rFonts w:ascii="Source Serif 4" w:hAnsi="Source Serif 4"/>
                <w:b/>
                <w:smallCaps/>
                <w:color w:val="B08625"/>
                <w:sz w:val="17"/>
              </w:rPr>
              <w:t>AMIU-SB-002</w:t>
            </w:r>
          </w:p>
          <w:p>
            <w:pPr>
              <w:jc w:val="center"/>
              <w:spacing w:before="0" w:after="0"/>
              <w:suppressAutoHyphens/>
            </w:pPr>
            <w:r>
              <w:rPr>
                <w:rFonts w:ascii="Source Serif 4" w:hAnsi="Source Serif 4"/>
                <w:i/>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Endorsing 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 in Endorsement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Signature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 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institutional strategy and this Blueprint’s financial and governance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Approves this Blueprint as the University’s operative implementation instrument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 — Dr. Muhammad Al-Qumash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Endorses academic, curricular, and accreditation content</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Deputy Vice-Chancellor, Admin &amp; Finance — Dr. Abdullah Turki</w:t>
            </w:r>
          </w:p>
        </w:tc>
        <w:tc>
          <w:tcPr>
            <w:tcMar>
              <w:top w:w="100" w:type="dxa"/>
              <w:bottom w:w="100" w:type="dxa"/>
              <w:left w:w="150" w:type="dxa"/>
              <w:right w:w="150" w:type="dxa"/>
            </w:tcMar>
            <w:vAlign w:val="center"/>
          </w:tcPr>
          <w:p>
            <w:pPr>
              <w:pStyle w:val="Compact"/>
              <w:jc w:val="left"/>
              <w:suppressAutoHyphens/>
            </w:pPr>
            <w:r>
              <w:t xml:space="preserve">Endorses financial, staffing, and budgetary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 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Senate review of all academic-authority provisions</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Chair, Waqf &amp; Endowment Board</w:t>
            </w:r>
          </w:p>
        </w:tc>
        <w:tc>
          <w:tcPr>
            <w:tcMar>
              <w:top w:w="100" w:type="dxa"/>
              <w:bottom w:w="100" w:type="dxa"/>
              <w:left w:w="150" w:type="dxa"/>
              <w:right w:w="150" w:type="dxa"/>
            </w:tcMar>
            <w:vAlign w:val="center"/>
          </w:tcPr>
          <w:p>
            <w:pPr>
              <w:pStyle w:val="Compact"/>
              <w:jc w:val="left"/>
              <w:suppressAutoHyphens/>
            </w:pPr>
            <w:r>
              <w:t xml:space="preserve">Endorses all Waqf allocation, scholarship, and endowment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Prior to publication, this Blueprint underwent two structured, independent quality assurance reviews by the AMIU Office of Institutional Planning, with oversight from the Board Audit &amp; Risk Committee (Section 36) and the University Senate. The second review was conducted as a fresh, adversarial re-read — auditors were not shown the first review’s findings and were instructed to verify the document as though encountering it for the first time, rather than to confirm that earlier corrections held:</w:t>
      </w:r>
    </w:p>
    <w:p>
      <w:pPr>
        <w:numPr>
          <w:ilvl w:val="0"/>
          <w:numId w:val="1001"/>
        </w:numPr>
        <w:pStyle w:val="Compact"/>
        <w:jc w:val="both"/>
      </w:pPr>
      <w:r>
        <w:rPr>
          <w:bCs/>
          <w:b/>
          <w:color w:val="B08625"/>
          <w:sz w:val="22"/>
          <w:caps/>
          <w:spacing w:val="18"/>
        </w:rPr>
        <w:t xml:space="preserve">Structural integrity</w:t>
      </w:r>
      <w:r>
        <w:t xml:space="preserve"> </w:t>
      </w:r>
      <w:r>
        <w:t xml:space="preserve">— every Section-to-Part assignment, Section kicker label, figure and table numbering sequence, Table of Contents entry, and Index cross-reference was checked programmatically against the document’s own numbering system across all forty-one sections, in both review rounds.</w:t>
      </w:r>
    </w:p>
    <w:p>
      <w:pPr>
        <w:numPr>
          <w:ilvl w:val="0"/>
          <w:numId w:val="1001"/>
        </w:numPr>
        <w:pStyle w:val="Compact"/>
        <w:jc w:val="both"/>
      </w:pPr>
      <w:r>
        <w:rPr>
          <w:bCs/>
          <w:b/>
          <w:color w:val="B08625"/>
          <w:sz w:val="22"/>
          <w:caps/>
          <w:spacing w:val="18"/>
        </w:rPr>
        <w:t xml:space="preserve">Financial consistency</w:t>
      </w:r>
      <w:r>
        <w:t xml:space="preserve"> </w:t>
      </w:r>
      <w:r>
        <w:t xml:space="preserve">— every dollar figure, percentage, and enrollment number cited in this Blueprint was checked against the canonical figures adopted in AMIU-MP-001, against every other citation of the same figure elsewhere in this Blueprint, and — in the second round — against the arithmetic each figure is supposed to satisfy (component breakdowns summing to their stated total, reconciliation statements checked by calculation rather than by reading).</w:t>
      </w:r>
    </w:p>
    <w:p>
      <w:pPr>
        <w:numPr>
          <w:ilvl w:val="0"/>
          <w:numId w:val="1001"/>
        </w:numPr>
        <w:pStyle w:val="Compact"/>
        <w:jc w:val="both"/>
      </w:pPr>
      <w:r>
        <w:rPr>
          <w:bCs/>
          <w:b/>
          <w:color w:val="B08625"/>
          <w:sz w:val="22"/>
          <w:caps/>
          <w:spacing w:val="18"/>
        </w:rPr>
        <w:t xml:space="preserve">Editorial review</w:t>
      </w:r>
      <w:r>
        <w:t xml:space="preserve"> </w:t>
      </w:r>
      <w:r>
        <w:t xml:space="preserve">— prose across the front matter, all forty-one sections, and the back matter was read in full, independently, in both rounds, for grammar, spelling, punctuation, capitalization consistency of institutional terms, and cross-reference accuracy.</w:t>
      </w:r>
    </w:p>
    <w:p>
      <w:pPr>
        <w:numPr>
          <w:ilvl w:val="0"/>
          <w:numId w:val="1001"/>
        </w:numPr>
        <w:pStyle w:val="Compact"/>
        <w:jc w:val="both"/>
      </w:pPr>
      <w:r>
        <w:rPr>
          <w:bCs/>
          <w:b/>
          <w:color w:val="B08625"/>
          <w:sz w:val="22"/>
          <w:caps/>
          <w:spacing w:val="18"/>
        </w:rPr>
        <w:t xml:space="preserve">Design consistency</w:t>
      </w:r>
      <w:r>
        <w:t xml:space="preserve"> </w:t>
      </w:r>
      <w:r>
        <w:t xml:space="preserve">— typography, running headers and footers, table styling, and page-level hierarchy are applied through a single shared style system rather than formatted page by page, so consistency is structural by construction; the second round specifically re-examined the front and back covers independently of the interior, and every page class (chapter openers, section openers, tables, captions, the Table of Contents) for hierarchy and layout defects the first round’s narrower sampling could plausibly have missed.</w:t>
      </w:r>
    </w:p>
    <w:p>
      <w:pPr>
        <w:pStyle w:val="FirstParagraph"/>
        <w:jc w:val="both"/>
      </w:pPr>
      <w:r>
        <w:t xml:space="preserve">The first review identified and corrected: several stale references to the document’s section count following a later structural addition, dollar-figure rounding inconsistencies between sections discussing the same reserve line at different points, two internal cross-references that pointed to the wrong section, and a number of spelling-convention and capitalization inconsistencies. The second, independent review — deliberately re-examining decisions the first round had already made, rather than assuming them settled — found and corrected a further set of issues the first round had missed: a Table of Contents entry that hyphenated mid-word, an inconsistent header/footer treatment between the front and back covers, an arithmetic reconciliation in the Waqf &amp; Stakeholder Reserve narrative that did not sum correctly, a certification-cost line item whose components did not add to its stated ceiling, three misordered Index entries, a governance-responsibility line that misattributed a University-funded activity to the Commercial Engine, one internally contradictory college-pairing assignment, one cross-reference to a faculty title that did not exist elsewhere in the document, and a further round of spelling-convention, terminology, and cross-reference corrections of the same kinds the first review addressed.</w:t>
      </w:r>
    </w:p>
    <w:p>
      <w:pPr>
        <w:pStyle w:val="BodyText"/>
        <w:jc w:val="both"/>
      </w:pPr>
      <w:r>
        <w:t xml:space="preserve">This statement certifies that both reviews described above were performed as described and that every issue either one identified was corrected before publication. It does not certify — and no review of a document this length can reasonably certify — the complete absence of any error whatsoever; a second independent pass finding issues the first missed is itself evidence that a third pass would likely do the same. A reader who identifies a further issue is asked to report it to info@edu.amiu.com for correction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Ahmad Sulaimiy</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Source Serif 4" w:hAnsi="Source Serif 4"/>
                <w:i/>
                <w:smallCaps/>
                <w:color w:val="B08625"/>
                <w:b/>
                <w:sz w:val="18"/>
                <w:spacing w:val="10"/>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Foreword</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Founder’s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Chairman’s Message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President’s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Executive Summary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AMIU at a Glance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Figures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Diagrams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Flowcharts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Tables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Abbreviations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Glossary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 — Governance &amp; Institutional Foundations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43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 Institutional Vision</w:t>
            </w:r>
          </w:p>
        </w:tc>
        <w:tc>
          <w:tcPr>
            <w:tcMar>
              <w:top w:w="100" w:type="dxa"/>
              <w:bottom w:w="100" w:type="dxa"/>
              <w:left w:w="150" w:type="dxa"/>
              <w:right w:w="150" w:type="dxa"/>
            </w:tcMar>
            <w:vAlign w:val="center"/>
            <w:shd w:val="clear" w:color="auto" w:fill="E9EDF6"/>
          </w:tcPr>
          <w:p>
            <w:pPr>
              <w:pStyle w:val="Compact"/>
              <w:jc w:val="right"/>
              <w:suppressAutoHyphens/>
            </w:pPr>
            <w:r>
              <w:t xml:space="preserve">44</w:t>
            </w:r>
          </w:p>
        </w:tc>
      </w:tr>
      <w:tr>
        <w:trPr>
          <w:cantSplit/>
        </w:trPr>
        <w:tc>
          <w:tcPr>
            <w:tcMar>
              <w:top w:w="100" w:type="dxa"/>
              <w:bottom w:w="100" w:type="dxa"/>
              <w:left w:w="150" w:type="dxa"/>
              <w:right w:w="150" w:type="dxa"/>
            </w:tcMar>
            <w:vAlign w:val="center"/>
          </w:tcPr>
          <w:p>
            <w:pPr>
              <w:pStyle w:val="Compact"/>
              <w:jc w:val="left"/>
              <w:suppressAutoHyphens/>
            </w:pPr>
            <w:r>
              <w:t xml:space="preserve">    Section 2: Mission, Values, and Identity</w:t>
            </w:r>
          </w:p>
        </w:tc>
        <w:tc>
          <w:tcPr>
            <w:tcMar>
              <w:top w:w="100" w:type="dxa"/>
              <w:bottom w:w="100" w:type="dxa"/>
              <w:left w:w="150" w:type="dxa"/>
              <w:right w:w="150" w:type="dxa"/>
            </w:tcMar>
            <w:vAlign w:val="center"/>
          </w:tcPr>
          <w:p>
            <w:pPr>
              <w:pStyle w:val="Compact"/>
              <w:jc w:val="right"/>
              <w:suppressAutoHyphens/>
            </w:pPr>
            <w:r>
              <w:t xml:space="preserve">48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 Governance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51</w:t>
            </w:r>
          </w:p>
        </w:tc>
      </w:tr>
      <w:tr>
        <w:trPr>
          <w:cantSplit/>
        </w:trPr>
        <w:tc>
          <w:tcPr>
            <w:tcMar>
              <w:top w:w="100" w:type="dxa"/>
              <w:bottom w:w="100" w:type="dxa"/>
              <w:left w:w="150" w:type="dxa"/>
              <w:right w:w="150" w:type="dxa"/>
            </w:tcMar>
            <w:vAlign w:val="center"/>
          </w:tcPr>
          <w:p>
            <w:pPr>
              <w:pStyle w:val="Compact"/>
              <w:jc w:val="left"/>
              <w:suppressAutoHyphens/>
            </w:pPr>
            <w:r>
              <w:t xml:space="preserve">    Section 4: Senate Structure</w:t>
            </w:r>
          </w:p>
        </w:tc>
        <w:tc>
          <w:tcPr>
            <w:tcMar>
              <w:top w:w="100" w:type="dxa"/>
              <w:bottom w:w="100" w:type="dxa"/>
              <w:left w:w="150" w:type="dxa"/>
              <w:right w:w="150" w:type="dxa"/>
            </w:tcMar>
            <w:vAlign w:val="center"/>
          </w:tcPr>
          <w:p>
            <w:pPr>
              <w:pStyle w:val="Compact"/>
              <w:jc w:val="right"/>
              <w:suppressAutoHyphens/>
            </w:pPr>
            <w:r>
              <w:t xml:space="preserve">55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5: Board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59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 — Organizational &amp; Academic Structure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64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6: Organizational Chart</w:t>
            </w:r>
          </w:p>
        </w:tc>
        <w:tc>
          <w:tcPr>
            <w:tcMar>
              <w:top w:w="100" w:type="dxa"/>
              <w:bottom w:w="100" w:type="dxa"/>
              <w:left w:w="150" w:type="dxa"/>
              <w:right w:w="150" w:type="dxa"/>
            </w:tcMar>
            <w:vAlign w:val="center"/>
            <w:shd w:val="clear" w:color="auto" w:fill="E9EDF6"/>
          </w:tcPr>
          <w:p>
            <w:pPr>
              <w:pStyle w:val="Compact"/>
              <w:jc w:val="right"/>
              <w:suppressAutoHyphens/>
            </w:pPr>
            <w:r>
              <w:t xml:space="preserve">65</w:t>
            </w:r>
          </w:p>
        </w:tc>
      </w:tr>
      <w:tr>
        <w:trPr>
          <w:cantSplit/>
        </w:trPr>
        <w:tc>
          <w:tcPr>
            <w:tcMar>
              <w:top w:w="100" w:type="dxa"/>
              <w:bottom w:w="100" w:type="dxa"/>
              <w:left w:w="150" w:type="dxa"/>
              <w:right w:w="150" w:type="dxa"/>
            </w:tcMar>
            <w:vAlign w:val="center"/>
          </w:tcPr>
          <w:p>
            <w:pPr>
              <w:pStyle w:val="Compact"/>
              <w:jc w:val="left"/>
              <w:suppressAutoHyphens/>
            </w:pPr>
            <w:r>
              <w:t xml:space="preserve">    Section 7: Academic Master Plan</w:t>
            </w:r>
          </w:p>
        </w:tc>
        <w:tc>
          <w:tcPr>
            <w:tcMar>
              <w:top w:w="100" w:type="dxa"/>
              <w:bottom w:w="100" w:type="dxa"/>
              <w:left w:w="150" w:type="dxa"/>
              <w:right w:w="150" w:type="dxa"/>
            </w:tcMar>
            <w:vAlign w:val="center"/>
          </w:tcPr>
          <w:p>
            <w:pPr>
              <w:pStyle w:val="Compact"/>
              <w:jc w:val="right"/>
              <w:suppressAutoHyphens/>
            </w:pPr>
            <w:r>
              <w:t xml:space="preserve">69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8: College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73</w:t>
            </w:r>
          </w:p>
        </w:tc>
      </w:tr>
      <w:tr>
        <w:trPr>
          <w:cantSplit/>
        </w:trPr>
        <w:tc>
          <w:tcPr>
            <w:tcMar>
              <w:top w:w="100" w:type="dxa"/>
              <w:bottom w:w="100" w:type="dxa"/>
              <w:left w:w="150" w:type="dxa"/>
              <w:right w:w="150" w:type="dxa"/>
            </w:tcMar>
            <w:vAlign w:val="center"/>
          </w:tcPr>
          <w:p>
            <w:pPr>
              <w:pStyle w:val="Compact"/>
              <w:jc w:val="left"/>
              <w:suppressAutoHyphens/>
            </w:pPr>
            <w:r>
              <w:t xml:space="preserve">    Section 9: Faculty Structure</w:t>
            </w:r>
          </w:p>
        </w:tc>
        <w:tc>
          <w:tcPr>
            <w:tcMar>
              <w:top w:w="100" w:type="dxa"/>
              <w:bottom w:w="100" w:type="dxa"/>
              <w:left w:w="150" w:type="dxa"/>
              <w:right w:w="150" w:type="dxa"/>
            </w:tcMar>
            <w:vAlign w:val="center"/>
          </w:tcPr>
          <w:p>
            <w:pPr>
              <w:pStyle w:val="Compact"/>
              <w:jc w:val="right"/>
              <w:suppressAutoHyphens/>
            </w:pPr>
            <w:r>
              <w:t xml:space="preserve">76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10: Department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80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III — Curriculum &amp; Student Journey</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84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11: Program Portfolio</w:t>
            </w:r>
          </w:p>
        </w:tc>
        <w:tc>
          <w:tcPr>
            <w:tcMar>
              <w:top w:w="100" w:type="dxa"/>
              <w:bottom w:w="100" w:type="dxa"/>
              <w:left w:w="150" w:type="dxa"/>
              <w:right w:w="150" w:type="dxa"/>
            </w:tcMar>
            <w:vAlign w:val="center"/>
            <w:shd w:val="clear" w:color="auto" w:fill="E9EDF6"/>
          </w:tcPr>
          <w:p>
            <w:pPr>
              <w:pStyle w:val="Compact"/>
              <w:jc w:val="right"/>
              <w:suppressAutoHyphens/>
            </w:pPr>
            <w:r>
              <w:t xml:space="preserve">85</w:t>
            </w:r>
          </w:p>
        </w:tc>
      </w:tr>
      <w:tr>
        <w:trPr>
          <w:cantSplit/>
        </w:trPr>
        <w:tc>
          <w:tcPr>
            <w:tcMar>
              <w:top w:w="100" w:type="dxa"/>
              <w:bottom w:w="100" w:type="dxa"/>
              <w:left w:w="150" w:type="dxa"/>
              <w:right w:w="150" w:type="dxa"/>
            </w:tcMar>
            <w:vAlign w:val="center"/>
          </w:tcPr>
          <w:p>
            <w:pPr>
              <w:pStyle w:val="Compact"/>
              <w:jc w:val="left"/>
              <w:suppressAutoHyphens/>
            </w:pPr>
            <w:r>
              <w:t xml:space="preserve">    Section 12: Curriculum Architecture</w:t>
            </w:r>
          </w:p>
        </w:tc>
        <w:tc>
          <w:tcPr>
            <w:tcMar>
              <w:top w:w="100" w:type="dxa"/>
              <w:bottom w:w="100" w:type="dxa"/>
              <w:left w:w="150" w:type="dxa"/>
              <w:right w:w="150" w:type="dxa"/>
            </w:tcMar>
            <w:vAlign w:val="center"/>
          </w:tcPr>
          <w:p>
            <w:pPr>
              <w:pStyle w:val="Compact"/>
              <w:jc w:val="right"/>
              <w:suppressAutoHyphens/>
            </w:pPr>
            <w:r>
              <w:t xml:space="preserve">88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13: Student Journey Map</w:t>
            </w:r>
          </w:p>
        </w:tc>
        <w:tc>
          <w:tcPr>
            <w:tcMar>
              <w:top w:w="100" w:type="dxa"/>
              <w:bottom w:w="100" w:type="dxa"/>
              <w:left w:w="150" w:type="dxa"/>
              <w:right w:w="150" w:type="dxa"/>
            </w:tcMar>
            <w:vAlign w:val="center"/>
            <w:shd w:val="clear" w:color="auto" w:fill="E9EDF6"/>
          </w:tcPr>
          <w:p>
            <w:pPr>
              <w:pStyle w:val="Compact"/>
              <w:jc w:val="right"/>
              <w:suppressAutoHyphens/>
            </w:pPr>
            <w:r>
              <w:t xml:space="preserve">93</w:t>
            </w:r>
          </w:p>
        </w:tc>
      </w:tr>
      <w:tr>
        <w:trPr>
          <w:cantSplit/>
        </w:trPr>
        <w:tc>
          <w:tcPr>
            <w:tcMar>
              <w:top w:w="100" w:type="dxa"/>
              <w:bottom w:w="100" w:type="dxa"/>
              <w:left w:w="150" w:type="dxa"/>
              <w:right w:w="150" w:type="dxa"/>
            </w:tcMar>
            <w:vAlign w:val="center"/>
          </w:tcPr>
          <w:p>
            <w:pPr>
              <w:pStyle w:val="Compact"/>
              <w:jc w:val="left"/>
              <w:suppressAutoHyphens/>
            </w:pPr>
            <w:r>
              <w:t xml:space="preserve">    Section 14: Admission Policies</w:t>
            </w:r>
          </w:p>
        </w:tc>
        <w:tc>
          <w:tcPr>
            <w:tcMar>
              <w:top w:w="100" w:type="dxa"/>
              <w:bottom w:w="100" w:type="dxa"/>
              <w:left w:w="150" w:type="dxa"/>
              <w:right w:w="150" w:type="dxa"/>
            </w:tcMar>
            <w:vAlign w:val="center"/>
          </w:tcPr>
          <w:p>
            <w:pPr>
              <w:pStyle w:val="Compact"/>
              <w:jc w:val="right"/>
              <w:suppressAutoHyphens/>
            </w:pPr>
            <w:r>
              <w:t xml:space="preserve">97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15: Faculty Recruitment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IV — Research, Publishing, Partnerships &amp; Accreditation</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106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16: Research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107</w:t>
            </w:r>
          </w:p>
        </w:tc>
      </w:tr>
      <w:tr>
        <w:trPr>
          <w:cantSplit/>
        </w:trPr>
        <w:tc>
          <w:tcPr>
            <w:tcMar>
              <w:top w:w="100" w:type="dxa"/>
              <w:bottom w:w="100" w:type="dxa"/>
              <w:left w:w="150" w:type="dxa"/>
              <w:right w:w="150" w:type="dxa"/>
            </w:tcMar>
            <w:vAlign w:val="center"/>
          </w:tcPr>
          <w:p>
            <w:pPr>
              <w:pStyle w:val="Compact"/>
              <w:jc w:val="left"/>
              <w:suppressAutoHyphens/>
            </w:pPr>
            <w:r>
              <w:t xml:space="preserve">    Section 17: Publishing Strategy</w:t>
            </w:r>
          </w:p>
        </w:tc>
        <w:tc>
          <w:tcPr>
            <w:tcMar>
              <w:top w:w="100" w:type="dxa"/>
              <w:bottom w:w="100" w:type="dxa"/>
              <w:left w:w="150" w:type="dxa"/>
              <w:right w:w="150" w:type="dxa"/>
            </w:tcMar>
            <w:vAlign w:val="center"/>
          </w:tcPr>
          <w:p>
            <w:pPr>
              <w:pStyle w:val="Compact"/>
              <w:jc w:val="right"/>
              <w:suppressAutoHyphens/>
            </w:pPr>
            <w:r>
              <w:t xml:space="preserve">110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18: Global Partnerships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113</w:t>
            </w:r>
          </w:p>
        </w:tc>
      </w:tr>
      <w:tr>
        <w:trPr>
          <w:cantSplit/>
        </w:trPr>
        <w:tc>
          <w:tcPr>
            <w:tcMar>
              <w:top w:w="100" w:type="dxa"/>
              <w:bottom w:w="100" w:type="dxa"/>
              <w:left w:w="150" w:type="dxa"/>
              <w:right w:w="150" w:type="dxa"/>
            </w:tcMar>
            <w:vAlign w:val="center"/>
          </w:tcPr>
          <w:p>
            <w:pPr>
              <w:pStyle w:val="Compact"/>
              <w:jc w:val="left"/>
              <w:suppressAutoHyphens/>
            </w:pPr>
            <w:r>
              <w:t xml:space="preserve">    Section 19: Accreditation Roadmap</w:t>
            </w:r>
          </w:p>
        </w:tc>
        <w:tc>
          <w:tcPr>
            <w:tcMar>
              <w:top w:w="100" w:type="dxa"/>
              <w:bottom w:w="100" w:type="dxa"/>
              <w:left w:w="150" w:type="dxa"/>
              <w:right w:w="150" w:type="dxa"/>
            </w:tcMar>
            <w:vAlign w:val="center"/>
          </w:tcPr>
          <w:p>
            <w:pPr>
              <w:pStyle w:val="Compact"/>
              <w:jc w:val="right"/>
              <w:suppressAutoHyphens/>
            </w:pPr>
            <w:r>
              <w:t xml:space="preserve">117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20: ISO 21001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120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 — Digital Infrastructure, AI &amp; Waqf Development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21: LMS Ecosystem</w:t>
            </w:r>
          </w:p>
        </w:tc>
        <w:tc>
          <w:tcPr>
            <w:tcMar>
              <w:top w:w="100" w:type="dxa"/>
              <w:bottom w:w="100" w:type="dxa"/>
              <w:left w:w="150" w:type="dxa"/>
              <w:right w:w="150" w:type="dxa"/>
            </w:tcMar>
            <w:vAlign w:val="center"/>
            <w:shd w:val="clear" w:color="auto" w:fill="E9EDF6"/>
          </w:tcPr>
          <w:p>
            <w:pPr>
              <w:pStyle w:val="Compact"/>
              <w:jc w:val="right"/>
              <w:suppressAutoHyphens/>
            </w:pPr>
            <w:r>
              <w:t xml:space="preserve">127</w:t>
            </w:r>
          </w:p>
        </w:tc>
      </w:tr>
      <w:tr>
        <w:trPr>
          <w:cantSplit/>
        </w:trPr>
        <w:tc>
          <w:tcPr>
            <w:tcMar>
              <w:top w:w="100" w:type="dxa"/>
              <w:bottom w:w="100" w:type="dxa"/>
              <w:left w:w="150" w:type="dxa"/>
              <w:right w:w="150" w:type="dxa"/>
            </w:tcMar>
            <w:vAlign w:val="center"/>
          </w:tcPr>
          <w:p>
            <w:pPr>
              <w:pStyle w:val="Compact"/>
              <w:jc w:val="left"/>
              <w:suppressAutoHyphens/>
            </w:pPr>
            <w:r>
              <w:t xml:space="preserve">    Section 22: AI Strategy</w:t>
            </w:r>
          </w:p>
        </w:tc>
        <w:tc>
          <w:tcPr>
            <w:tcMar>
              <w:top w:w="100" w:type="dxa"/>
              <w:bottom w:w="100" w:type="dxa"/>
              <w:left w:w="150" w:type="dxa"/>
              <w:right w:w="150" w:type="dxa"/>
            </w:tcMar>
            <w:vAlign w:val="center"/>
          </w:tcPr>
          <w:p>
            <w:pPr>
              <w:pStyle w:val="Compact"/>
              <w:jc w:val="right"/>
              <w:suppressAutoHyphens/>
            </w:pPr>
            <w:r>
              <w:t xml:space="preserve">130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23: Digital Transformation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133</w:t>
            </w:r>
          </w:p>
        </w:tc>
      </w:tr>
      <w:tr>
        <w:trPr>
          <w:cantSplit/>
        </w:trPr>
        <w:tc>
          <w:tcPr>
            <w:tcMar>
              <w:top w:w="100" w:type="dxa"/>
              <w:bottom w:w="100" w:type="dxa"/>
              <w:left w:w="150" w:type="dxa"/>
              <w:right w:w="150" w:type="dxa"/>
            </w:tcMar>
            <w:vAlign w:val="center"/>
          </w:tcPr>
          <w:p>
            <w:pPr>
              <w:pStyle w:val="Compact"/>
              <w:jc w:val="left"/>
              <w:suppressAutoHyphens/>
            </w:pPr>
            <w:r>
              <w:t xml:space="preserve">    Section 24: Library Strategy</w:t>
            </w:r>
          </w:p>
        </w:tc>
        <w:tc>
          <w:tcPr>
            <w:tcMar>
              <w:top w:w="100" w:type="dxa"/>
              <w:bottom w:w="100" w:type="dxa"/>
              <w:left w:w="150" w:type="dxa"/>
              <w:right w:w="150" w:type="dxa"/>
            </w:tcMar>
            <w:vAlign w:val="center"/>
          </w:tcPr>
          <w:p>
            <w:pPr>
              <w:pStyle w:val="Compact"/>
              <w:jc w:val="right"/>
              <w:suppressAutoHyphens/>
            </w:pPr>
            <w:r>
              <w:t xml:space="preserve">136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25: Waqf Development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 — Financial Growth, Marketing &amp; Branding</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26: Scholarship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146</w:t>
            </w:r>
          </w:p>
        </w:tc>
      </w:tr>
      <w:tr>
        <w:trPr>
          <w:cantSplit/>
        </w:trPr>
        <w:tc>
          <w:tcPr>
            <w:tcMar>
              <w:top w:w="100" w:type="dxa"/>
              <w:bottom w:w="100" w:type="dxa"/>
              <w:left w:w="150" w:type="dxa"/>
              <w:right w:w="150" w:type="dxa"/>
            </w:tcMar>
            <w:vAlign w:val="center"/>
          </w:tcPr>
          <w:p>
            <w:pPr>
              <w:pStyle w:val="Compact"/>
              <w:jc w:val="left"/>
              <w:suppressAutoHyphens/>
            </w:pPr>
            <w:r>
              <w:t xml:space="preserve">    Section 27: Revenue Diversification Strategy</w:t>
            </w:r>
          </w:p>
        </w:tc>
        <w:tc>
          <w:tcPr>
            <w:tcMar>
              <w:top w:w="100" w:type="dxa"/>
              <w:bottom w:w="100" w:type="dxa"/>
              <w:left w:w="150" w:type="dxa"/>
              <w:right w:w="150" w:type="dxa"/>
            </w:tcMar>
            <w:vAlign w:val="center"/>
          </w:tcPr>
          <w:p>
            <w:pPr>
              <w:pStyle w:val="Compact"/>
              <w:jc w:val="right"/>
              <w:suppressAutoHyphens/>
            </w:pPr>
            <w:r>
              <w:t xml:space="preserve">149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28: Marketing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152</w:t>
            </w:r>
          </w:p>
        </w:tc>
      </w:tr>
      <w:tr>
        <w:trPr>
          <w:cantSplit/>
        </w:trPr>
        <w:tc>
          <w:tcPr>
            <w:tcMar>
              <w:top w:w="100" w:type="dxa"/>
              <w:bottom w:w="100" w:type="dxa"/>
              <w:left w:w="150" w:type="dxa"/>
              <w:right w:w="150" w:type="dxa"/>
            </w:tcMar>
            <w:vAlign w:val="center"/>
          </w:tcPr>
          <w:p>
            <w:pPr>
              <w:pStyle w:val="Compact"/>
              <w:jc w:val="left"/>
              <w:suppressAutoHyphens/>
            </w:pPr>
            <w:r>
              <w:t xml:space="preserve">    Section 29: Branding Strategy</w:t>
            </w:r>
          </w:p>
        </w:tc>
        <w:tc>
          <w:tcPr>
            <w:tcMar>
              <w:top w:w="100" w:type="dxa"/>
              <w:bottom w:w="100" w:type="dxa"/>
              <w:left w:w="150" w:type="dxa"/>
              <w:right w:w="150" w:type="dxa"/>
            </w:tcMar>
            <w:vAlign w:val="center"/>
          </w:tcPr>
          <w:p>
            <w:pPr>
              <w:pStyle w:val="Compact"/>
              <w:jc w:val="right"/>
              <w:suppressAutoHyphens/>
            </w:pPr>
            <w:r>
              <w:t xml:space="preserve">155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30: International Expansion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 — Regional Campuses &amp; Student Lifecycle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31: Nigeria Campus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163</w:t>
            </w:r>
          </w:p>
        </w:tc>
      </w:tr>
      <w:tr>
        <w:trPr>
          <w:cantSplit/>
        </w:trPr>
        <w:tc>
          <w:tcPr>
            <w:tcMar>
              <w:top w:w="100" w:type="dxa"/>
              <w:bottom w:w="100" w:type="dxa"/>
              <w:left w:w="150" w:type="dxa"/>
              <w:right w:w="150" w:type="dxa"/>
            </w:tcMar>
            <w:vAlign w:val="center"/>
          </w:tcPr>
          <w:p>
            <w:pPr>
              <w:pStyle w:val="Compact"/>
              <w:jc w:val="left"/>
              <w:suppressAutoHyphens/>
            </w:pPr>
            <w:r>
              <w:t xml:space="preserve">    Section 32: Gulf Cooperation Strategy</w:t>
            </w:r>
          </w:p>
        </w:tc>
        <w:tc>
          <w:tcPr>
            <w:tcMar>
              <w:top w:w="100" w:type="dxa"/>
              <w:bottom w:w="100" w:type="dxa"/>
              <w:left w:w="150" w:type="dxa"/>
              <w:right w:w="150" w:type="dxa"/>
            </w:tcMar>
            <w:vAlign w:val="center"/>
          </w:tcPr>
          <w:p>
            <w:pPr>
              <w:pStyle w:val="Compact"/>
              <w:jc w:val="right"/>
              <w:suppressAutoHyphens/>
            </w:pPr>
            <w:r>
              <w:t xml:space="preserve">166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33: Student Support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169</w:t>
            </w:r>
          </w:p>
        </w:tc>
      </w:tr>
      <w:tr>
        <w:trPr>
          <w:cantSplit/>
        </w:trPr>
        <w:tc>
          <w:tcPr>
            <w:tcMar>
              <w:top w:w="100" w:type="dxa"/>
              <w:bottom w:w="100" w:type="dxa"/>
              <w:left w:w="150" w:type="dxa"/>
              <w:right w:w="150" w:type="dxa"/>
            </w:tcMar>
            <w:vAlign w:val="center"/>
          </w:tcPr>
          <w:p>
            <w:pPr>
              <w:pStyle w:val="Compact"/>
              <w:jc w:val="left"/>
              <w:suppressAutoHyphens/>
            </w:pPr>
            <w:r>
              <w:t xml:space="preserve">    Section 34: Alumni Framework</w:t>
            </w:r>
          </w:p>
        </w:tc>
        <w:tc>
          <w:tcPr>
            <w:tcMar>
              <w:top w:w="100" w:type="dxa"/>
              <w:bottom w:w="100" w:type="dxa"/>
              <w:left w:w="150" w:type="dxa"/>
              <w:right w:w="150" w:type="dxa"/>
            </w:tcMar>
            <w:vAlign w:val="center"/>
          </w:tcPr>
          <w:p>
            <w:pPr>
              <w:pStyle w:val="Compact"/>
              <w:jc w:val="right"/>
              <w:suppressAutoHyphens/>
            </w:pPr>
            <w:r>
              <w:t xml:space="preserve">172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35: Career Development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VIII — Risk, Compliance, Sustainability &amp; the 20-Year Roadmap</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36: Risk Management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180</w:t>
            </w:r>
          </w:p>
        </w:tc>
      </w:tr>
      <w:tr>
        <w:trPr>
          <w:cantSplit/>
        </w:trPr>
        <w:tc>
          <w:tcPr>
            <w:tcMar>
              <w:top w:w="100" w:type="dxa"/>
              <w:bottom w:w="100" w:type="dxa"/>
              <w:left w:w="150" w:type="dxa"/>
              <w:right w:w="150" w:type="dxa"/>
            </w:tcMar>
            <w:vAlign w:val="center"/>
          </w:tcPr>
          <w:p>
            <w:pPr>
              <w:pStyle w:val="Compact"/>
              <w:jc w:val="left"/>
              <w:suppressAutoHyphens/>
            </w:pPr>
            <w:r>
              <w:t xml:space="preserve">    Section 37: Compliance Framework</w:t>
            </w:r>
          </w:p>
        </w:tc>
        <w:tc>
          <w:tcPr>
            <w:tcMar>
              <w:top w:w="100" w:type="dxa"/>
              <w:bottom w:w="100" w:type="dxa"/>
              <w:left w:w="150" w:type="dxa"/>
              <w:right w:w="150" w:type="dxa"/>
            </w:tcMar>
            <w:vAlign w:val="center"/>
          </w:tcPr>
          <w:p>
            <w:pPr>
              <w:pStyle w:val="Compact"/>
              <w:jc w:val="right"/>
              <w:suppressAutoHyphens/>
            </w:pPr>
            <w:r>
              <w:t xml:space="preserve">187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38: Financial Sustainability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192</w:t>
            </w:r>
          </w:p>
        </w:tc>
      </w:tr>
      <w:tr>
        <w:trPr>
          <w:cantSplit/>
        </w:trPr>
        <w:tc>
          <w:tcPr>
            <w:tcMar>
              <w:top w:w="100" w:type="dxa"/>
              <w:bottom w:w="100" w:type="dxa"/>
              <w:left w:w="150" w:type="dxa"/>
              <w:right w:w="150" w:type="dxa"/>
            </w:tcMar>
            <w:vAlign w:val="center"/>
          </w:tcPr>
          <w:p>
            <w:pPr>
              <w:pStyle w:val="Compact"/>
              <w:jc w:val="left"/>
              <w:suppressAutoHyphens/>
            </w:pPr>
            <w:r>
              <w:t xml:space="preserve">    Section 39: Capital Development Framework</w:t>
            </w:r>
          </w:p>
        </w:tc>
        <w:tc>
          <w:tcPr>
            <w:tcMar>
              <w:top w:w="100" w:type="dxa"/>
              <w:bottom w:w="100" w:type="dxa"/>
              <w:left w:w="150" w:type="dxa"/>
              <w:right w:w="150" w:type="dxa"/>
            </w:tcMar>
            <w:vAlign w:val="center"/>
          </w:tcPr>
          <w:p>
            <w:pPr>
              <w:pStyle w:val="Compact"/>
              <w:jc w:val="right"/>
              <w:suppressAutoHyphens/>
            </w:pPr>
            <w:r>
              <w:t xml:space="preserve">197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40: Twenty-Year Strategic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204</w:t>
            </w:r>
          </w:p>
        </w:tc>
      </w:tr>
      <w:tr>
        <w:trPr>
          <w:cantSplit/>
        </w:trPr>
        <w:tc>
          <w:tcPr>
            <w:tcMar>
              <w:top w:w="100" w:type="dxa"/>
              <w:bottom w:w="100" w:type="dxa"/>
              <w:left w:w="150" w:type="dxa"/>
              <w:right w:w="150" w:type="dxa"/>
            </w:tcMar>
            <w:vAlign w:val="center"/>
          </w:tcPr>
          <w:p>
            <w:pPr>
              <w:pStyle w:val="Compact"/>
              <w:jc w:val="left"/>
              <w:suppressAutoHyphens/>
            </w:pPr>
            <w:r>
              <w:t xml:space="preserve">    Section 41: Founding Access &amp; Waqf-First Strategy</w:t>
            </w:r>
          </w:p>
        </w:tc>
        <w:tc>
          <w:tcPr>
            <w:tcMar>
              <w:top w:w="100" w:type="dxa"/>
              <w:bottom w:w="100" w:type="dxa"/>
              <w:left w:w="150" w:type="dxa"/>
              <w:right w:w="150" w:type="dxa"/>
            </w:tcMar>
            <w:vAlign w:val="center"/>
          </w:tcPr>
          <w:p>
            <w:pPr>
              <w:pStyle w:val="Compact"/>
              <w:jc w:val="right"/>
              <w:suppressAutoHyphens/>
            </w:pPr>
            <w:r>
              <w:t xml:space="preserve">211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A — Cross-Reference to the Ten-Year Master Plan (AMIU-MP-001)</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B — Master Plan Exhibit Checklist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C — Fixed Revenue Allocation Framework: Quick Reference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D — Program Catalog Reference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References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230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Index</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230</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Figure 10</w:t>
            </w:r>
          </w:p>
        </w:tc>
        <w:tc>
          <w:tcPr>
            <w:tcMar>
              <w:top w:w="100" w:type="dxa"/>
              <w:bottom w:w="100" w:type="dxa"/>
              <w:left w:w="150" w:type="dxa"/>
              <w:right w:w="150" w:type="dxa"/>
            </w:tcMar>
            <w:vAlign w:val="center"/>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10</w:t>
            </w:r>
          </w:p>
        </w:tc>
        <w:tc>
          <w:tcPr>
            <w:tcMar>
              <w:top w:w="100" w:type="dxa"/>
              <w:bottom w:w="100" w:type="dxa"/>
              <w:left w:w="150" w:type="dxa"/>
              <w:right w:w="150" w:type="dxa"/>
            </w:tcMar>
            <w:vAlign w:val="center"/>
            <w:shd w:val="clear" w:color="auto" w:fill="E9EDF6"/>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Table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w:t>
            </w:r>
          </w:p>
        </w:tc>
        <w:tc>
          <w:tcPr>
            <w:tcMar>
              <w:top w:w="100" w:type="dxa"/>
              <w:bottom w:w="100" w:type="dxa"/>
              <w:left w:w="150" w:type="dxa"/>
              <w:right w:w="150" w:type="dxa"/>
            </w:tcMar>
            <w:vAlign w:val="center"/>
            <w:shd w:val="clear" w:color="auto" w:fill="E9EDF6"/>
          </w:tcPr>
          <w:p>
            <w:pPr>
              <w:pStyle w:val="Compact"/>
              <w:jc w:val="left"/>
              <w:suppressAutoHyphens/>
            </w:pPr>
            <w:r>
              <w:t xml:space="preserve">Values-to-Practice Mapping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w:t>
            </w:r>
          </w:p>
        </w:tc>
      </w:tr>
      <w:tr>
        <w:trPr>
          <w:cantSplit/>
        </w:trPr>
        <w:tc>
          <w:tcPr>
            <w:tcMar>
              <w:top w:w="100" w:type="dxa"/>
              <w:bottom w:w="100" w:type="dxa"/>
              <w:left w:w="150" w:type="dxa"/>
              <w:right w:w="150" w:type="dxa"/>
            </w:tcMar>
            <w:vAlign w:val="center"/>
          </w:tcPr>
          <w:p>
            <w:pPr>
              <w:pStyle w:val="Compact"/>
              <w:jc w:val="left"/>
              <w:suppressAutoHyphens/>
            </w:pPr>
            <w:r>
              <w:t xml:space="preserve">Table 2</w:t>
            </w:r>
          </w:p>
        </w:tc>
        <w:tc>
          <w:tcPr>
            <w:tcMar>
              <w:top w:w="100" w:type="dxa"/>
              <w:bottom w:w="100" w:type="dxa"/>
              <w:left w:w="150" w:type="dxa"/>
              <w:right w:w="150" w:type="dxa"/>
            </w:tcMar>
            <w:vAlign w:val="center"/>
          </w:tcPr>
          <w:p>
            <w:pPr>
              <w:pStyle w:val="Compact"/>
              <w:jc w:val="left"/>
              <w:suppressAutoHyphens/>
            </w:pPr>
            <w:r>
              <w:t xml:space="preserve">Committee Structure Beneath the Two Chambers</w:t>
            </w:r>
          </w:p>
        </w:tc>
        <w:tc>
          <w:tcPr>
            <w:tcMar>
              <w:top w:w="100" w:type="dxa"/>
              <w:bottom w:w="100" w:type="dxa"/>
              <w:left w:w="150" w:type="dxa"/>
              <w:right w:w="150" w:type="dxa"/>
            </w:tcMar>
            <w:vAlign w:val="center"/>
          </w:tcPr>
          <w:p>
            <w:pPr>
              <w:pStyle w:val="Compact"/>
              <w:jc w:val="left"/>
              <w:suppressAutoHyphens/>
            </w:pPr>
            <w:r>
              <w:t xml:space="preserve">Section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3</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Governance Calendar</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w:t>
            </w:r>
          </w:p>
        </w:tc>
      </w:tr>
      <w:tr>
        <w:trPr>
          <w:cantSplit/>
        </w:trPr>
        <w:tc>
          <w:tcPr>
            <w:tcMar>
              <w:top w:w="100" w:type="dxa"/>
              <w:bottom w:w="100" w:type="dxa"/>
              <w:left w:w="150" w:type="dxa"/>
              <w:right w:w="150" w:type="dxa"/>
            </w:tcMar>
            <w:vAlign w:val="center"/>
          </w:tcPr>
          <w:p>
            <w:pPr>
              <w:pStyle w:val="Compact"/>
              <w:jc w:val="left"/>
              <w:suppressAutoHyphens/>
            </w:pPr>
            <w:r>
              <w:t xml:space="preserve">Table 4</w:t>
            </w:r>
          </w:p>
        </w:tc>
        <w:tc>
          <w:tcPr>
            <w:tcMar>
              <w:top w:w="100" w:type="dxa"/>
              <w:bottom w:w="100" w:type="dxa"/>
              <w:left w:w="150" w:type="dxa"/>
              <w:right w:w="150" w:type="dxa"/>
            </w:tcMar>
            <w:vAlign w:val="center"/>
          </w:tcPr>
          <w:p>
            <w:pPr>
              <w:pStyle w:val="Compact"/>
              <w:jc w:val="left"/>
              <w:suppressAutoHyphens/>
            </w:pPr>
            <w:r>
              <w:t xml:space="preserve">The 18-Seat Structure (Canon, Unaltered)</w:t>
            </w:r>
          </w:p>
        </w:tc>
        <w:tc>
          <w:tcPr>
            <w:tcMar>
              <w:top w:w="100" w:type="dxa"/>
              <w:bottom w:w="100" w:type="dxa"/>
              <w:left w:w="150" w:type="dxa"/>
              <w:right w:w="150" w:type="dxa"/>
            </w:tcMar>
            <w:vAlign w:val="center"/>
          </w:tcPr>
          <w:p>
            <w:pPr>
              <w:pStyle w:val="Compact"/>
              <w:jc w:val="left"/>
              <w:suppressAutoHyphens/>
            </w:pPr>
            <w:r>
              <w:t xml:space="preserve">Section 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5</w:t>
            </w:r>
          </w:p>
        </w:tc>
        <w:tc>
          <w:tcPr>
            <w:tcMar>
              <w:top w:w="100" w:type="dxa"/>
              <w:bottom w:w="100" w:type="dxa"/>
              <w:left w:w="150" w:type="dxa"/>
              <w:right w:w="150" w:type="dxa"/>
            </w:tcMar>
            <w:vAlign w:val="center"/>
            <w:shd w:val="clear" w:color="auto" w:fill="E9EDF6"/>
          </w:tcPr>
          <w:p>
            <w:pPr>
              <w:pStyle w:val="Compact"/>
              <w:jc w:val="left"/>
              <w:suppressAutoHyphens/>
            </w:pPr>
            <w:r>
              <w:t xml:space="preserve">Quorum and Voting Thresholds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w:t>
            </w:r>
          </w:p>
        </w:tc>
      </w:tr>
      <w:tr>
        <w:trPr>
          <w:cantSplit/>
        </w:trPr>
        <w:tc>
          <w:tcPr>
            <w:tcMar>
              <w:top w:w="100" w:type="dxa"/>
              <w:bottom w:w="100" w:type="dxa"/>
              <w:left w:w="150" w:type="dxa"/>
              <w:right w:w="150" w:type="dxa"/>
            </w:tcMar>
            <w:vAlign w:val="center"/>
          </w:tcPr>
          <w:p>
            <w:pPr>
              <w:pStyle w:val="Compact"/>
              <w:jc w:val="left"/>
              <w:suppressAutoHyphens/>
            </w:pPr>
            <w:r>
              <w:t xml:space="preserve">Table 6</w:t>
            </w:r>
          </w:p>
        </w:tc>
        <w:tc>
          <w:tcPr>
            <w:tcMar>
              <w:top w:w="100" w:type="dxa"/>
              <w:bottom w:w="100" w:type="dxa"/>
              <w:left w:w="150" w:type="dxa"/>
              <w:right w:w="150" w:type="dxa"/>
            </w:tcMar>
            <w:vAlign w:val="center"/>
          </w:tcPr>
          <w:p>
            <w:pPr>
              <w:pStyle w:val="Compact"/>
              <w:jc w:val="left"/>
              <w:suppressAutoHyphens/>
            </w:pPr>
            <w:r>
              <w:t xml:space="preserve">Board Composition (Advisory/Committee Roles Under the Board)</w:t>
            </w:r>
          </w:p>
        </w:tc>
        <w:tc>
          <w:tcPr>
            <w:tcMar>
              <w:top w:w="100" w:type="dxa"/>
              <w:bottom w:w="100" w:type="dxa"/>
              <w:left w:w="150" w:type="dxa"/>
              <w:right w:w="150" w:type="dxa"/>
            </w:tcMar>
            <w:vAlign w:val="center"/>
          </w:tcPr>
          <w:p>
            <w:pPr>
              <w:pStyle w:val="Compact"/>
              <w:jc w:val="left"/>
              <w:suppressAutoHyphens/>
            </w:pPr>
            <w:r>
              <w:t xml:space="preserve">Section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7</w:t>
            </w:r>
          </w:p>
        </w:tc>
        <w:tc>
          <w:tcPr>
            <w:tcMar>
              <w:top w:w="100" w:type="dxa"/>
              <w:bottom w:w="100" w:type="dxa"/>
              <w:left w:w="150" w:type="dxa"/>
              <w:right w:w="150" w:type="dxa"/>
            </w:tcMar>
            <w:vAlign w:val="center"/>
            <w:shd w:val="clear" w:color="auto" w:fill="E9EDF6"/>
          </w:tcPr>
          <w:p>
            <w:pPr>
              <w:pStyle w:val="Compact"/>
              <w:jc w:val="left"/>
              <w:suppressAutoHyphens/>
            </w:pPr>
            <w:r>
              <w:t xml:space="preserve">Staffing, Budget, KPIs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Table 8</w:t>
            </w:r>
          </w:p>
        </w:tc>
        <w:tc>
          <w:tcPr>
            <w:tcMar>
              <w:top w:w="100" w:type="dxa"/>
              <w:bottom w:w="100" w:type="dxa"/>
              <w:left w:w="150" w:type="dxa"/>
              <w:right w:w="150" w:type="dxa"/>
            </w:tcMar>
            <w:vAlign w:val="center"/>
          </w:tcPr>
          <w:p>
            <w:pPr>
              <w:pStyle w:val="Compact"/>
              <w:jc w:val="left"/>
              <w:suppressAutoHyphens/>
            </w:pPr>
            <w:r>
              <w:t xml:space="preserve">Rollout Phases (Target Years)</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9</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Six Founding Colleges (Year 1 Leadership, per Senate Group II)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8</w:t>
            </w:r>
          </w:p>
        </w:tc>
      </w:tr>
      <w:tr>
        <w:trPr>
          <w:cantSplit/>
        </w:trPr>
        <w:tc>
          <w:tcPr>
            <w:tcMar>
              <w:top w:w="100" w:type="dxa"/>
              <w:bottom w:w="100" w:type="dxa"/>
              <w:left w:w="150" w:type="dxa"/>
              <w:right w:w="150" w:type="dxa"/>
            </w:tcMar>
            <w:vAlign w:val="center"/>
          </w:tcPr>
          <w:p>
            <w:pPr>
              <w:pStyle w:val="Compact"/>
              <w:jc w:val="left"/>
              <w:suppressAutoHyphens/>
            </w:pPr>
            <w:r>
              <w:t xml:space="preserve">Table 10</w:t>
            </w:r>
          </w:p>
        </w:tc>
        <w:tc>
          <w:tcPr>
            <w:tcMar>
              <w:top w:w="100" w:type="dxa"/>
              <w:bottom w:w="100" w:type="dxa"/>
              <w:left w:w="150" w:type="dxa"/>
              <w:right w:w="150" w:type="dxa"/>
            </w:tcMar>
            <w:vAlign w:val="center"/>
          </w:tcPr>
          <w:p>
            <w:pPr>
              <w:pStyle w:val="Compact"/>
              <w:jc w:val="left"/>
              <w:suppressAutoHyphens/>
            </w:pPr>
            <w:r>
              <w:t xml:space="preserve">Year-11+ Secular Schools</w:t>
            </w:r>
          </w:p>
        </w:tc>
        <w:tc>
          <w:tcPr>
            <w:tcMar>
              <w:top w:w="100" w:type="dxa"/>
              <w:bottom w:w="100" w:type="dxa"/>
              <w:left w:w="150" w:type="dxa"/>
              <w:right w:w="150" w:type="dxa"/>
            </w:tcMar>
            <w:vAlign w:val="center"/>
          </w:tcPr>
          <w:p>
            <w:pPr>
              <w:pStyle w:val="Compact"/>
              <w:jc w:val="left"/>
              <w:suppressAutoHyphens/>
            </w:pPr>
            <w:r>
              <w:t xml:space="preserve">Section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11</w:t>
            </w:r>
          </w:p>
        </w:tc>
        <w:tc>
          <w:tcPr>
            <w:tcMar>
              <w:top w:w="100" w:type="dxa"/>
              <w:bottom w:w="100" w:type="dxa"/>
              <w:left w:w="150" w:type="dxa"/>
              <w:right w:w="150" w:type="dxa"/>
            </w:tcMar>
            <w:vAlign w:val="center"/>
            <w:shd w:val="clear" w:color="auto" w:fill="E9EDF6"/>
          </w:tcPr>
          <w:p>
            <w:pPr>
              <w:pStyle w:val="Compact"/>
              <w:jc w:val="left"/>
              <w:suppressAutoHyphens/>
            </w:pPr>
            <w:r>
              <w:t xml:space="preserve">Ranks &amp; Titles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9</w:t>
            </w:r>
          </w:p>
        </w:tc>
      </w:tr>
      <w:tr>
        <w:trPr>
          <w:cantSplit/>
        </w:trPr>
        <w:tc>
          <w:tcPr>
            <w:tcMar>
              <w:top w:w="100" w:type="dxa"/>
              <w:bottom w:w="100" w:type="dxa"/>
              <w:left w:w="150" w:type="dxa"/>
              <w:right w:w="150" w:type="dxa"/>
            </w:tcMar>
            <w:vAlign w:val="center"/>
          </w:tcPr>
          <w:p>
            <w:pPr>
              <w:pStyle w:val="Compact"/>
              <w:jc w:val="left"/>
              <w:suppressAutoHyphens/>
            </w:pPr>
            <w:r>
              <w:t xml:space="preserve">Table 12</w:t>
            </w:r>
          </w:p>
        </w:tc>
        <w:tc>
          <w:tcPr>
            <w:tcMar>
              <w:top w:w="100" w:type="dxa"/>
              <w:bottom w:w="100" w:type="dxa"/>
              <w:left w:w="150" w:type="dxa"/>
              <w:right w:w="150" w:type="dxa"/>
            </w:tcMar>
            <w:vAlign w:val="center"/>
          </w:tcPr>
          <w:p>
            <w:pPr>
              <w:pStyle w:val="Compact"/>
              <w:jc w:val="left"/>
              <w:suppressAutoHyphens/>
            </w:pPr>
            <w:r>
              <w:t xml:space="preserve">The Six Founding Departments (Group III, Year 1)</w:t>
            </w:r>
          </w:p>
        </w:tc>
        <w:tc>
          <w:tcPr>
            <w:tcMar>
              <w:top w:w="100" w:type="dxa"/>
              <w:bottom w:w="100" w:type="dxa"/>
              <w:left w:w="150" w:type="dxa"/>
              <w:right w:w="150" w:type="dxa"/>
            </w:tcMar>
            <w:vAlign w:val="center"/>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13</w:t>
            </w:r>
          </w:p>
        </w:tc>
        <w:tc>
          <w:tcPr>
            <w:tcMar>
              <w:top w:w="100" w:type="dxa"/>
              <w:bottom w:w="100" w:type="dxa"/>
              <w:left w:w="150" w:type="dxa"/>
              <w:right w:w="150" w:type="dxa"/>
            </w:tcMar>
            <w:vAlign w:val="center"/>
            <w:shd w:val="clear" w:color="auto" w:fill="E9EDF6"/>
          </w:tcPr>
          <w:p>
            <w:pPr>
              <w:pStyle w:val="Compact"/>
              <w:jc w:val="left"/>
              <w:suppressAutoHyphens/>
            </w:pPr>
            <w:r>
              <w:t xml:space="preserve">Department-Level Budget &amp; Staffing by Phase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tcPr>
          <w:p>
            <w:pPr>
              <w:pStyle w:val="Compact"/>
              <w:jc w:val="left"/>
              <w:suppressAutoHyphens/>
            </w:pPr>
            <w:r>
              <w:t xml:space="preserve">Table 14</w:t>
            </w:r>
          </w:p>
        </w:tc>
        <w:tc>
          <w:tcPr>
            <w:tcMar>
              <w:top w:w="100" w:type="dxa"/>
              <w:bottom w:w="100" w:type="dxa"/>
              <w:left w:w="150" w:type="dxa"/>
              <w:right w:w="150" w:type="dxa"/>
            </w:tcMar>
            <w:vAlign w:val="center"/>
          </w:tcPr>
          <w:p>
            <w:pPr>
              <w:pStyle w:val="Compact"/>
              <w:jc w:val="left"/>
              <w:suppressAutoHyphens/>
            </w:pPr>
            <w:r>
              <w:t xml:space="preserve">Curriculum Composition by Tier</w:t>
            </w:r>
          </w:p>
        </w:tc>
        <w:tc>
          <w:tcPr>
            <w:tcMar>
              <w:top w:w="100" w:type="dxa"/>
              <w:bottom w:w="100" w:type="dxa"/>
              <w:left w:w="150" w:type="dxa"/>
              <w:right w:w="150" w:type="dxa"/>
            </w:tcMar>
            <w:vAlign w:val="center"/>
          </w:tcPr>
          <w:p>
            <w:pPr>
              <w:pStyle w:val="Compact"/>
              <w:jc w:val="left"/>
              <w:suppressAutoHyphens/>
            </w:pPr>
            <w:r>
              <w:t xml:space="preserve">Section 12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15</w:t>
            </w:r>
          </w:p>
        </w:tc>
        <w:tc>
          <w:tcPr>
            <w:tcMar>
              <w:top w:w="100" w:type="dxa"/>
              <w:bottom w:w="100" w:type="dxa"/>
              <w:left w:w="150" w:type="dxa"/>
              <w:right w:w="150" w:type="dxa"/>
            </w:tcMar>
            <w:vAlign w:val="center"/>
            <w:shd w:val="clear" w:color="auto" w:fill="E9EDF6"/>
          </w:tcPr>
          <w:p>
            <w:pPr>
              <w:pStyle w:val="Compact"/>
              <w:jc w:val="left"/>
              <w:suppressAutoHyphens/>
            </w:pPr>
            <w:r>
              <w:t xml:space="preserve">Journey Stages &amp; Touchpoints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Table 16</w:t>
            </w:r>
          </w:p>
        </w:tc>
        <w:tc>
          <w:tcPr>
            <w:tcMar>
              <w:top w:w="100" w:type="dxa"/>
              <w:bottom w:w="100" w:type="dxa"/>
              <w:left w:w="150" w:type="dxa"/>
              <w:right w:w="150" w:type="dxa"/>
            </w:tcMar>
            <w:vAlign w:val="center"/>
          </w:tcPr>
          <w:p>
            <w:pPr>
              <w:pStyle w:val="Compact"/>
              <w:jc w:val="left"/>
              <w:suppressAutoHyphens/>
            </w:pPr>
            <w:r>
              <w:t xml:space="preserve">Eligibility by Tier</w:t>
            </w:r>
          </w:p>
        </w:tc>
        <w:tc>
          <w:tcPr>
            <w:tcMar>
              <w:top w:w="100" w:type="dxa"/>
              <w:bottom w:w="100" w:type="dxa"/>
              <w:left w:w="150" w:type="dxa"/>
              <w:right w:w="150" w:type="dxa"/>
            </w:tcMar>
            <w:vAlign w:val="center"/>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17</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tcPr>
          <w:p>
            <w:pPr>
              <w:pStyle w:val="Compact"/>
              <w:jc w:val="left"/>
              <w:suppressAutoHyphens/>
            </w:pPr>
            <w:r>
              <w:t xml:space="preserve">Table 18</w:t>
            </w:r>
          </w:p>
        </w:tc>
        <w:tc>
          <w:tcPr>
            <w:tcMar>
              <w:top w:w="100" w:type="dxa"/>
              <w:bottom w:w="100" w:type="dxa"/>
              <w:left w:w="150" w:type="dxa"/>
              <w:right w:w="150" w:type="dxa"/>
            </w:tcMar>
            <w:vAlign w:val="center"/>
          </w:tcPr>
          <w:p>
            <w:pPr>
              <w:pStyle w:val="Compact"/>
              <w:jc w:val="left"/>
              <w:suppressAutoHyphens/>
            </w:pPr>
            <w:r>
              <w:t xml:space="preserve">Sourcing (Faculty Recruitment Channels)</w:t>
            </w:r>
          </w:p>
        </w:tc>
        <w:tc>
          <w:tcPr>
            <w:tcMar>
              <w:top w:w="100" w:type="dxa"/>
              <w:bottom w:w="100" w:type="dxa"/>
              <w:left w:w="150" w:type="dxa"/>
              <w:right w:w="150" w:type="dxa"/>
            </w:tcMar>
            <w:vAlign w:val="center"/>
          </w:tcPr>
          <w:p>
            <w:pPr>
              <w:pStyle w:val="Compact"/>
              <w:jc w:val="left"/>
              <w:suppressAutoHyphens/>
            </w:pPr>
            <w:r>
              <w:t xml:space="preserve">Section 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19</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Accreditation Timeline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tcPr>
          <w:p>
            <w:pPr>
              <w:pStyle w:val="Compact"/>
              <w:jc w:val="left"/>
              <w:suppressAutoHyphens/>
            </w:pPr>
            <w:r>
              <w:t xml:space="preserve">Table 20</w:t>
            </w:r>
          </w:p>
        </w:tc>
        <w:tc>
          <w:tcPr>
            <w:tcMar>
              <w:top w:w="100" w:type="dxa"/>
              <w:bottom w:w="100" w:type="dxa"/>
              <w:left w:w="150" w:type="dxa"/>
              <w:right w:w="150" w:type="dxa"/>
            </w:tcMar>
            <w:vAlign w:val="center"/>
          </w:tcPr>
          <w:p>
            <w:pPr>
              <w:pStyle w:val="Compact"/>
              <w:jc w:val="left"/>
              <w:suppressAutoHyphens/>
            </w:pPr>
            <w:r>
              <w:t xml:space="preserve">AI Use Cases &amp; Sharī’ah Gate</w:t>
            </w:r>
          </w:p>
        </w:tc>
        <w:tc>
          <w:tcPr>
            <w:tcMar>
              <w:top w:w="100" w:type="dxa"/>
              <w:bottom w:w="100" w:type="dxa"/>
              <w:left w:w="150" w:type="dxa"/>
              <w:right w:w="150" w:type="dxa"/>
            </w:tcMar>
            <w:vAlign w:val="center"/>
          </w:tcPr>
          <w:p>
            <w:pPr>
              <w:pStyle w:val="Compact"/>
              <w:jc w:val="left"/>
              <w:suppressAutoHyphens/>
            </w:pPr>
            <w:r>
              <w:t xml:space="preserve">Section 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21</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Digital Stack Components &amp; Phasing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23</w:t>
            </w:r>
          </w:p>
        </w:tc>
      </w:tr>
      <w:tr>
        <w:trPr>
          <w:cantSplit/>
        </w:trPr>
        <w:tc>
          <w:tcPr>
            <w:tcMar>
              <w:top w:w="100" w:type="dxa"/>
              <w:bottom w:w="100" w:type="dxa"/>
              <w:left w:w="150" w:type="dxa"/>
              <w:right w:w="150" w:type="dxa"/>
            </w:tcMar>
            <w:vAlign w:val="center"/>
          </w:tcPr>
          <w:p>
            <w:pPr>
              <w:pStyle w:val="Compact"/>
              <w:jc w:val="left"/>
              <w:suppressAutoHyphens/>
            </w:pPr>
            <w:r>
              <w:t xml:space="preserve">Table 22</w:t>
            </w:r>
          </w:p>
        </w:tc>
        <w:tc>
          <w:tcPr>
            <w:tcMar>
              <w:top w:w="100" w:type="dxa"/>
              <w:bottom w:w="100" w:type="dxa"/>
              <w:left w:w="150" w:type="dxa"/>
              <w:right w:w="150" w:type="dxa"/>
            </w:tcMar>
            <w:vAlign w:val="center"/>
          </w:tcPr>
          <w:p>
            <w:pPr>
              <w:pStyle w:val="Compact"/>
              <w:jc w:val="left"/>
              <w:suppressAutoHyphens/>
            </w:pPr>
            <w:r>
              <w:t xml:space="preserve">Waqf &amp; Stakeholder Reserve — Fixed Mechanics</w:t>
            </w:r>
          </w:p>
        </w:tc>
        <w:tc>
          <w:tcPr>
            <w:tcMar>
              <w:top w:w="100" w:type="dxa"/>
              <w:bottom w:w="100" w:type="dxa"/>
              <w:left w:w="150" w:type="dxa"/>
              <w:right w:w="150" w:type="dxa"/>
            </w:tcMar>
            <w:vAlign w:val="center"/>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23</w:t>
            </w:r>
          </w:p>
        </w:tc>
        <w:tc>
          <w:tcPr>
            <w:tcMar>
              <w:top w:w="100" w:type="dxa"/>
              <w:bottom w:w="100" w:type="dxa"/>
              <w:left w:w="150" w:type="dxa"/>
              <w:right w:w="150" w:type="dxa"/>
            </w:tcMar>
            <w:vAlign w:val="center"/>
            <w:shd w:val="clear" w:color="auto" w:fill="E9EDF6"/>
          </w:tcPr>
          <w:p>
            <w:pPr>
              <w:pStyle w:val="Compact"/>
              <w:jc w:val="left"/>
              <w:suppressAutoHyphens/>
            </w:pPr>
            <w:r>
              <w:t xml:space="preserve">Scholarship Architecture (Five Standing Instruments)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26</w:t>
            </w:r>
          </w:p>
        </w:tc>
      </w:tr>
      <w:tr>
        <w:trPr>
          <w:cantSplit/>
        </w:trPr>
        <w:tc>
          <w:tcPr>
            <w:tcMar>
              <w:top w:w="100" w:type="dxa"/>
              <w:bottom w:w="100" w:type="dxa"/>
              <w:left w:w="150" w:type="dxa"/>
              <w:right w:w="150" w:type="dxa"/>
            </w:tcMar>
            <w:vAlign w:val="center"/>
          </w:tcPr>
          <w:p>
            <w:pPr>
              <w:pStyle w:val="Compact"/>
              <w:jc w:val="left"/>
              <w:suppressAutoHyphens/>
            </w:pPr>
            <w:r>
              <w:t xml:space="preserve">Table 24</w:t>
            </w:r>
          </w:p>
        </w:tc>
        <w:tc>
          <w:tcPr>
            <w:tcMar>
              <w:top w:w="100" w:type="dxa"/>
              <w:bottom w:w="100" w:type="dxa"/>
              <w:left w:w="150" w:type="dxa"/>
              <w:right w:w="150" w:type="dxa"/>
            </w:tcMar>
            <w:vAlign w:val="center"/>
          </w:tcPr>
          <w:p>
            <w:pPr>
              <w:pStyle w:val="Compact"/>
              <w:jc w:val="left"/>
              <w:suppressAutoHyphens/>
            </w:pPr>
            <w:r>
              <w:t xml:space="preserve">Legitimate Revenue Diversification Avenues</w:t>
            </w:r>
          </w:p>
        </w:tc>
        <w:tc>
          <w:tcPr>
            <w:tcMar>
              <w:top w:w="100" w:type="dxa"/>
              <w:bottom w:w="100" w:type="dxa"/>
              <w:left w:w="150" w:type="dxa"/>
              <w:right w:w="150" w:type="dxa"/>
            </w:tcMar>
            <w:vAlign w:val="center"/>
          </w:tcPr>
          <w:p>
            <w:pPr>
              <w:pStyle w:val="Compact"/>
              <w:jc w:val="left"/>
              <w:suppressAutoHyphens/>
            </w:pPr>
            <w:r>
              <w:t xml:space="preserve">Section 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25</w:t>
            </w:r>
          </w:p>
        </w:tc>
        <w:tc>
          <w:tcPr>
            <w:tcMar>
              <w:top w:w="100" w:type="dxa"/>
              <w:bottom w:w="100" w:type="dxa"/>
              <w:left w:w="150" w:type="dxa"/>
              <w:right w:w="150" w:type="dxa"/>
            </w:tcMar>
            <w:vAlign w:val="center"/>
            <w:shd w:val="clear" w:color="auto" w:fill="E9EDF6"/>
          </w:tcPr>
          <w:p>
            <w:pPr>
              <w:pStyle w:val="Compact"/>
              <w:jc w:val="left"/>
              <w:suppressAutoHyphens/>
            </w:pPr>
            <w:r>
              <w:t xml:space="preserve">Country-Tier Messaging &amp; Channels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28</w:t>
            </w:r>
          </w:p>
        </w:tc>
      </w:tr>
      <w:tr>
        <w:trPr>
          <w:cantSplit/>
        </w:trPr>
        <w:tc>
          <w:tcPr>
            <w:tcMar>
              <w:top w:w="100" w:type="dxa"/>
              <w:bottom w:w="100" w:type="dxa"/>
              <w:left w:w="150" w:type="dxa"/>
              <w:right w:w="150" w:type="dxa"/>
            </w:tcMar>
            <w:vAlign w:val="center"/>
          </w:tcPr>
          <w:p>
            <w:pPr>
              <w:pStyle w:val="Compact"/>
              <w:jc w:val="left"/>
              <w:suppressAutoHyphens/>
            </w:pPr>
            <w:r>
              <w:t xml:space="preserve">Table 26</w:t>
            </w:r>
          </w:p>
        </w:tc>
        <w:tc>
          <w:tcPr>
            <w:tcMar>
              <w:top w:w="100" w:type="dxa"/>
              <w:bottom w:w="100" w:type="dxa"/>
              <w:left w:w="150" w:type="dxa"/>
              <w:right w:w="150" w:type="dxa"/>
            </w:tcMar>
            <w:vAlign w:val="center"/>
          </w:tcPr>
          <w:p>
            <w:pPr>
              <w:pStyle w:val="Compact"/>
              <w:jc w:val="left"/>
              <w:suppressAutoHyphens/>
            </w:pPr>
            <w:r>
              <w:t xml:space="preserve">Sequenced Geography (Exact Canon Sequence)</w:t>
            </w:r>
          </w:p>
        </w:tc>
        <w:tc>
          <w:tcPr>
            <w:tcMar>
              <w:top w:w="100" w:type="dxa"/>
              <w:bottom w:w="100" w:type="dxa"/>
              <w:left w:w="150" w:type="dxa"/>
              <w:right w:w="150" w:type="dxa"/>
            </w:tcMar>
            <w:vAlign w:val="center"/>
          </w:tcPr>
          <w:p>
            <w:pPr>
              <w:pStyle w:val="Compact"/>
              <w:jc w:val="left"/>
              <w:suppressAutoHyphens/>
            </w:pPr>
            <w:r>
              <w:t xml:space="preserve">Section 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27</w:t>
            </w:r>
          </w:p>
        </w:tc>
        <w:tc>
          <w:tcPr>
            <w:tcMar>
              <w:top w:w="100" w:type="dxa"/>
              <w:bottom w:w="100" w:type="dxa"/>
              <w:left w:w="150" w:type="dxa"/>
              <w:right w:w="150" w:type="dxa"/>
            </w:tcMar>
            <w:vAlign w:val="center"/>
            <w:shd w:val="clear" w:color="auto" w:fill="E9EDF6"/>
          </w:tcPr>
          <w:p>
            <w:pPr>
              <w:pStyle w:val="Compact"/>
              <w:jc w:val="left"/>
              <w:suppressAutoHyphens/>
            </w:pPr>
            <w:r>
              <w:t xml:space="preserve">Risk Register — 14 Adopted Risks (from AMIU-MP-001)</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36</w:t>
            </w:r>
          </w:p>
        </w:tc>
      </w:tr>
      <w:tr>
        <w:trPr>
          <w:cantSplit/>
        </w:trPr>
        <w:tc>
          <w:tcPr>
            <w:tcMar>
              <w:top w:w="100" w:type="dxa"/>
              <w:bottom w:w="100" w:type="dxa"/>
              <w:left w:w="150" w:type="dxa"/>
              <w:right w:w="150" w:type="dxa"/>
            </w:tcMar>
            <w:vAlign w:val="center"/>
          </w:tcPr>
          <w:p>
            <w:pPr>
              <w:pStyle w:val="Compact"/>
              <w:jc w:val="left"/>
              <w:suppressAutoHyphens/>
            </w:pPr>
            <w:r>
              <w:t xml:space="preserve">Table 28</w:t>
            </w:r>
          </w:p>
        </w:tc>
        <w:tc>
          <w:tcPr>
            <w:tcMar>
              <w:top w:w="100" w:type="dxa"/>
              <w:bottom w:w="100" w:type="dxa"/>
              <w:left w:w="150" w:type="dxa"/>
              <w:right w:w="150" w:type="dxa"/>
            </w:tcMar>
            <w:vAlign w:val="center"/>
          </w:tcPr>
          <w:p>
            <w:pPr>
              <w:pStyle w:val="Compact"/>
              <w:jc w:val="left"/>
              <w:suppressAutoHyphens/>
            </w:pPr>
            <w:r>
              <w:t xml:space="preserve">Annual Compliance Calendar (Steady-State, Recurring)</w:t>
            </w:r>
          </w:p>
        </w:tc>
        <w:tc>
          <w:tcPr>
            <w:tcMar>
              <w:top w:w="100" w:type="dxa"/>
              <w:bottom w:w="100" w:type="dxa"/>
              <w:left w:w="150" w:type="dxa"/>
              <w:right w:w="150" w:type="dxa"/>
            </w:tcMar>
            <w:vAlign w:val="center"/>
          </w:tcPr>
          <w:p>
            <w:pPr>
              <w:pStyle w:val="Compact"/>
              <w:jc w:val="left"/>
              <w:suppressAutoHyphens/>
            </w:pPr>
            <w:r>
              <w:t xml:space="preserve">Section 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Projects and Their Funding 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Table 30</w:t>
            </w:r>
          </w:p>
        </w:tc>
        <w:tc>
          <w:tcPr>
            <w:tcMar>
              <w:top w:w="100" w:type="dxa"/>
              <w:bottom w:w="100" w:type="dxa"/>
              <w:left w:w="150" w:type="dxa"/>
              <w:right w:w="150" w:type="dxa"/>
            </w:tcMar>
            <w:vAlign w:val="center"/>
          </w:tcPr>
          <w:p>
            <w:pPr>
              <w:pStyle w:val="Compact"/>
              <w:jc w:val="left"/>
              <w:suppressAutoHyphens/>
            </w:pPr>
            <w:r>
              <w:t xml:space="preserve">Consolidated Milestone Table, 2028–2050</w:t>
            </w:r>
          </w:p>
        </w:tc>
        <w:tc>
          <w:tcPr>
            <w:tcMar>
              <w:top w:w="100" w:type="dxa"/>
              <w:bottom w:w="100" w:type="dxa"/>
              <w:left w:w="150" w:type="dxa"/>
              <w:right w:w="150" w:type="dxa"/>
            </w:tcMar>
            <w:vAlign w:val="center"/>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Abbreviation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AGB</w:t>
            </w:r>
          </w:p>
        </w:tc>
        <w:tc>
          <w:tcPr>
            <w:tcMar>
              <w:top w:w="100" w:type="dxa"/>
              <w:bottom w:w="100" w:type="dxa"/>
              <w:left w:w="150" w:type="dxa"/>
              <w:right w:w="150" w:type="dxa"/>
            </w:tcMar>
            <w:vAlign w:val="center"/>
          </w:tcPr>
          <w:p>
            <w:pPr>
              <w:pStyle w:val="Compact"/>
              <w:jc w:val="left"/>
              <w:suppressAutoHyphens/>
            </w:pPr>
            <w:r>
              <w:t xml:space="preserve">Association of Governing Boards (nonprofit/university governance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AI</w:t>
            </w:r>
          </w:p>
        </w:tc>
        <w:tc>
          <w:tcPr>
            <w:tcMar>
              <w:top w:w="100" w:type="dxa"/>
              <w:bottom w:w="100" w:type="dxa"/>
              <w:left w:w="150" w:type="dxa"/>
              <w:right w:w="150" w:type="dxa"/>
            </w:tcMar>
            <w:vAlign w:val="center"/>
            <w:shd w:val="clear" w:color="auto" w:fill="E9EDF6"/>
          </w:tcPr>
          <w:p>
            <w:pPr>
              <w:pStyle w:val="Compact"/>
              <w:jc w:val="left"/>
              <w:suppressAutoHyphens/>
            </w:pPr>
            <w:r>
              <w:t xml:space="preserve">Artificial Intelligence</w:t>
            </w:r>
          </w:p>
        </w:tc>
      </w:tr>
      <w:tr>
        <w:trPr>
          <w:cantSplit/>
        </w:trPr>
        <w:tc>
          <w:tcPr>
            <w:tcMar>
              <w:top w:w="100" w:type="dxa"/>
              <w:bottom w:w="100" w:type="dxa"/>
              <w:left w:w="150" w:type="dxa"/>
              <w:right w:w="150" w:type="dxa"/>
            </w:tcMar>
            <w:vAlign w:val="center"/>
          </w:tcPr>
          <w:p>
            <w:pPr>
              <w:pStyle w:val="Compact"/>
              <w:jc w:val="left"/>
              <w:suppressAutoHyphens/>
            </w:pPr>
            <w:r>
              <w:t xml:space="preserve">API</w:t>
            </w:r>
          </w:p>
        </w:tc>
        <w:tc>
          <w:tcPr>
            <w:tcMar>
              <w:top w:w="100" w:type="dxa"/>
              <w:bottom w:w="100" w:type="dxa"/>
              <w:left w:w="150" w:type="dxa"/>
              <w:right w:w="150" w:type="dxa"/>
            </w:tcMar>
            <w:vAlign w:val="center"/>
          </w:tcPr>
          <w:p>
            <w:pPr>
              <w:pStyle w:val="Compact"/>
              <w:jc w:val="left"/>
              <w:suppressAutoHyphens/>
            </w:pPr>
            <w:r>
              <w:t xml:space="preserve">Application Programming Interface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ASSC</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Admissions &amp; Student Success Committee</w:t>
            </w:r>
          </w:p>
        </w:tc>
      </w:tr>
      <w:tr>
        <w:trPr>
          <w:cantSplit/>
        </w:trPr>
        <w:tc>
          <w:tcPr>
            <w:tcMar>
              <w:top w:w="100" w:type="dxa"/>
              <w:bottom w:w="100" w:type="dxa"/>
              <w:left w:w="150" w:type="dxa"/>
              <w:right w:w="150" w:type="dxa"/>
            </w:tcMar>
            <w:vAlign w:val="center"/>
          </w:tcPr>
          <w:p>
            <w:pPr>
              <w:pStyle w:val="Compact"/>
              <w:jc w:val="left"/>
              <w:suppressAutoHyphens/>
            </w:pPr>
            <w:r>
              <w:t xml:space="preserve">BA</w:t>
            </w:r>
          </w:p>
        </w:tc>
        <w:tc>
          <w:tcPr>
            <w:tcMar>
              <w:top w:w="100" w:type="dxa"/>
              <w:bottom w:w="100" w:type="dxa"/>
              <w:left w:w="150" w:type="dxa"/>
              <w:right w:w="150" w:type="dxa"/>
            </w:tcMar>
            <w:vAlign w:val="center"/>
          </w:tcPr>
          <w:p>
            <w:pPr>
              <w:pStyle w:val="Compact"/>
              <w:jc w:val="left"/>
              <w:suppressAutoHyphens/>
            </w:pPr>
            <w:r>
              <w:t xml:space="preserve">Bachelor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CAC</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&amp; Assessment Committee (AMIU); also Corporate Affairs Commission (Nigeria, Section 31 context)</w:t>
            </w:r>
          </w:p>
        </w:tc>
      </w:tr>
      <w:tr>
        <w:trPr>
          <w:cantSplit/>
        </w:trPr>
        <w:tc>
          <w:tcPr>
            <w:tcMar>
              <w:top w:w="100" w:type="dxa"/>
              <w:bottom w:w="100" w:type="dxa"/>
              <w:left w:w="150" w:type="dxa"/>
              <w:right w:w="150" w:type="dxa"/>
            </w:tcMar>
            <w:vAlign w:val="center"/>
          </w:tcPr>
          <w:p>
            <w:pPr>
              <w:pStyle w:val="Compact"/>
              <w:jc w:val="left"/>
              <w:suppressAutoHyphens/>
            </w:pPr>
            <w:r>
              <w:t xml:space="preserve">CEFR</w:t>
            </w:r>
          </w:p>
        </w:tc>
        <w:tc>
          <w:tcPr>
            <w:tcMar>
              <w:top w:w="100" w:type="dxa"/>
              <w:bottom w:w="100" w:type="dxa"/>
              <w:left w:w="150" w:type="dxa"/>
              <w:right w:w="150" w:type="dxa"/>
            </w:tcMar>
            <w:vAlign w:val="center"/>
          </w:tcPr>
          <w:p>
            <w:pPr>
              <w:pStyle w:val="Compact"/>
              <w:jc w:val="left"/>
              <w:suppressAutoHyphens/>
            </w:pPr>
            <w:r>
              <w:t xml:space="preserve">Common European Framework of Reference for Languages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w:t>
            </w:r>
          </w:p>
        </w:tc>
        <w:tc>
          <w:tcPr>
            <w:tcMar>
              <w:top w:w="100" w:type="dxa"/>
              <w:bottom w:w="100" w:type="dxa"/>
              <w:left w:w="150" w:type="dxa"/>
              <w:right w:w="150" w:type="dxa"/>
            </w:tcMar>
            <w:vAlign w:val="center"/>
            <w:shd w:val="clear" w:color="auto" w:fill="E9EDF6"/>
          </w:tcPr>
          <w:p>
            <w:pPr>
              <w:pStyle w:val="Compact"/>
              <w:jc w:val="left"/>
              <w:suppressAutoHyphens/>
            </w:pPr>
            <w:r>
              <w:t xml:space="preserve">Credit Hour(s)</w:t>
            </w:r>
          </w:p>
        </w:tc>
      </w:tr>
      <w:tr>
        <w:trPr>
          <w:cantSplit/>
        </w:trPr>
        <w:tc>
          <w:tcPr>
            <w:tcMar>
              <w:top w:w="100" w:type="dxa"/>
              <w:bottom w:w="100" w:type="dxa"/>
              <w:left w:w="150" w:type="dxa"/>
              <w:right w:w="150" w:type="dxa"/>
            </w:tcMar>
            <w:vAlign w:val="center"/>
          </w:tcPr>
          <w:p>
            <w:pPr>
              <w:pStyle w:val="Compact"/>
              <w:jc w:val="left"/>
              <w:suppressAutoHyphens/>
            </w:pPr>
            <w:r>
              <w:t xml:space="preserve">COSO</w:t>
            </w:r>
          </w:p>
        </w:tc>
        <w:tc>
          <w:tcPr>
            <w:tcMar>
              <w:top w:w="100" w:type="dxa"/>
              <w:bottom w:w="100" w:type="dxa"/>
              <w:left w:w="150" w:type="dxa"/>
              <w:right w:w="150" w:type="dxa"/>
            </w:tcMar>
            <w:vAlign w:val="center"/>
          </w:tcPr>
          <w:p>
            <w:pPr>
              <w:pStyle w:val="Compact"/>
              <w:jc w:val="left"/>
              <w:suppressAutoHyphens/>
            </w:pPr>
            <w:r>
              <w:t xml:space="preserve">Committee of Sponsoring Organizations of the Treadway Commission (Enterprise Risk Management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Continuing Professional Development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CRM</w:t>
            </w:r>
          </w:p>
        </w:tc>
        <w:tc>
          <w:tcPr>
            <w:tcMar>
              <w:top w:w="100" w:type="dxa"/>
              <w:bottom w:w="100" w:type="dxa"/>
              <w:left w:w="150" w:type="dxa"/>
              <w:right w:w="150" w:type="dxa"/>
            </w:tcMar>
            <w:vAlign w:val="center"/>
          </w:tcPr>
          <w:p>
            <w:pPr>
              <w:pStyle w:val="Compact"/>
              <w:jc w:val="left"/>
              <w:suppressAutoHyphens/>
            </w:pPr>
            <w:r>
              <w:t xml:space="preserve">Customer/Constituent Relationship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DOAJ</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Directory of Open Access Journals</w:t>
            </w:r>
          </w:p>
        </w:tc>
      </w:tr>
      <w:tr>
        <w:trPr>
          <w:cantSplit/>
        </w:trPr>
        <w:tc>
          <w:tcPr>
            <w:tcMar>
              <w:top w:w="100" w:type="dxa"/>
              <w:bottom w:w="100" w:type="dxa"/>
              <w:left w:w="150" w:type="dxa"/>
              <w:right w:w="150" w:type="dxa"/>
            </w:tcMar>
            <w:vAlign w:val="center"/>
          </w:tcPr>
          <w:p>
            <w:pPr>
              <w:pStyle w:val="Compact"/>
              <w:jc w:val="left"/>
              <w:suppressAutoHyphens/>
            </w:pPr>
            <w:r>
              <w:t xml:space="preserve">DOI</w:t>
            </w:r>
          </w:p>
        </w:tc>
        <w:tc>
          <w:tcPr>
            <w:tcMar>
              <w:top w:w="100" w:type="dxa"/>
              <w:bottom w:w="100" w:type="dxa"/>
              <w:left w:w="150" w:type="dxa"/>
              <w:right w:w="150" w:type="dxa"/>
            </w:tcMar>
            <w:vAlign w:val="center"/>
          </w:tcPr>
          <w:p>
            <w:pPr>
              <w:pStyle w:val="Compact"/>
              <w:jc w:val="left"/>
              <w:suppressAutoHyphens/>
            </w:pPr>
            <w:r>
              <w:t xml:space="preserve">Digital Object Identifier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EIN</w:t>
            </w:r>
          </w:p>
        </w:tc>
        <w:tc>
          <w:tcPr>
            <w:tcMar>
              <w:top w:w="100" w:type="dxa"/>
              <w:bottom w:w="100" w:type="dxa"/>
              <w:left w:w="150" w:type="dxa"/>
              <w:right w:w="150" w:type="dxa"/>
            </w:tcMar>
            <w:vAlign w:val="center"/>
          </w:tcPr>
          <w:p>
            <w:pPr>
              <w:pStyle w:val="Compact"/>
              <w:jc w:val="left"/>
              <w:suppressAutoHyphens/>
            </w:pPr>
            <w:r>
              <w:t xml:space="preserve">Employer Identification Number (US)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EMI</w:t>
            </w:r>
          </w:p>
        </w:tc>
        <w:tc>
          <w:tcPr>
            <w:tcMar>
              <w:top w:w="100" w:type="dxa"/>
              <w:bottom w:w="100" w:type="dxa"/>
              <w:left w:w="150" w:type="dxa"/>
              <w:right w:w="150" w:type="dxa"/>
            </w:tcMar>
            <w:vAlign w:val="center"/>
            <w:shd w:val="clear" w:color="auto" w:fill="E9EDF6"/>
          </w:tcPr>
          <w:p>
            <w:pPr>
              <w:pStyle w:val="Compact"/>
              <w:jc w:val="left"/>
              <w:suppressAutoHyphens/>
            </w:pPr>
            <w:r>
              <w:t xml:space="preserve">English-Medium Instruction</w:t>
            </w:r>
          </w:p>
        </w:tc>
      </w:tr>
      <w:tr>
        <w:trPr>
          <w:cantSplit/>
        </w:trPr>
        <w:tc>
          <w:tcPr>
            <w:tcMar>
              <w:top w:w="100" w:type="dxa"/>
              <w:bottom w:w="100" w:type="dxa"/>
              <w:left w:w="150" w:type="dxa"/>
              <w:right w:w="150" w:type="dxa"/>
            </w:tcMar>
            <w:vAlign w:val="center"/>
          </w:tcPr>
          <w:p>
            <w:pPr>
              <w:pStyle w:val="Compact"/>
              <w:jc w:val="left"/>
              <w:suppressAutoHyphens/>
            </w:pPr>
            <w:r>
              <w:t xml:space="preserve">EOMS</w:t>
            </w:r>
          </w:p>
        </w:tc>
        <w:tc>
          <w:tcPr>
            <w:tcMar>
              <w:top w:w="100" w:type="dxa"/>
              <w:bottom w:w="100" w:type="dxa"/>
              <w:left w:w="150" w:type="dxa"/>
              <w:right w:w="150" w:type="dxa"/>
            </w:tcMar>
            <w:vAlign w:val="center"/>
          </w:tcPr>
          <w:p>
            <w:pPr>
              <w:pStyle w:val="Compact"/>
              <w:jc w:val="left"/>
              <w:suppressAutoHyphens/>
            </w:pPr>
            <w:r>
              <w:t xml:space="preserve">Educational Organizations Management System(s) (ISO 21001 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ERM</w:t>
            </w:r>
          </w:p>
        </w:tc>
        <w:tc>
          <w:tcPr>
            <w:tcMar>
              <w:top w:w="100" w:type="dxa"/>
              <w:bottom w:w="100" w:type="dxa"/>
              <w:left w:w="150" w:type="dxa"/>
              <w:right w:w="150" w:type="dxa"/>
            </w:tcMar>
            <w:vAlign w:val="center"/>
            <w:shd w:val="clear" w:color="auto" w:fill="E9EDF6"/>
          </w:tcPr>
          <w:p>
            <w:pPr>
              <w:pStyle w:val="Compact"/>
              <w:jc w:val="left"/>
              <w:suppressAutoHyphens/>
            </w:pPr>
            <w:r>
              <w:t xml:space="preserve">Enterprise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FACC</w:t>
            </w:r>
          </w:p>
        </w:tc>
        <w:tc>
          <w:tcPr>
            <w:tcMar>
              <w:top w:w="100" w:type="dxa"/>
              <w:bottom w:w="100" w:type="dxa"/>
              <w:left w:w="150" w:type="dxa"/>
              <w:right w:w="150" w:type="dxa"/>
            </w:tcMar>
            <w:vAlign w:val="center"/>
          </w:tcPr>
          <w:p>
            <w:pPr>
              <w:pStyle w:val="Compact"/>
              <w:jc w:val="left"/>
              <w:suppressAutoHyphens/>
            </w:pPr>
            <w:r>
              <w:t xml:space="preserve">Faculty Affairs &amp; Credentialing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FTE</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Equivalent (staffing measure)</w:t>
            </w:r>
          </w:p>
        </w:tc>
      </w:tr>
      <w:tr>
        <w:trPr>
          <w:cantSplit/>
        </w:trPr>
        <w:tc>
          <w:tcPr>
            <w:tcMar>
              <w:top w:w="100" w:type="dxa"/>
              <w:bottom w:w="100" w:type="dxa"/>
              <w:left w:w="150" w:type="dxa"/>
              <w:right w:w="150" w:type="dxa"/>
            </w:tcMar>
            <w:vAlign w:val="center"/>
          </w:tcPr>
          <w:p>
            <w:pPr>
              <w:pStyle w:val="Compact"/>
              <w:jc w:val="left"/>
              <w:suppressAutoHyphens/>
            </w:pPr>
            <w:r>
              <w:t xml:space="preserve">FX</w:t>
            </w:r>
          </w:p>
        </w:tc>
        <w:tc>
          <w:tcPr>
            <w:tcMar>
              <w:top w:w="100" w:type="dxa"/>
              <w:bottom w:w="100" w:type="dxa"/>
              <w:left w:w="150" w:type="dxa"/>
              <w:right w:w="150" w:type="dxa"/>
            </w:tcMar>
            <w:vAlign w:val="center"/>
          </w:tcPr>
          <w:p>
            <w:pPr>
              <w:pStyle w:val="Compact"/>
              <w:jc w:val="left"/>
              <w:suppressAutoHyphens/>
            </w:pPr>
            <w:r>
              <w:t xml:space="preserve">Foreign Exchange (currency)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GCC</w:t>
            </w:r>
          </w:p>
        </w:tc>
        <w:tc>
          <w:tcPr>
            <w:tcMar>
              <w:top w:w="100" w:type="dxa"/>
              <w:bottom w:w="100" w:type="dxa"/>
              <w:left w:w="150" w:type="dxa"/>
              <w:right w:w="150" w:type="dxa"/>
            </w:tcMar>
            <w:vAlign w:val="center"/>
            <w:shd w:val="clear" w:color="auto" w:fill="E9EDF6"/>
          </w:tcPr>
          <w:p>
            <w:pPr>
              <w:pStyle w:val="Compact"/>
              <w:jc w:val="left"/>
              <w:suppressAutoHyphens/>
            </w:pPr>
            <w:r>
              <w:t xml:space="preserve">Gulf Cooperation Council</w:t>
            </w:r>
          </w:p>
        </w:tc>
      </w:tr>
      <w:tr>
        <w:trPr>
          <w:cantSplit/>
        </w:trPr>
        <w:tc>
          <w:tcPr>
            <w:tcMar>
              <w:top w:w="100" w:type="dxa"/>
              <w:bottom w:w="100" w:type="dxa"/>
              <w:left w:w="150" w:type="dxa"/>
              <w:right w:w="150" w:type="dxa"/>
            </w:tcMar>
            <w:vAlign w:val="center"/>
          </w:tcPr>
          <w:p>
            <w:pPr>
              <w:pStyle w:val="Compact"/>
              <w:jc w:val="left"/>
              <w:suppressAutoHyphens/>
            </w:pPr>
            <w:r>
              <w:t xml:space="preserve">GDPR</w:t>
            </w:r>
          </w:p>
        </w:tc>
        <w:tc>
          <w:tcPr>
            <w:tcMar>
              <w:top w:w="100" w:type="dxa"/>
              <w:bottom w:w="100" w:type="dxa"/>
              <w:left w:w="150" w:type="dxa"/>
              <w:right w:w="150" w:type="dxa"/>
            </w:tcMar>
            <w:vAlign w:val="center"/>
          </w:tcPr>
          <w:p>
            <w:pPr>
              <w:pStyle w:val="Compact"/>
              <w:jc w:val="left"/>
              <w:suppressAutoHyphens/>
            </w:pPr>
            <w:r>
              <w:t xml:space="preserve">General Data Protection Regulation (EU; used here as a compliance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HoD</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w:t>
            </w:r>
          </w:p>
        </w:tc>
      </w:tr>
      <w:tr>
        <w:trPr>
          <w:cantSplit/>
        </w:trPr>
        <w:tc>
          <w:tcPr>
            <w:tcMar>
              <w:top w:w="100" w:type="dxa"/>
              <w:bottom w:w="100" w:type="dxa"/>
              <w:left w:w="150" w:type="dxa"/>
              <w:right w:w="150" w:type="dxa"/>
            </w:tcMar>
            <w:vAlign w:val="center"/>
          </w:tcPr>
          <w:p>
            <w:pPr>
              <w:pStyle w:val="Compact"/>
              <w:jc w:val="left"/>
              <w:suppressAutoHyphens/>
            </w:pPr>
            <w:r>
              <w:t xml:space="preserve">IAF</w:t>
            </w:r>
          </w:p>
        </w:tc>
        <w:tc>
          <w:tcPr>
            <w:tcMar>
              <w:top w:w="100" w:type="dxa"/>
              <w:bottom w:w="100" w:type="dxa"/>
              <w:left w:w="150" w:type="dxa"/>
              <w:right w:w="150" w:type="dxa"/>
            </w:tcMar>
            <w:vAlign w:val="center"/>
          </w:tcPr>
          <w:p>
            <w:pPr>
              <w:pStyle w:val="Compact"/>
              <w:jc w:val="left"/>
              <w:suppressAutoHyphens/>
            </w:pPr>
            <w:r>
              <w:t xml:space="preserve">International Accreditation Forum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ILO</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INQAAHE</w:t>
            </w:r>
          </w:p>
        </w:tc>
        <w:tc>
          <w:tcPr>
            <w:tcMar>
              <w:top w:w="100" w:type="dxa"/>
              <w:bottom w:w="100" w:type="dxa"/>
              <w:left w:w="150" w:type="dxa"/>
              <w:right w:w="150" w:type="dxa"/>
            </w:tcMar>
            <w:vAlign w:val="center"/>
          </w:tcPr>
          <w:p>
            <w:pPr>
              <w:pStyle w:val="Compact"/>
              <w:jc w:val="left"/>
              <w:suppressAutoHyphens/>
            </w:pPr>
            <w:r>
              <w:t xml:space="preserve">International Network for Quality Assurance Agencies in Higher Education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IRS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Revenue Service (United States)</w:t>
            </w:r>
          </w:p>
        </w:tc>
      </w:tr>
      <w:tr>
        <w:trPr>
          <w:cantSplit/>
        </w:trPr>
        <w:tc>
          <w:tcPr>
            <w:tcMar>
              <w:top w:w="100" w:type="dxa"/>
              <w:bottom w:w="100" w:type="dxa"/>
              <w:left w:w="150" w:type="dxa"/>
              <w:right w:w="150" w:type="dxa"/>
            </w:tcMar>
            <w:vAlign w:val="center"/>
          </w:tcPr>
          <w:p>
            <w:pPr>
              <w:pStyle w:val="Compact"/>
              <w:jc w:val="left"/>
              <w:suppressAutoHyphens/>
            </w:pPr>
            <w:r>
              <w:t xml:space="preserve">ISO</w:t>
            </w:r>
          </w:p>
        </w:tc>
        <w:tc>
          <w:tcPr>
            <w:tcMar>
              <w:top w:w="100" w:type="dxa"/>
              <w:bottom w:w="100" w:type="dxa"/>
              <w:left w:w="150" w:type="dxa"/>
              <w:right w:w="150" w:type="dxa"/>
            </w:tcMar>
            <w:vAlign w:val="center"/>
          </w:tcPr>
          <w:p>
            <w:pPr>
              <w:pStyle w:val="Compact"/>
              <w:jc w:val="left"/>
              <w:suppressAutoHyphens/>
            </w:pPr>
            <w:r>
              <w:t xml:space="preserve">International Organization for Standardization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KOR</w:t>
            </w:r>
          </w:p>
        </w:tc>
        <w:tc>
          <w:tcPr>
            <w:tcMar>
              <w:top w:w="100" w:type="dxa"/>
              <w:bottom w:w="100" w:type="dxa"/>
              <w:left w:w="150" w:type="dxa"/>
              <w:right w:w="150" w:type="dxa"/>
            </w:tcMar>
            <w:vAlign w:val="center"/>
            <w:shd w:val="clear" w:color="auto" w:fill="E9EDF6"/>
          </w:tcPr>
          <w:p>
            <w:pPr>
              <w:pStyle w:val="Compact"/>
              <w:jc w:val="left"/>
              <w:suppressAutoHyphens/>
            </w:pPr>
            <w:r>
              <w:t xml:space="preserve">Kernel Outturn Ratio (cashew-export quality metric, Commercial Engine Gate A)</w:t>
            </w:r>
          </w:p>
        </w:tc>
      </w:tr>
      <w:tr>
        <w:trPr>
          <w:cantSplit/>
        </w:trPr>
        <w:tc>
          <w:tcPr>
            <w:tcMar>
              <w:top w:w="100" w:type="dxa"/>
              <w:bottom w:w="100" w:type="dxa"/>
              <w:left w:w="150" w:type="dxa"/>
              <w:right w:w="150" w:type="dxa"/>
            </w:tcMar>
            <w:vAlign w:val="center"/>
          </w:tcPr>
          <w:p>
            <w:pPr>
              <w:pStyle w:val="Compact"/>
              <w:jc w:val="left"/>
              <w:suppressAutoHyphens/>
            </w:pPr>
            <w:r>
              <w:t xml:space="preserve">KPI</w:t>
            </w:r>
          </w:p>
        </w:tc>
        <w:tc>
          <w:tcPr>
            <w:tcMar>
              <w:top w:w="100" w:type="dxa"/>
              <w:bottom w:w="100" w:type="dxa"/>
              <w:left w:w="150" w:type="dxa"/>
              <w:right w:w="150" w:type="dxa"/>
            </w:tcMar>
            <w:vAlign w:val="center"/>
          </w:tcPr>
          <w:p>
            <w:pPr>
              <w:pStyle w:val="Compact"/>
              <w:jc w:val="left"/>
              <w:suppressAutoHyphens/>
            </w:pPr>
            <w:r>
              <w:t xml:space="preserve">Key Performance Indicator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LLB</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Laws</w:t>
            </w:r>
          </w:p>
        </w:tc>
      </w:tr>
      <w:tr>
        <w:trPr>
          <w:cantSplit/>
        </w:trPr>
        <w:tc>
          <w:tcPr>
            <w:tcMar>
              <w:top w:w="100" w:type="dxa"/>
              <w:bottom w:w="100" w:type="dxa"/>
              <w:left w:w="150" w:type="dxa"/>
              <w:right w:w="150" w:type="dxa"/>
            </w:tcMar>
            <w:vAlign w:val="center"/>
          </w:tcPr>
          <w:p>
            <w:pPr>
              <w:pStyle w:val="Compact"/>
              <w:jc w:val="left"/>
              <w:suppressAutoHyphens/>
            </w:pPr>
            <w:r>
              <w:t xml:space="preserve">LLC</w:t>
            </w:r>
          </w:p>
        </w:tc>
        <w:tc>
          <w:tcPr>
            <w:tcMar>
              <w:top w:w="100" w:type="dxa"/>
              <w:bottom w:w="100" w:type="dxa"/>
              <w:left w:w="150" w:type="dxa"/>
              <w:right w:w="150" w:type="dxa"/>
            </w:tcMar>
            <w:vAlign w:val="center"/>
          </w:tcPr>
          <w:p>
            <w:pPr>
              <w:pStyle w:val="Compact"/>
              <w:jc w:val="left"/>
              <w:suppressAutoHyphens/>
            </w:pPr>
            <w:r>
              <w:t xml:space="preserve">Limited Liability Company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LLM</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Laws</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LTI</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Tools Interoperability (LMS integration standard)</w:t>
            </w:r>
          </w:p>
        </w:tc>
      </w:tr>
      <w:tr>
        <w:trPr>
          <w:cantSplit/>
        </w:trPr>
        <w:tc>
          <w:tcPr>
            <w:tcMar>
              <w:top w:w="100" w:type="dxa"/>
              <w:bottom w:w="100" w:type="dxa"/>
              <w:left w:w="150" w:type="dxa"/>
              <w:right w:w="150" w:type="dxa"/>
            </w:tcMar>
            <w:vAlign w:val="center"/>
          </w:tcPr>
          <w:p>
            <w:pPr>
              <w:pStyle w:val="Compact"/>
              <w:jc w:val="left"/>
              <w:suppressAutoHyphens/>
            </w:pPr>
            <w:r>
              <w:t xml:space="preserve">MA</w:t>
            </w:r>
          </w:p>
        </w:tc>
        <w:tc>
          <w:tcPr>
            <w:tcMar>
              <w:top w:w="100" w:type="dxa"/>
              <w:bottom w:w="100" w:type="dxa"/>
              <w:left w:w="150" w:type="dxa"/>
              <w:right w:w="150" w:type="dxa"/>
            </w:tcMar>
            <w:vAlign w:val="center"/>
          </w:tcPr>
          <w:p>
            <w:pPr>
              <w:pStyle w:val="Compact"/>
              <w:jc w:val="left"/>
              <w:suppressAutoHyphens/>
            </w:pPr>
            <w:r>
              <w:t xml:space="preserve">Master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MBA</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Business Administration</w:t>
            </w:r>
          </w:p>
        </w:tc>
      </w:tr>
      <w:tr>
        <w:trPr>
          <w:cantSplit/>
        </w:trPr>
        <w:tc>
          <w:tcPr>
            <w:tcMar>
              <w:top w:w="100" w:type="dxa"/>
              <w:bottom w:w="100" w:type="dxa"/>
              <w:left w:w="150" w:type="dxa"/>
              <w:right w:w="150" w:type="dxa"/>
            </w:tcMar>
            <w:vAlign w:val="center"/>
          </w:tcPr>
          <w:p>
            <w:pPr>
              <w:pStyle w:val="Compact"/>
              <w:jc w:val="left"/>
              <w:suppressAutoHyphens/>
            </w:pPr>
            <w:r>
              <w:t xml:space="preserve">MFA</w:t>
            </w:r>
          </w:p>
        </w:tc>
        <w:tc>
          <w:tcPr>
            <w:tcMar>
              <w:top w:w="100" w:type="dxa"/>
              <w:bottom w:w="100" w:type="dxa"/>
              <w:left w:w="150" w:type="dxa"/>
              <w:right w:w="150" w:type="dxa"/>
            </w:tcMar>
            <w:vAlign w:val="center"/>
          </w:tcPr>
          <w:p>
            <w:pPr>
              <w:pStyle w:val="Compact"/>
              <w:jc w:val="left"/>
              <w:suppressAutoHyphens/>
            </w:pPr>
            <w:r>
              <w:t xml:space="preserve">Multi-Factor Authentication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MOU</w:t>
            </w:r>
          </w:p>
        </w:tc>
        <w:tc>
          <w:tcPr>
            <w:tcMar>
              <w:top w:w="100" w:type="dxa"/>
              <w:bottom w:w="100" w:type="dxa"/>
              <w:left w:w="150" w:type="dxa"/>
              <w:right w:w="150" w:type="dxa"/>
            </w:tcMar>
            <w:vAlign w:val="center"/>
            <w:shd w:val="clear" w:color="auto" w:fill="E9EDF6"/>
          </w:tcPr>
          <w:p>
            <w:pPr>
              <w:pStyle w:val="Compact"/>
              <w:jc w:val="left"/>
              <w:suppressAutoHyphens/>
            </w:pPr>
            <w:r>
              <w:t xml:space="preserve">Memorandum of Understanding</w:t>
            </w:r>
          </w:p>
        </w:tc>
      </w:tr>
      <w:tr>
        <w:trPr>
          <w:cantSplit/>
        </w:trPr>
        <w:tc>
          <w:tcPr>
            <w:tcMar>
              <w:top w:w="100" w:type="dxa"/>
              <w:bottom w:w="100" w:type="dxa"/>
              <w:left w:w="150" w:type="dxa"/>
              <w:right w:w="150" w:type="dxa"/>
            </w:tcMar>
            <w:vAlign w:val="center"/>
          </w:tcPr>
          <w:p>
            <w:pPr>
              <w:pStyle w:val="Compact"/>
              <w:jc w:val="left"/>
              <w:suppressAutoHyphens/>
            </w:pPr>
            <w:r>
              <w:t xml:space="preserve">MPH</w:t>
            </w:r>
          </w:p>
        </w:tc>
        <w:tc>
          <w:tcPr>
            <w:tcMar>
              <w:top w:w="100" w:type="dxa"/>
              <w:bottom w:w="100" w:type="dxa"/>
              <w:left w:w="150" w:type="dxa"/>
              <w:right w:w="150" w:type="dxa"/>
            </w:tcMar>
            <w:vAlign w:val="center"/>
          </w:tcPr>
          <w:p>
            <w:pPr>
              <w:pStyle w:val="Compact"/>
              <w:jc w:val="left"/>
              <w:suppressAutoHyphens/>
            </w:pPr>
            <w:r>
              <w:t xml:space="preserve">Master of Public Health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NAQAA</w:t>
            </w:r>
          </w:p>
        </w:tc>
        <w:tc>
          <w:tcPr>
            <w:tcMar>
              <w:top w:w="100" w:type="dxa"/>
              <w:bottom w:w="100" w:type="dxa"/>
              <w:left w:w="150" w:type="dxa"/>
              <w:right w:w="150" w:type="dxa"/>
            </w:tcMar>
            <w:vAlign w:val="center"/>
            <w:shd w:val="clear" w:color="auto" w:fill="E9EDF6"/>
          </w:tcPr>
          <w:p>
            <w:pPr>
              <w:pStyle w:val="Compact"/>
              <w:jc w:val="left"/>
              <w:suppressAutoHyphens/>
            </w:pPr>
            <w:r>
              <w:t xml:space="preserve">National Accreditation and Quality Assurance Authority (The Gambia)</w:t>
            </w:r>
          </w:p>
        </w:tc>
      </w:tr>
      <w:tr>
        <w:trPr>
          <w:cantSplit/>
        </w:trPr>
        <w:tc>
          <w:tcPr>
            <w:tcMar>
              <w:top w:w="100" w:type="dxa"/>
              <w:bottom w:w="100" w:type="dxa"/>
              <w:left w:w="150" w:type="dxa"/>
              <w:right w:w="150" w:type="dxa"/>
            </w:tcMar>
            <w:vAlign w:val="center"/>
          </w:tcPr>
          <w:p>
            <w:pPr>
              <w:pStyle w:val="Compact"/>
              <w:jc w:val="left"/>
              <w:suppressAutoHyphens/>
            </w:pPr>
            <w:r>
              <w:t xml:space="preserve">NUC</w:t>
            </w:r>
          </w:p>
        </w:tc>
        <w:tc>
          <w:tcPr>
            <w:tcMar>
              <w:top w:w="100" w:type="dxa"/>
              <w:bottom w:w="100" w:type="dxa"/>
              <w:left w:w="150" w:type="dxa"/>
              <w:right w:w="150" w:type="dxa"/>
            </w:tcMar>
            <w:vAlign w:val="center"/>
          </w:tcPr>
          <w:p>
            <w:pPr>
              <w:pStyle w:val="Compact"/>
              <w:jc w:val="left"/>
              <w:suppressAutoHyphens/>
            </w:pPr>
            <w:r>
              <w:t xml:space="preserve">National Universities Commission (Nigeria)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OCR</w:t>
            </w:r>
          </w:p>
        </w:tc>
        <w:tc>
          <w:tcPr>
            <w:tcMar>
              <w:top w:w="100" w:type="dxa"/>
              <w:bottom w:w="100" w:type="dxa"/>
              <w:left w:w="150" w:type="dxa"/>
              <w:right w:w="150" w:type="dxa"/>
            </w:tcMar>
            <w:vAlign w:val="center"/>
            <w:shd w:val="clear" w:color="auto" w:fill="E9EDF6"/>
          </w:tcPr>
          <w:p>
            <w:pPr>
              <w:pStyle w:val="Compact"/>
              <w:jc w:val="left"/>
              <w:suppressAutoHyphens/>
            </w:pPr>
            <w:r>
              <w:t xml:space="preserve">Optical Character Recognition</w:t>
            </w:r>
          </w:p>
        </w:tc>
      </w:tr>
      <w:tr>
        <w:trPr>
          <w:cantSplit/>
        </w:trPr>
        <w:tc>
          <w:tcPr>
            <w:tcMar>
              <w:top w:w="100" w:type="dxa"/>
              <w:bottom w:w="100" w:type="dxa"/>
              <w:left w:w="150" w:type="dxa"/>
              <w:right w:w="150" w:type="dxa"/>
            </w:tcMar>
            <w:vAlign w:val="center"/>
          </w:tcPr>
          <w:p>
            <w:pPr>
              <w:pStyle w:val="Compact"/>
              <w:jc w:val="left"/>
              <w:suppressAutoHyphens/>
            </w:pPr>
            <w:r>
              <w:t xml:space="preserve">OJS</w:t>
            </w:r>
          </w:p>
        </w:tc>
        <w:tc>
          <w:tcPr>
            <w:tcMar>
              <w:top w:w="100" w:type="dxa"/>
              <w:bottom w:w="100" w:type="dxa"/>
              <w:left w:w="150" w:type="dxa"/>
              <w:right w:w="150" w:type="dxa"/>
            </w:tcMar>
            <w:vAlign w:val="center"/>
          </w:tcPr>
          <w:p>
            <w:pPr>
              <w:pStyle w:val="Compact"/>
              <w:jc w:val="left"/>
              <w:suppressAutoHyphens/>
            </w:pPr>
            <w:r>
              <w:t xml:space="preserve">Open Journal Systems (open-access publishing platform)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r>
      <w:tr>
        <w:trPr>
          <w:cantSplit/>
        </w:trPr>
        <w:tc>
          <w:tcPr>
            <w:tcMar>
              <w:top w:w="100" w:type="dxa"/>
              <w:bottom w:w="100" w:type="dxa"/>
              <w:left w:w="150" w:type="dxa"/>
              <w:right w:w="150" w:type="dxa"/>
            </w:tcMar>
            <w:vAlign w:val="center"/>
          </w:tcPr>
          <w:p>
            <w:pPr>
              <w:pStyle w:val="Compact"/>
              <w:jc w:val="left"/>
              <w:suppressAutoHyphens/>
            </w:pPr>
            <w:r>
              <w:t xml:space="preserve">PCI-DSS</w:t>
            </w:r>
          </w:p>
        </w:tc>
        <w:tc>
          <w:tcPr>
            <w:tcMar>
              <w:top w:w="100" w:type="dxa"/>
              <w:bottom w:w="100" w:type="dxa"/>
              <w:left w:w="150" w:type="dxa"/>
              <w:right w:w="150" w:type="dxa"/>
            </w:tcMar>
            <w:vAlign w:val="center"/>
          </w:tcPr>
          <w:p>
            <w:pPr>
              <w:pStyle w:val="Compact"/>
              <w:jc w:val="left"/>
              <w:suppressAutoHyphens/>
            </w:pPr>
            <w:r>
              <w:t xml:space="preserve">Payment Card Industry Data Security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Ph.D.</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 of Philosophy</w:t>
            </w:r>
          </w:p>
        </w:tc>
      </w:tr>
      <w:tr>
        <w:trPr>
          <w:cantSplit/>
        </w:trPr>
        <w:tc>
          <w:tcPr>
            <w:tcMar>
              <w:top w:w="100" w:type="dxa"/>
              <w:bottom w:w="100" w:type="dxa"/>
              <w:left w:w="150" w:type="dxa"/>
              <w:right w:w="150" w:type="dxa"/>
            </w:tcMar>
            <w:vAlign w:val="center"/>
          </w:tcPr>
          <w:p>
            <w:pPr>
              <w:pStyle w:val="Compact"/>
              <w:jc w:val="left"/>
              <w:suppressAutoHyphens/>
            </w:pPr>
            <w:r>
              <w:t xml:space="preserve">PGD</w:t>
            </w:r>
          </w:p>
        </w:tc>
        <w:tc>
          <w:tcPr>
            <w:tcMar>
              <w:top w:w="100" w:type="dxa"/>
              <w:bottom w:w="100" w:type="dxa"/>
              <w:left w:w="150" w:type="dxa"/>
              <w:right w:w="150" w:type="dxa"/>
            </w:tcMar>
            <w:vAlign w:val="center"/>
          </w:tcPr>
          <w:p>
            <w:pPr>
              <w:pStyle w:val="Compact"/>
              <w:jc w:val="left"/>
              <w:suppressAutoHyphens/>
            </w:pPr>
            <w:r>
              <w:t xml:space="preserve">Postgraduate Diploma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PLO</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PPC</w:t>
            </w:r>
          </w:p>
        </w:tc>
        <w:tc>
          <w:tcPr>
            <w:tcMar>
              <w:top w:w="100" w:type="dxa"/>
              <w:bottom w:w="100" w:type="dxa"/>
              <w:left w:w="150" w:type="dxa"/>
              <w:right w:w="150" w:type="dxa"/>
            </w:tcMar>
            <w:vAlign w:val="center"/>
          </w:tcPr>
          <w:p>
            <w:pPr>
              <w:pStyle w:val="Compact"/>
              <w:jc w:val="left"/>
              <w:suppressAutoHyphens/>
            </w:pPr>
            <w:r>
              <w:t xml:space="preserve">Program Portfolio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PWA</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Progressive Web Application</w:t>
            </w:r>
          </w:p>
        </w:tc>
      </w:tr>
      <w:tr>
        <w:trPr>
          <w:cantSplit/>
        </w:trPr>
        <w:tc>
          <w:tcPr>
            <w:tcMar>
              <w:top w:w="100" w:type="dxa"/>
              <w:bottom w:w="100" w:type="dxa"/>
              <w:left w:w="150" w:type="dxa"/>
              <w:right w:w="150" w:type="dxa"/>
            </w:tcMar>
            <w:vAlign w:val="center"/>
          </w:tcPr>
          <w:p>
            <w:pPr>
              <w:pStyle w:val="Compact"/>
              <w:jc w:val="left"/>
              <w:suppressAutoHyphens/>
            </w:pPr>
            <w:r>
              <w:t xml:space="preserve">RAG</w:t>
            </w:r>
          </w:p>
        </w:tc>
        <w:tc>
          <w:tcPr>
            <w:tcMar>
              <w:top w:w="100" w:type="dxa"/>
              <w:bottom w:w="100" w:type="dxa"/>
              <w:left w:w="150" w:type="dxa"/>
              <w:right w:w="150" w:type="dxa"/>
            </w:tcMar>
            <w:vAlign w:val="center"/>
          </w:tcPr>
          <w:p>
            <w:pPr>
              <w:pStyle w:val="Compact"/>
              <w:jc w:val="left"/>
              <w:suppressAutoHyphens/>
            </w:pPr>
            <w:r>
              <w:t xml:space="preserve">Retrieval-Augmented Generation (AI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SACSCOC</w:t>
            </w:r>
          </w:p>
        </w:tc>
        <w:tc>
          <w:tcPr>
            <w:tcMar>
              <w:top w:w="100" w:type="dxa"/>
              <w:bottom w:w="100" w:type="dxa"/>
              <w:left w:w="150" w:type="dxa"/>
              <w:right w:w="150" w:type="dxa"/>
            </w:tcMar>
            <w:vAlign w:val="center"/>
            <w:shd w:val="clear" w:color="auto" w:fill="E9EDF6"/>
          </w:tcPr>
          <w:p>
            <w:pPr>
              <w:pStyle w:val="Compact"/>
              <w:jc w:val="left"/>
              <w:suppressAutoHyphens/>
            </w:pPr>
            <w:r>
              <w:t xml:space="preserve">Southern Association of Colleges and Schools Commission on Colleges (illustrative US regional accreditor reference)</w:t>
            </w:r>
          </w:p>
        </w:tc>
      </w:tr>
      <w:tr>
        <w:trPr>
          <w:cantSplit/>
        </w:trPr>
        <w:tc>
          <w:tcPr>
            <w:tcMar>
              <w:top w:w="100" w:type="dxa"/>
              <w:bottom w:w="100" w:type="dxa"/>
              <w:left w:w="150" w:type="dxa"/>
              <w:right w:w="150" w:type="dxa"/>
            </w:tcMar>
            <w:vAlign w:val="center"/>
          </w:tcPr>
          <w:p>
            <w:pPr>
              <w:pStyle w:val="Compact"/>
              <w:jc w:val="left"/>
              <w:suppressAutoHyphens/>
            </w:pPr>
            <w:r>
              <w:t xml:space="preserve">SCORM</w:t>
            </w:r>
          </w:p>
        </w:tc>
        <w:tc>
          <w:tcPr>
            <w:tcMar>
              <w:top w:w="100" w:type="dxa"/>
              <w:bottom w:w="100" w:type="dxa"/>
              <w:left w:w="150" w:type="dxa"/>
              <w:right w:w="150" w:type="dxa"/>
            </w:tcMar>
            <w:vAlign w:val="center"/>
          </w:tcPr>
          <w:p>
            <w:pPr>
              <w:pStyle w:val="Compact"/>
              <w:jc w:val="left"/>
              <w:suppressAutoHyphens/>
            </w:pPr>
            <w:r>
              <w:t xml:space="preserve">Sharable Content Object Reference Model (e-learning content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SIS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Information System</w:t>
            </w:r>
          </w:p>
        </w:tc>
      </w:tr>
      <w:tr>
        <w:trPr>
          <w:cantSplit/>
        </w:trPr>
        <w:tc>
          <w:tcPr>
            <w:tcMar>
              <w:top w:w="100" w:type="dxa"/>
              <w:bottom w:w="100" w:type="dxa"/>
              <w:left w:w="150" w:type="dxa"/>
              <w:right w:w="150" w:type="dxa"/>
            </w:tcMar>
            <w:vAlign w:val="center"/>
          </w:tcPr>
          <w:p>
            <w:pPr>
              <w:pStyle w:val="Compact"/>
              <w:jc w:val="left"/>
              <w:suppressAutoHyphens/>
            </w:pPr>
            <w:r>
              <w:t xml:space="preserve">SOP</w:t>
            </w:r>
          </w:p>
        </w:tc>
        <w:tc>
          <w:tcPr>
            <w:tcMar>
              <w:top w:w="100" w:type="dxa"/>
              <w:bottom w:w="100" w:type="dxa"/>
              <w:left w:w="150" w:type="dxa"/>
              <w:right w:w="150" w:type="dxa"/>
            </w:tcMar>
            <w:vAlign w:val="center"/>
          </w:tcPr>
          <w:p>
            <w:pPr>
              <w:pStyle w:val="Compact"/>
              <w:jc w:val="left"/>
              <w:suppressAutoHyphens/>
            </w:pPr>
            <w:r>
              <w:t xml:space="preserve">Standard Operating Procedure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SSL</w:t>
            </w:r>
          </w:p>
        </w:tc>
        <w:tc>
          <w:tcPr>
            <w:tcMar>
              <w:top w:w="100" w:type="dxa"/>
              <w:bottom w:w="100" w:type="dxa"/>
              <w:left w:w="150" w:type="dxa"/>
              <w:right w:w="150" w:type="dxa"/>
            </w:tcMar>
            <w:vAlign w:val="center"/>
            <w:shd w:val="clear" w:color="auto" w:fill="E9EDF6"/>
          </w:tcPr>
          <w:p>
            <w:pPr>
              <w:pStyle w:val="Compact"/>
              <w:jc w:val="left"/>
              <w:suppressAutoHyphens/>
            </w:pPr>
            <w:r>
              <w:t xml:space="preserve">Secure Sockets Layer</w:t>
            </w:r>
          </w:p>
        </w:tc>
      </w:tr>
      <w:tr>
        <w:trPr>
          <w:cantSplit/>
        </w:trPr>
        <w:tc>
          <w:tcPr>
            <w:tcMar>
              <w:top w:w="100" w:type="dxa"/>
              <w:bottom w:w="100" w:type="dxa"/>
              <w:left w:w="150" w:type="dxa"/>
              <w:right w:w="150" w:type="dxa"/>
            </w:tcMar>
            <w:vAlign w:val="center"/>
          </w:tcPr>
          <w:p>
            <w:pPr>
              <w:pStyle w:val="Compact"/>
              <w:jc w:val="left"/>
              <w:suppressAutoHyphens/>
            </w:pPr>
            <w:r>
              <w:t xml:space="preserve">TOC</w:t>
            </w:r>
          </w:p>
        </w:tc>
        <w:tc>
          <w:tcPr>
            <w:tcMar>
              <w:top w:w="100" w:type="dxa"/>
              <w:bottom w:w="100" w:type="dxa"/>
              <w:left w:w="150" w:type="dxa"/>
              <w:right w:w="150" w:type="dxa"/>
            </w:tcMar>
            <w:vAlign w:val="center"/>
          </w:tcPr>
          <w:p>
            <w:pPr>
              <w:pStyle w:val="Compact"/>
              <w:jc w:val="left"/>
              <w:suppressAutoHyphens/>
            </w:pPr>
            <w:r>
              <w:t xml:space="preserve">Table of 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TWC</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Workforce Commission</w:t>
            </w:r>
          </w:p>
        </w:tc>
      </w:tr>
      <w:tr>
        <w:trPr>
          <w:cantSplit/>
        </w:trPr>
        <w:tc>
          <w:tcPr>
            <w:tcMar>
              <w:top w:w="100" w:type="dxa"/>
              <w:bottom w:w="100" w:type="dxa"/>
              <w:left w:w="150" w:type="dxa"/>
              <w:right w:w="150" w:type="dxa"/>
            </w:tcMar>
            <w:vAlign w:val="center"/>
          </w:tcPr>
          <w:p>
            <w:pPr>
              <w:pStyle w:val="Compact"/>
              <w:jc w:val="left"/>
              <w:suppressAutoHyphens/>
            </w:pPr>
            <w:r>
              <w:t xml:space="preserve">USPTO</w:t>
            </w:r>
          </w:p>
        </w:tc>
        <w:tc>
          <w:tcPr>
            <w:tcMar>
              <w:top w:w="100" w:type="dxa"/>
              <w:bottom w:w="100" w:type="dxa"/>
              <w:left w:w="150" w:type="dxa"/>
              <w:right w:w="150" w:type="dxa"/>
            </w:tcMar>
            <w:vAlign w:val="center"/>
          </w:tcPr>
          <w:p>
            <w:pPr>
              <w:pStyle w:val="Compact"/>
              <w:jc w:val="left"/>
              <w:suppressAutoHyphens/>
            </w:pPr>
            <w:r>
              <w:t xml:space="preserve">United States Patent and Trademark Office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xAPI</w:t>
            </w:r>
          </w:p>
        </w:tc>
        <w:tc>
          <w:tcPr>
            <w:tcMar>
              <w:top w:w="100" w:type="dxa"/>
              <w:bottom w:w="100" w:type="dxa"/>
              <w:left w:w="150" w:type="dxa"/>
              <w:right w:w="150" w:type="dxa"/>
            </w:tcMar>
            <w:vAlign w:val="center"/>
            <w:shd w:val="clear" w:color="auto" w:fill="E9EDF6"/>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Aqeedah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theology and creed; the study of foundational Islamic belief.</w:t>
            </w:r>
          </w:p>
        </w:tc>
      </w:tr>
      <w:tr>
        <w:trPr>
          <w:cantSplit/>
        </w:trPr>
        <w:tc>
          <w:tcPr>
            <w:tcMar>
              <w:top w:w="100" w:type="dxa"/>
              <w:bottom w:w="100" w:type="dxa"/>
              <w:left w:w="150" w:type="dxa"/>
              <w:right w:w="150" w:type="dxa"/>
            </w:tcMar>
            <w:vAlign w:val="center"/>
          </w:tcPr>
          <w:p>
            <w:pPr>
              <w:pStyle w:val="Compact"/>
              <w:jc w:val="left"/>
              <w:suppressAutoHyphens/>
            </w:pPr>
            <w:r>
              <w:t xml:space="preserve">Waqf</w:t>
            </w:r>
          </w:p>
        </w:tc>
        <w:tc>
          <w:tcPr>
            <w:tcMar>
              <w:top w:w="100" w:type="dxa"/>
              <w:bottom w:w="100" w:type="dxa"/>
              <w:left w:w="150" w:type="dxa"/>
              <w:right w:w="150" w:type="dxa"/>
            </w:tcMar>
            <w:vAlign w:val="center"/>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Sadaqah Jāriyah</w:t>
            </w:r>
          </w:p>
        </w:tc>
        <w:tc>
          <w:tcPr>
            <w:tcMar>
              <w:top w:w="100" w:type="dxa"/>
              <w:bottom w:w="100" w:type="dxa"/>
              <w:left w:w="150" w:type="dxa"/>
              <w:right w:w="150" w:type="dxa"/>
            </w:tcMar>
            <w:vAlign w:val="center"/>
            <w:shd w:val="clear" w:color="auto" w:fill="E9EDF6"/>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tcMar>
              <w:top w:w="100" w:type="dxa"/>
              <w:bottom w:w="100" w:type="dxa"/>
              <w:left w:w="150" w:type="dxa"/>
              <w:right w:w="150" w:type="dxa"/>
            </w:tcMar>
            <w:vAlign w:val="center"/>
          </w:tcPr>
          <w:p>
            <w:pPr>
              <w:pStyle w:val="Compact"/>
              <w:jc w:val="left"/>
              <w:suppressAutoHyphens/>
            </w:pPr>
            <w:r>
              <w:t xml:space="preserve">Isnād</w:t>
            </w:r>
          </w:p>
        </w:tc>
        <w:tc>
          <w:tcPr>
            <w:tcMar>
              <w:top w:w="100" w:type="dxa"/>
              <w:bottom w:w="100" w:type="dxa"/>
              <w:left w:w="150" w:type="dxa"/>
              <w:right w:w="150" w:type="dxa"/>
            </w:tcMar>
            <w:vAlign w:val="center"/>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Ijāza</w:t>
            </w:r>
          </w:p>
        </w:tc>
        <w:tc>
          <w:tcPr>
            <w:tcMar>
              <w:top w:w="100" w:type="dxa"/>
              <w:bottom w:w="100" w:type="dxa"/>
              <w:left w:w="150" w:type="dxa"/>
              <w:right w:w="150" w:type="dxa"/>
            </w:tcMar>
            <w:vAlign w:val="center"/>
            <w:shd w:val="clear" w:color="auto" w:fill="E9EDF6"/>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Fiqh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jurisprudence — the human scholarly effort to derive practical legal rulings from the Qur’ān and Sunnah.</w:t>
            </w:r>
          </w:p>
        </w:tc>
      </w:tr>
      <w:tr>
        <w:trPr>
          <w:cantSplit/>
        </w:trPr>
        <w:tc>
          <w:tcPr>
            <w:tcMar>
              <w:top w:w="100" w:type="dxa"/>
              <w:bottom w:w="100" w:type="dxa"/>
              <w:left w:w="150" w:type="dxa"/>
              <w:right w:w="150" w:type="dxa"/>
            </w:tcMar>
            <w:vAlign w:val="center"/>
          </w:tcPr>
          <w:p>
            <w:pPr>
              <w:pStyle w:val="Compact"/>
              <w:jc w:val="left"/>
              <w:suppressAutoHyphens/>
            </w:pPr>
            <w:r>
              <w:t xml:space="preserve">Uṣūl al-Fiqh</w:t>
            </w:r>
          </w:p>
        </w:tc>
        <w:tc>
          <w:tcPr>
            <w:tcMar>
              <w:top w:w="100" w:type="dxa"/>
              <w:bottom w:w="100" w:type="dxa"/>
              <w:left w:w="150" w:type="dxa"/>
              <w:right w:w="150" w:type="dxa"/>
            </w:tcMar>
            <w:vAlign w:val="center"/>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body of Islamic religious law derived from the Qur’ān and the Sunnah (Prophetic tradition).</w:t>
            </w:r>
          </w:p>
        </w:tc>
      </w:tr>
      <w:tr>
        <w:trPr>
          <w:cantSplit/>
        </w:trPr>
        <w:tc>
          <w:tcPr>
            <w:tcMar>
              <w:top w:w="100" w:type="dxa"/>
              <w:bottom w:w="100" w:type="dxa"/>
              <w:left w:w="150" w:type="dxa"/>
              <w:right w:w="150" w:type="dxa"/>
            </w:tcMar>
            <w:vAlign w:val="center"/>
          </w:tcPr>
          <w:p>
            <w:pPr>
              <w:pStyle w:val="Compact"/>
              <w:jc w:val="left"/>
              <w:suppressAutoHyphens/>
            </w:pPr>
            <w:r>
              <w:t xml:space="preserve">Tafsīr</w:t>
            </w:r>
          </w:p>
        </w:tc>
        <w:tc>
          <w:tcPr>
            <w:tcMar>
              <w:top w:w="100" w:type="dxa"/>
              <w:bottom w:w="100" w:type="dxa"/>
              <w:left w:w="150" w:type="dxa"/>
              <w:right w:w="150" w:type="dxa"/>
            </w:tcMar>
            <w:vAlign w:val="center"/>
          </w:tcPr>
          <w:p>
            <w:pPr>
              <w:pStyle w:val="Compact"/>
              <w:jc w:val="left"/>
              <w:suppressAutoHyphens/>
            </w:pPr>
            <w:r>
              <w:t xml:space="preserve">The scholarly discipline of Qur’ānic exegesis and interpretation.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Tajweed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set of rules governing the correct phonetic pronunciation and recitation of the Qur’ān.</w:t>
            </w:r>
          </w:p>
        </w:tc>
      </w:tr>
      <w:tr>
        <w:trPr>
          <w:cantSplit/>
        </w:trPr>
        <w:tc>
          <w:tcPr>
            <w:tcMar>
              <w:top w:w="100" w:type="dxa"/>
              <w:bottom w:w="100" w:type="dxa"/>
              <w:left w:w="150" w:type="dxa"/>
              <w:right w:w="150" w:type="dxa"/>
            </w:tcMar>
            <w:vAlign w:val="center"/>
          </w:tcPr>
          <w:p>
            <w:pPr>
              <w:pStyle w:val="Compact"/>
              <w:jc w:val="left"/>
              <w:suppressAutoHyphens/>
            </w:pPr>
            <w:r>
              <w:t xml:space="preserve">Qirā’āt</w:t>
            </w:r>
          </w:p>
        </w:tc>
        <w:tc>
          <w:tcPr>
            <w:tcMar>
              <w:top w:w="100" w:type="dxa"/>
              <w:bottom w:w="100" w:type="dxa"/>
              <w:left w:w="150" w:type="dxa"/>
              <w:right w:w="150" w:type="dxa"/>
            </w:tcMar>
            <w:vAlign w:val="center"/>
          </w:tcPr>
          <w:p>
            <w:pPr>
              <w:pStyle w:val="Compact"/>
              <w:jc w:val="left"/>
              <w:suppressAutoHyphens/>
            </w:pPr>
            <w:r>
              <w:t xml:space="preserve">The canonical variant modes/readings of Qur’ānic recitation.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Hifz</w:t>
            </w:r>
          </w:p>
        </w:tc>
        <w:tc>
          <w:tcPr>
            <w:tcMar>
              <w:top w:w="100" w:type="dxa"/>
              <w:bottom w:w="100" w:type="dxa"/>
              <w:left w:w="150" w:type="dxa"/>
              <w:right w:w="150" w:type="dxa"/>
            </w:tcMar>
            <w:vAlign w:val="center"/>
            <w:shd w:val="clear" w:color="auto" w:fill="E9EDF6"/>
          </w:tcPr>
          <w:p>
            <w:pPr>
              <w:pStyle w:val="Compact"/>
              <w:jc w:val="left"/>
              <w:suppressAutoHyphens/>
            </w:pPr>
            <w:r>
              <w:t xml:space="preserve">The memorization of the Qur’ān in its entirety.</w:t>
            </w:r>
          </w:p>
        </w:tc>
      </w:tr>
      <w:tr>
        <w:trPr>
          <w:cantSplit/>
        </w:trPr>
        <w:tc>
          <w:tcPr>
            <w:tcMar>
              <w:top w:w="100" w:type="dxa"/>
              <w:bottom w:w="100" w:type="dxa"/>
              <w:left w:w="150" w:type="dxa"/>
              <w:right w:w="150" w:type="dxa"/>
            </w:tcMar>
            <w:vAlign w:val="center"/>
          </w:tcPr>
          <w:p>
            <w:pPr>
              <w:pStyle w:val="Compact"/>
              <w:jc w:val="left"/>
              <w:suppressAutoHyphens/>
            </w:pPr>
            <w:r>
              <w:t xml:space="preserve">Hadith</w:t>
            </w:r>
          </w:p>
        </w:tc>
        <w:tc>
          <w:tcPr>
            <w:tcMar>
              <w:top w:w="100" w:type="dxa"/>
              <w:bottom w:w="100" w:type="dxa"/>
              <w:left w:w="150" w:type="dxa"/>
              <w:right w:w="150" w:type="dxa"/>
            </w:tcMar>
            <w:vAlign w:val="center"/>
          </w:tcPr>
          <w:p>
            <w:pPr>
              <w:pStyle w:val="Compact"/>
              <w:jc w:val="left"/>
              <w:suppressAutoHyphens/>
            </w:pPr>
            <w:r>
              <w:t xml:space="preserve">A recorded saying, action, or approval attributed to the Prophet Muhammad ﷺ, transmitted via an isnād.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act of inviting or calling others to Islam, or to a deeper practice of it, through education, communication, and example.</w:t>
            </w:r>
          </w:p>
        </w:tc>
      </w:tr>
      <w:tr>
        <w:trPr>
          <w:cantSplit/>
        </w:trPr>
        <w:tc>
          <w:tcPr>
            <w:tcMar>
              <w:top w:w="100" w:type="dxa"/>
              <w:bottom w:w="100" w:type="dxa"/>
              <w:left w:w="150" w:type="dxa"/>
              <w:right w:w="150" w:type="dxa"/>
            </w:tcMar>
            <w:vAlign w:val="center"/>
          </w:tcPr>
          <w:p>
            <w:pPr>
              <w:pStyle w:val="Compact"/>
              <w:jc w:val="left"/>
              <w:suppressAutoHyphens/>
            </w:pPr>
            <w:r>
              <w:t xml:space="preserve">Madhhab (pl. madhāhib)</w:t>
            </w:r>
          </w:p>
        </w:tc>
        <w:tc>
          <w:tcPr>
            <w:tcMar>
              <w:top w:w="100" w:type="dxa"/>
              <w:bottom w:w="100" w:type="dxa"/>
              <w:left w:w="150" w:type="dxa"/>
              <w:right w:w="150" w:type="dxa"/>
            </w:tcMar>
            <w:vAlign w:val="center"/>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Zakāt</w:t>
            </w:r>
          </w:p>
        </w:tc>
        <w:tc>
          <w:tcPr>
            <w:tcMar>
              <w:top w:w="100" w:type="dxa"/>
              <w:bottom w:w="100" w:type="dxa"/>
              <w:left w:w="150" w:type="dxa"/>
              <w:right w:w="150" w:type="dxa"/>
            </w:tcMar>
            <w:vAlign w:val="center"/>
            <w:shd w:val="clear" w:color="auto" w:fill="E9EDF6"/>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tcMar>
              <w:top w:w="100" w:type="dxa"/>
              <w:bottom w:w="100" w:type="dxa"/>
              <w:left w:w="150" w:type="dxa"/>
              <w:right w:w="150" w:type="dxa"/>
            </w:tcMar>
            <w:vAlign w:val="center"/>
          </w:tcPr>
          <w:p>
            <w:pPr>
              <w:pStyle w:val="Compact"/>
              <w:jc w:val="left"/>
              <w:suppressAutoHyphens/>
            </w:pPr>
            <w:r>
              <w:t xml:space="preserve">Seerah</w:t>
            </w:r>
          </w:p>
        </w:tc>
        <w:tc>
          <w:tcPr>
            <w:tcMar>
              <w:top w:w="100" w:type="dxa"/>
              <w:bottom w:w="100" w:type="dxa"/>
              <w:left w:w="150" w:type="dxa"/>
              <w:right w:w="150" w:type="dxa"/>
            </w:tcMar>
            <w:vAlign w:val="center"/>
          </w:tcPr>
          <w:p>
            <w:pPr>
              <w:pStyle w:val="Compact"/>
              <w:jc w:val="left"/>
              <w:suppressAutoHyphens/>
            </w:pPr>
            <w:r>
              <w:t xml:space="preserve">The biographical study of the life of the Prophet Muhammad ﷺ.</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Akhlāq</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ethics; the study and cultivation of moral character.</w:t>
            </w:r>
          </w:p>
        </w:tc>
      </w:tr>
      <w:tr>
        <w:trPr>
          <w:cantSplit/>
        </w:trPr>
        <w:tc>
          <w:tcPr>
            <w:tcMar>
              <w:top w:w="100" w:type="dxa"/>
              <w:bottom w:w="100" w:type="dxa"/>
              <w:left w:w="150" w:type="dxa"/>
              <w:right w:w="150" w:type="dxa"/>
            </w:tcMar>
            <w:vAlign w:val="center"/>
          </w:tcPr>
          <w:p>
            <w:pPr>
              <w:pStyle w:val="Compact"/>
              <w:jc w:val="left"/>
              <w:suppressAutoHyphens/>
            </w:pPr>
            <w:r>
              <w:t xml:space="preserve">ISLAMIC Framework</w:t>
            </w:r>
          </w:p>
        </w:tc>
        <w:tc>
          <w:tcPr>
            <w:tcMar>
              <w:top w:w="100" w:type="dxa"/>
              <w:bottom w:w="100" w:type="dxa"/>
              <w:left w:w="150" w:type="dxa"/>
              <w:right w:w="150" w:type="dxa"/>
            </w:tcMar>
            <w:vAlign w:val="center"/>
          </w:tcPr>
          <w:p>
            <w:pPr>
              <w:pStyle w:val="Compact"/>
              <w:jc w:val="left"/>
              <w:suppressAutoHyphens/>
            </w:pPr>
            <w:r>
              <w:t xml:space="preserve">AMIU’s seven-value institutional framework: Illumination, Sanad, Love, Access, Morality, Inquiry, Calling — see Section 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The fixed 35%-of-Gross-Revenue allocation category funding institutional resilience, expansion, and accreditation costs (AMIU-MP-001 §5.7).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retained (non-distributed) half of the Waqf &amp; Stakeholder Reserve, held in Sharī’ah-compliant investment instruments only.</w:t>
            </w:r>
          </w:p>
        </w:tc>
      </w:tr>
      <w:tr>
        <w:trPr>
          <w:cantSplit/>
        </w:trPr>
        <w:tc>
          <w:tcPr>
            <w:tcMar>
              <w:top w:w="100" w:type="dxa"/>
              <w:bottom w:w="100" w:type="dxa"/>
              <w:left w:w="150" w:type="dxa"/>
              <w:right w:w="150" w:type="dxa"/>
            </w:tcMar>
            <w:vAlign w:val="center"/>
          </w:tcPr>
          <w:p>
            <w:pPr>
              <w:pStyle w:val="Compact"/>
              <w:jc w:val="left"/>
              <w:suppressAutoHyphens/>
            </w:pPr>
            <w:r>
              <w:t xml:space="preserve">Capital Firewall</w:t>
            </w:r>
          </w:p>
        </w:tc>
        <w:tc>
          <w:tcPr>
            <w:tcMar>
              <w:top w:w="100" w:type="dxa"/>
              <w:bottom w:w="100" w:type="dxa"/>
              <w:left w:w="150" w:type="dxa"/>
              <w:right w:w="150" w:type="dxa"/>
            </w:tcMar>
            <w:vAlign w:val="center"/>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Global Services LLC — the University’s legally and financially separate, investor-capitalized commercial affiliate.</w:t>
            </w:r>
          </w:p>
        </w:tc>
      </w:tr>
      <w:tr>
        <w:trPr>
          <w:cantSplit/>
        </w:trPr>
        <w:tc>
          <w:tcPr>
            <w:tcMar>
              <w:top w:w="100" w:type="dxa"/>
              <w:bottom w:w="100" w:type="dxa"/>
              <w:left w:w="150" w:type="dxa"/>
              <w:right w:w="150" w:type="dxa"/>
            </w:tcMar>
            <w:vAlign w:val="center"/>
          </w:tcPr>
          <w:p>
            <w:pPr>
              <w:pStyle w:val="Compact"/>
              <w:jc w:val="left"/>
              <w:suppressAutoHyphens/>
            </w:pPr>
            <w:r>
              <w:t xml:space="preserve">Fast-Track</w:t>
            </w:r>
          </w:p>
        </w:tc>
        <w:tc>
          <w:tcPr>
            <w:tcMar>
              <w:top w:w="100" w:type="dxa"/>
              <w:bottom w:w="100" w:type="dxa"/>
              <w:left w:w="150" w:type="dxa"/>
              <w:right w:w="150" w:type="dxa"/>
            </w:tcMar>
            <w:vAlign w:val="center"/>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1–4 (Tuition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tcMar>
              <w:top w:w="100" w:type="dxa"/>
              <w:bottom w:w="100" w:type="dxa"/>
              <w:left w:w="150" w:type="dxa"/>
              <w:right w:w="150" w:type="dxa"/>
            </w:tcMar>
            <w:vAlign w:val="center"/>
          </w:tcPr>
          <w:p>
            <w:pPr>
              <w:pStyle w:val="Compact"/>
              <w:jc w:val="left"/>
              <w:suppressAutoHyphens/>
            </w:pPr>
            <w:r>
              <w:t xml:space="preserve">Stackable Credential</w:t>
            </w:r>
          </w:p>
        </w:tc>
        <w:tc>
          <w:tcPr>
            <w:tcMar>
              <w:top w:w="100" w:type="dxa"/>
              <w:bottom w:w="100" w:type="dxa"/>
              <w:left w:w="150" w:type="dxa"/>
              <w:right w:w="150" w:type="dxa"/>
            </w:tcMar>
            <w:vAlign w:val="center"/>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Source Serif 4" w:hAnsi="Source Serif 4"/>
                <w:i/>
                <w:smallCaps/>
                <w:color w:val="8C97AB"/>
                <w:sz w:val="19"/>
                <w:spacing w:val="10"/>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Thrust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Decade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2028–2037</w:t>
            </w:r>
          </w:p>
        </w:tc>
        <w:tc>
          <w:tcPr>
            <w:tcMar>
              <w:top w:w="100" w:type="dxa"/>
              <w:bottom w:w="100" w:type="dxa"/>
              <w:left w:w="150" w:type="dxa"/>
              <w:right w:w="150" w:type="dxa"/>
            </w:tcMar>
            <w:vAlign w:val="center"/>
            <w:shd w:val="clear" w:color="auto" w:fill="E9EDF6"/>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tcMar>
              <w:top w:w="100" w:type="dxa"/>
              <w:bottom w:w="100" w:type="dxa"/>
              <w:left w:w="150" w:type="dxa"/>
              <w:right w:w="150" w:type="dxa"/>
            </w:tcMar>
            <w:vAlign w:val="center"/>
          </w:tcPr>
          <w:p>
            <w:pPr>
              <w:pStyle w:val="Compact"/>
              <w:jc w:val="left"/>
              <w:suppressAutoHyphens/>
            </w:pPr>
            <w:r>
              <w:t xml:space="preserve">II — Secular Expansion &amp; Global Accreditation</w:t>
            </w:r>
          </w:p>
        </w:tc>
        <w:tc>
          <w:tcPr>
            <w:tcMar>
              <w:top w:w="100" w:type="dxa"/>
              <w:bottom w:w="100" w:type="dxa"/>
              <w:left w:w="150" w:type="dxa"/>
              <w:right w:w="150" w:type="dxa"/>
            </w:tcMar>
            <w:vAlign w:val="center"/>
          </w:tcPr>
          <w:p>
            <w:pPr>
              <w:pStyle w:val="Compact"/>
              <w:jc w:val="left"/>
              <w:suppressAutoHyphens/>
            </w:pPr>
            <w:r>
              <w:t xml:space="preserve">2038–2047</w:t>
            </w:r>
          </w:p>
        </w:tc>
        <w:tc>
          <w:tcPr>
            <w:tcMar>
              <w:top w:w="100" w:type="dxa"/>
              <w:bottom w:w="100" w:type="dxa"/>
              <w:left w:w="150" w:type="dxa"/>
              <w:right w:w="150" w:type="dxa"/>
            </w:tcMar>
            <w:vAlign w:val="center"/>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Global Maturity &amp; Legacy</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2"/>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2"/>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2"/>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2"/>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Operational Home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Audit Mechanism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design, DVC Academic Affairs</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Group II annual curriculum review</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Faculty credentialing, ijāzah/chain verification</w:t>
            </w:r>
          </w:p>
        </w:tc>
        <w:tc>
          <w:tcPr>
            <w:tcMar>
              <w:top w:w="100" w:type="dxa"/>
              <w:bottom w:w="100" w:type="dxa"/>
              <w:left w:w="150" w:type="dxa"/>
              <w:right w:w="150" w:type="dxa"/>
            </w:tcMar>
            <w:vAlign w:val="center"/>
          </w:tcPr>
          <w:p>
            <w:pPr>
              <w:pStyle w:val="Compact"/>
              <w:jc w:val="left"/>
              <w:suppressAutoHyphens/>
            </w:pPr>
            <w:r>
              <w:t xml:space="preserve">Independent Sharī’ah Advisory Board sign-off before program approval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quarterly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Four-tier tuition, 15% upfront discount, Tier-4 built-in waivers</w:t>
            </w:r>
          </w:p>
        </w:tc>
        <w:tc>
          <w:tcPr>
            <w:tcMar>
              <w:top w:w="100" w:type="dxa"/>
              <w:bottom w:w="100" w:type="dxa"/>
              <w:left w:w="150" w:type="dxa"/>
              <w:right w:w="150" w:type="dxa"/>
            </w:tcMar>
            <w:vAlign w:val="center"/>
          </w:tcPr>
          <w:p>
            <w:pPr>
              <w:pStyle w:val="Compact"/>
              <w:jc w:val="left"/>
              <w:suppressAutoHyphens/>
            </w:pPr>
            <w:r>
              <w:t xml:space="preserve">Board of Trustees tuition-tier review (exclusive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screening of all revenue/investment activity</w:t>
            </w:r>
          </w:p>
        </w:tc>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 + Audit &amp; Risk Committee joint review</w:t>
            </w:r>
          </w:p>
        </w:tc>
      </w:tr>
      <w:tr>
        <w:trPr>
          <w:cantSplit/>
        </w:trPr>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Research tracks, Post-Doctoral Fellowship (Tier VII, Year 6)</w:t>
            </w:r>
          </w:p>
        </w:tc>
        <w:tc>
          <w:tcPr>
            <w:tcMar>
              <w:top w:w="100" w:type="dxa"/>
              <w:bottom w:w="100" w:type="dxa"/>
              <w:left w:w="150" w:type="dxa"/>
              <w:right w:w="150" w:type="dxa"/>
            </w:tcMar>
            <w:vAlign w:val="center"/>
          </w:tcPr>
          <w:p>
            <w:pPr>
              <w:pStyle w:val="Compact"/>
              <w:jc w:val="left"/>
              <w:suppressAutoHyphens/>
            </w:pPr>
            <w:r>
              <w:t xml:space="preserve">Senate degree-conferral and academic-standards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Financial self-sufficiency discipline, $0-deficit rule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Mandate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 &amp; Risk 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Audit oversight, Risk Register (14 items) monitoring, IRS nonprofit-compliance review</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Board (fiduciary) + Senate (2/3+2-independent vote on &gt;$250k/yr deployment)</w:t>
            </w:r>
          </w:p>
        </w:tc>
        <w:tc>
          <w:tcPr>
            <w:tcMar>
              <w:top w:w="100" w:type="dxa"/>
              <w:bottom w:w="100" w:type="dxa"/>
              <w:left w:w="150" w:type="dxa"/>
              <w:right w:w="150" w:type="dxa"/>
            </w:tcMar>
            <w:vAlign w:val="center"/>
          </w:tcPr>
          <w:p>
            <w:pPr>
              <w:pStyle w:val="Compact"/>
              <w:jc w:val="left"/>
              <w:suppressAutoHyphens/>
            </w:pPr>
            <w:r>
              <w:t xml:space="preserve">Administers 20% Waqf allocation and five sub-categories; 14-day adjudication on Scholarship Block awards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(academic) with Board notification rights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sign-off on curriculum, finance products, Commercial Engine ventures</w:t>
            </w:r>
          </w:p>
        </w:tc>
      </w:tr>
      <w:tr>
        <w:trPr>
          <w:cantSplit/>
        </w:trPr>
        <w:tc>
          <w:tcPr>
            <w:tcMar>
              <w:top w:w="100" w:type="dxa"/>
              <w:bottom w:w="100" w:type="dxa"/>
              <w:left w:w="150" w:type="dxa"/>
              <w:right w:w="150" w:type="dxa"/>
            </w:tcMar>
            <w:vAlign w:val="center"/>
          </w:tcPr>
          <w:p>
            <w:pPr>
              <w:pStyle w:val="Compact"/>
              <w:jc w:val="left"/>
              <w:suppressAutoHyphens/>
            </w:pPr>
            <w:r>
              <w:t xml:space="preserve">Faculty Affairs Committee</w:t>
            </w:r>
          </w:p>
        </w:tc>
        <w:tc>
          <w:tcPr>
            <w:tcMar>
              <w:top w:w="100" w:type="dxa"/>
              <w:bottom w:w="100" w:type="dxa"/>
              <w:left w:w="150" w:type="dxa"/>
              <w:right w:w="150" w:type="dxa"/>
            </w:tcMar>
            <w:vAlign w:val="center"/>
          </w:tcPr>
          <w:p>
            <w:pPr>
              <w:pStyle w:val="Compact"/>
              <w:jc w:val="left"/>
              <w:suppressAutoHyphens/>
            </w:pPr>
            <w:r>
              <w:t xml:space="preserve">Senate Group III (Heads of Department)</w:t>
            </w:r>
          </w:p>
        </w:tc>
        <w:tc>
          <w:tcPr>
            <w:tcMar>
              <w:top w:w="100" w:type="dxa"/>
              <w:bottom w:w="100" w:type="dxa"/>
              <w:left w:w="150" w:type="dxa"/>
              <w:right w:w="150" w:type="dxa"/>
            </w:tcMar>
            <w:vAlign w:val="center"/>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Quarter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Board Activity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Senate/Committee 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Prior-year audited financials review</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annual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Tuition-tier review (exclusive authority)</w:t>
            </w:r>
          </w:p>
        </w:tc>
        <w:tc>
          <w:tcPr>
            <w:tcMar>
              <w:top w:w="100" w:type="dxa"/>
              <w:bottom w:w="100" w:type="dxa"/>
              <w:left w:w="150" w:type="dxa"/>
              <w:right w:w="150" w:type="dxa"/>
            </w:tcMar>
            <w:vAlign w:val="center"/>
          </w:tcPr>
          <w:p>
            <w:pPr>
              <w:pStyle w:val="Compact"/>
              <w:jc w:val="left"/>
              <w:suppressAutoHyphens/>
            </w:pPr>
            <w:r>
              <w:t xml:space="preserve">Faculty Affairs annual review; Sharī’ah Advisory curriculum sign-off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 oversight review (firewall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review, degree-conferral cycle</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Annual budget approval for coming fiscal year</w:t>
            </w:r>
          </w:p>
        </w:tc>
        <w:tc>
          <w:tcPr>
            <w:tcMar>
              <w:top w:w="100" w:type="dxa"/>
              <w:bottom w:w="100" w:type="dxa"/>
              <w:left w:w="150" w:type="dxa"/>
              <w:right w:w="150" w:type="dxa"/>
            </w:tcMar>
            <w:vAlign w:val="center"/>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Composition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Executive Leadership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VC (Chair); DVC Academic Affairs, Muhammad Al-Qumash PhD (Vice-Chair); DVC Admin &amp; Finance, Abdullah Turki PhD (Secretary)</w:t>
            </w:r>
          </w:p>
        </w:tc>
      </w:tr>
      <w:tr>
        <w:trPr>
          <w:cantSplit/>
        </w:trPr>
        <w:tc>
          <w:tcPr>
            <w:tcMar>
              <w:top w:w="100" w:type="dxa"/>
              <w:bottom w:w="100" w:type="dxa"/>
              <w:left w:w="150" w:type="dxa"/>
              <w:right w:w="150" w:type="dxa"/>
            </w:tcMar>
            <w:vAlign w:val="center"/>
          </w:tcPr>
          <w:p>
            <w:pPr>
              <w:pStyle w:val="Compact"/>
              <w:jc w:val="left"/>
              <w:suppressAutoHyphens/>
            </w:pPr>
            <w:r>
              <w:t xml:space="preserve">II — Academic Operations</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4 College Deans (covering 6 colleges in paired/single assignments) + University Librarian (independent seat)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Frontline Instructional Management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tcMar>
              <w:top w:w="100" w:type="dxa"/>
              <w:bottom w:w="100" w:type="dxa"/>
              <w:left w:w="150" w:type="dxa"/>
              <w:right w:w="150" w:type="dxa"/>
            </w:tcMar>
            <w:vAlign w:val="center"/>
          </w:tcPr>
          <w:p>
            <w:pPr>
              <w:pStyle w:val="Compact"/>
              <w:jc w:val="left"/>
              <w:suppressAutoHyphens/>
            </w:pPr>
            <w:r>
              <w:t xml:space="preserve">IV — Institutional &amp; Digital Strategy</w:t>
            </w:r>
          </w:p>
        </w:tc>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Decision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Ordinary business (curriculum, standard academic matters)</w:t>
            </w:r>
          </w:p>
        </w:tc>
        <w:tc>
          <w:tcPr>
            <w:tcMar>
              <w:top w:w="100" w:type="dxa"/>
              <w:bottom w:w="100" w:type="dxa"/>
              <w:left w:w="150" w:type="dxa"/>
              <w:right w:w="150" w:type="dxa"/>
            </w:tcMar>
            <w:vAlign w:val="center"/>
            <w:shd w:val="clear" w:color="auto" w:fill="E9EDF6"/>
          </w:tcPr>
          <w:p>
            <w:pPr>
              <w:pStyle w:val="Compact"/>
              <w:jc w:val="left"/>
              <w:suppressAutoHyphens/>
            </w:pPr>
            <w:r>
              <w:t xml:space="preserve">Simple majority of seated members, quorum = 10 of 18</w:t>
            </w:r>
          </w:p>
        </w:tc>
      </w:tr>
      <w:tr>
        <w:trPr>
          <w:cantSplit/>
        </w:trPr>
        <w:tc>
          <w:tcPr>
            <w:tcMar>
              <w:top w:w="100" w:type="dxa"/>
              <w:bottom w:w="100" w:type="dxa"/>
              <w:left w:w="150" w:type="dxa"/>
              <w:right w:w="150" w:type="dxa"/>
            </w:tcMar>
            <w:vAlign w:val="center"/>
          </w:tcPr>
          <w:p>
            <w:pPr>
              <w:pStyle w:val="Compact"/>
              <w:jc w:val="left"/>
              <w:suppressAutoHyphens/>
            </w:pPr>
            <w:r>
              <w:t xml:space="preserve">Waqf deployment above $250,000/yr</w:t>
            </w:r>
          </w:p>
        </w:tc>
        <w:tc>
          <w:tcPr>
            <w:tcMar>
              <w:top w:w="100" w:type="dxa"/>
              <w:bottom w:w="100" w:type="dxa"/>
              <w:left w:w="150" w:type="dxa"/>
              <w:right w:w="150" w:type="dxa"/>
            </w:tcMar>
            <w:vAlign w:val="center"/>
          </w:tcPr>
          <w:p>
            <w:pPr>
              <w:pStyle w:val="Compact"/>
              <w:jc w:val="left"/>
              <w:suppressAutoHyphens/>
            </w:pPr>
            <w:r>
              <w:t xml:space="preserve">2/3 Senate vote (12 of 18) including ≥2 of the 4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Unanimous affirmative approval from all 4 independent seats (8, 16, 17, 18) — no exceptions, no proxy override</w:t>
            </w:r>
          </w:p>
        </w:tc>
      </w:tr>
      <w:tr>
        <w:trPr>
          <w:cantSplit/>
        </w:trPr>
        <w:tc>
          <w:tcPr>
            <w:tcMar>
              <w:top w:w="100" w:type="dxa"/>
              <w:bottom w:w="100" w:type="dxa"/>
              <w:left w:w="150" w:type="dxa"/>
              <w:right w:w="150" w:type="dxa"/>
            </w:tcMar>
            <w:vAlign w:val="center"/>
          </w:tcPr>
          <w:p>
            <w:pPr>
              <w:pStyle w:val="Compact"/>
              <w:jc w:val="left"/>
              <w:suppressAutoHyphens/>
            </w:pPr>
            <w:r>
              <w:t xml:space="preserve">Degree conferral / new program approval</w:t>
            </w:r>
          </w:p>
        </w:tc>
        <w:tc>
          <w:tcPr>
            <w:tcMar>
              <w:top w:w="100" w:type="dxa"/>
              <w:bottom w:w="100" w:type="dxa"/>
              <w:left w:w="150" w:type="dxa"/>
              <w:right w:w="150" w:type="dxa"/>
            </w:tcMar>
            <w:vAlign w:val="center"/>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Presides over Board meetings, tie-breaking authority, primary liaison to the Senate Chair (President &amp; VC)</w:t>
            </w:r>
          </w:p>
        </w:tc>
      </w:tr>
      <w:tr>
        <w:trPr>
          <w:cantSplit/>
        </w:trPr>
        <w:tc>
          <w:tcPr>
            <w:tcMar>
              <w:top w:w="100" w:type="dxa"/>
              <w:bottom w:w="100" w:type="dxa"/>
              <w:left w:w="150" w:type="dxa"/>
              <w:right w:w="150" w:type="dxa"/>
            </w:tcMar>
            <w:vAlign w:val="center"/>
          </w:tcPr>
          <w:p>
            <w:pPr>
              <w:pStyle w:val="Compact"/>
              <w:jc w:val="left"/>
              <w:suppressAutoHyphens/>
            </w:pPr>
            <w:r>
              <w:t xml:space="preserve">Vision Architect / Founder</w:t>
            </w:r>
          </w:p>
        </w:tc>
        <w:tc>
          <w:tcPr>
            <w:tcMar>
              <w:top w:w="100" w:type="dxa"/>
              <w:bottom w:w="100" w:type="dxa"/>
              <w:left w:w="150" w:type="dxa"/>
              <w:right w:w="150" w:type="dxa"/>
            </w:tcMar>
            <w:vAlign w:val="center"/>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Governance Specialist</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policy, bylaws maintenance, committee-charter oversight</w:t>
            </w:r>
          </w:p>
        </w:tc>
      </w:tr>
      <w:tr>
        <w:trPr>
          <w:cantSplit/>
        </w:trPr>
        <w:tc>
          <w:tcPr>
            <w:tcMar>
              <w:top w:w="100" w:type="dxa"/>
              <w:bottom w:w="100" w:type="dxa"/>
              <w:left w:w="150" w:type="dxa"/>
              <w:right w:w="150" w:type="dxa"/>
            </w:tcMar>
            <w:vAlign w:val="center"/>
          </w:tcPr>
          <w:p>
            <w:pPr>
              <w:pStyle w:val="Compact"/>
              <w:jc w:val="left"/>
              <w:suppressAutoHyphens/>
            </w:pPr>
            <w:r>
              <w:t xml:space="preserve">Accreditation Consultant</w:t>
            </w:r>
          </w:p>
        </w:tc>
        <w:tc>
          <w:tcPr>
            <w:tcMar>
              <w:top w:w="100" w:type="dxa"/>
              <w:bottom w:w="100" w:type="dxa"/>
              <w:left w:w="150" w:type="dxa"/>
              <w:right w:w="150" w:type="dxa"/>
            </w:tcMar>
            <w:vAlign w:val="center"/>
          </w:tcPr>
          <w:p>
            <w:pPr>
              <w:pStyle w:val="Compact"/>
              <w:jc w:val="left"/>
              <w:suppressAutoHyphens/>
            </w:pPr>
            <w:r>
              <w:t xml:space="preserve">Guides the multi-jurisdiction accreditation pipeline (Texas → Gambia/NAQAA → ISO 21001 → CPD → future Gulf/Nigeria)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Affairs Director</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nonprofit compliance, IRS 501(c)(3) religious-exemption maintenance, Commercial Engine firewall legal enforcement</w:t>
            </w:r>
          </w:p>
        </w:tc>
      </w:tr>
      <w:tr>
        <w:trPr>
          <w:cantSplit/>
        </w:trPr>
        <w:tc>
          <w:tcPr>
            <w:tcMar>
              <w:top w:w="100" w:type="dxa"/>
              <w:bottom w:w="100" w:type="dxa"/>
              <w:left w:w="150" w:type="dxa"/>
              <w:right w:w="150" w:type="dxa"/>
            </w:tcMar>
            <w:vAlign w:val="center"/>
          </w:tcPr>
          <w:p>
            <w:pPr>
              <w:pStyle w:val="Compact"/>
              <w:jc w:val="left"/>
              <w:suppressAutoHyphens/>
            </w:pPr>
            <w:r>
              <w:t xml:space="preserve">Nonprofit/Endowment Governance Expert</w:t>
            </w:r>
          </w:p>
        </w:tc>
        <w:tc>
          <w:tcPr>
            <w:tcMar>
              <w:top w:w="100" w:type="dxa"/>
              <w:bottom w:w="100" w:type="dxa"/>
              <w:left w:w="150" w:type="dxa"/>
              <w:right w:w="150" w:type="dxa"/>
            </w:tcMar>
            <w:vAlign w:val="center"/>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Source Serif 4" w:hAnsi="Source Serif 4"/>
                <w:i/>
                <w:smallCaps/>
                <w:color w:val="8C97AB"/>
                <w:sz w:val="19"/>
                <w:spacing w:val="10"/>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Layout w:type="fixed"/>
      </w:tblPr>
      <w:tblGrid>
        <w:gridCol w:w="2237"/>
        <w:gridCol w:w="1753"/>
        <w:gridCol w:w="1391"/>
        <w:gridCol w:w="2120"/>
        <w:gridCol w:w="15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237"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753" w:type="dxa"/>
          </w:tcPr>
          <w:p>
            <w:pPr>
              <w:pStyle w:val="Compact"/>
              <w:jc w:val="left"/>
            </w:pPr>
            <w:r>
              <w:rPr>
                <w:b/>
                <w:color w:val="FFFFFF"/>
                <w:caps/>
                <w:spacing w:val="4"/>
              </w:rPr>
              <w:t xml:space="preserve">Payroll (20% of Gross Rev)</w:t>
            </w:r>
          </w:p>
        </w:tc>
        <w:tc>
          <w:tcPr>
            <w:shd w:val="clear" w:color="auto" w:fill="122A4E"/>
            <w:tcMar>
              <w:top w:w="130" w:type="dxa"/>
              <w:bottom w:w="130" w:type="dxa"/>
              <w:left w:w="150" w:type="dxa"/>
              <w:right w:w="150" w:type="dxa"/>
            </w:tcMar>
            <w:tcBorders>
              <w:bottom w:val="single" w:sz="16" w:space="0" w:color="B08625"/>
            </w:tcBorders>
            <w:vAlign w:val="center"/>
            <w:tcW w:w="1391" w:type="dxa"/>
          </w:tcPr>
          <w:p>
            <w:pPr>
              <w:pStyle w:val="Compact"/>
              <w:jc w:val="left"/>
            </w:pPr>
            <w:r>
              <w:rPr>
                <w:b/>
                <w:color w:val="FFFFFF"/>
                <w:caps/>
                <w:spacing w:val="4"/>
              </w:rPr>
              <w:t xml:space="preserve">Admin/Ops FTE</w:t>
            </w:r>
          </w:p>
        </w:tc>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Registrar staff</w:t>
            </w:r>
          </w:p>
        </w:tc>
        <w:tc>
          <w:tcPr>
            <w:shd w:val="clear" w:color="auto" w:fill="122A4E"/>
            <w:tcMar>
              <w:top w:w="130" w:type="dxa"/>
              <w:bottom w:w="130" w:type="dxa"/>
              <w:left w:w="150" w:type="dxa"/>
              <w:right w:w="150" w:type="dxa"/>
            </w:tcMar>
            <w:tcBorders>
              <w:bottom w:val="single" w:sz="16" w:space="0" w:color="B08625"/>
            </w:tcBorders>
            <w:vAlign w:val="center"/>
            <w:tcW w:w="1571" w:type="dxa"/>
          </w:tcPr>
          <w:p>
            <w:pPr>
              <w:pStyle w:val="Compact"/>
              <w:jc w:val="left"/>
            </w:pPr>
            <w:r>
              <w:rPr>
                <w:b/>
                <w:color w:val="FFFFFF"/>
                <w:caps/>
                <w:spacing w:val="4"/>
              </w:rPr>
              <w:t xml:space="preserve">Key cost driver</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w:t>
            </w:r>
          </w:p>
        </w:tc>
        <w:tc>
          <w:tcPr>
            <w:tcMar>
              <w:top w:w="100" w:type="dxa"/>
              <w:bottom w:w="100" w:type="dxa"/>
              <w:left w:w="150" w:type="dxa"/>
              <w:right w:w="150" w:type="dxa"/>
            </w:tcMar>
            <w:vAlign w:val="center"/>
            <w:shd w:val="clear" w:color="auto" w:fill="E9EDF6"/>
            <w:tcW w:w="1753" w:type="dxa"/>
          </w:tcPr>
          <w:p>
            <w:pPr>
              <w:pStyle w:val="Compact"/>
              <w:jc w:val="left"/>
            </w:pPr>
            <w:r>
              <w:t xml:space="preserve">$44,949</w:t>
            </w:r>
          </w:p>
        </w:tc>
        <w:tc>
          <w:tcPr>
            <w:tcMar>
              <w:top w:w="100" w:type="dxa"/>
              <w:bottom w:w="100" w:type="dxa"/>
              <w:left w:w="150" w:type="dxa"/>
              <w:right w:w="150" w:type="dxa"/>
            </w:tcMar>
            <w:vAlign w:val="center"/>
            <w:shd w:val="clear" w:color="auto" w:fill="E9EDF6"/>
            <w:tcW w:w="1391" w:type="dxa"/>
          </w:tcPr>
          <w:p>
            <w:pPr>
              <w:pStyle w:val="Compact"/>
              <w:jc w:val="left"/>
            </w:pPr>
            <w:r>
              <w:t xml:space="preserve">1 (shared)</w:t>
            </w:r>
          </w:p>
        </w:tc>
        <w:tc>
          <w:tcPr>
            <w:tcMar>
              <w:top w:w="100" w:type="dxa"/>
              <w:bottom w:w="100" w:type="dxa"/>
              <w:left w:w="150" w:type="dxa"/>
              <w:right w:w="150" w:type="dxa"/>
            </w:tcMar>
            <w:vAlign w:val="center"/>
            <w:shd w:val="clear" w:color="auto" w:fill="E9EDF6"/>
            <w:tcW w:w="2120" w:type="dxa"/>
          </w:tcPr>
          <w:p>
            <w:pPr>
              <w:pStyle w:val="Compact"/>
              <w:jc w:val="left"/>
            </w:pPr>
            <w:r>
              <w:t xml:space="preserve">1</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sub-split 18% = $8,091</w:t>
            </w:r>
          </w:p>
        </w:tc>
      </w:tr>
      <w:tr>
        <w:trPr>
          <w:cantSplit/>
        </w:trPr>
        <w:tc>
          <w:tcPr>
            <w:tcMar>
              <w:top w:w="100" w:type="dxa"/>
              <w:bottom w:w="100" w:type="dxa"/>
              <w:left w:w="150" w:type="dxa"/>
              <w:right w:w="150" w:type="dxa"/>
            </w:tcMar>
            <w:vAlign w:val="center"/>
            <w:tcW w:w="2237" w:type="dxa"/>
          </w:tcPr>
          <w:p>
            <w:pPr>
              <w:pStyle w:val="Compact"/>
              <w:jc w:val="left"/>
            </w:pPr>
            <w:r>
              <w:t xml:space="preserve">Yr5</w:t>
            </w:r>
          </w:p>
        </w:tc>
        <w:tc>
          <w:tcPr>
            <w:tcMar>
              <w:top w:w="100" w:type="dxa"/>
              <w:bottom w:w="100" w:type="dxa"/>
              <w:left w:w="150" w:type="dxa"/>
              <w:right w:w="150" w:type="dxa"/>
            </w:tcMar>
            <w:vAlign w:val="center"/>
            <w:tcW w:w="1753" w:type="dxa"/>
          </w:tcPr>
          <w:p>
            <w:pPr>
              <w:pStyle w:val="Compact"/>
              <w:jc w:val="left"/>
            </w:pPr>
            <w:r>
              <w:t xml:space="preserve">$258,157</w:t>
            </w:r>
          </w:p>
        </w:tc>
        <w:tc>
          <w:tcPr>
            <w:tcMar>
              <w:top w:w="100" w:type="dxa"/>
              <w:bottom w:w="100" w:type="dxa"/>
              <w:left w:w="150" w:type="dxa"/>
              <w:right w:w="150" w:type="dxa"/>
            </w:tcMar>
            <w:vAlign w:val="center"/>
            <w:tcW w:w="1391" w:type="dxa"/>
          </w:tcPr>
          <w:p>
            <w:pPr>
              <w:pStyle w:val="Compact"/>
              <w:jc w:val="left"/>
            </w:pPr>
            <w:r>
              <w:t xml:space="preserve">3–4</w:t>
            </w:r>
          </w:p>
        </w:tc>
        <w:tc>
          <w:tcPr>
            <w:tcMar>
              <w:top w:w="100" w:type="dxa"/>
              <w:bottom w:w="100" w:type="dxa"/>
              <w:left w:w="150" w:type="dxa"/>
              <w:right w:w="150" w:type="dxa"/>
            </w:tcMar>
            <w:vAlign w:val="center"/>
            <w:tcW w:w="2120" w:type="dxa"/>
          </w:tcPr>
          <w:p>
            <w:pPr>
              <w:pStyle w:val="Compact"/>
              <w:jc w:val="left"/>
            </w:pPr>
            <w:r>
              <w:t xml:space="preserve">2–3</w:t>
            </w:r>
          </w:p>
        </w:tc>
        <w:tc>
          <w:tcPr>
            <w:tcMar>
              <w:top w:w="100" w:type="dxa"/>
              <w:bottom w:w="100" w:type="dxa"/>
              <w:left w:w="150" w:type="dxa"/>
              <w:right w:w="150" w:type="dxa"/>
            </w:tcMar>
            <w:vAlign w:val="center"/>
            <w:tcW w:w="1571" w:type="dxa"/>
          </w:tcPr>
          <w:p>
            <w:pPr>
              <w:pStyle w:val="Compact"/>
              <w:jc w:val="left"/>
            </w:pPr>
            <w:r>
              <w:t xml:space="preserve">Core Admin = $46,468</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Yr15 (illustrative)</w:t>
            </w:r>
          </w:p>
        </w:tc>
        <w:tc>
          <w:tcPr>
            <w:tcMar>
              <w:top w:w="100" w:type="dxa"/>
              <w:bottom w:w="100" w:type="dxa"/>
              <w:left w:w="150" w:type="dxa"/>
              <w:right w:w="150" w:type="dxa"/>
            </w:tcMar>
            <w:vAlign w:val="center"/>
            <w:shd w:val="clear" w:color="auto" w:fill="E9EDF6"/>
            <w:tcW w:w="1753" w:type="dxa"/>
          </w:tcPr>
          <w:p>
            <w:pPr>
              <w:pStyle w:val="Compact"/>
              <w:jc w:val="left"/>
            </w:pPr>
            <w:r>
              <w:t xml:space="preserve">≈$8.62M</w:t>
            </w:r>
          </w:p>
        </w:tc>
        <w:tc>
          <w:tcPr>
            <w:tcMar>
              <w:top w:w="100" w:type="dxa"/>
              <w:bottom w:w="100" w:type="dxa"/>
              <w:left w:w="150" w:type="dxa"/>
              <w:right w:w="150" w:type="dxa"/>
            </w:tcMar>
            <w:vAlign w:val="center"/>
            <w:shd w:val="clear" w:color="auto" w:fill="E9EDF6"/>
            <w:tcW w:w="1391" w:type="dxa"/>
          </w:tcPr>
          <w:p>
            <w:pPr>
              <w:pStyle w:val="Compact"/>
              <w:jc w:val="left"/>
            </w:pPr>
            <w:r>
              <w:t xml:space="preserve">20–30</w:t>
            </w:r>
          </w:p>
        </w:tc>
        <w:tc>
          <w:tcPr>
            <w:tcMar>
              <w:top w:w="100" w:type="dxa"/>
              <w:bottom w:w="100" w:type="dxa"/>
              <w:left w:w="150" w:type="dxa"/>
              <w:right w:w="150" w:type="dxa"/>
            </w:tcMar>
            <w:vAlign w:val="center"/>
            <w:shd w:val="clear" w:color="auto" w:fill="E9EDF6"/>
            <w:tcW w:w="2120" w:type="dxa"/>
          </w:tcPr>
          <w:p>
            <w:pPr>
              <w:pStyle w:val="Compact"/>
              <w:jc w:val="left"/>
            </w:pPr>
            <w:r>
              <w:t xml:space="preserve">6–8</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3"/>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3"/>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Layout w:type="fixed"/>
      </w:tblPr>
      <w:tblGrid>
        <w:gridCol w:w="1570"/>
        <w:gridCol w:w="2269"/>
        <w:gridCol w:w="2762"/>
        <w:gridCol w:w="24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269"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762" w:type="dxa"/>
          </w:tcPr>
          <w:p>
            <w:pPr>
              <w:pStyle w:val="Compact"/>
              <w:jc w:val="left"/>
            </w:pPr>
            <w:r>
              <w:rPr>
                <w:b/>
                <w:color w:val="FFFFFF"/>
                <w:caps/>
                <w:spacing w:val="4"/>
              </w:rPr>
              <w:t xml:space="preserve">Tier(s) launched</w:t>
            </w:r>
          </w:p>
        </w:tc>
        <w:tc>
          <w:tcPr>
            <w:shd w:val="clear" w:color="auto" w:fill="122A4E"/>
            <w:tcMar>
              <w:top w:w="130" w:type="dxa"/>
              <w:bottom w:w="130" w:type="dxa"/>
              <w:left w:w="150" w:type="dxa"/>
              <w:right w:w="150" w:type="dxa"/>
            </w:tcMar>
            <w:tcBorders>
              <w:bottom w:val="single" w:sz="16" w:space="0" w:color="B08625"/>
            </w:tcBorders>
            <w:vAlign w:val="center"/>
            <w:tcW w:w="2471" w:type="dxa"/>
          </w:tcPr>
          <w:p>
            <w:pPr>
              <w:pStyle w:val="Compact"/>
              <w:jc w:val="left"/>
            </w:pPr>
            <w:r>
              <w:rPr>
                <w:b/>
                <w:color w:val="FFFFFF"/>
                <w:caps/>
                <w:spacing w:val="4"/>
              </w:rPr>
              <w:t xml:space="preserve">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1</w:t>
            </w:r>
          </w:p>
        </w:tc>
        <w:tc>
          <w:tcPr>
            <w:tcMar>
              <w:top w:w="100" w:type="dxa"/>
              <w:bottom w:w="100" w:type="dxa"/>
              <w:left w:w="150" w:type="dxa"/>
              <w:right w:w="150" w:type="dxa"/>
            </w:tcMar>
            <w:vAlign w:val="center"/>
            <w:shd w:val="clear" w:color="auto" w:fill="E9EDF6"/>
            <w:tcW w:w="2269" w:type="dxa"/>
          </w:tcPr>
          <w:p>
            <w:pPr>
              <w:pStyle w:val="Compact"/>
              <w:jc w:val="left"/>
            </w:pPr>
            <w:r>
              <w:t xml:space="preserve">Yr1 (2028)</w:t>
            </w:r>
          </w:p>
        </w:tc>
        <w:tc>
          <w:tcPr>
            <w:tcMar>
              <w:top w:w="100" w:type="dxa"/>
              <w:bottom w:w="100" w:type="dxa"/>
              <w:left w:w="150" w:type="dxa"/>
              <w:right w:w="150" w:type="dxa"/>
            </w:tcMar>
            <w:vAlign w:val="center"/>
            <w:shd w:val="clear" w:color="auto" w:fill="E9EDF6"/>
            <w:tcW w:w="2762" w:type="dxa"/>
          </w:tcPr>
          <w:p>
            <w:pPr>
              <w:pStyle w:val="Compact"/>
              <w:jc w:val="left"/>
            </w:pPr>
            <w:r>
              <w:t xml:space="preserve">I Diploma, II Associate, III BA</w:t>
            </w:r>
          </w:p>
        </w:tc>
        <w:tc>
          <w:tcPr>
            <w:tcMar>
              <w:top w:w="100" w:type="dxa"/>
              <w:bottom w:w="100" w:type="dxa"/>
              <w:left w:w="150" w:type="dxa"/>
              <w:right w:w="150" w:type="dxa"/>
            </w:tcMar>
            <w:vAlign w:val="center"/>
            <w:shd w:val="clear" w:color="auto" w:fill="E9EDF6"/>
            <w:tcW w:w="2471" w:type="dxa"/>
          </w:tcPr>
          <w:p>
            <w:pPr>
              <w:pStyle w:val="Compact"/>
              <w:jc w:val="left"/>
            </w:pPr>
            <w:r>
              <w:t xml:space="preserve">#1–47 (47 programs)</w:t>
            </w:r>
          </w:p>
        </w:tc>
      </w:tr>
      <w:tr>
        <w:trPr>
          <w:cantSplit/>
        </w:trPr>
        <w:tc>
          <w:tcPr>
            <w:tcMar>
              <w:top w:w="100" w:type="dxa"/>
              <w:bottom w:w="100" w:type="dxa"/>
              <w:left w:w="150" w:type="dxa"/>
              <w:right w:w="150" w:type="dxa"/>
            </w:tcMar>
            <w:vAlign w:val="center"/>
            <w:tcW w:w="1570" w:type="dxa"/>
          </w:tcPr>
          <w:p>
            <w:pPr>
              <w:pStyle w:val="Compact"/>
              <w:jc w:val="left"/>
            </w:pPr>
            <w:r>
              <w:t xml:space="preserve">2</w:t>
            </w:r>
          </w:p>
        </w:tc>
        <w:tc>
          <w:tcPr>
            <w:tcMar>
              <w:top w:w="100" w:type="dxa"/>
              <w:bottom w:w="100" w:type="dxa"/>
              <w:left w:w="150" w:type="dxa"/>
              <w:right w:w="150" w:type="dxa"/>
            </w:tcMar>
            <w:vAlign w:val="center"/>
            <w:tcW w:w="2269" w:type="dxa"/>
          </w:tcPr>
          <w:p>
            <w:pPr>
              <w:pStyle w:val="Compact"/>
              <w:jc w:val="left"/>
            </w:pPr>
            <w:r>
              <w:t xml:space="preserve">Yr2 (2029)</w:t>
            </w:r>
          </w:p>
        </w:tc>
        <w:tc>
          <w:tcPr>
            <w:tcMar>
              <w:top w:w="100" w:type="dxa"/>
              <w:bottom w:w="100" w:type="dxa"/>
              <w:left w:w="150" w:type="dxa"/>
              <w:right w:w="150" w:type="dxa"/>
            </w:tcMar>
            <w:vAlign w:val="center"/>
            <w:tcW w:w="2762" w:type="dxa"/>
          </w:tcPr>
          <w:p>
            <w:pPr>
              <w:pStyle w:val="Compact"/>
              <w:jc w:val="left"/>
            </w:pPr>
            <w:r>
              <w:t xml:space="preserve">IV Higher PG Diploma, V MA</w:t>
            </w:r>
          </w:p>
        </w:tc>
        <w:tc>
          <w:tcPr>
            <w:tcMar>
              <w:top w:w="100" w:type="dxa"/>
              <w:bottom w:w="100" w:type="dxa"/>
              <w:left w:w="150" w:type="dxa"/>
              <w:right w:w="150" w:type="dxa"/>
            </w:tcMar>
            <w:vAlign w:val="center"/>
            <w:tcW w:w="2471" w:type="dxa"/>
          </w:tcPr>
          <w:p>
            <w:pPr>
              <w:pStyle w:val="Compact"/>
              <w:jc w:val="left"/>
            </w:pPr>
            <w:r>
              <w:t xml:space="preserve">#48–61 (14 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3</w:t>
            </w:r>
          </w:p>
        </w:tc>
        <w:tc>
          <w:tcPr>
            <w:tcMar>
              <w:top w:w="100" w:type="dxa"/>
              <w:bottom w:w="100" w:type="dxa"/>
              <w:left w:w="150" w:type="dxa"/>
              <w:right w:w="150" w:type="dxa"/>
            </w:tcMar>
            <w:vAlign w:val="center"/>
            <w:shd w:val="clear" w:color="auto" w:fill="E9EDF6"/>
            <w:tcW w:w="2269" w:type="dxa"/>
          </w:tcPr>
          <w:p>
            <w:pPr>
              <w:pStyle w:val="Compact"/>
              <w:jc w:val="left"/>
            </w:pPr>
            <w:r>
              <w:t xml:space="preserve">Yr3 (2030)</w:t>
            </w:r>
          </w:p>
        </w:tc>
        <w:tc>
          <w:tcPr>
            <w:tcMar>
              <w:top w:w="100" w:type="dxa"/>
              <w:bottom w:w="100" w:type="dxa"/>
              <w:left w:w="150" w:type="dxa"/>
              <w:right w:w="150" w:type="dxa"/>
            </w:tcMar>
            <w:vAlign w:val="center"/>
            <w:shd w:val="clear" w:color="auto" w:fill="E9EDF6"/>
            <w:tcW w:w="2762" w:type="dxa"/>
          </w:tcPr>
          <w:p>
            <w:pPr>
              <w:pStyle w:val="Compact"/>
              <w:jc w:val="left"/>
            </w:pPr>
            <w:r>
              <w:t xml:space="preserve">VI PhD</w:t>
            </w:r>
          </w:p>
        </w:tc>
        <w:tc>
          <w:tcPr>
            <w:tcMar>
              <w:top w:w="100" w:type="dxa"/>
              <w:bottom w:w="100" w:type="dxa"/>
              <w:left w:w="150" w:type="dxa"/>
              <w:right w:w="150" w:type="dxa"/>
            </w:tcMar>
            <w:vAlign w:val="center"/>
            <w:shd w:val="clear" w:color="auto" w:fill="E9EDF6"/>
            <w:tcW w:w="2471" w:type="dxa"/>
          </w:tcPr>
          <w:p>
            <w:pPr>
              <w:pStyle w:val="Compact"/>
              <w:jc w:val="left"/>
            </w:pPr>
            <w:r>
              <w:t xml:space="preserve">#62–67 (6 programs)</w:t>
            </w:r>
          </w:p>
        </w:tc>
      </w:tr>
      <w:tr>
        <w:trPr>
          <w:cantSplit/>
        </w:trPr>
        <w:tc>
          <w:tcPr>
            <w:tcMar>
              <w:top w:w="100" w:type="dxa"/>
              <w:bottom w:w="100" w:type="dxa"/>
              <w:left w:w="150" w:type="dxa"/>
              <w:right w:w="150" w:type="dxa"/>
            </w:tcMar>
            <w:vAlign w:val="center"/>
            <w:tcW w:w="1570" w:type="dxa"/>
          </w:tcPr>
          <w:p>
            <w:pPr>
              <w:pStyle w:val="Compact"/>
              <w:jc w:val="left"/>
            </w:pPr>
            <w:r>
              <w:t xml:space="preserve">4</w:t>
            </w:r>
          </w:p>
        </w:tc>
        <w:tc>
          <w:tcPr>
            <w:tcMar>
              <w:top w:w="100" w:type="dxa"/>
              <w:bottom w:w="100" w:type="dxa"/>
              <w:left w:w="150" w:type="dxa"/>
              <w:right w:w="150" w:type="dxa"/>
            </w:tcMar>
            <w:vAlign w:val="center"/>
            <w:tcW w:w="2269" w:type="dxa"/>
          </w:tcPr>
          <w:p>
            <w:pPr>
              <w:pStyle w:val="Compact"/>
              <w:jc w:val="left"/>
            </w:pPr>
            <w:r>
              <w:t xml:space="preserve">Yr6 (2033)</w:t>
            </w:r>
          </w:p>
        </w:tc>
        <w:tc>
          <w:tcPr>
            <w:tcMar>
              <w:top w:w="100" w:type="dxa"/>
              <w:bottom w:w="100" w:type="dxa"/>
              <w:left w:w="150" w:type="dxa"/>
              <w:right w:w="150" w:type="dxa"/>
            </w:tcMar>
            <w:vAlign w:val="center"/>
            <w:tcW w:w="2762" w:type="dxa"/>
          </w:tcPr>
          <w:p>
            <w:pPr>
              <w:pStyle w:val="Compact"/>
              <w:jc w:val="left"/>
            </w:pPr>
            <w:r>
              <w:t xml:space="preserve">VII Post-Doctoral Fellowship (non-credit)</w:t>
            </w:r>
          </w:p>
        </w:tc>
        <w:tc>
          <w:tcPr>
            <w:tcMar>
              <w:top w:w="100" w:type="dxa"/>
              <w:bottom w:w="100" w:type="dxa"/>
              <w:left w:w="150" w:type="dxa"/>
              <w:right w:w="150" w:type="dxa"/>
            </w:tcMar>
            <w:vAlign w:val="center"/>
            <w:tcW w:w="2471" w:type="dxa"/>
          </w:tcPr>
          <w:p>
            <w:pPr>
              <w:pStyle w:val="Compact"/>
              <w:jc w:val="left"/>
            </w:pPr>
            <w:r>
              <w:t xml:space="preserve">#68–71 (4 tracks)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5</w:t>
            </w:r>
          </w:p>
        </w:tc>
        <w:tc>
          <w:tcPr>
            <w:tcMar>
              <w:top w:w="100" w:type="dxa"/>
              <w:bottom w:w="100" w:type="dxa"/>
              <w:left w:w="150" w:type="dxa"/>
              <w:right w:w="150" w:type="dxa"/>
            </w:tcMar>
            <w:vAlign w:val="center"/>
            <w:shd w:val="clear" w:color="auto" w:fill="E9EDF6"/>
            <w:tcW w:w="2269" w:type="dxa"/>
          </w:tcPr>
          <w:p>
            <w:pPr>
              <w:pStyle w:val="Compact"/>
              <w:jc w:val="left"/>
            </w:pPr>
            <w:r>
              <w:t xml:space="preserve">Yr11 (2038)</w:t>
            </w:r>
          </w:p>
        </w:tc>
        <w:tc>
          <w:tcPr>
            <w:tcMar>
              <w:top w:w="100" w:type="dxa"/>
              <w:bottom w:w="100" w:type="dxa"/>
              <w:left w:w="150" w:type="dxa"/>
              <w:right w:w="150" w:type="dxa"/>
            </w:tcMar>
            <w:vAlign w:val="center"/>
            <w:shd w:val="clear" w:color="auto" w:fill="E9EDF6"/>
            <w:tcW w:w="2762" w:type="dxa"/>
          </w:tcPr>
          <w:p>
            <w:pPr>
              <w:pStyle w:val="Compact"/>
              <w:jc w:val="left"/>
            </w:pPr>
            <w:r>
              <w:t xml:space="preserve">7 Secular Schools</w:t>
            </w:r>
          </w:p>
        </w:tc>
        <w:tc>
          <w:tcPr>
            <w:tcMar>
              <w:top w:w="100" w:type="dxa"/>
              <w:bottom w:w="100" w:type="dxa"/>
              <w:left w:w="150" w:type="dxa"/>
              <w:right w:w="150" w:type="dxa"/>
            </w:tcMar>
            <w:vAlign w:val="center"/>
            <w:shd w:val="clear" w:color="auto" w:fill="E9EDF6"/>
            <w:tcW w:w="2471" w:type="dxa"/>
          </w:tcPr>
          <w:p>
            <w:pPr>
              <w:pStyle w:val="Compact"/>
              <w:jc w:val="left"/>
            </w:pPr>
            <w:r>
              <w:t xml:space="preserve">#72–99 (28 programs)</w:t>
            </w:r>
          </w:p>
        </w:tc>
      </w:tr>
      <w:tr>
        <w:trPr>
          <w:cantSplit/>
        </w:trPr>
        <w:tc>
          <w:tcPr>
            <w:tcMar>
              <w:top w:w="100" w:type="dxa"/>
              <w:bottom w:w="100" w:type="dxa"/>
              <w:left w:w="150" w:type="dxa"/>
              <w:right w:w="150" w:type="dxa"/>
            </w:tcMar>
            <w:vAlign w:val="center"/>
            <w:tcW w:w="1570" w:type="dxa"/>
          </w:tcPr>
          <w:p>
            <w:pPr>
              <w:pStyle w:val="Compact"/>
              <w:jc w:val="left"/>
            </w:pPr>
            <w:r>
              <w:t xml:space="preserve">6</w:t>
            </w:r>
          </w:p>
        </w:tc>
        <w:tc>
          <w:tcPr>
            <w:tcMar>
              <w:top w:w="100" w:type="dxa"/>
              <w:bottom w:w="100" w:type="dxa"/>
              <w:left w:w="150" w:type="dxa"/>
              <w:right w:w="150" w:type="dxa"/>
            </w:tcMar>
            <w:vAlign w:val="center"/>
            <w:tcW w:w="2269" w:type="dxa"/>
          </w:tcPr>
          <w:p>
            <w:pPr>
              <w:pStyle w:val="Compact"/>
              <w:jc w:val="left"/>
            </w:pPr>
            <w:r>
              <w:t xml:space="preserve">Yr12–20 (2039–2047)</w:t>
            </w:r>
          </w:p>
        </w:tc>
        <w:tc>
          <w:tcPr>
            <w:tcMar>
              <w:top w:w="100" w:type="dxa"/>
              <w:bottom w:w="100" w:type="dxa"/>
              <w:left w:w="150" w:type="dxa"/>
              <w:right w:w="150" w:type="dxa"/>
            </w:tcMar>
            <w:vAlign w:val="center"/>
            <w:tcW w:w="2762" w:type="dxa"/>
          </w:tcPr>
          <w:p>
            <w:pPr>
              <w:pStyle w:val="Compact"/>
              <w:jc w:val="left"/>
            </w:pPr>
            <w:r>
              <w:t xml:space="preserve">Maturation, dual Islamic/secular gen-ed bridges</w:t>
            </w:r>
          </w:p>
        </w:tc>
        <w:tc>
          <w:tcPr>
            <w:tcMar>
              <w:top w:w="100" w:type="dxa"/>
              <w:bottom w:w="100" w:type="dxa"/>
              <w:left w:w="150" w:type="dxa"/>
              <w:right w:w="150" w:type="dxa"/>
            </w:tcMar>
            <w:vAlign w:val="center"/>
            <w:tcW w:w="2471" w:type="dxa"/>
          </w:tcPr>
          <w:p>
            <w:pPr>
              <w:pStyle w:val="Compact"/>
              <w:jc w:val="left"/>
            </w:pPr>
            <w:r>
              <w:t xml:space="preserve">no new numbered programs w/o Senate</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7</w:t>
            </w:r>
          </w:p>
        </w:tc>
        <w:tc>
          <w:tcPr>
            <w:tcMar>
              <w:top w:w="100" w:type="dxa"/>
              <w:bottom w:w="100" w:type="dxa"/>
              <w:left w:w="150" w:type="dxa"/>
              <w:right w:w="150" w:type="dxa"/>
            </w:tcMar>
            <w:vAlign w:val="center"/>
            <w:shd w:val="clear" w:color="auto" w:fill="E9EDF6"/>
            <w:tcW w:w="2269" w:type="dxa"/>
          </w:tcPr>
          <w:p>
            <w:pPr>
              <w:pStyle w:val="Compact"/>
              <w:jc w:val="left"/>
            </w:pPr>
            <w:r>
              <w:t xml:space="preserve">Yr21–23 (2048–2050)</w:t>
            </w:r>
          </w:p>
        </w:tc>
        <w:tc>
          <w:tcPr>
            <w:tcMar>
              <w:top w:w="100" w:type="dxa"/>
              <w:bottom w:w="100" w:type="dxa"/>
              <w:left w:w="150" w:type="dxa"/>
              <w:right w:w="150" w:type="dxa"/>
            </w:tcMar>
            <w:vAlign w:val="center"/>
            <w:shd w:val="clear" w:color="auto" w:fill="E9EDF6"/>
            <w:tcW w:w="2762" w:type="dxa"/>
          </w:tcPr>
          <w:p>
            <w:pPr>
              <w:pStyle w:val="Compact"/>
              <w:jc w:val="left"/>
            </w:pPr>
            <w:r>
              <w:t xml:space="preserve">Steady-state consolidation &amp; accreditation deepening</w:t>
            </w:r>
          </w:p>
        </w:tc>
        <w:tc>
          <w:tcPr>
            <w:tcMar>
              <w:top w:w="100" w:type="dxa"/>
              <w:bottom w:w="100" w:type="dxa"/>
              <w:left w:w="150" w:type="dxa"/>
              <w:right w:w="150" w:type="dxa"/>
            </w:tcMar>
            <w:vAlign w:val="center"/>
            <w:shd w:val="clear" w:color="auto" w:fill="E9EDF6"/>
            <w:tcW w:w="2471" w:type="dxa"/>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Layout w:type="fixed"/>
      </w:tblPr>
      <w:tblGrid>
        <w:gridCol w:w="1573"/>
        <w:gridCol w:w="2433"/>
        <w:gridCol w:w="2227"/>
        <w:gridCol w:w="283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433"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Approx. teaching scholars</w:t>
            </w:r>
          </w:p>
        </w:tc>
        <w:tc>
          <w:tcPr>
            <w:shd w:val="clear" w:color="auto" w:fill="122A4E"/>
            <w:tcMar>
              <w:top w:w="130" w:type="dxa"/>
              <w:bottom w:w="130" w:type="dxa"/>
              <w:left w:w="150" w:type="dxa"/>
              <w:right w:w="150" w:type="dxa"/>
            </w:tcMar>
            <w:tcBorders>
              <w:bottom w:val="single" w:sz="16" w:space="0" w:color="B08625"/>
            </w:tcBorders>
            <w:vAlign w:val="center"/>
            <w:tcW w:w="2839"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w:t>
            </w:r>
          </w:p>
        </w:tc>
        <w:tc>
          <w:tcPr>
            <w:tcMar>
              <w:top w:w="100" w:type="dxa"/>
              <w:bottom w:w="100" w:type="dxa"/>
              <w:left w:w="150" w:type="dxa"/>
              <w:right w:w="150" w:type="dxa"/>
            </w:tcMar>
            <w:vAlign w:val="center"/>
            <w:shd w:val="clear" w:color="auto" w:fill="E9EDF6"/>
            <w:tcW w:w="2433" w:type="dxa"/>
          </w:tcPr>
          <w:p>
            <w:pPr>
              <w:pStyle w:val="Compact"/>
              <w:jc w:val="left"/>
            </w:pPr>
            <w:r>
              <w:t xml:space="preserve">$17,980</w:t>
            </w:r>
          </w:p>
        </w:tc>
        <w:tc>
          <w:tcPr>
            <w:tcMar>
              <w:top w:w="100" w:type="dxa"/>
              <w:bottom w:w="100" w:type="dxa"/>
              <w:left w:w="150" w:type="dxa"/>
              <w:right w:w="150" w:type="dxa"/>
            </w:tcMar>
            <w:vAlign w:val="center"/>
            <w:shd w:val="clear" w:color="auto" w:fill="E9EDF6"/>
            <w:tcW w:w="2227" w:type="dxa"/>
          </w:tcPr>
          <w:p>
            <w:pPr>
              <w:pStyle w:val="Compact"/>
              <w:jc w:val="left"/>
            </w:pPr>
            <w:r>
              <w:t xml:space="preserve">8–12</w:t>
            </w:r>
          </w:p>
        </w:tc>
        <w:tc>
          <w:tcPr>
            <w:tcMar>
              <w:top w:w="100" w:type="dxa"/>
              <w:bottom w:w="100" w:type="dxa"/>
              <w:left w:w="150" w:type="dxa"/>
              <w:right w:w="150" w:type="dxa"/>
            </w:tcMar>
            <w:vAlign w:val="center"/>
            <w:shd w:val="clear" w:color="auto" w:fill="E9EDF6"/>
            <w:tcW w:w="2839" w:type="dxa"/>
          </w:tcPr>
          <w:p>
            <w:pPr>
              <w:pStyle w:val="Compact"/>
              <w:jc w:val="left"/>
            </w:pPr>
            <w:r>
              <w:t xml:space="preserve">multi-hat, cover Diploma–BA of one spine each</w:t>
            </w:r>
          </w:p>
        </w:tc>
      </w:tr>
      <w:tr>
        <w:trPr>
          <w:cantSplit/>
        </w:trPr>
        <w:tc>
          <w:tcPr>
            <w:tcMar>
              <w:top w:w="100" w:type="dxa"/>
              <w:bottom w:w="100" w:type="dxa"/>
              <w:left w:w="150" w:type="dxa"/>
              <w:right w:w="150" w:type="dxa"/>
            </w:tcMar>
            <w:vAlign w:val="center"/>
            <w:tcW w:w="1573" w:type="dxa"/>
          </w:tcPr>
          <w:p>
            <w:pPr>
              <w:pStyle w:val="Compact"/>
              <w:jc w:val="left"/>
            </w:pPr>
            <w:r>
              <w:t xml:space="preserve">Yr5</w:t>
            </w:r>
          </w:p>
        </w:tc>
        <w:tc>
          <w:tcPr>
            <w:tcMar>
              <w:top w:w="100" w:type="dxa"/>
              <w:bottom w:w="100" w:type="dxa"/>
              <w:left w:w="150" w:type="dxa"/>
              <w:right w:w="150" w:type="dxa"/>
            </w:tcMar>
            <w:vAlign w:val="center"/>
            <w:tcW w:w="2433" w:type="dxa"/>
          </w:tcPr>
          <w:p>
            <w:pPr>
              <w:pStyle w:val="Compact"/>
              <w:jc w:val="left"/>
            </w:pPr>
            <w:r>
              <w:t xml:space="preserve">$103,263</w:t>
            </w:r>
          </w:p>
        </w:tc>
        <w:tc>
          <w:tcPr>
            <w:tcMar>
              <w:top w:w="100" w:type="dxa"/>
              <w:bottom w:w="100" w:type="dxa"/>
              <w:left w:w="150" w:type="dxa"/>
              <w:right w:w="150" w:type="dxa"/>
            </w:tcMar>
            <w:vAlign w:val="center"/>
            <w:tcW w:w="2227" w:type="dxa"/>
          </w:tcPr>
          <w:p>
            <w:pPr>
              <w:pStyle w:val="Compact"/>
              <w:jc w:val="left"/>
            </w:pPr>
            <w:r>
              <w:t xml:space="preserve">30–35</w:t>
            </w:r>
          </w:p>
        </w:tc>
        <w:tc>
          <w:tcPr>
            <w:tcMar>
              <w:top w:w="100" w:type="dxa"/>
              <w:bottom w:w="100" w:type="dxa"/>
              <w:left w:w="150" w:type="dxa"/>
              <w:right w:w="150" w:type="dxa"/>
            </w:tcMar>
            <w:vAlign w:val="center"/>
            <w:tcW w:w="2839" w:type="dxa"/>
          </w:tcPr>
          <w:p>
            <w:pPr>
              <w:pStyle w:val="Compact"/>
              <w:jc w:val="left"/>
            </w:pPr>
            <w:r>
              <w:t xml:space="preserve">now cover through early PhD</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Yr10</w:t>
            </w:r>
          </w:p>
        </w:tc>
        <w:tc>
          <w:tcPr>
            <w:tcMar>
              <w:top w:w="100" w:type="dxa"/>
              <w:bottom w:w="100" w:type="dxa"/>
              <w:left w:w="150" w:type="dxa"/>
              <w:right w:w="150" w:type="dxa"/>
            </w:tcMar>
            <w:vAlign w:val="center"/>
            <w:shd w:val="clear" w:color="auto" w:fill="E9EDF6"/>
            <w:tcW w:w="2433" w:type="dxa"/>
          </w:tcPr>
          <w:p>
            <w:pPr>
              <w:pStyle w:val="Compact"/>
              <w:jc w:val="left"/>
            </w:pPr>
            <w:r>
              <w:t xml:space="preserve">$306,444</w:t>
            </w:r>
          </w:p>
        </w:tc>
        <w:tc>
          <w:tcPr>
            <w:tcMar>
              <w:top w:w="100" w:type="dxa"/>
              <w:bottom w:w="100" w:type="dxa"/>
              <w:left w:w="150" w:type="dxa"/>
              <w:right w:w="150" w:type="dxa"/>
            </w:tcMar>
            <w:vAlign w:val="center"/>
            <w:shd w:val="clear" w:color="auto" w:fill="E9EDF6"/>
            <w:tcW w:w="2227" w:type="dxa"/>
          </w:tcPr>
          <w:p>
            <w:pPr>
              <w:pStyle w:val="Compact"/>
              <w:jc w:val="left"/>
            </w:pPr>
            <w:r>
              <w:t xml:space="preserve">60–90</w:t>
            </w:r>
          </w:p>
        </w:tc>
        <w:tc>
          <w:tcPr>
            <w:tcMar>
              <w:top w:w="100" w:type="dxa"/>
              <w:bottom w:w="100" w:type="dxa"/>
              <w:left w:w="150" w:type="dxa"/>
              <w:right w:w="150" w:type="dxa"/>
            </w:tcMar>
            <w:vAlign w:val="center"/>
            <w:shd w:val="clear" w:color="auto" w:fill="E9EDF6"/>
            <w:tcW w:w="2839" w:type="dxa"/>
          </w:tcPr>
          <w:p>
            <w:pPr>
              <w:pStyle w:val="Compact"/>
              <w:jc w:val="left"/>
            </w:pPr>
            <w:r>
              <w:t xml:space="preserve">full ladder + first Post-Doc fellows as mentors</w:t>
            </w:r>
          </w:p>
        </w:tc>
      </w:tr>
      <w:tr>
        <w:trPr>
          <w:cantSplit/>
        </w:trPr>
        <w:tc>
          <w:tcPr>
            <w:tcMar>
              <w:top w:w="100" w:type="dxa"/>
              <w:bottom w:w="100" w:type="dxa"/>
              <w:left w:w="150" w:type="dxa"/>
              <w:right w:w="150" w:type="dxa"/>
            </w:tcMar>
            <w:vAlign w:val="center"/>
            <w:tcW w:w="1573" w:type="dxa"/>
          </w:tcPr>
          <w:p>
            <w:pPr>
              <w:pStyle w:val="Compact"/>
              <w:jc w:val="left"/>
            </w:pPr>
            <w:r>
              <w:t xml:space="preserve">Yr11+</w:t>
            </w:r>
          </w:p>
        </w:tc>
        <w:tc>
          <w:tcPr>
            <w:tcMar>
              <w:top w:w="100" w:type="dxa"/>
              <w:bottom w:w="100" w:type="dxa"/>
              <w:left w:w="150" w:type="dxa"/>
              <w:right w:w="150" w:type="dxa"/>
            </w:tcMar>
            <w:vAlign w:val="center"/>
            <w:tcW w:w="2433" w:type="dxa"/>
          </w:tcPr>
          <w:p>
            <w:pPr>
              <w:pStyle w:val="Compact"/>
              <w:jc w:val="left"/>
            </w:pPr>
            <w:r>
              <w:t xml:space="preserve">scales with secular Payroll</w:t>
            </w:r>
          </w:p>
        </w:tc>
        <w:tc>
          <w:tcPr>
            <w:tcMar>
              <w:top w:w="100" w:type="dxa"/>
              <w:bottom w:w="100" w:type="dxa"/>
              <w:left w:w="150" w:type="dxa"/>
              <w:right w:w="150" w:type="dxa"/>
            </w:tcMar>
            <w:vAlign w:val="center"/>
            <w:tcW w:w="2227" w:type="dxa"/>
          </w:tcPr>
          <w:p>
            <w:pPr>
              <w:pStyle w:val="Compact"/>
              <w:jc w:val="left"/>
            </w:pPr>
            <w:r>
              <w:t xml:space="preserve">+40–60 secular faculty by Yr12</w:t>
            </w:r>
          </w:p>
        </w:tc>
        <w:tc>
          <w:tcPr>
            <w:tcMar>
              <w:top w:w="100" w:type="dxa"/>
              <w:bottom w:w="100" w:type="dxa"/>
              <w:left w:w="150" w:type="dxa"/>
              <w:right w:w="150" w:type="dxa"/>
            </w:tcMar>
            <w:vAlign w:val="center"/>
            <w:tcW w:w="2839" w:type="dxa"/>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4"/>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4"/>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4"/>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Layout w:type="fixed"/>
      </w:tblPr>
      <w:tblGrid>
        <w:gridCol w:w="2671"/>
        <w:gridCol w:w="2182"/>
        <w:gridCol w:w="2560"/>
        <w:gridCol w:w="165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71" w:type="dxa"/>
          </w:tcPr>
          <w:p>
            <w:pPr>
              <w:pStyle w:val="Compact"/>
              <w:jc w:val="left"/>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W w:w="2182" w:type="dxa"/>
          </w:tcPr>
          <w:p>
            <w:pPr>
              <w:pStyle w:val="Compact"/>
              <w:jc w:val="left"/>
            </w:pPr>
            <w:r>
              <w:rPr>
                <w:b/>
                <w:color w:val="FFFFFF"/>
                <w:caps/>
                <w:spacing w:val="4"/>
              </w:rPr>
              <w:t xml:space="preserve">Dean (Senate seat)</w:t>
            </w:r>
          </w:p>
        </w:tc>
        <w:tc>
          <w:tcPr>
            <w:shd w:val="clear" w:color="auto" w:fill="122A4E"/>
            <w:tcMar>
              <w:top w:w="130" w:type="dxa"/>
              <w:bottom w:w="130" w:type="dxa"/>
              <w:left w:w="150" w:type="dxa"/>
              <w:right w:w="150" w:type="dxa"/>
            </w:tcMar>
            <w:tcBorders>
              <w:bottom w:val="single" w:sz="16" w:space="0" w:color="B08625"/>
            </w:tcBorders>
            <w:vAlign w:val="center"/>
            <w:tcW w:w="2560" w:type="dxa"/>
          </w:tcPr>
          <w:p>
            <w:pPr>
              <w:pStyle w:val="Compact"/>
              <w:jc w:val="left"/>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W w:w="1659" w:type="dxa"/>
          </w:tcPr>
          <w:p>
            <w:pPr>
              <w:pStyle w:val="Compact"/>
              <w:jc w:val="left"/>
            </w:pPr>
            <w:r>
              <w:rPr>
                <w:b/>
                <w:color w:val="FFFFFF"/>
                <w:caps/>
                <w:spacing w:val="4"/>
              </w:rPr>
              <w:t xml:space="preserve">Core spine</w:t>
            </w: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 Qur’ānic &amp; Hadith Sciences</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II)</w:t>
            </w:r>
          </w:p>
        </w:tc>
        <w:tc>
          <w:tcPr>
            <w:tcMar>
              <w:top w:w="100" w:type="dxa"/>
              <w:bottom w:w="100" w:type="dxa"/>
              <w:left w:w="150" w:type="dxa"/>
              <w:right w:w="150" w:type="dxa"/>
            </w:tcMar>
            <w:vAlign w:val="center"/>
            <w:shd w:val="clear" w:color="auto" w:fill="E9EDF6"/>
            <w:tcW w:w="2560" w:type="dxa"/>
          </w:tcPr>
          <w:p>
            <w:pPr>
              <w:pStyle w:val="Compact"/>
              <w:jc w:val="left"/>
            </w:pPr>
            <w:r>
              <w:t xml:space="preserve">Tafsīr, Qirā’āt, Hadith</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shares HoDs w/ Group II</w:t>
            </w:r>
          </w:p>
        </w:tc>
      </w:tr>
      <w:tr>
        <w:trPr>
          <w:cantSplit/>
        </w:trPr>
        <w:tc>
          <w:tcPr>
            <w:tcMar>
              <w:top w:w="100" w:type="dxa"/>
              <w:bottom w:w="100" w:type="dxa"/>
              <w:left w:w="150" w:type="dxa"/>
              <w:right w:w="150" w:type="dxa"/>
            </w:tcMar>
            <w:vAlign w:val="center"/>
            <w:tcW w:w="2671" w:type="dxa"/>
          </w:tcPr>
          <w:p>
            <w:pPr>
              <w:pStyle w:val="Compact"/>
              <w:jc w:val="left"/>
            </w:pPr>
            <w:r>
              <w:t xml:space="preserve">II. Sharī’ah &amp; Islamic Law</w:t>
            </w:r>
          </w:p>
        </w:tc>
        <w:tc>
          <w:tcPr>
            <w:tcMar>
              <w:top w:w="100" w:type="dxa"/>
              <w:bottom w:w="100" w:type="dxa"/>
              <w:left w:w="150" w:type="dxa"/>
              <w:right w:w="150" w:type="dxa"/>
            </w:tcMar>
            <w:vAlign w:val="center"/>
            <w:tcW w:w="2182" w:type="dxa"/>
          </w:tcPr>
          <w:p>
            <w:pPr>
              <w:pStyle w:val="Compact"/>
              <w:jc w:val="left"/>
            </w:pPr>
            <w:r>
              <w:t xml:space="preserve">paired Dean (with I)</w:t>
            </w:r>
          </w:p>
        </w:tc>
        <w:tc>
          <w:tcPr>
            <w:tcMar>
              <w:top w:w="100" w:type="dxa"/>
              <w:bottom w:w="100" w:type="dxa"/>
              <w:left w:w="150" w:type="dxa"/>
              <w:right w:w="150" w:type="dxa"/>
            </w:tcMar>
            <w:vAlign w:val="center"/>
            <w:tcW w:w="2560" w:type="dxa"/>
          </w:tcPr>
          <w:p>
            <w:pPr>
              <w:pStyle w:val="Compact"/>
              <w:jc w:val="left"/>
            </w:pPr>
            <w:r>
              <w:t xml:space="preserve">Fiqh, Uṣūl al-Fiqh</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III. Islamic Theology &amp; Philosophy</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V)</w:t>
            </w:r>
          </w:p>
        </w:tc>
        <w:tc>
          <w:tcPr>
            <w:tcMar>
              <w:top w:w="100" w:type="dxa"/>
              <w:bottom w:w="100" w:type="dxa"/>
              <w:left w:w="150" w:type="dxa"/>
              <w:right w:w="150" w:type="dxa"/>
            </w:tcMar>
            <w:vAlign w:val="center"/>
            <w:shd w:val="clear" w:color="auto" w:fill="E9EDF6"/>
            <w:tcW w:w="2560" w:type="dxa"/>
          </w:tcPr>
          <w:p>
            <w:pPr>
              <w:pStyle w:val="Compact"/>
              <w:jc w:val="left"/>
            </w:pPr>
            <w:r>
              <w:t xml:space="preserve">Aqeedah</w:t>
            </w:r>
          </w:p>
        </w:tc>
        <w:tc>
          <w:tcPr>
            <w:tcMar>
              <w:top w:w="100" w:type="dxa"/>
              <w:bottom w:w="100" w:type="dxa"/>
              <w:left w:w="150" w:type="dxa"/>
              <w:right w:w="150" w:type="dxa"/>
            </w:tcMar>
            <w:vAlign w:val="center"/>
            <w:shd w:val="clear" w:color="auto" w:fill="E9EDF6"/>
            <w:tcW w:w="1659" w:type="dxa"/>
          </w:tcPr>
          <w:p>
            <w:pPr>
              <w:pStyle w:val="Compact"/>
            </w:pPr>
          </w:p>
        </w:tc>
      </w:tr>
      <w:tr>
        <w:trPr>
          <w:cantSplit/>
        </w:trPr>
        <w:tc>
          <w:tcPr>
            <w:tcMar>
              <w:top w:w="100" w:type="dxa"/>
              <w:bottom w:w="100" w:type="dxa"/>
              <w:left w:w="150" w:type="dxa"/>
              <w:right w:w="150" w:type="dxa"/>
            </w:tcMar>
            <w:vAlign w:val="center"/>
            <w:tcW w:w="2671" w:type="dxa"/>
          </w:tcPr>
          <w:p>
            <w:pPr>
              <w:pStyle w:val="Compact"/>
              <w:jc w:val="left"/>
            </w:pPr>
            <w:r>
              <w:t xml:space="preserve">V. Da’wah, Communication &amp; Chaplaincy</w:t>
            </w:r>
          </w:p>
        </w:tc>
        <w:tc>
          <w:tcPr>
            <w:tcMar>
              <w:top w:w="100" w:type="dxa"/>
              <w:bottom w:w="100" w:type="dxa"/>
              <w:left w:w="150" w:type="dxa"/>
              <w:right w:w="150" w:type="dxa"/>
            </w:tcMar>
            <w:vAlign w:val="center"/>
            <w:tcW w:w="2182" w:type="dxa"/>
          </w:tcPr>
          <w:p>
            <w:pPr>
              <w:pStyle w:val="Compact"/>
              <w:jc w:val="left"/>
            </w:pPr>
            <w:r>
              <w:t xml:space="preserve">paired Dean (with III)</w:t>
            </w:r>
          </w:p>
        </w:tc>
        <w:tc>
          <w:tcPr>
            <w:tcMar>
              <w:top w:w="100" w:type="dxa"/>
              <w:bottom w:w="100" w:type="dxa"/>
              <w:left w:w="150" w:type="dxa"/>
              <w:right w:w="150" w:type="dxa"/>
            </w:tcMar>
            <w:vAlign w:val="center"/>
            <w:tcW w:w="2560" w:type="dxa"/>
          </w:tcPr>
          <w:p>
            <w:pPr>
              <w:pStyle w:val="Compact"/>
              <w:jc w:val="left"/>
            </w:pPr>
            <w:r>
              <w:t xml:space="preserve">Chaplaincy, Communication</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IV. Arabic Language &amp; Linguistics</w:t>
            </w:r>
          </w:p>
        </w:tc>
        <w:tc>
          <w:tcPr>
            <w:tcMar>
              <w:top w:w="100" w:type="dxa"/>
              <w:bottom w:w="100" w:type="dxa"/>
              <w:left w:w="150" w:type="dxa"/>
              <w:right w:w="150" w:type="dxa"/>
            </w:tcMar>
            <w:vAlign w:val="center"/>
            <w:shd w:val="clear" w:color="auto" w:fill="E9EDF6"/>
            <w:tcW w:w="2182" w:type="dxa"/>
          </w:tcPr>
          <w:p>
            <w:pPr>
              <w:pStyle w:val="Compact"/>
              <w:jc w:val="left"/>
            </w:pPr>
            <w:r>
              <w:t xml:space="preserve">solo Dean</w:t>
            </w:r>
          </w:p>
        </w:tc>
        <w:tc>
          <w:tcPr>
            <w:tcMar>
              <w:top w:w="100" w:type="dxa"/>
              <w:bottom w:w="100" w:type="dxa"/>
              <w:left w:w="150" w:type="dxa"/>
              <w:right w:w="150" w:type="dxa"/>
            </w:tcMar>
            <w:vAlign w:val="center"/>
            <w:shd w:val="clear" w:color="auto" w:fill="E9EDF6"/>
            <w:tcW w:w="2560" w:type="dxa"/>
          </w:tcPr>
          <w:p>
            <w:pPr>
              <w:pStyle w:val="Compact"/>
              <w:jc w:val="left"/>
            </w:pPr>
            <w:r>
              <w:t xml:space="preserve">services all colleges</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shared core</w:t>
            </w:r>
          </w:p>
        </w:tc>
      </w:tr>
      <w:tr>
        <w:trPr>
          <w:cantSplit/>
        </w:trPr>
        <w:tc>
          <w:tcPr>
            <w:tcMar>
              <w:top w:w="100" w:type="dxa"/>
              <w:bottom w:w="100" w:type="dxa"/>
              <w:left w:w="150" w:type="dxa"/>
              <w:right w:w="150" w:type="dxa"/>
            </w:tcMar>
            <w:vAlign w:val="center"/>
            <w:tcW w:w="2671" w:type="dxa"/>
          </w:tcPr>
          <w:p>
            <w:pPr>
              <w:pStyle w:val="Compact"/>
              <w:jc w:val="left"/>
            </w:pPr>
            <w:r>
              <w:t xml:space="preserve">VI. Islamic Finance, Economics &amp; Waqf</w:t>
            </w:r>
          </w:p>
        </w:tc>
        <w:tc>
          <w:tcPr>
            <w:tcMar>
              <w:top w:w="100" w:type="dxa"/>
              <w:bottom w:w="100" w:type="dxa"/>
              <w:left w:w="150" w:type="dxa"/>
              <w:right w:w="150" w:type="dxa"/>
            </w:tcMar>
            <w:vAlign w:val="center"/>
            <w:tcW w:w="2182" w:type="dxa"/>
          </w:tcPr>
          <w:p>
            <w:pPr>
              <w:pStyle w:val="Compact"/>
              <w:jc w:val="left"/>
            </w:pPr>
            <w:r>
              <w:t xml:space="preserve">solo Dean</w:t>
            </w:r>
          </w:p>
        </w:tc>
        <w:tc>
          <w:tcPr>
            <w:tcMar>
              <w:top w:w="100" w:type="dxa"/>
              <w:bottom w:w="100" w:type="dxa"/>
              <w:left w:w="150" w:type="dxa"/>
              <w:right w:w="150" w:type="dxa"/>
            </w:tcMar>
            <w:vAlign w:val="center"/>
            <w:tcW w:w="2560" w:type="dxa"/>
          </w:tcPr>
          <w:p>
            <w:pPr>
              <w:pStyle w:val="Compact"/>
              <w:jc w:val="left"/>
            </w:pPr>
            <w:r>
              <w:t xml:space="preserve">Zakāt/Waqf admin</w:t>
            </w:r>
          </w:p>
        </w:tc>
        <w:tc>
          <w:tcPr>
            <w:tcMar>
              <w:top w:w="100" w:type="dxa"/>
              <w:bottom w:w="100" w:type="dxa"/>
              <w:left w:w="150" w:type="dxa"/>
              <w:right w:w="150" w:type="dxa"/>
            </w:tcMar>
            <w:vAlign w:val="center"/>
            <w:tcW w:w="1659" w:type="dxa"/>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5"/>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5"/>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School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Launch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Business &amp; Economics</w:t>
            </w:r>
          </w:p>
        </w:tc>
        <w:tc>
          <w:tcPr>
            <w:tcMar>
              <w:top w:w="100" w:type="dxa"/>
              <w:bottom w:w="100" w:type="dxa"/>
              <w:left w:w="150" w:type="dxa"/>
              <w:right w:w="150" w:type="dxa"/>
            </w:tcMar>
            <w:vAlign w:val="center"/>
            <w:shd w:val="clear" w:color="auto" w:fill="E9EDF6"/>
          </w:tcPr>
          <w:p>
            <w:pPr>
              <w:pStyle w:val="Compact"/>
              <w:jc w:val="left"/>
              <w:suppressAutoHyphens/>
            </w:pPr>
            <w:r>
              <w:t xml:space="preserve">BBA, BSc Acct&amp;Fin, BSc Econ, MBA, MSc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Computer Science &amp; Technology</w:t>
            </w:r>
          </w:p>
        </w:tc>
        <w:tc>
          <w:tcPr>
            <w:tcMar>
              <w:top w:w="100" w:type="dxa"/>
              <w:bottom w:w="100" w:type="dxa"/>
              <w:left w:w="150" w:type="dxa"/>
              <w:right w:w="150" w:type="dxa"/>
            </w:tcMar>
            <w:vAlign w:val="center"/>
          </w:tcPr>
          <w:p>
            <w:pPr>
              <w:pStyle w:val="Compact"/>
              <w:jc w:val="left"/>
              <w:suppressAutoHyphens/>
            </w:pPr>
            <w:r>
              <w:t xml:space="preserve">BSc CS, Data Science, Cybersecurity, IS, MSc AI/ML</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Law</w:t>
            </w:r>
          </w:p>
        </w:tc>
        <w:tc>
          <w:tcPr>
            <w:tcMar>
              <w:top w:w="100" w:type="dxa"/>
              <w:bottom w:w="100" w:type="dxa"/>
              <w:left w:w="150" w:type="dxa"/>
              <w:right w:w="150" w:type="dxa"/>
            </w:tcMar>
            <w:vAlign w:val="center"/>
            <w:shd w:val="clear" w:color="auto" w:fill="E9EDF6"/>
          </w:tcPr>
          <w:p>
            <w:pPr>
              <w:pStyle w:val="Compact"/>
              <w:jc w:val="left"/>
              <w:suppressAutoHyphens/>
            </w:pPr>
            <w:r>
              <w:t xml:space="preserve">LLB, LLM Int’l Law, LLM Comparative &amp; Islamic-Civil Law</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Health Sciences</w:t>
            </w:r>
          </w:p>
        </w:tc>
        <w:tc>
          <w:tcPr>
            <w:tcMar>
              <w:top w:w="100" w:type="dxa"/>
              <w:bottom w:w="100" w:type="dxa"/>
              <w:left w:w="150" w:type="dxa"/>
              <w:right w:w="150" w:type="dxa"/>
            </w:tcMar>
            <w:vAlign w:val="center"/>
          </w:tcPr>
          <w:p>
            <w:pPr>
              <w:pStyle w:val="Compact"/>
              <w:jc w:val="left"/>
              <w:suppressAutoHyphens/>
            </w:pPr>
            <w:r>
              <w:t xml:space="preserve">BSc Public Health, Nursing, Health Admin, MPH</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Engineering</w:t>
            </w:r>
          </w:p>
        </w:tc>
        <w:tc>
          <w:tcPr>
            <w:tcMar>
              <w:top w:w="100" w:type="dxa"/>
              <w:bottom w:w="100" w:type="dxa"/>
              <w:left w:w="150" w:type="dxa"/>
              <w:right w:w="150" w:type="dxa"/>
            </w:tcMar>
            <w:vAlign w:val="center"/>
            <w:shd w:val="clear" w:color="auto" w:fill="E9EDF6"/>
          </w:tcPr>
          <w:p>
            <w:pPr>
              <w:pStyle w:val="Compact"/>
              <w:jc w:val="left"/>
              <w:suppressAutoHyphens/>
            </w:pPr>
            <w:r>
              <w:t xml:space="preserve">BEng Civil, EE, Computer, Mechanical</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Education</w:t>
            </w:r>
          </w:p>
        </w:tc>
        <w:tc>
          <w:tcPr>
            <w:tcMar>
              <w:top w:w="100" w:type="dxa"/>
              <w:bottom w:w="100" w:type="dxa"/>
              <w:left w:w="150" w:type="dxa"/>
              <w:right w:w="150" w:type="dxa"/>
            </w:tcMar>
            <w:vAlign w:val="center"/>
          </w:tcPr>
          <w:p>
            <w:pPr>
              <w:pStyle w:val="Compact"/>
              <w:jc w:val="left"/>
              <w:suppressAutoHyphens/>
            </w:pPr>
            <w:r>
              <w:t xml:space="preserve">BEd, MEd, PhD Ed Leadership</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Social &amp; Political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Pol Sci, IR &amp; Diplomacy, Psych, Sociology</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6"/>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6"/>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Rank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Compensation basis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Typical phase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Honorary/Visiting Scholar</w:t>
            </w:r>
          </w:p>
        </w:tc>
        <w:tc>
          <w:tcPr>
            <w:tcMar>
              <w:top w:w="100" w:type="dxa"/>
              <w:bottom w:w="100" w:type="dxa"/>
              <w:left w:w="150" w:type="dxa"/>
              <w:right w:w="150" w:type="dxa"/>
            </w:tcMar>
            <w:vAlign w:val="center"/>
            <w:shd w:val="clear" w:color="auto" w:fill="E9EDF6"/>
          </w:tcPr>
          <w:p>
            <w:pPr>
              <w:pStyle w:val="Compact"/>
              <w:jc w:val="left"/>
              <w:suppressAutoHyphens/>
            </w:pPr>
            <w:r>
              <w:t xml:space="preserve">Token/unpaid, guest lectures</w:t>
            </w:r>
          </w:p>
        </w:tc>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r>
      <w:tr>
        <w:trPr>
          <w:cantSplit/>
        </w:trPr>
        <w:tc>
          <w:tcPr>
            <w:tcMar>
              <w:top w:w="100" w:type="dxa"/>
              <w:bottom w:w="100" w:type="dxa"/>
              <w:left w:w="150" w:type="dxa"/>
              <w:right w:w="150" w:type="dxa"/>
            </w:tcMar>
            <w:vAlign w:val="center"/>
          </w:tcPr>
          <w:p>
            <w:pPr>
              <w:pStyle w:val="Compact"/>
              <w:jc w:val="left"/>
              <w:suppressAutoHyphens/>
            </w:pPr>
            <w:r>
              <w:t xml:space="preserve">Adjunct Instructor</w:t>
            </w:r>
          </w:p>
        </w:tc>
        <w:tc>
          <w:tcPr>
            <w:tcMar>
              <w:top w:w="100" w:type="dxa"/>
              <w:bottom w:w="100" w:type="dxa"/>
              <w:left w:w="150" w:type="dxa"/>
              <w:right w:w="150" w:type="dxa"/>
            </w:tcMar>
            <w:vAlign w:val="center"/>
          </w:tcPr>
          <w:p>
            <w:pPr>
              <w:pStyle w:val="Compact"/>
              <w:jc w:val="left"/>
              <w:suppressAutoHyphens/>
            </w:pPr>
            <w:r>
              <w:t xml:space="preserve">Per-CH honorarium (Faculty Honoraria pool)</w:t>
            </w:r>
          </w:p>
        </w:tc>
        <w:tc>
          <w:tcPr>
            <w:tcMar>
              <w:top w:w="100" w:type="dxa"/>
              <w:bottom w:w="100" w:type="dxa"/>
              <w:left w:w="150" w:type="dxa"/>
              <w:right w:w="150" w:type="dxa"/>
            </w:tcMar>
            <w:vAlign w:val="center"/>
          </w:tcPr>
          <w:p>
            <w:pPr>
              <w:pStyle w:val="Compact"/>
              <w:jc w:val="left"/>
              <w:suppressAutoHyphens/>
            </w:pPr>
            <w:r>
              <w:t xml:space="preserve">Yr1+ — dominant Yr1–10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Assistant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Small fixed honorarium premium over adjunct rate</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Yr5+ as pool grows</w:t>
            </w:r>
          </w:p>
        </w:tc>
      </w:tr>
      <w:tr>
        <w:trPr>
          <w:cantSplit/>
        </w:trPr>
        <w:tc>
          <w:tcPr>
            <w:tcMar>
              <w:top w:w="100" w:type="dxa"/>
              <w:bottom w:w="100" w:type="dxa"/>
              <w:left w:w="150" w:type="dxa"/>
              <w:right w:w="150" w:type="dxa"/>
            </w:tcMar>
            <w:vAlign w:val="center"/>
          </w:tcPr>
          <w:p>
            <w:pPr>
              <w:pStyle w:val="Compact"/>
              <w:jc w:val="left"/>
              <w:suppressAutoHyphens/>
            </w:pPr>
            <w:r>
              <w:t xml:space="preserve">Associate Professor</w:t>
            </w:r>
          </w:p>
        </w:tc>
        <w:tc>
          <w:tcPr>
            <w:tcMar>
              <w:top w:w="100" w:type="dxa"/>
              <w:bottom w:w="100" w:type="dxa"/>
              <w:left w:w="150" w:type="dxa"/>
              <w:right w:w="150" w:type="dxa"/>
            </w:tcMar>
            <w:vAlign w:val="center"/>
          </w:tcPr>
          <w:p>
            <w:pPr>
              <w:pStyle w:val="Compact"/>
              <w:jc w:val="left"/>
              <w:suppressAutoHyphens/>
            </w:pPr>
            <w:r>
              <w:t xml:space="preserve">Higher fixed premium, tenure-track service recognized</w:t>
            </w:r>
          </w:p>
        </w:tc>
        <w:tc>
          <w:tcPr>
            <w:tcMar>
              <w:top w:w="100" w:type="dxa"/>
              <w:bottom w:w="100" w:type="dxa"/>
              <w:left w:w="150" w:type="dxa"/>
              <w:right w:w="150" w:type="dxa"/>
            </w:tcMar>
            <w:vAlign w:val="center"/>
          </w:tcPr>
          <w:p>
            <w:pPr>
              <w:pStyle w:val="Compact"/>
              <w:jc w:val="left"/>
              <w:suppressAutoHyphens/>
            </w:pPr>
            <w:r>
              <w:t xml:space="preserve">emerges Yr8–10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Full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Top honorarium/salary band</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Yr10+ (secular hires largely salaried Yr11+)</w:t>
            </w:r>
          </w:p>
        </w:tc>
      </w:tr>
      <w:tr>
        <w:trPr>
          <w:cantSplit/>
        </w:trPr>
        <w:tc>
          <w:tcPr>
            <w:tcMar>
              <w:top w:w="100" w:type="dxa"/>
              <w:bottom w:w="100" w:type="dxa"/>
              <w:left w:w="150" w:type="dxa"/>
              <w:right w:w="150" w:type="dxa"/>
            </w:tcMar>
            <w:vAlign w:val="center"/>
          </w:tcPr>
          <w:p>
            <w:pPr>
              <w:pStyle w:val="Compact"/>
              <w:jc w:val="left"/>
              <w:suppressAutoHyphens/>
            </w:pPr>
            <w:r>
              <w:t xml:space="preserve">Senate-Seat Professor</w:t>
            </w:r>
          </w:p>
        </w:tc>
        <w:tc>
          <w:tcPr>
            <w:tcMar>
              <w:top w:w="100" w:type="dxa"/>
              <w:bottom w:w="100" w:type="dxa"/>
              <w:left w:w="150" w:type="dxa"/>
              <w:right w:w="150" w:type="dxa"/>
            </w:tcMar>
            <w:vAlign w:val="center"/>
          </w:tcPr>
          <w:p>
            <w:pPr>
              <w:pStyle w:val="Compact"/>
              <w:jc w:val="left"/>
              <w:suppressAutoHyphens/>
            </w:pPr>
            <w:r>
              <w:t xml:space="preserve">Ex officio via Group II/III seat (Dean/HoD), Senate Stipend sub-split</w:t>
            </w:r>
          </w:p>
        </w:tc>
        <w:tc>
          <w:tcPr>
            <w:tcMar>
              <w:top w:w="100" w:type="dxa"/>
              <w:bottom w:w="100" w:type="dxa"/>
              <w:left w:w="150" w:type="dxa"/>
              <w:right w:w="150" w:type="dxa"/>
            </w:tcMar>
            <w:vAlign w:val="center"/>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7"/>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7"/>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7"/>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7"/>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Layout w:type="fixed"/>
      </w:tblPr>
      <w:tblGrid>
        <w:gridCol w:w="1698"/>
        <w:gridCol w:w="2354"/>
        <w:gridCol w:w="2793"/>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98"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354"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793" w:type="dxa"/>
          </w:tcPr>
          <w:p>
            <w:pPr>
              <w:pStyle w:val="Compact"/>
              <w:jc w:val="left"/>
            </w:pPr>
            <w:r>
              <w:rPr>
                <w:b/>
                <w:color w:val="FFFFFF"/>
                <w:caps/>
                <w:spacing w:val="4"/>
              </w:rPr>
              <w:t xml:space="preserve">Avg. per-scholar honorarium</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Rank mix</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w:t>
            </w:r>
          </w:p>
        </w:tc>
        <w:tc>
          <w:tcPr>
            <w:tcMar>
              <w:top w:w="100" w:type="dxa"/>
              <w:bottom w:w="100" w:type="dxa"/>
              <w:left w:w="150" w:type="dxa"/>
              <w:right w:w="150" w:type="dxa"/>
            </w:tcMar>
            <w:vAlign w:val="center"/>
            <w:shd w:val="clear" w:color="auto" w:fill="E9EDF6"/>
            <w:tcW w:w="2354" w:type="dxa"/>
          </w:tcPr>
          <w:p>
            <w:pPr>
              <w:pStyle w:val="Compact"/>
              <w:jc w:val="left"/>
            </w:pPr>
            <w:r>
              <w:t xml:space="preserve">$17,980</w:t>
            </w:r>
          </w:p>
        </w:tc>
        <w:tc>
          <w:tcPr>
            <w:tcMar>
              <w:top w:w="100" w:type="dxa"/>
              <w:bottom w:w="100" w:type="dxa"/>
              <w:left w:w="150" w:type="dxa"/>
              <w:right w:w="150" w:type="dxa"/>
            </w:tcMar>
            <w:vAlign w:val="center"/>
            <w:shd w:val="clear" w:color="auto" w:fill="E9EDF6"/>
            <w:tcW w:w="2793" w:type="dxa"/>
          </w:tcPr>
          <w:p>
            <w:pPr>
              <w:pStyle w:val="Compact"/>
              <w:jc w:val="left"/>
            </w:pPr>
            <w:r>
              <w:t xml:space="preserve">~$1,500–2,200 (8–12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~100% Adjunct/Honorary</w:t>
            </w:r>
          </w:p>
        </w:tc>
      </w:tr>
      <w:tr>
        <w:trPr>
          <w:cantSplit/>
        </w:trPr>
        <w:tc>
          <w:tcPr>
            <w:tcMar>
              <w:top w:w="100" w:type="dxa"/>
              <w:bottom w:w="100" w:type="dxa"/>
              <w:left w:w="150" w:type="dxa"/>
              <w:right w:w="150" w:type="dxa"/>
            </w:tcMar>
            <w:vAlign w:val="center"/>
            <w:tcW w:w="1698" w:type="dxa"/>
          </w:tcPr>
          <w:p>
            <w:pPr>
              <w:pStyle w:val="Compact"/>
              <w:jc w:val="left"/>
            </w:pPr>
            <w:r>
              <w:t xml:space="preserve">Yr5</w:t>
            </w:r>
          </w:p>
        </w:tc>
        <w:tc>
          <w:tcPr>
            <w:tcMar>
              <w:top w:w="100" w:type="dxa"/>
              <w:bottom w:w="100" w:type="dxa"/>
              <w:left w:w="150" w:type="dxa"/>
              <w:right w:w="150" w:type="dxa"/>
            </w:tcMar>
            <w:vAlign w:val="center"/>
            <w:tcW w:w="2354" w:type="dxa"/>
          </w:tcPr>
          <w:p>
            <w:pPr>
              <w:pStyle w:val="Compact"/>
              <w:jc w:val="left"/>
            </w:pPr>
            <w:r>
              <w:t xml:space="preserve">$103,263</w:t>
            </w:r>
          </w:p>
        </w:tc>
        <w:tc>
          <w:tcPr>
            <w:tcMar>
              <w:top w:w="100" w:type="dxa"/>
              <w:bottom w:w="100" w:type="dxa"/>
              <w:left w:w="150" w:type="dxa"/>
              <w:right w:w="150" w:type="dxa"/>
            </w:tcMar>
            <w:vAlign w:val="center"/>
            <w:tcW w:w="2793" w:type="dxa"/>
          </w:tcPr>
          <w:p>
            <w:pPr>
              <w:pStyle w:val="Compact"/>
              <w:jc w:val="left"/>
            </w:pPr>
            <w:r>
              <w:t xml:space="preserve">~$2,900–3,400 (30–35 scholars)</w:t>
            </w:r>
          </w:p>
        </w:tc>
        <w:tc>
          <w:tcPr>
            <w:tcMar>
              <w:top w:w="100" w:type="dxa"/>
              <w:bottom w:w="100" w:type="dxa"/>
              <w:left w:w="150" w:type="dxa"/>
              <w:right w:w="150" w:type="dxa"/>
            </w:tcMar>
            <w:vAlign w:val="center"/>
            <w:tcW w:w="2227" w:type="dxa"/>
          </w:tcPr>
          <w:p>
            <w:pPr>
              <w:pStyle w:val="Compact"/>
              <w:jc w:val="left"/>
            </w:pPr>
            <w:r>
              <w:t xml:space="preserve">mostly Adjunct, first Assistant Professors</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Yr10</w:t>
            </w:r>
          </w:p>
        </w:tc>
        <w:tc>
          <w:tcPr>
            <w:tcMar>
              <w:top w:w="100" w:type="dxa"/>
              <w:bottom w:w="100" w:type="dxa"/>
              <w:left w:w="150" w:type="dxa"/>
              <w:right w:w="150" w:type="dxa"/>
            </w:tcMar>
            <w:vAlign w:val="center"/>
            <w:shd w:val="clear" w:color="auto" w:fill="E9EDF6"/>
            <w:tcW w:w="2354" w:type="dxa"/>
          </w:tcPr>
          <w:p>
            <w:pPr>
              <w:pStyle w:val="Compact"/>
              <w:jc w:val="left"/>
            </w:pPr>
            <w:r>
              <w:t xml:space="preserve">$306,444</w:t>
            </w:r>
          </w:p>
        </w:tc>
        <w:tc>
          <w:tcPr>
            <w:tcMar>
              <w:top w:w="100" w:type="dxa"/>
              <w:bottom w:w="100" w:type="dxa"/>
              <w:left w:w="150" w:type="dxa"/>
              <w:right w:w="150" w:type="dxa"/>
            </w:tcMar>
            <w:vAlign w:val="center"/>
            <w:shd w:val="clear" w:color="auto" w:fill="E9EDF6"/>
            <w:tcW w:w="2793" w:type="dxa"/>
          </w:tcPr>
          <w:p>
            <w:pPr>
              <w:pStyle w:val="Compact"/>
              <w:jc w:val="left"/>
            </w:pPr>
            <w:r>
              <w:t xml:space="preserve">~$3,400–5,100 (60–90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Adjunct–Full Professor spread</w:t>
            </w:r>
          </w:p>
        </w:tc>
      </w:tr>
      <w:tr>
        <w:trPr>
          <w:cantSplit/>
        </w:trPr>
        <w:tc>
          <w:tcPr>
            <w:tcMar>
              <w:top w:w="100" w:type="dxa"/>
              <w:bottom w:w="100" w:type="dxa"/>
              <w:left w:w="150" w:type="dxa"/>
              <w:right w:w="150" w:type="dxa"/>
            </w:tcMar>
            <w:vAlign w:val="center"/>
            <w:tcW w:w="1698" w:type="dxa"/>
          </w:tcPr>
          <w:p>
            <w:pPr>
              <w:pStyle w:val="Compact"/>
              <w:jc w:val="left"/>
            </w:pPr>
            <w:r>
              <w:t xml:space="preserve">Yr11+ (secular)</w:t>
            </w:r>
          </w:p>
        </w:tc>
        <w:tc>
          <w:tcPr>
            <w:tcMar>
              <w:top w:w="100" w:type="dxa"/>
              <w:bottom w:w="100" w:type="dxa"/>
              <w:left w:w="150" w:type="dxa"/>
              <w:right w:w="150" w:type="dxa"/>
            </w:tcMar>
            <w:vAlign w:val="center"/>
            <w:tcW w:w="2354" w:type="dxa"/>
          </w:tcPr>
          <w:p>
            <w:pPr>
              <w:pStyle w:val="Compact"/>
              <w:jc w:val="left"/>
            </w:pPr>
            <w:r>
              <w:t xml:space="preserve">scales with new-school Payroll</w:t>
            </w:r>
          </w:p>
        </w:tc>
        <w:tc>
          <w:tcPr>
            <w:tcMar>
              <w:top w:w="100" w:type="dxa"/>
              <w:bottom w:w="100" w:type="dxa"/>
              <w:left w:w="150" w:type="dxa"/>
              <w:right w:w="150" w:type="dxa"/>
            </w:tcMar>
            <w:vAlign w:val="center"/>
            <w:tcW w:w="2793" w:type="dxa"/>
          </w:tcPr>
          <w:p>
            <w:pPr>
              <w:pStyle w:val="Compact"/>
              <w:jc w:val="left"/>
            </w:pPr>
            <w:r>
              <w:t xml:space="preserve">salaried terminal-degree hires</w:t>
            </w:r>
          </w:p>
        </w:tc>
        <w:tc>
          <w:tcPr>
            <w:tcMar>
              <w:top w:w="100" w:type="dxa"/>
              <w:bottom w:w="100" w:type="dxa"/>
              <w:left w:w="150" w:type="dxa"/>
              <w:right w:w="150" w:type="dxa"/>
            </w:tcMar>
            <w:vAlign w:val="center"/>
            <w:tcW w:w="2227" w:type="dxa"/>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8"/>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8"/>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Department (HoD)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Colleges served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Founding-phase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Qur’ānic Studies &amp; Tafsīr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Hadith Sciences</w:t>
            </w:r>
          </w:p>
        </w:tc>
        <w:tc>
          <w:tcPr>
            <w:tcMar>
              <w:top w:w="100" w:type="dxa"/>
              <w:bottom w:w="100" w:type="dxa"/>
              <w:left w:w="150" w:type="dxa"/>
              <w:right w:w="150" w:type="dxa"/>
            </w:tcMar>
            <w:vAlign w:val="center"/>
          </w:tcPr>
          <w:p>
            <w:pPr>
              <w:pStyle w:val="Compact"/>
              <w:jc w:val="left"/>
              <w:suppressAutoHyphens/>
            </w:pPr>
            <w:r>
              <w:t xml:space="preserve">College 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Aqeedah &amp; Islamic Philosophy</w:t>
            </w:r>
          </w:p>
        </w:tc>
        <w:tc>
          <w:tcPr>
            <w:tcMar>
              <w:top w:w="100" w:type="dxa"/>
              <w:bottom w:w="100" w:type="dxa"/>
              <w:left w:w="150" w:type="dxa"/>
              <w:right w:w="150" w:type="dxa"/>
            </w:tcMar>
            <w:vAlign w:val="center"/>
          </w:tcPr>
          <w:p>
            <w:pPr>
              <w:pStyle w:val="Compact"/>
              <w:jc w:val="left"/>
              <w:suppressAutoHyphens/>
            </w:pPr>
            <w:r>
              <w:t xml:space="preserve">College III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IV (+ shared core)</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Da’wah &amp; Islamic Communication</w:t>
            </w:r>
          </w:p>
        </w:tc>
        <w:tc>
          <w:tcPr>
            <w:tcMar>
              <w:top w:w="100" w:type="dxa"/>
              <w:bottom w:w="100" w:type="dxa"/>
              <w:left w:w="150" w:type="dxa"/>
              <w:right w:w="150" w:type="dxa"/>
            </w:tcMar>
            <w:vAlign w:val="center"/>
          </w:tcPr>
          <w:p>
            <w:pPr>
              <w:pStyle w:val="Compact"/>
              <w:jc w:val="left"/>
              <w:suppressAutoHyphens/>
            </w:pPr>
            <w:r>
              <w:t xml:space="preserve">College V</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dept. staffing budget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per-department honoraria pool (Yr1/Yr5/Yr10, 6 depts sharing $17,980/$103,263/$306,444)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$44,949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≈$3,000 avg/dept</w:t>
            </w:r>
          </w:p>
        </w:tc>
      </w:tr>
      <w:tr>
        <w:trPr>
          <w:cantSplit/>
        </w:trPr>
        <w:tc>
          <w:tcPr>
            <w:tcMar>
              <w:top w:w="100" w:type="dxa"/>
              <w:bottom w:w="100" w:type="dxa"/>
              <w:left w:w="150" w:type="dxa"/>
              <w:right w:w="150" w:type="dxa"/>
            </w:tcMar>
            <w:vAlign w:val="center"/>
          </w:tcPr>
          <w:p>
            <w:pPr>
              <w:pStyle w:val="Compact"/>
              <w:jc w:val="left"/>
              <w:suppressAutoHyphens/>
            </w:pPr>
            <w:r>
              <w:t xml:space="preserve">Yr5</w:t>
            </w:r>
          </w:p>
        </w:tc>
        <w:tc>
          <w:tcPr>
            <w:tcMar>
              <w:top w:w="100" w:type="dxa"/>
              <w:bottom w:w="100" w:type="dxa"/>
              <w:left w:w="150" w:type="dxa"/>
              <w:right w:w="150" w:type="dxa"/>
            </w:tcMar>
            <w:vAlign w:val="center"/>
          </w:tcPr>
          <w:p>
            <w:pPr>
              <w:pStyle w:val="Compact"/>
              <w:jc w:val="left"/>
              <w:suppressAutoHyphens/>
            </w:pPr>
            <w:r>
              <w:t xml:space="preserve">Faculty Honoraria (40% of $258,157 Payroll)</w:t>
            </w:r>
          </w:p>
        </w:tc>
        <w:tc>
          <w:tcPr>
            <w:tcMar>
              <w:top w:w="100" w:type="dxa"/>
              <w:bottom w:w="100" w:type="dxa"/>
              <w:left w:w="150" w:type="dxa"/>
              <w:right w:w="150" w:type="dxa"/>
            </w:tcMar>
            <w:vAlign w:val="center"/>
          </w:tcPr>
          <w:p>
            <w:pPr>
              <w:pStyle w:val="Compact"/>
              <w:jc w:val="left"/>
              <w:suppressAutoHyphens/>
            </w:pPr>
            <w:r>
              <w:t xml:space="preserve">≈$17,200 avg/dept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$766,110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9"/>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9"/>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9"/>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Source Serif 4" w:hAnsi="Source Serif 4"/>
                <w:i/>
                <w:smallCaps/>
                <w:color w:val="8C97AB"/>
                <w:sz w:val="19"/>
                <w:spacing w:val="10"/>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2027</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ratifies the 71-program catalog and permanent numbering (1–71)</w:t>
            </w:r>
          </w:p>
        </w:tc>
      </w:tr>
      <w:tr>
        <w:trPr>
          <w:cantSplit/>
        </w:trPr>
        <w:tc>
          <w:tcPr>
            <w:tcMar>
              <w:top w:w="100" w:type="dxa"/>
              <w:bottom w:w="100" w:type="dxa"/>
              <w:left w:w="150" w:type="dxa"/>
              <w:right w:w="150" w:type="dxa"/>
            </w:tcMar>
            <w:vAlign w:val="center"/>
          </w:tcPr>
          <w:p>
            <w:pPr>
              <w:pStyle w:val="Compact"/>
              <w:jc w:val="left"/>
              <w:suppressAutoHyphens/>
            </w:pPr>
            <w:r>
              <w:t xml:space="preserve">1 – Stabilization</w:t>
            </w:r>
          </w:p>
        </w:tc>
        <w:tc>
          <w:tcPr>
            <w:tcMar>
              <w:top w:w="100" w:type="dxa"/>
              <w:bottom w:w="100" w:type="dxa"/>
              <w:left w:w="150" w:type="dxa"/>
              <w:right w:w="150" w:type="dxa"/>
            </w:tcMar>
            <w:vAlign w:val="center"/>
          </w:tcPr>
          <w:p>
            <w:pPr>
              <w:pStyle w:val="Compact"/>
              <w:jc w:val="left"/>
              <w:suppressAutoHyphens/>
            </w:pPr>
            <w:r>
              <w:t xml:space="preserve">2028–2030</w:t>
            </w:r>
          </w:p>
        </w:tc>
        <w:tc>
          <w:tcPr>
            <w:tcMar>
              <w:top w:w="100" w:type="dxa"/>
              <w:bottom w:w="100" w:type="dxa"/>
              <w:left w:w="150" w:type="dxa"/>
              <w:right w:w="150" w:type="dxa"/>
            </w:tcMar>
            <w:vAlign w:val="center"/>
          </w:tcPr>
          <w:p>
            <w:pPr>
              <w:pStyle w:val="Compact"/>
              <w:jc w:val="left"/>
              <w:suppressAutoHyphens/>
            </w:pPr>
            <w:r>
              <w:t xml:space="preserve">Launch monitoring; no new programs; fix early-cohort defects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Consolidation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2031–2034</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3-year reviews; balance checks across tiers/colleges</w:t>
            </w:r>
          </w:p>
        </w:tc>
      </w:tr>
      <w:tr>
        <w:trPr>
          <w:cantSplit/>
        </w:trPr>
        <w:tc>
          <w:tcPr>
            <w:tcMar>
              <w:top w:w="100" w:type="dxa"/>
              <w:bottom w:w="100" w:type="dxa"/>
              <w:left w:w="150" w:type="dxa"/>
              <w:right w:w="150" w:type="dxa"/>
            </w:tcMar>
            <w:vAlign w:val="center"/>
          </w:tcPr>
          <w:p>
            <w:pPr>
              <w:pStyle w:val="Compact"/>
              <w:jc w:val="left"/>
              <w:suppressAutoHyphens/>
            </w:pPr>
            <w:r>
              <w:t xml:space="preserve">3 – Pre-Expansion</w:t>
            </w:r>
          </w:p>
        </w:tc>
        <w:tc>
          <w:tcPr>
            <w:tcMar>
              <w:top w:w="100" w:type="dxa"/>
              <w:bottom w:w="100" w:type="dxa"/>
              <w:left w:w="150" w:type="dxa"/>
              <w:right w:w="150" w:type="dxa"/>
            </w:tcMar>
            <w:vAlign w:val="center"/>
          </w:tcPr>
          <w:p>
            <w:pPr>
              <w:pStyle w:val="Compact"/>
              <w:jc w:val="left"/>
              <w:suppressAutoHyphens/>
            </w:pPr>
            <w:r>
              <w:t xml:space="preserve">2035–2037</w:t>
            </w:r>
          </w:p>
        </w:tc>
        <w:tc>
          <w:tcPr>
            <w:tcMar>
              <w:top w:w="100" w:type="dxa"/>
              <w:bottom w:w="100" w:type="dxa"/>
              <w:left w:w="150" w:type="dxa"/>
              <w:right w:w="150" w:type="dxa"/>
            </w:tcMar>
            <w:vAlign w:val="center"/>
          </w:tcPr>
          <w:p>
            <w:pPr>
              <w:pStyle w:val="Compact"/>
              <w:jc w:val="left"/>
              <w:suppressAutoHyphens/>
            </w:pPr>
            <w:r>
              <w:t xml:space="preserve">Readiness audit for secular expansion; capacity planning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Secular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2038–2041</w:t>
            </w:r>
          </w:p>
        </w:tc>
        <w:tc>
          <w:tcPr>
            <w:tcMar>
              <w:top w:w="100" w:type="dxa"/>
              <w:bottom w:w="100" w:type="dxa"/>
              <w:left w:w="150" w:type="dxa"/>
              <w:right w:w="150" w:type="dxa"/>
            </w:tcMar>
            <w:vAlign w:val="center"/>
            <w:shd w:val="clear" w:color="auto" w:fill="E9EDF6"/>
          </w:tcPr>
          <w:p>
            <w:pPr>
              <w:pStyle w:val="Compact"/>
              <w:jc w:val="left"/>
              <w:suppressAutoHyphens/>
            </w:pPr>
            <w:r>
              <w:t xml:space="preserve">Onboard 28 programs (#72–99), 7 new Schools</w:t>
            </w:r>
          </w:p>
        </w:tc>
      </w:tr>
      <w:tr>
        <w:trPr>
          <w:cantSplit/>
        </w:trPr>
        <w:tc>
          <w:tcPr>
            <w:tcMar>
              <w:top w:w="100" w:type="dxa"/>
              <w:bottom w:w="100" w:type="dxa"/>
              <w:left w:w="150" w:type="dxa"/>
              <w:right w:w="150" w:type="dxa"/>
            </w:tcMar>
            <w:vAlign w:val="center"/>
          </w:tcPr>
          <w:p>
            <w:pPr>
              <w:pStyle w:val="Compact"/>
              <w:jc w:val="left"/>
              <w:suppressAutoHyphens/>
            </w:pPr>
            <w:r>
              <w:t xml:space="preserve">5 – Maturity</w:t>
            </w:r>
          </w:p>
        </w:tc>
        <w:tc>
          <w:tcPr>
            <w:tcMar>
              <w:top w:w="100" w:type="dxa"/>
              <w:bottom w:w="100" w:type="dxa"/>
              <w:left w:w="150" w:type="dxa"/>
              <w:right w:w="150" w:type="dxa"/>
            </w:tcMar>
            <w:vAlign w:val="center"/>
          </w:tcPr>
          <w:p>
            <w:pPr>
              <w:pStyle w:val="Compact"/>
              <w:jc w:val="left"/>
              <w:suppressAutoHyphens/>
            </w:pPr>
            <w:r>
              <w:t xml:space="preserve">2042–2050</w:t>
            </w:r>
          </w:p>
        </w:tc>
        <w:tc>
          <w:tcPr>
            <w:tcMar>
              <w:top w:w="100" w:type="dxa"/>
              <w:bottom w:w="100" w:type="dxa"/>
              <w:left w:w="150" w:type="dxa"/>
              <w:right w:w="150" w:type="dxa"/>
            </w:tcMar>
            <w:vAlign w:val="center"/>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Portfolio-related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No dedicated role; Senate Secretary + DVC Academic Affairs track portfolio part-time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Program Portfolio Analyst, 0.5 FTE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Analyst to 1.0 FTE; College Curriculum Liaisons (volunteer, 1 per college)</w:t>
            </w:r>
          </w:p>
        </w:tc>
      </w:tr>
      <w:tr>
        <w:trPr>
          <w:cantSplit/>
        </w:trPr>
        <w:tc>
          <w:tcPr>
            <w:tcMar>
              <w:top w:w="100" w:type="dxa"/>
              <w:bottom w:w="100" w:type="dxa"/>
              <w:left w:w="150" w:type="dxa"/>
              <w:right w:w="150" w:type="dxa"/>
            </w:tcMar>
            <w:vAlign w:val="center"/>
          </w:tcPr>
          <w:p>
            <w:pPr>
              <w:pStyle w:val="Compact"/>
              <w:jc w:val="left"/>
              <w:suppressAutoHyphens/>
            </w:pPr>
            <w:r>
              <w:t xml:space="preserve">4 (Yr11–14)</w:t>
            </w:r>
          </w:p>
        </w:tc>
        <w:tc>
          <w:tcPr>
            <w:tcMar>
              <w:top w:w="100" w:type="dxa"/>
              <w:bottom w:w="100" w:type="dxa"/>
              <w:left w:w="150" w:type="dxa"/>
              <w:right w:w="150" w:type="dxa"/>
            </w:tcMar>
            <w:vAlign w:val="center"/>
          </w:tcPr>
          <w:p>
            <w:pPr>
              <w:pStyle w:val="Compact"/>
              <w:jc w:val="left"/>
              <w:suppressAutoHyphens/>
            </w:pPr>
            <w:r>
              <w:t xml:space="preserve">Program Portfolio Office, 2 FTE, incl. secular-schools liaison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(Yr15–23)</w:t>
            </w:r>
          </w:p>
        </w:tc>
        <w:tc>
          <w:tcPr>
            <w:tcMar>
              <w:top w:w="100" w:type="dxa"/>
              <w:bottom w:w="100" w:type="dxa"/>
              <w:left w:w="150" w:type="dxa"/>
              <w:right w:w="150" w:type="dxa"/>
            </w:tcMar>
            <w:vAlign w:val="center"/>
            <w:shd w:val="clear" w:color="auto" w:fill="E9EDF6"/>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10"/>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10"/>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10"/>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10"/>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proliferation dilutes faculty/marketing capacity</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Minimum-viable-cohort gate before Senate approval; sunset trigger after 3 sub-threshold years</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 cannibalize religious-college enrollment/marketing share</w:t>
            </w:r>
          </w:p>
        </w:tc>
        <w:tc>
          <w:tcPr>
            <w:tcMar>
              <w:top w:w="100" w:type="dxa"/>
              <w:bottom w:w="100" w:type="dxa"/>
              <w:left w:w="150" w:type="dxa"/>
              <w:right w:w="150" w:type="dxa"/>
            </w:tcMar>
            <w:vAlign w:val="center"/>
          </w:tcPr>
          <w:p>
            <w:pPr>
              <w:pStyle w:val="Compact"/>
              <w:jc w:val="left"/>
              <w:suppressAutoHyphens/>
            </w:pPr>
            <w:r>
              <w:t xml:space="preserve">Separate marketing sub-budgets and KPIs per college/school within the 10% Marketing allocation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becomes a bottleneck as catalog grows to 99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pre-screens and batches routine reviews; only substantive changes go to full Senate</w:t>
            </w:r>
          </w:p>
        </w:tc>
      </w:tr>
      <w:tr>
        <w:trPr>
          <w:cantSplit/>
        </w:trPr>
        <w:tc>
          <w:tcPr>
            <w:tcMar>
              <w:top w:w="100" w:type="dxa"/>
              <w:bottom w:w="100" w:type="dxa"/>
              <w:left w:w="150" w:type="dxa"/>
              <w:right w:w="150" w:type="dxa"/>
            </w:tcMar>
            <w:vAlign w:val="center"/>
          </w:tcPr>
          <w:p>
            <w:pPr>
              <w:pStyle w:val="Compact"/>
              <w:jc w:val="left"/>
              <w:suppressAutoHyphens/>
            </w:pPr>
            <w:r>
              <w:t xml:space="preserve">Permanent numbering (1–71) creates confusion when a program is sunset</w:t>
            </w:r>
          </w:p>
        </w:tc>
        <w:tc>
          <w:tcPr>
            <w:tcMar>
              <w:top w:w="100" w:type="dxa"/>
              <w:bottom w:w="100" w:type="dxa"/>
              <w:left w:w="150" w:type="dxa"/>
              <w:right w:w="150" w:type="dxa"/>
            </w:tcMar>
            <w:vAlign w:val="center"/>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creation of new Colleges/Schools (capital &amp; fiduciary dimension)</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authority: approves every program addition, modification, discontinuation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(PPC, Senate subcommittee)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Conducts reviews, recommends sunset/launch, monitors tier/college balance</w:t>
            </w:r>
          </w:p>
        </w:tc>
      </w:tr>
      <w:tr>
        <w:trPr>
          <w:cantSplit/>
        </w:trPr>
        <w:tc>
          <w:tcPr>
            <w:tcMar>
              <w:top w:w="100" w:type="dxa"/>
              <w:bottom w:w="100" w:type="dxa"/>
              <w:left w:w="150" w:type="dxa"/>
              <w:right w:w="150" w:type="dxa"/>
            </w:tcMar>
            <w:vAlign w:val="center"/>
          </w:tcPr>
          <w:p>
            <w:pPr>
              <w:pStyle w:val="Compact"/>
              <w:jc w:val="left"/>
              <w:suppressAutoHyphens/>
            </w:pPr>
            <w:r>
              <w:t xml:space="preserve">DVC Academic Affairs (Al-Qumash)</w:t>
            </w:r>
          </w:p>
        </w:tc>
        <w:tc>
          <w:tcPr>
            <w:tcMar>
              <w:top w:w="100" w:type="dxa"/>
              <w:bottom w:w="100" w:type="dxa"/>
              <w:left w:w="150" w:type="dxa"/>
              <w:right w:w="150" w:type="dxa"/>
            </w:tcMar>
            <w:vAlign w:val="center"/>
          </w:tcPr>
          <w:p>
            <w:pPr>
              <w:pStyle w:val="Compact"/>
              <w:jc w:val="left"/>
              <w:suppressAutoHyphens/>
            </w:pPr>
            <w:r>
              <w:t xml:space="preserve">Implements Senate decisions, chairs PPC coordination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Registrar</w:t>
            </w:r>
          </w:p>
        </w:tc>
        <w:tc>
          <w:tcPr>
            <w:tcMar>
              <w:top w:w="100" w:type="dxa"/>
              <w:bottom w:w="100" w:type="dxa"/>
              <w:left w:w="150" w:type="dxa"/>
              <w:right w:w="150" w:type="dxa"/>
            </w:tcMar>
            <w:vAlign w:val="center"/>
            <w:shd w:val="clear" w:color="auto" w:fill="E9EDF6"/>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Layout w:type="fixed"/>
      </w:tblPr>
      <w:tblGrid>
        <w:gridCol w:w="1526"/>
        <w:gridCol w:w="1666"/>
        <w:gridCol w:w="1563"/>
        <w:gridCol w:w="2228"/>
        <w:gridCol w:w="208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6" w:type="dxa"/>
          </w:tcPr>
          <w:p>
            <w:pPr>
              <w:pStyle w:val="Compact"/>
              <w:jc w:val="left"/>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W w:w="1666" w:type="dxa"/>
          </w:tcPr>
          <w:p>
            <w:pPr>
              <w:pStyle w:val="Compact"/>
              <w:jc w:val="left"/>
            </w:pPr>
            <w:r>
              <w:rPr>
                <w:b/>
                <w:color w:val="FFFFFF"/>
                <w:caps/>
                <w:spacing w:val="4"/>
              </w:rPr>
              <w:t xml:space="preserve">Total CH</w:t>
            </w:r>
          </w:p>
        </w:tc>
        <w:tc>
          <w:tcPr>
            <w:shd w:val="clear" w:color="auto" w:fill="122A4E"/>
            <w:tcMar>
              <w:top w:w="130" w:type="dxa"/>
              <w:bottom w:w="130" w:type="dxa"/>
              <w:left w:w="150" w:type="dxa"/>
              <w:right w:w="150" w:type="dxa"/>
            </w:tcMar>
            <w:tcBorders>
              <w:bottom w:val="single" w:sz="16" w:space="0" w:color="B08625"/>
            </w:tcBorders>
            <w:vAlign w:val="center"/>
            <w:tcW w:w="1563" w:type="dxa"/>
          </w:tcPr>
          <w:p>
            <w:pPr>
              <w:pStyle w:val="Compact"/>
              <w:jc w:val="left"/>
            </w:pPr>
            <w:r>
              <w:rPr>
                <w:b/>
                <w:color w:val="FFFFFF"/>
                <w:caps/>
                <w:spacing w:val="4"/>
              </w:rPr>
              <w:t xml:space="preserve">Gen-Ed</w:t>
            </w:r>
          </w:p>
        </w:tc>
        <w:tc>
          <w:tcPr>
            <w:shd w:val="clear" w:color="auto" w:fill="122A4E"/>
            <w:tcMar>
              <w:top w:w="130" w:type="dxa"/>
              <w:bottom w:w="130" w:type="dxa"/>
              <w:left w:w="150" w:type="dxa"/>
              <w:right w:w="150" w:type="dxa"/>
            </w:tcMar>
            <w:tcBorders>
              <w:bottom w:val="single" w:sz="16" w:space="0" w:color="B08625"/>
            </w:tcBorders>
            <w:vAlign w:val="center"/>
            <w:tcW w:w="2228" w:type="dxa"/>
          </w:tcPr>
          <w:p>
            <w:pPr>
              <w:pStyle w:val="Compact"/>
              <w:jc w:val="left"/>
            </w:pPr>
            <w:r>
              <w:rPr>
                <w:b/>
                <w:color w:val="FFFFFF"/>
                <w:caps/>
                <w:spacing w:val="4"/>
              </w:rPr>
              <w:t xml:space="preserve">Core/Major</w:t>
            </w:r>
          </w:p>
        </w:tc>
        <w:tc>
          <w:tcPr>
            <w:shd w:val="clear" w:color="auto" w:fill="122A4E"/>
            <w:tcMar>
              <w:top w:w="130" w:type="dxa"/>
              <w:bottom w:w="130" w:type="dxa"/>
              <w:left w:w="150" w:type="dxa"/>
              <w:right w:w="150" w:type="dxa"/>
            </w:tcMar>
            <w:tcBorders>
              <w:bottom w:val="single" w:sz="16" w:space="0" w:color="B08625"/>
            </w:tcBorders>
            <w:vAlign w:val="center"/>
            <w:tcW w:w="2089" w:type="dxa"/>
          </w:tcPr>
          <w:p>
            <w:pPr>
              <w:pStyle w:val="Compact"/>
              <w:jc w:val="left"/>
            </w:pPr>
            <w:r>
              <w:rPr>
                <w:b/>
                <w:color w:val="FFFFFF"/>
                <w:caps/>
                <w:spacing w:val="4"/>
              </w:rPr>
              <w:t xml:space="preserve">Elective/Research</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 Diploma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9 (20%)</w:t>
            </w:r>
          </w:p>
        </w:tc>
        <w:tc>
          <w:tcPr>
            <w:tcMar>
              <w:top w:w="100" w:type="dxa"/>
              <w:bottom w:w="100" w:type="dxa"/>
              <w:left w:w="150" w:type="dxa"/>
              <w:right w:w="150" w:type="dxa"/>
            </w:tcMar>
            <w:vAlign w:val="center"/>
            <w:shd w:val="clear" w:color="auto" w:fill="E9EDF6"/>
            <w:tcW w:w="2228" w:type="dxa"/>
          </w:tcPr>
          <w:p>
            <w:pPr>
              <w:pStyle w:val="Compact"/>
              <w:jc w:val="left"/>
            </w:pPr>
            <w:r>
              <w:t xml:space="preserve">36 (80%)</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r>
        <w:trPr>
          <w:cantSplit/>
        </w:trPr>
        <w:tc>
          <w:tcPr>
            <w:tcMar>
              <w:top w:w="100" w:type="dxa"/>
              <w:bottom w:w="100" w:type="dxa"/>
              <w:left w:w="150" w:type="dxa"/>
              <w:right w:w="150" w:type="dxa"/>
            </w:tcMar>
            <w:vAlign w:val="center"/>
            <w:tcW w:w="1526" w:type="dxa"/>
          </w:tcPr>
          <w:p>
            <w:pPr>
              <w:pStyle w:val="Compact"/>
              <w:jc w:val="left"/>
            </w:pPr>
            <w:r>
              <w:t xml:space="preserve">II Associate</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12 (20%)</w:t>
            </w:r>
          </w:p>
        </w:tc>
        <w:tc>
          <w:tcPr>
            <w:tcMar>
              <w:top w:w="100" w:type="dxa"/>
              <w:bottom w:w="100" w:type="dxa"/>
              <w:left w:w="150" w:type="dxa"/>
              <w:right w:w="150" w:type="dxa"/>
            </w:tcMar>
            <w:vAlign w:val="center"/>
            <w:tcW w:w="2228" w:type="dxa"/>
          </w:tcPr>
          <w:p>
            <w:pPr>
              <w:pStyle w:val="Compact"/>
              <w:jc w:val="left"/>
            </w:pPr>
            <w:r>
              <w:t xml:space="preserve">42 (70%)</w:t>
            </w:r>
          </w:p>
        </w:tc>
        <w:tc>
          <w:tcPr>
            <w:tcMar>
              <w:top w:w="100" w:type="dxa"/>
              <w:bottom w:w="100" w:type="dxa"/>
              <w:left w:w="150" w:type="dxa"/>
              <w:right w:w="150" w:type="dxa"/>
            </w:tcMar>
            <w:vAlign w:val="center"/>
            <w:tcW w:w="2089" w:type="dxa"/>
          </w:tcPr>
          <w:p>
            <w:pPr>
              <w:pStyle w:val="Compact"/>
              <w:jc w:val="left"/>
            </w:pPr>
            <w:r>
              <w:t xml:space="preserve">6 (10%)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III BA</w:t>
            </w:r>
          </w:p>
        </w:tc>
        <w:tc>
          <w:tcPr>
            <w:tcMar>
              <w:top w:w="100" w:type="dxa"/>
              <w:bottom w:w="100" w:type="dxa"/>
              <w:left w:w="150" w:type="dxa"/>
              <w:right w:w="150" w:type="dxa"/>
            </w:tcMar>
            <w:vAlign w:val="center"/>
            <w:shd w:val="clear" w:color="auto" w:fill="E9EDF6"/>
            <w:tcW w:w="1666" w:type="dxa"/>
          </w:tcPr>
          <w:p>
            <w:pPr>
              <w:pStyle w:val="Compact"/>
              <w:jc w:val="left"/>
            </w:pPr>
            <w:r>
              <w:t xml:space="preserve">120</w:t>
            </w:r>
          </w:p>
        </w:tc>
        <w:tc>
          <w:tcPr>
            <w:tcMar>
              <w:top w:w="100" w:type="dxa"/>
              <w:bottom w:w="100" w:type="dxa"/>
              <w:left w:w="150" w:type="dxa"/>
              <w:right w:w="150" w:type="dxa"/>
            </w:tcMar>
            <w:vAlign w:val="center"/>
            <w:shd w:val="clear" w:color="auto" w:fill="E9EDF6"/>
            <w:tcW w:w="1563" w:type="dxa"/>
          </w:tcPr>
          <w:p>
            <w:pPr>
              <w:pStyle w:val="Compact"/>
              <w:jc w:val="left"/>
            </w:pPr>
            <w:r>
              <w:t xml:space="preserve">24 (20%)</w:t>
            </w:r>
          </w:p>
        </w:tc>
        <w:tc>
          <w:tcPr>
            <w:tcMar>
              <w:top w:w="100" w:type="dxa"/>
              <w:bottom w:w="100" w:type="dxa"/>
              <w:left w:w="150" w:type="dxa"/>
              <w:right w:w="150" w:type="dxa"/>
            </w:tcMar>
            <w:vAlign w:val="center"/>
            <w:shd w:val="clear" w:color="auto" w:fill="E9EDF6"/>
            <w:tcW w:w="2228" w:type="dxa"/>
          </w:tcPr>
          <w:p>
            <w:pPr>
              <w:pStyle w:val="Compact"/>
              <w:jc w:val="left"/>
            </w:pPr>
            <w:r>
              <w:t xml:space="preserve">72 (60%)</w:t>
            </w:r>
          </w:p>
        </w:tc>
        <w:tc>
          <w:tcPr>
            <w:tcMar>
              <w:top w:w="100" w:type="dxa"/>
              <w:bottom w:w="100" w:type="dxa"/>
              <w:left w:w="150" w:type="dxa"/>
              <w:right w:w="150" w:type="dxa"/>
            </w:tcMar>
            <w:vAlign w:val="center"/>
            <w:shd w:val="clear" w:color="auto" w:fill="E9EDF6"/>
            <w:tcW w:w="2089" w:type="dxa"/>
          </w:tcPr>
          <w:p>
            <w:pPr>
              <w:pStyle w:val="Compact"/>
              <w:jc w:val="left"/>
            </w:pPr>
            <w:r>
              <w:t xml:space="preserve">24 (20%)</w:t>
            </w:r>
          </w:p>
        </w:tc>
      </w:tr>
      <w:tr>
        <w:trPr>
          <w:cantSplit/>
        </w:trPr>
        <w:tc>
          <w:tcPr>
            <w:tcMar>
              <w:top w:w="100" w:type="dxa"/>
              <w:bottom w:w="100" w:type="dxa"/>
              <w:left w:w="150" w:type="dxa"/>
              <w:right w:w="150" w:type="dxa"/>
            </w:tcMar>
            <w:vAlign w:val="center"/>
            <w:tcW w:w="1526" w:type="dxa"/>
          </w:tcPr>
          <w:p>
            <w:pPr>
              <w:pStyle w:val="Compact"/>
              <w:jc w:val="left"/>
            </w:pPr>
            <w:r>
              <w:t xml:space="preserve">IV HPGD (bridge)</w:t>
            </w:r>
          </w:p>
        </w:tc>
        <w:tc>
          <w:tcPr>
            <w:tcMar>
              <w:top w:w="100" w:type="dxa"/>
              <w:bottom w:w="100" w:type="dxa"/>
              <w:left w:w="150" w:type="dxa"/>
              <w:right w:w="150" w:type="dxa"/>
            </w:tcMar>
            <w:vAlign w:val="center"/>
            <w:tcW w:w="1666" w:type="dxa"/>
          </w:tcPr>
          <w:p>
            <w:pPr>
              <w:pStyle w:val="Compact"/>
              <w:jc w:val="left"/>
            </w:pPr>
            <w:r>
              <w:t xml:space="preserve">30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24 (80%)</w:t>
            </w:r>
          </w:p>
        </w:tc>
        <w:tc>
          <w:tcPr>
            <w:tcMar>
              <w:top w:w="100" w:type="dxa"/>
              <w:bottom w:w="100" w:type="dxa"/>
              <w:left w:w="150" w:type="dxa"/>
              <w:right w:w="150" w:type="dxa"/>
            </w:tcMar>
            <w:vAlign w:val="center"/>
            <w:tcW w:w="2089" w:type="dxa"/>
          </w:tcPr>
          <w:p>
            <w:pPr>
              <w:pStyle w:val="Compact"/>
              <w:jc w:val="left"/>
            </w:pPr>
            <w:r>
              <w:t xml:space="preserve">6 (20%)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 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33 core/specialization</w:t>
            </w:r>
          </w:p>
        </w:tc>
        <w:tc>
          <w:tcPr>
            <w:tcMar>
              <w:top w:w="100" w:type="dxa"/>
              <w:bottom w:w="100" w:type="dxa"/>
              <w:left w:w="150" w:type="dxa"/>
              <w:right w:w="150" w:type="dxa"/>
            </w:tcMar>
            <w:vAlign w:val="center"/>
            <w:shd w:val="clear" w:color="auto" w:fill="E9EDF6"/>
            <w:tcW w:w="2089" w:type="dxa"/>
          </w:tcPr>
          <w:p>
            <w:pPr>
              <w:pStyle w:val="Compact"/>
              <w:jc w:val="left"/>
            </w:pPr>
            <w:r>
              <w:t xml:space="preserve">12 thesis/elective</w:t>
            </w:r>
          </w:p>
        </w:tc>
      </w:tr>
      <w:tr>
        <w:trPr>
          <w:cantSplit/>
        </w:trPr>
        <w:tc>
          <w:tcPr>
            <w:tcMar>
              <w:top w:w="100" w:type="dxa"/>
              <w:bottom w:w="100" w:type="dxa"/>
              <w:left w:w="150" w:type="dxa"/>
              <w:right w:w="150" w:type="dxa"/>
            </w:tcMar>
            <w:vAlign w:val="center"/>
            <w:tcW w:w="1526" w:type="dxa"/>
          </w:tcPr>
          <w:p>
            <w:pPr>
              <w:pStyle w:val="Compact"/>
              <w:jc w:val="left"/>
            </w:pPr>
            <w:r>
              <w:t xml:space="preserve">VI PhD</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18 coursework</w:t>
            </w:r>
          </w:p>
        </w:tc>
        <w:tc>
          <w:tcPr>
            <w:tcMar>
              <w:top w:w="100" w:type="dxa"/>
              <w:bottom w:w="100" w:type="dxa"/>
              <w:left w:w="150" w:type="dxa"/>
              <w:right w:w="150" w:type="dxa"/>
            </w:tcMar>
            <w:vAlign w:val="center"/>
            <w:tcW w:w="2089" w:type="dxa"/>
          </w:tcPr>
          <w:p>
            <w:pPr>
              <w:pStyle w:val="Compact"/>
              <w:jc w:val="left"/>
            </w:pPr>
            <w:r>
              <w:t xml:space="preserve">42 comprehensive + dissertation</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VII Post-Doc</w:t>
            </w:r>
          </w:p>
        </w:tc>
        <w:tc>
          <w:tcPr>
            <w:tcMar>
              <w:top w:w="100" w:type="dxa"/>
              <w:bottom w:w="100" w:type="dxa"/>
              <w:left w:w="150" w:type="dxa"/>
              <w:right w:w="150" w:type="dxa"/>
            </w:tcMar>
            <w:vAlign w:val="center"/>
            <w:shd w:val="clear" w:color="auto" w:fill="E9EDF6"/>
            <w:tcW w:w="1666" w:type="dxa"/>
          </w:tcPr>
          <w:p>
            <w:pPr>
              <w:pStyle w:val="Compact"/>
              <w:jc w:val="left"/>
            </w:pPr>
            <w:r>
              <w:t xml:space="preserve">non-credit</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mentored research</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curriculum maps for all 71 programs; Sanad Audit baseline</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Fast-Track cohort data collected; EMI support pipeline built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External-reviewer-ready curriculum-map matrices; accreditation prep</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2038–2040</w:t>
            </w:r>
          </w:p>
        </w:tc>
        <w:tc>
          <w:tcPr>
            <w:tcMar>
              <w:top w:w="100" w:type="dxa"/>
              <w:bottom w:w="100" w:type="dxa"/>
              <w:left w:w="150" w:type="dxa"/>
              <w:right w:w="150" w:type="dxa"/>
            </w:tcMar>
            <w:vAlign w:val="center"/>
          </w:tcPr>
          <w:p>
            <w:pPr>
              <w:pStyle w:val="Compact"/>
              <w:jc w:val="left"/>
              <w:suppressAutoHyphens/>
            </w:pPr>
            <w:r>
              <w:t xml:space="preserve">Design gen-ed/core/elective architecture for 28 secular programs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2041–2050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Isnād-verified faculty bottleneck limits course activation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scholar network, partner-institution MOUs (Section 15)</w:t>
            </w:r>
          </w:p>
        </w:tc>
      </w:tr>
      <w:tr>
        <w:trPr>
          <w:cantSplit/>
        </w:trPr>
        <w:tc>
          <w:tcPr>
            <w:tcMar>
              <w:top w:w="100" w:type="dxa"/>
              <w:bottom w:w="100" w:type="dxa"/>
              <w:left w:w="150" w:type="dxa"/>
              <w:right w:w="150" w:type="dxa"/>
            </w:tcMar>
            <w:vAlign w:val="center"/>
          </w:tcPr>
          <w:p>
            <w:pPr>
              <w:pStyle w:val="Compact"/>
              <w:jc w:val="left"/>
              <w:suppressAutoHyphens/>
            </w:pPr>
            <w:r>
              <w:t xml:space="preserve">Fast-Track overuse erodes rigor</w:t>
            </w:r>
          </w:p>
        </w:tc>
        <w:tc>
          <w:tcPr>
            <w:tcMar>
              <w:top w:w="100" w:type="dxa"/>
              <w:bottom w:w="100" w:type="dxa"/>
              <w:left w:w="150" w:type="dxa"/>
              <w:right w:w="150" w:type="dxa"/>
            </w:tcMar>
            <w:vAlign w:val="center"/>
          </w:tcPr>
          <w:p>
            <w:pPr>
              <w:pStyle w:val="Compact"/>
              <w:jc w:val="left"/>
              <w:suppressAutoHyphens/>
            </w:pPr>
            <w:r>
              <w:t xml:space="preserve">Competency exam standard fixed by Senate, audited annually by CAC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Curriculum drift from fixed CH totals</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Channel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Human Touch?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Inquiry</w:t>
            </w:r>
          </w:p>
        </w:tc>
        <w:tc>
          <w:tcPr>
            <w:tcMar>
              <w:top w:w="100" w:type="dxa"/>
              <w:bottom w:w="100" w:type="dxa"/>
              <w:left w:w="150" w:type="dxa"/>
              <w:right w:w="150" w:type="dxa"/>
            </w:tcMar>
            <w:vAlign w:val="center"/>
            <w:shd w:val="clear" w:color="auto" w:fill="E9EDF6"/>
          </w:tcPr>
          <w:p>
            <w:pPr>
              <w:pStyle w:val="Compact"/>
              <w:jc w:val="left"/>
              <w:suppressAutoHyphens/>
            </w:pPr>
            <w:r>
              <w:t xml:space="preserve">LMS/website, mosque-network referral, WhatsApp/SMS chatbot</w:t>
            </w:r>
          </w:p>
        </w:tc>
        <w:tc>
          <w:tcPr>
            <w:tcMar>
              <w:top w:w="100" w:type="dxa"/>
              <w:bottom w:w="100" w:type="dxa"/>
              <w:left w:w="150" w:type="dxa"/>
              <w:right w:w="150" w:type="dxa"/>
            </w:tcMar>
            <w:vAlign w:val="center"/>
            <w:shd w:val="clear" w:color="auto" w:fill="E9EDF6"/>
          </w:tcPr>
          <w:p>
            <w:pPr>
              <w:pStyle w:val="Compact"/>
              <w:jc w:val="left"/>
              <w:suppressAutoHyphens/>
            </w:pPr>
            <w:r>
              <w:t xml:space="preserve">No</w:t>
            </w:r>
          </w:p>
        </w:tc>
      </w:tr>
      <w:tr>
        <w:trPr>
          <w:cantSplit/>
        </w:trPr>
        <w:tc>
          <w:tcPr>
            <w:tcMar>
              <w:top w:w="100" w:type="dxa"/>
              <w:bottom w:w="100" w:type="dxa"/>
              <w:left w:w="150" w:type="dxa"/>
              <w:right w:w="150" w:type="dxa"/>
            </w:tcMar>
            <w:vAlign w:val="center"/>
          </w:tcPr>
          <w:p>
            <w:pPr>
              <w:pStyle w:val="Compact"/>
              <w:jc w:val="left"/>
              <w:suppressAutoHyphens/>
            </w:pPr>
            <w:r>
              <w:t xml:space="preserve">Application</w:t>
            </w:r>
          </w:p>
        </w:tc>
        <w:tc>
          <w:tcPr>
            <w:tcMar>
              <w:top w:w="100" w:type="dxa"/>
              <w:bottom w:w="100" w:type="dxa"/>
              <w:left w:w="150" w:type="dxa"/>
              <w:right w:w="150" w:type="dxa"/>
            </w:tcMar>
            <w:vAlign w:val="center"/>
          </w:tcPr>
          <w:p>
            <w:pPr>
              <w:pStyle w:val="Compact"/>
              <w:jc w:val="left"/>
              <w:suppressAutoHyphens/>
            </w:pPr>
            <w:r>
              <w:t xml:space="preserve">Online portal, automated document checklist</w:t>
            </w:r>
          </w:p>
        </w:tc>
        <w:tc>
          <w:tcPr>
            <w:tcMar>
              <w:top w:w="100" w:type="dxa"/>
              <w:bottom w:w="100" w:type="dxa"/>
              <w:left w:w="150" w:type="dxa"/>
              <w:right w:w="150" w:type="dxa"/>
            </w:tcMar>
            <w:vAlign w:val="center"/>
          </w:tcPr>
          <w:p>
            <w:pPr>
              <w:pStyle w:val="Compact"/>
              <w:jc w:val="left"/>
              <w:suppressAutoHyphens/>
            </w:pPr>
            <w:r>
              <w:t xml:space="preserve">No (exceptions escalate)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Placement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country-tier calculator + document upload</w:t>
            </w:r>
          </w:p>
        </w:tc>
        <w:tc>
          <w:tcPr>
            <w:tcMar>
              <w:top w:w="100" w:type="dxa"/>
              <w:bottom w:w="100" w:type="dxa"/>
              <w:left w:w="150" w:type="dxa"/>
              <w:right w:w="150" w:type="dxa"/>
            </w:tcMar>
            <w:vAlign w:val="center"/>
            <w:shd w:val="clear" w:color="auto" w:fill="E9EDF6"/>
          </w:tcPr>
          <w:p>
            <w:pPr>
              <w:pStyle w:val="Compact"/>
              <w:jc w:val="left"/>
              <w:suppressAutoHyphens/>
            </w:pPr>
            <w:r>
              <w:t xml:space="preserve">Only on dispute (Section 14)</w:t>
            </w:r>
          </w:p>
        </w:tc>
      </w:tr>
      <w:tr>
        <w:trPr>
          <w:cantSplit/>
        </w:trPr>
        <w:tc>
          <w:tcPr>
            <w:tcMar>
              <w:top w:w="100" w:type="dxa"/>
              <w:bottom w:w="100" w:type="dxa"/>
              <w:left w:w="150" w:type="dxa"/>
              <w:right w:w="150" w:type="dxa"/>
            </w:tcMar>
            <w:vAlign w:val="center"/>
          </w:tcPr>
          <w:p>
            <w:pPr>
              <w:pStyle w:val="Compact"/>
              <w:jc w:val="left"/>
              <w:suppressAutoHyphens/>
            </w:pPr>
            <w:r>
              <w:t xml:space="preserve">Admission Decision</w:t>
            </w:r>
          </w:p>
        </w:tc>
        <w:tc>
          <w:tcPr>
            <w:tcMar>
              <w:top w:w="100" w:type="dxa"/>
              <w:bottom w:w="100" w:type="dxa"/>
              <w:left w:w="150" w:type="dxa"/>
              <w:right w:w="150" w:type="dxa"/>
            </w:tcMar>
            <w:vAlign w:val="center"/>
          </w:tcPr>
          <w:p>
            <w:pPr>
              <w:pStyle w:val="Compact"/>
              <w:jc w:val="left"/>
              <w:suppressAutoHyphens/>
            </w:pPr>
            <w:r>
              <w:t xml:space="preserve">Automated for Diploma/Associate/HPGD rolling tiers; committee-reviewed for cohort tiers</w:t>
            </w:r>
          </w:p>
        </w:tc>
        <w:tc>
          <w:tcPr>
            <w:tcMar>
              <w:top w:w="100" w:type="dxa"/>
              <w:bottom w:w="100" w:type="dxa"/>
              <w:left w:w="150" w:type="dxa"/>
              <w:right w:w="150" w:type="dxa"/>
            </w:tcMar>
            <w:vAlign w:val="center"/>
          </w:tcPr>
          <w:p>
            <w:pPr>
              <w:pStyle w:val="Compact"/>
              <w:jc w:val="left"/>
              <w:suppressAutoHyphens/>
            </w:pPr>
            <w:r>
              <w:t xml:space="preserve">Partial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&amp; Orientation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enrollment agreement, onboarding module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Minimal</w:t>
            </w:r>
          </w:p>
        </w:tc>
      </w:tr>
      <w:tr>
        <w:trPr>
          <w:cantSplit/>
        </w:trPr>
        <w:tc>
          <w:tcPr>
            <w:tcMar>
              <w:top w:w="100" w:type="dxa"/>
              <w:bottom w:w="100" w:type="dxa"/>
              <w:left w:w="150" w:type="dxa"/>
              <w:right w:w="150" w:type="dxa"/>
            </w:tcMar>
            <w:vAlign w:val="center"/>
          </w:tcPr>
          <w:p>
            <w:pPr>
              <w:pStyle w:val="Compact"/>
              <w:jc w:val="left"/>
              <w:suppressAutoHyphens/>
            </w:pPr>
            <w:r>
              <w:t xml:space="preserve">Ladder Progression</w:t>
            </w:r>
          </w:p>
        </w:tc>
        <w:tc>
          <w:tcPr>
            <w:tcMar>
              <w:top w:w="100" w:type="dxa"/>
              <w:bottom w:w="100" w:type="dxa"/>
              <w:left w:w="150" w:type="dxa"/>
              <w:right w:w="150" w:type="dxa"/>
            </w:tcMar>
            <w:vAlign w:val="center"/>
          </w:tcPr>
          <w:p>
            <w:pPr>
              <w:pStyle w:val="Compact"/>
              <w:jc w:val="left"/>
              <w:suppressAutoHyphens/>
            </w:pPr>
            <w:r>
              <w:t xml:space="preserve">Automated progress dashboard; Fast-Track petition gate</w:t>
            </w:r>
          </w:p>
        </w:tc>
        <w:tc>
          <w:tcPr>
            <w:tcMar>
              <w:top w:w="100" w:type="dxa"/>
              <w:bottom w:w="100" w:type="dxa"/>
              <w:left w:w="150" w:type="dxa"/>
              <w:right w:w="150" w:type="dxa"/>
            </w:tcMar>
            <w:vAlign w:val="center"/>
          </w:tcPr>
          <w:p>
            <w:pPr>
              <w:pStyle w:val="Compact"/>
              <w:jc w:val="left"/>
              <w:suppressAutoHyphens/>
            </w:pPr>
            <w:r>
              <w:t xml:space="preserve">Yes, at Fast-Track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Graduation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Registrar-certified upon Senate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Yes</w:t>
            </w:r>
          </w:p>
        </w:tc>
      </w:tr>
      <w:tr>
        <w:trPr>
          <w:cantSplit/>
        </w:trPr>
        <w:tc>
          <w:tcPr>
            <w:tcMar>
              <w:top w:w="100" w:type="dxa"/>
              <w:bottom w:w="100" w:type="dxa"/>
              <w:left w:w="150" w:type="dxa"/>
              <w:right w:w="150" w:type="dxa"/>
            </w:tcMar>
            <w:vAlign w:val="center"/>
          </w:tcPr>
          <w:p>
            <w:pPr>
              <w:pStyle w:val="Compact"/>
              <w:jc w:val="left"/>
              <w:suppressAutoHyphens/>
            </w:pPr>
            <w:r>
              <w:t xml:space="preserve">Alumni / Re-stacking</w:t>
            </w:r>
          </w:p>
        </w:tc>
        <w:tc>
          <w:tcPr>
            <w:tcMar>
              <w:top w:w="100" w:type="dxa"/>
              <w:bottom w:w="100" w:type="dxa"/>
              <w:left w:w="150" w:type="dxa"/>
              <w:right w:w="150" w:type="dxa"/>
            </w:tcMar>
            <w:vAlign w:val="center"/>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tcMar>
              <w:top w:w="100" w:type="dxa"/>
              <w:bottom w:w="100" w:type="dxa"/>
              <w:left w:w="150" w:type="dxa"/>
              <w:right w:w="150" w:type="dxa"/>
            </w:tcMar>
            <w:vAlign w:val="center"/>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self-service portal live; single dual-hatted Admissions/Registrar Officer</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Dedicated Admissions Coordinator; chatbot/FAQ tier added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Regional community-referral liaisons (part-time/volunteer per mosque network)</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Parallel admissions tracks stood up for 7 secular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1 shared Admissions/Registrar Officer + DVC oversight</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Admissions Coordinator (1 FTE), part-time Student Success Advisor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 regional referral liaisons (stipend-based, volunteer-adjacent)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Thin staffing causes application backlog at peak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automation + surge part-time contractors funded within OpEx ceiling</w:t>
            </w:r>
          </w:p>
        </w:tc>
      </w:tr>
      <w:tr>
        <w:trPr>
          <w:cantSplit/>
        </w:trPr>
        <w:tc>
          <w:tcPr>
            <w:tcMar>
              <w:top w:w="100" w:type="dxa"/>
              <w:bottom w:w="100" w:type="dxa"/>
              <w:left w:w="150" w:type="dxa"/>
              <w:right w:w="150" w:type="dxa"/>
            </w:tcMar>
            <w:vAlign w:val="center"/>
          </w:tcPr>
          <w:p>
            <w:pPr>
              <w:pStyle w:val="Compact"/>
              <w:jc w:val="left"/>
              <w:suppressAutoHyphens/>
            </w:pPr>
            <w:r>
              <w:t xml:space="preserve">Poor self-service UX in low-bandwidth regions</w:t>
            </w:r>
          </w:p>
        </w:tc>
        <w:tc>
          <w:tcPr>
            <w:tcMar>
              <w:top w:w="100" w:type="dxa"/>
              <w:bottom w:w="100" w:type="dxa"/>
              <w:left w:w="150" w:type="dxa"/>
              <w:right w:w="150" w:type="dxa"/>
            </w:tcMar>
            <w:vAlign w:val="center"/>
          </w:tcPr>
          <w:p>
            <w:pPr>
              <w:pStyle w:val="Compact"/>
              <w:jc w:val="left"/>
              <w:suppressAutoHyphens/>
            </w:pPr>
            <w:r>
              <w:t xml:space="preserve">Mobile-first, offline-tolerant design; WhatsApp/SMS fallback channel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Journey-stage drop-off undetected without dedicated 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Entry Requirement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Secondary completion or equivalent; no prior Islamic study required</w:t>
            </w:r>
          </w:p>
        </w:tc>
      </w:tr>
      <w:tr>
        <w:trPr>
          <w:cantSplit/>
        </w:trPr>
        <w:tc>
          <w:tcPr>
            <w:tcMar>
              <w:top w:w="100" w:type="dxa"/>
              <w:bottom w:w="100" w:type="dxa"/>
              <w:left w:w="150" w:type="dxa"/>
              <w:right w:w="150" w:type="dxa"/>
            </w:tcMar>
            <w:vAlign w:val="center"/>
          </w:tcPr>
          <w:p>
            <w:pPr>
              <w:pStyle w:val="Compact"/>
              <w:jc w:val="left"/>
              <w:suppressAutoHyphens/>
            </w:pPr>
            <w:r>
              <w:t xml:space="preserve">II Associate</w:t>
            </w:r>
          </w:p>
        </w:tc>
        <w:tc>
          <w:tcPr>
            <w:tcMar>
              <w:top w:w="100" w:type="dxa"/>
              <w:bottom w:w="100" w:type="dxa"/>
              <w:left w:w="150" w:type="dxa"/>
              <w:right w:w="150" w:type="dxa"/>
            </w:tcMar>
            <w:vAlign w:val="center"/>
          </w:tcPr>
          <w:p>
            <w:pPr>
              <w:pStyle w:val="Compact"/>
              <w:jc w:val="left"/>
              <w:suppressAutoHyphens/>
            </w:pPr>
            <w:r>
              <w:t xml:space="preserve">Diploma (stacked) or equivalent; English placement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BA</w:t>
            </w:r>
          </w:p>
        </w:tc>
        <w:tc>
          <w:tcPr>
            <w:tcMar>
              <w:top w:w="100" w:type="dxa"/>
              <w:bottom w:w="100" w:type="dxa"/>
              <w:left w:w="150" w:type="dxa"/>
              <w:right w:w="150" w:type="dxa"/>
            </w:tcMar>
            <w:vAlign w:val="center"/>
            <w:shd w:val="clear" w:color="auto" w:fill="E9EDF6"/>
          </w:tcPr>
          <w:p>
            <w:pPr>
              <w:pStyle w:val="Compact"/>
              <w:jc w:val="left"/>
              <w:suppressAutoHyphens/>
            </w:pPr>
            <w:r>
              <w:t xml:space="preserve">Associate (60CH) or equivalent; CEFR B2 English</w:t>
            </w:r>
          </w:p>
        </w:tc>
      </w:tr>
      <w:tr>
        <w:trPr>
          <w:cantSplit/>
        </w:trPr>
        <w:tc>
          <w:tcPr>
            <w:tcMar>
              <w:top w:w="100" w:type="dxa"/>
              <w:bottom w:w="100" w:type="dxa"/>
              <w:left w:w="150" w:type="dxa"/>
              <w:right w:w="150" w:type="dxa"/>
            </w:tcMar>
            <w:vAlign w:val="center"/>
          </w:tcPr>
          <w:p>
            <w:pPr>
              <w:pStyle w:val="Compact"/>
              <w:jc w:val="left"/>
              <w:suppressAutoHyphens/>
            </w:pPr>
            <w:r>
              <w:t xml:space="preserve">IV HPGD (bridge)</w:t>
            </w:r>
          </w:p>
        </w:tc>
        <w:tc>
          <w:tcPr>
            <w:tcMar>
              <w:top w:w="100" w:type="dxa"/>
              <w:bottom w:w="100" w:type="dxa"/>
              <w:left w:w="150" w:type="dxa"/>
              <w:right w:w="150" w:type="dxa"/>
            </w:tcMar>
            <w:vAlign w:val="center"/>
          </w:tcPr>
          <w:p>
            <w:pPr>
              <w:pStyle w:val="Compact"/>
              <w:jc w:val="left"/>
              <w:suppressAutoHyphens/>
            </w:pPr>
            <w:r>
              <w:t xml:space="preserve">Accredited secular bachelor’s degree; B2+ English; Islamic-studies-readiness diagnostic (placement, not exclusionary)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 MA</w:t>
            </w:r>
          </w:p>
        </w:tc>
        <w:tc>
          <w:tcPr>
            <w:tcMar>
              <w:top w:w="100" w:type="dxa"/>
              <w:bottom w:w="100" w:type="dxa"/>
              <w:left w:w="150" w:type="dxa"/>
              <w:right w:w="150" w:type="dxa"/>
            </w:tcMar>
            <w:vAlign w:val="center"/>
            <w:shd w:val="clear" w:color="auto" w:fill="E9EDF6"/>
          </w:tcPr>
          <w:p>
            <w:pPr>
              <w:pStyle w:val="Compact"/>
              <w:jc w:val="left"/>
              <w:suppressAutoHyphens/>
            </w:pPr>
            <w:r>
              <w:t xml:space="preserve">BA (120CH) or HPGD (30CH); research-readiness assessment</w:t>
            </w:r>
          </w:p>
        </w:tc>
      </w:tr>
      <w:tr>
        <w:trPr>
          <w:cantSplit/>
        </w:trPr>
        <w:tc>
          <w:tcPr>
            <w:tcMar>
              <w:top w:w="100" w:type="dxa"/>
              <w:bottom w:w="100" w:type="dxa"/>
              <w:left w:w="150" w:type="dxa"/>
              <w:right w:w="150" w:type="dxa"/>
            </w:tcMar>
            <w:vAlign w:val="center"/>
          </w:tcPr>
          <w:p>
            <w:pPr>
              <w:pStyle w:val="Compact"/>
              <w:jc w:val="left"/>
              <w:suppressAutoHyphens/>
            </w:pPr>
            <w:r>
              <w:t xml:space="preserve">VI PhD</w:t>
            </w:r>
          </w:p>
        </w:tc>
        <w:tc>
          <w:tcPr>
            <w:tcMar>
              <w:top w:w="100" w:type="dxa"/>
              <w:bottom w:w="100" w:type="dxa"/>
              <w:left w:w="150" w:type="dxa"/>
              <w:right w:w="150" w:type="dxa"/>
            </w:tcMar>
            <w:vAlign w:val="center"/>
          </w:tcPr>
          <w:p>
            <w:pPr>
              <w:pStyle w:val="Compact"/>
              <w:jc w:val="left"/>
              <w:suppressAutoHyphens/>
            </w:pPr>
            <w:r>
              <w:t xml:space="preserve">MA (45CH); scholarly readiness review; thesis-proposal defense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 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 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Cycle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Diploma / Associate / HPGD</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 multiple entry points/year (accessibility-first, self-service)</w:t>
            </w:r>
          </w:p>
        </w:tc>
      </w:tr>
      <w:tr>
        <w:trPr>
          <w:cantSplit/>
        </w:trPr>
        <w:tc>
          <w:tcPr>
            <w:tcMar>
              <w:top w:w="100" w:type="dxa"/>
              <w:bottom w:w="100" w:type="dxa"/>
              <w:left w:w="150" w:type="dxa"/>
              <w:right w:w="150" w:type="dxa"/>
            </w:tcMar>
            <w:vAlign w:val="center"/>
          </w:tcPr>
          <w:p>
            <w:pPr>
              <w:pStyle w:val="Compact"/>
              <w:jc w:val="left"/>
              <w:suppressAutoHyphens/>
            </w:pPr>
            <w:r>
              <w:t xml:space="preserve">BA / MA / PhD</w:t>
            </w:r>
          </w:p>
        </w:tc>
        <w:tc>
          <w:tcPr>
            <w:tcMar>
              <w:top w:w="100" w:type="dxa"/>
              <w:bottom w:w="100" w:type="dxa"/>
              <w:left w:w="150" w:type="dxa"/>
              <w:right w:w="150" w:type="dxa"/>
            </w:tcMar>
            <w:vAlign w:val="center"/>
          </w:tcPr>
          <w:p>
            <w:pPr>
              <w:pStyle w:val="Compact"/>
              <w:jc w:val="left"/>
              <w:suppressAutoHyphens/>
            </w:pPr>
            <w:r>
              <w:t xml:space="preserve">Cohort-based, 2–3 intakes/year (Fall/Spring, Summer added as scale permits)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tier list, placement instruments, appeals SLA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appeal-volume data reviewed; SLA tuned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Transfer-articulation table expanded ahead of scale</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Secular-program admission standards (terminal-degree-agnostic entry) published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Gaming of tier system via false country claims</w:t>
            </w:r>
          </w:p>
        </w:tc>
        <w:tc>
          <w:tcPr>
            <w:tcMar>
              <w:top w:w="100" w:type="dxa"/>
              <w:bottom w:w="100" w:type="dxa"/>
              <w:left w:w="150" w:type="dxa"/>
              <w:right w:w="150" w:type="dxa"/>
            </w:tcMar>
            <w:vAlign w:val="center"/>
            <w:shd w:val="clear" w:color="auto" w:fill="E9EDF6"/>
          </w:tcPr>
          <w:p>
            <w:pPr>
              <w:pStyle w:val="Compact"/>
              <w:jc w:val="left"/>
              <w:suppressAutoHyphens/>
            </w:pPr>
            <w:r>
              <w:t xml:space="preserve">Documentary requirement + random audit sampling + Appeals Panel</w:t>
            </w:r>
          </w:p>
        </w:tc>
      </w:tr>
      <w:tr>
        <w:trPr>
          <w:cantSplit/>
        </w:trPr>
        <w:tc>
          <w:tcPr>
            <w:tcMar>
              <w:top w:w="100" w:type="dxa"/>
              <w:bottom w:w="100" w:type="dxa"/>
              <w:left w:w="150" w:type="dxa"/>
              <w:right w:w="150" w:type="dxa"/>
            </w:tcMar>
            <w:vAlign w:val="center"/>
          </w:tcPr>
          <w:p>
            <w:pPr>
              <w:pStyle w:val="Compact"/>
              <w:jc w:val="left"/>
              <w:suppressAutoHyphens/>
            </w:pPr>
            <w:r>
              <w:t xml:space="preserve">Cohort bottleneck limits accessibility</w:t>
            </w:r>
          </w:p>
        </w:tc>
        <w:tc>
          <w:tcPr>
            <w:tcMar>
              <w:top w:w="100" w:type="dxa"/>
              <w:bottom w:w="100" w:type="dxa"/>
              <w:left w:w="150" w:type="dxa"/>
              <w:right w:w="150" w:type="dxa"/>
            </w:tcMar>
            <w:vAlign w:val="center"/>
          </w:tcPr>
          <w:p>
            <w:pPr>
              <w:pStyle w:val="Compact"/>
              <w:jc w:val="left"/>
              <w:suppressAutoHyphens/>
            </w:pPr>
            <w:r>
              <w:t xml:space="preserve">Rolling admission preserved at Diploma/Associate/HPGD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Perception risk to religious-exemption status from admission disputes</w:t>
            </w:r>
          </w:p>
        </w:tc>
        <w:tc>
          <w:tcPr>
            <w:tcMar>
              <w:top w:w="100" w:type="dxa"/>
              <w:bottom w:w="100" w:type="dxa"/>
              <w:left w:w="150" w:type="dxa"/>
              <w:right w:w="150" w:type="dxa"/>
            </w:tcMar>
            <w:vAlign w:val="center"/>
            <w:shd w:val="clear" w:color="auto" w:fill="E9EDF6"/>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Faculty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Vetting 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Religious (Colleges I–VI)</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scholarly networks, partner madāris, diaspora communities, DVC’s Umm Al-Qura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Verified isnād/ijāza chain, teaching demonstration</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w:t>
            </w:r>
          </w:p>
        </w:tc>
        <w:tc>
          <w:tcPr>
            <w:tcMar>
              <w:top w:w="100" w:type="dxa"/>
              <w:bottom w:w="100" w:type="dxa"/>
              <w:left w:w="150" w:type="dxa"/>
              <w:right w:w="150" w:type="dxa"/>
            </w:tcMar>
            <w:vAlign w:val="center"/>
          </w:tcPr>
          <w:p>
            <w:pPr>
              <w:pStyle w:val="Compact"/>
              <w:jc w:val="left"/>
              <w:suppressAutoHyphens/>
            </w:pPr>
            <w:r>
              <w:t xml:space="preserve">Standard academic recruitment channels, adjunct/affiliate postings</w:t>
            </w:r>
          </w:p>
        </w:tc>
        <w:tc>
          <w:tcPr>
            <w:tcMar>
              <w:top w:w="100" w:type="dxa"/>
              <w:bottom w:w="100" w:type="dxa"/>
              <w:left w:w="150" w:type="dxa"/>
              <w:right w:w="150" w:type="dxa"/>
            </w:tcMar>
            <w:vAlign w:val="center"/>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faculty core via DVC’s personal scholarly network; largely volunteer/low-honoraria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2031–2034</w:t>
            </w:r>
          </w:p>
        </w:tc>
        <w:tc>
          <w:tcPr>
            <w:tcMar>
              <w:top w:w="100" w:type="dxa"/>
              <w:bottom w:w="100" w:type="dxa"/>
              <w:left w:w="150" w:type="dxa"/>
              <w:right w:w="150" w:type="dxa"/>
            </w:tcMar>
            <w:vAlign w:val="center"/>
          </w:tcPr>
          <w:p>
            <w:pPr>
              <w:pStyle w:val="Compact"/>
              <w:jc w:val="left"/>
              <w:suppressAutoHyphens/>
            </w:pPr>
            <w:r>
              <w:t xml:space="preserve">Scale adjunct pool with enrollment growth; FACC formalized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Build Senior Scholar/Chair tier ahead of secular expansion</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Recruit terminal-degree faculty for 7 new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 + volunteer Faculty Affairs subcommittee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part-time Faculty Affairs Coordinator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FACC fully staffed with dedicated credentialing specialist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Shortage of classically-verified scholars willing to teach remotely at honoraria rates</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networks, partner-institution MOUs, prestige of ijāza-ceremony affiliation</w:t>
            </w:r>
          </w:p>
        </w:tc>
      </w:tr>
      <w:tr>
        <w:trPr>
          <w:cantSplit/>
        </w:trPr>
        <w:tc>
          <w:tcPr>
            <w:tcMar>
              <w:top w:w="100" w:type="dxa"/>
              <w:bottom w:w="100" w:type="dxa"/>
              <w:left w:w="150" w:type="dxa"/>
              <w:right w:w="150" w:type="dxa"/>
            </w:tcMar>
            <w:vAlign w:val="center"/>
          </w:tcPr>
          <w:p>
            <w:pPr>
              <w:pStyle w:val="Compact"/>
              <w:jc w:val="left"/>
              <w:suppressAutoHyphens/>
            </w:pPr>
            <w:r>
              <w:t xml:space="preserve">Doctrinal/sectarian tension among faculty of different madhāhib</w:t>
            </w:r>
          </w:p>
        </w:tc>
        <w:tc>
          <w:tcPr>
            <w:tcMar>
              <w:top w:w="100" w:type="dxa"/>
              <w:bottom w:w="100" w:type="dxa"/>
              <w:left w:w="150" w:type="dxa"/>
              <w:right w:w="150" w:type="dxa"/>
            </w:tcMar>
            <w:vAlign w:val="center"/>
          </w:tcPr>
          <w:p>
            <w:pPr>
              <w:pStyle w:val="Compact"/>
              <w:jc w:val="left"/>
              <w:suppressAutoHyphens/>
            </w:pPr>
            <w:r>
              <w:t xml:space="preserve">Published Diversity &amp; Doctrinal Transparency Policy; Senate oversight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faculty (Yr11+) recruited away by better-paying institutions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Source Serif 4" w:hAnsi="Source Serif 4"/>
                <w:i/>
                <w:smallCaps/>
                <w:color w:val="8C97AB"/>
                <w:sz w:val="19"/>
                <w:spacing w:val="10"/>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1"/>
        </w:numPr>
        <w:pStyle w:val="Compact"/>
        <w:jc w:val="both"/>
      </w:pPr>
      <w:r>
        <w:t xml:space="preserve">Digital-first, low-marginal-cost repositories (arXiv/SSRN-style preprint logic) let a small institution produce credible output without labs or print runs.</w:t>
      </w:r>
    </w:p>
    <w:p>
      <w:pPr>
        <w:numPr>
          <w:ilvl w:val="0"/>
          <w:numId w:val="1011"/>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Foundational</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tcMar>
              <w:top w:w="100" w:type="dxa"/>
              <w:bottom w:w="100" w:type="dxa"/>
              <w:left w:w="150" w:type="dxa"/>
              <w:right w:w="150" w:type="dxa"/>
            </w:tcMar>
            <w:vAlign w:val="center"/>
          </w:tcPr>
          <w:p>
            <w:pPr>
              <w:pStyle w:val="Compact"/>
              <w:jc w:val="left"/>
              <w:suppressAutoHyphens/>
            </w:pPr>
            <w:r>
              <w:t xml:space="preserve">1 – Ph.D. Launch</w:t>
            </w:r>
          </w:p>
        </w:tc>
        <w:tc>
          <w:tcPr>
            <w:tcMar>
              <w:top w:w="100" w:type="dxa"/>
              <w:bottom w:w="100" w:type="dxa"/>
              <w:left w:w="150" w:type="dxa"/>
              <w:right w:w="150" w:type="dxa"/>
            </w:tcMar>
            <w:vAlign w:val="center"/>
          </w:tcPr>
          <w:p>
            <w:pPr>
              <w:pStyle w:val="Compact"/>
              <w:jc w:val="left"/>
              <w:suppressAutoHyphens/>
            </w:pPr>
            <w:r>
              <w:t xml:space="preserve">Yr3–5 (2030–32)</w:t>
            </w:r>
          </w:p>
        </w:tc>
        <w:tc>
          <w:tcPr>
            <w:tcMar>
              <w:top w:w="100" w:type="dxa"/>
              <w:bottom w:w="100" w:type="dxa"/>
              <w:left w:w="150" w:type="dxa"/>
              <w:right w:w="150" w:type="dxa"/>
            </w:tcMar>
            <w:vAlign w:val="center"/>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Post-Doc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Yr6–10 (2033–37)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tcMar>
              <w:top w:w="100" w:type="dxa"/>
              <w:bottom w:w="100" w:type="dxa"/>
              <w:left w:w="150" w:type="dxa"/>
              <w:right w:w="150" w:type="dxa"/>
            </w:tcMar>
            <w:vAlign w:val="center"/>
          </w:tcPr>
          <w:p>
            <w:pPr>
              <w:pStyle w:val="Compact"/>
              <w:jc w:val="left"/>
              <w:suppressAutoHyphens/>
            </w:pPr>
            <w:r>
              <w:t xml:space="preserve">3 – Secular Extension</w:t>
            </w:r>
          </w:p>
        </w:tc>
        <w:tc>
          <w:tcPr>
            <w:tcMar>
              <w:top w:w="100" w:type="dxa"/>
              <w:bottom w:w="100" w:type="dxa"/>
              <w:left w:w="150" w:type="dxa"/>
              <w:right w:w="150" w:type="dxa"/>
            </w:tcMar>
            <w:vAlign w:val="center"/>
          </w:tcPr>
          <w:p>
            <w:pPr>
              <w:pStyle w:val="Compact"/>
              <w:jc w:val="left"/>
              <w:suppressAutoHyphens/>
            </w:pPr>
            <w:r>
              <w:t xml:space="preserve">Yr11–20 (2038–47)</w:t>
            </w:r>
          </w:p>
        </w:tc>
        <w:tc>
          <w:tcPr>
            <w:tcMar>
              <w:top w:w="100" w:type="dxa"/>
              <w:bottom w:w="100" w:type="dxa"/>
              <w:left w:w="150" w:type="dxa"/>
              <w:right w:w="150" w:type="dxa"/>
            </w:tcMar>
            <w:vAlign w:val="center"/>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Mentored dissertation/fellowship supervision</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20%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 no incremental cost</w:t>
            </w:r>
          </w:p>
        </w:tc>
      </w:tr>
      <w:tr>
        <w:trPr>
          <w:cantSplit/>
        </w:trPr>
        <w:tc>
          <w:tcPr>
            <w:tcMar>
              <w:top w:w="100" w:type="dxa"/>
              <w:bottom w:w="100" w:type="dxa"/>
              <w:left w:w="150" w:type="dxa"/>
              <w:right w:w="150" w:type="dxa"/>
            </w:tcMar>
            <w:vAlign w:val="center"/>
          </w:tcPr>
          <w:p>
            <w:pPr>
              <w:pStyle w:val="Compact"/>
              <w:jc w:val="left"/>
              <w:suppressAutoHyphens/>
            </w:pPr>
            <w:r>
              <w:t xml:space="preserve">Ethics/isnād review administration</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Minor — committee logistics, digital tools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dissemination events, symposia</w:t>
            </w:r>
          </w:p>
        </w:tc>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 (5%)</w:t>
            </w:r>
          </w:p>
        </w:tc>
        <w:tc>
          <w:tcPr>
            <w:tcMar>
              <w:top w:w="100" w:type="dxa"/>
              <w:bottom w:w="100" w:type="dxa"/>
              <w:left w:w="150" w:type="dxa"/>
              <w:right w:w="150" w:type="dxa"/>
            </w:tcMar>
            <w:vAlign w:val="center"/>
            <w:shd w:val="clear" w:color="auto" w:fill="E9EDF6"/>
          </w:tcPr>
          <w:p>
            <w:pPr>
              <w:pStyle w:val="Compact"/>
              <w:jc w:val="left"/>
              <w:suppressAutoHyphens/>
            </w:pPr>
            <w:r>
              <w:t xml:space="preserve">Shared with wider outreach calendar</w:t>
            </w:r>
          </w:p>
        </w:tc>
      </w:tr>
      <w:tr>
        <w:trPr>
          <w:cantSplit/>
        </w:trPr>
        <w:tc>
          <w:tcPr>
            <w:tcMar>
              <w:top w:w="100" w:type="dxa"/>
              <w:bottom w:w="100" w:type="dxa"/>
              <w:left w:w="150" w:type="dxa"/>
              <w:right w:w="150" w:type="dxa"/>
            </w:tcMar>
            <w:vAlign w:val="center"/>
          </w:tcPr>
          <w:p>
            <w:pPr>
              <w:pStyle w:val="Compact"/>
              <w:jc w:val="left"/>
              <w:suppressAutoHyphens/>
            </w:pPr>
            <w:r>
              <w:t xml:space="preserve">Future dedicated Research line</w:t>
            </w:r>
          </w:p>
        </w:tc>
        <w:tc>
          <w:tcPr>
            <w:tcMar>
              <w:top w:w="100" w:type="dxa"/>
              <w:bottom w:w="100" w:type="dxa"/>
              <w:left w:w="150" w:type="dxa"/>
              <w:right w:w="150" w:type="dxa"/>
            </w:tcMar>
            <w:vAlign w:val="center"/>
          </w:tcPr>
          <w:p>
            <w:pPr>
              <w:pStyle w:val="Compact"/>
              <w:jc w:val="left"/>
              <w:suppressAutoHyphens/>
            </w:pPr>
            <w:r>
              <w:rPr>
                <w:iCs/>
                <w:i/>
              </w:rPr>
              <w:t xml:space="preserve">Not yet allocated</w:t>
            </w:r>
          </w:p>
        </w:tc>
        <w:tc>
          <w:tcPr>
            <w:tcMar>
              <w:top w:w="100" w:type="dxa"/>
              <w:bottom w:w="100" w:type="dxa"/>
              <w:left w:w="150" w:type="dxa"/>
              <w:right w:w="150" w:type="dxa"/>
            </w:tcMar>
            <w:vAlign w:val="center"/>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budget creep beyond fixed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Hard cap within existing lines; new spend requires Board/Senate vote</w:t>
            </w:r>
          </w:p>
        </w:tc>
      </w:tr>
      <w:tr>
        <w:trPr>
          <w:cantSplit/>
        </w:trPr>
        <w:tc>
          <w:tcPr>
            <w:tcMar>
              <w:top w:w="100" w:type="dxa"/>
              <w:bottom w:w="100" w:type="dxa"/>
              <w:left w:w="150" w:type="dxa"/>
              <w:right w:w="150" w:type="dxa"/>
            </w:tcMar>
            <w:vAlign w:val="center"/>
          </w:tcPr>
          <w:p>
            <w:pPr>
              <w:pStyle w:val="Compact"/>
              <w:jc w:val="left"/>
              <w:suppressAutoHyphens/>
            </w:pPr>
            <w:r>
              <w:t xml:space="preserve">Authenticity/credibility risk in religious scholarship</w:t>
            </w:r>
          </w:p>
        </w:tc>
        <w:tc>
          <w:tcPr>
            <w:tcMar>
              <w:top w:w="100" w:type="dxa"/>
              <w:bottom w:w="100" w:type="dxa"/>
              <w:left w:w="150" w:type="dxa"/>
              <w:right w:w="150" w:type="dxa"/>
            </w:tcMar>
            <w:vAlign w:val="center"/>
          </w:tcPr>
          <w:p>
            <w:pPr>
              <w:pStyle w:val="Compact"/>
              <w:jc w:val="left"/>
              <w:suppressAutoHyphens/>
            </w:pPr>
            <w:r>
              <w:t xml:space="preserve">Mandatory Sharī’ah Advisory Board isnād certification pre-publication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 drift toward prestige research over accessibility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Open Journal Systems (OJS)-class free software lets small institutions run peer-reviewed e-journals at effectively $0 licensing cost.</w:t>
      </w:r>
    </w:p>
    <w:p>
      <w:pPr>
        <w:numPr>
          <w:ilvl w:val="0"/>
          <w:numId w:val="1012"/>
        </w:numPr>
        <w:pStyle w:val="Compact"/>
        <w:jc w:val="both"/>
      </w:pPr>
      <w:r>
        <w:t xml:space="preserve">DOAJ (Directory of Open Access Journals) listing is the recognized low-cost credibility marker for young open-access journals.</w:t>
      </w:r>
    </w:p>
    <w:p>
      <w:pPr>
        <w:numPr>
          <w:ilvl w:val="0"/>
          <w:numId w:val="1012"/>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Planning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drafts journal charter, editorial policy, isnād-verification workflow.</w:t>
            </w:r>
          </w:p>
        </w:tc>
      </w:tr>
      <w:tr>
        <w:trPr>
          <w:cantSplit/>
        </w:trPr>
        <w:tc>
          <w:tcPr>
            <w:tcMar>
              <w:top w:w="100" w:type="dxa"/>
              <w:bottom w:w="100" w:type="dxa"/>
              <w:left w:w="150" w:type="dxa"/>
              <w:right w:w="150" w:type="dxa"/>
            </w:tcMar>
            <w:vAlign w:val="center"/>
          </w:tcPr>
          <w:p>
            <w:pPr>
              <w:pStyle w:val="Compact"/>
              <w:jc w:val="left"/>
              <w:suppressAutoHyphens/>
            </w:pPr>
            <w:r>
              <w:t xml:space="preserve">Cluster 1 Launch</w:t>
            </w:r>
          </w:p>
        </w:tc>
        <w:tc>
          <w:tcPr>
            <w:tcMar>
              <w:top w:w="100" w:type="dxa"/>
              <w:bottom w:w="100" w:type="dxa"/>
              <w:left w:w="150" w:type="dxa"/>
              <w:right w:w="150" w:type="dxa"/>
            </w:tcMar>
            <w:vAlign w:val="center"/>
          </w:tcPr>
          <w:p>
            <w:pPr>
              <w:pStyle w:val="Compact"/>
              <w:jc w:val="left"/>
              <w:suppressAutoHyphens/>
            </w:pPr>
            <w:r>
              <w:t xml:space="preserve">Yr3 (2030, aligned with ISO 21001)</w:t>
            </w:r>
          </w:p>
        </w:tc>
        <w:tc>
          <w:tcPr>
            <w:tcMar>
              <w:top w:w="100" w:type="dxa"/>
              <w:bottom w:w="100" w:type="dxa"/>
              <w:left w:w="150" w:type="dxa"/>
              <w:right w:w="150" w:type="dxa"/>
            </w:tcMar>
            <w:vAlign w:val="center"/>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Cluster 2 &amp; 3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Yr4–5 (2031–32)</w:t>
            </w:r>
          </w:p>
        </w:tc>
        <w:tc>
          <w:tcPr>
            <w:tcMar>
              <w:top w:w="100" w:type="dxa"/>
              <w:bottom w:w="100" w:type="dxa"/>
              <w:left w:w="150" w:type="dxa"/>
              <w:right w:w="150" w:type="dxa"/>
            </w:tcMar>
            <w:vAlign w:val="center"/>
            <w:shd w:val="clear" w:color="auto" w:fill="E9EDF6"/>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tcMar>
              <w:top w:w="100" w:type="dxa"/>
              <w:bottom w:w="100" w:type="dxa"/>
              <w:left w:w="150" w:type="dxa"/>
              <w:right w:w="150" w:type="dxa"/>
            </w:tcMar>
            <w:vAlign w:val="center"/>
          </w:tcPr>
          <w:p>
            <w:pPr>
              <w:pStyle w:val="Compact"/>
              <w:jc w:val="left"/>
              <w:suppressAutoHyphens/>
            </w:pPr>
            <w:r>
              <w:t xml:space="preserve">Scaling</w:t>
            </w:r>
          </w:p>
        </w:tc>
        <w:tc>
          <w:tcPr>
            <w:tcMar>
              <w:top w:w="100" w:type="dxa"/>
              <w:bottom w:w="100" w:type="dxa"/>
              <w:left w:w="150" w:type="dxa"/>
              <w:right w:w="150" w:type="dxa"/>
            </w:tcMar>
            <w:vAlign w:val="center"/>
          </w:tcPr>
          <w:p>
            <w:pPr>
              <w:pStyle w:val="Compact"/>
              <w:jc w:val="left"/>
              <w:suppressAutoHyphens/>
            </w:pPr>
            <w:r>
              <w:t xml:space="preserve">Yr6–10 (2033–37)</w:t>
            </w:r>
          </w:p>
        </w:tc>
        <w:tc>
          <w:tcPr>
            <w:tcMar>
              <w:top w:w="100" w:type="dxa"/>
              <w:bottom w:w="100" w:type="dxa"/>
              <w:left w:w="150" w:type="dxa"/>
              <w:right w:w="150" w:type="dxa"/>
            </w:tcMar>
            <w:vAlign w:val="center"/>
          </w:tcPr>
          <w:p>
            <w:pPr>
              <w:pStyle w:val="Compact"/>
              <w:jc w:val="left"/>
              <w:suppressAutoHyphens/>
            </w:pPr>
            <w:r>
              <w:t xml:space="preserve">Post-Doc Fellowship output integrated; DOAJ indexing pursued.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Extension</w:t>
            </w:r>
          </w:p>
        </w:tc>
        <w:tc>
          <w:tcPr>
            <w:tcMar>
              <w:top w:w="100" w:type="dxa"/>
              <w:bottom w:w="100" w:type="dxa"/>
              <w:left w:w="150" w:type="dxa"/>
              <w:right w:w="150" w:type="dxa"/>
            </w:tcMar>
            <w:vAlign w:val="center"/>
            <w:shd w:val="clear" w:color="auto" w:fill="E9EDF6"/>
          </w:tcPr>
          <w:p>
            <w:pPr>
              <w:pStyle w:val="Compact"/>
              <w:jc w:val="left"/>
              <w:suppressAutoHyphens/>
            </w:pPr>
            <w:r>
              <w:t xml:space="preserve">Yr11+ (2038+)</w:t>
            </w:r>
          </w:p>
        </w:tc>
        <w:tc>
          <w:tcPr>
            <w:tcMar>
              <w:top w:w="100" w:type="dxa"/>
              <w:bottom w:w="100" w:type="dxa"/>
              <w:left w:w="150" w:type="dxa"/>
              <w:right w:w="150" w:type="dxa"/>
            </w:tcMar>
            <w:vAlign w:val="center"/>
            <w:shd w:val="clear" w:color="auto" w:fill="E9EDF6"/>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Est.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OJS hosting, digital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 (5%)</w:t>
            </w:r>
          </w:p>
        </w:tc>
        <w:tc>
          <w:tcPr>
            <w:tcMar>
              <w:top w:w="100" w:type="dxa"/>
              <w:bottom w:w="100" w:type="dxa"/>
              <w:left w:w="150" w:type="dxa"/>
              <w:right w:w="150" w:type="dxa"/>
            </w:tcMar>
            <w:vAlign w:val="center"/>
            <w:shd w:val="clear" w:color="auto" w:fill="E9EDF6"/>
          </w:tcPr>
          <w:p>
            <w:pPr>
              <w:pStyle w:val="Compact"/>
              <w:jc w:val="left"/>
              <w:suppressAutoHyphens/>
            </w:pPr>
            <w:r>
              <w:t xml:space="preserve">Marginal — shared with LMS</w:t>
            </w:r>
          </w:p>
        </w:tc>
      </w:tr>
      <w:tr>
        <w:trPr>
          <w:cantSplit/>
        </w:trPr>
        <w:tc>
          <w:tcPr>
            <w:tcMar>
              <w:top w:w="100" w:type="dxa"/>
              <w:bottom w:w="100" w:type="dxa"/>
              <w:left w:w="150" w:type="dxa"/>
              <w:right w:w="150" w:type="dxa"/>
            </w:tcMar>
            <w:vAlign w:val="center"/>
          </w:tcPr>
          <w:p>
            <w:pPr>
              <w:pStyle w:val="Compact"/>
              <w:jc w:val="left"/>
              <w:suppressAutoHyphens/>
            </w:pPr>
            <w:r>
              <w:t xml:space="preserve">DOI registration (Crossref)</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~$1–2/article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Editorial stipends</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w:t>
            </w:r>
          </w:p>
        </w:tc>
      </w:tr>
      <w:tr>
        <w:trPr>
          <w:cantSplit/>
        </w:trPr>
        <w:tc>
          <w:tcPr>
            <w:tcMar>
              <w:top w:w="100" w:type="dxa"/>
              <w:bottom w:w="100" w:type="dxa"/>
              <w:left w:w="150" w:type="dxa"/>
              <w:right w:w="150" w:type="dxa"/>
            </w:tcMar>
            <w:vAlign w:val="center"/>
          </w:tcPr>
          <w:p>
            <w:pPr>
              <w:pStyle w:val="Compact"/>
              <w:jc w:val="left"/>
              <w:suppressAutoHyphens/>
            </w:pPr>
            <w:r>
              <w:t xml:space="preserve">Student/faculty publication incentive stipends</w:t>
            </w:r>
          </w:p>
        </w:tc>
        <w:tc>
          <w:tcPr>
            <w:tcMar>
              <w:top w:w="100" w:type="dxa"/>
              <w:bottom w:w="100" w:type="dxa"/>
              <w:left w:w="150" w:type="dxa"/>
              <w:right w:w="150" w:type="dxa"/>
            </w:tcMar>
            <w:vAlign w:val="center"/>
          </w:tcPr>
          <w:p>
            <w:pPr>
              <w:pStyle w:val="Compact"/>
              <w:jc w:val="left"/>
              <w:suppressAutoHyphens/>
            </w:pPr>
            <w:r>
              <w:t xml:space="preserve">Waqf Scholarship Block (20% of Waqf 20%)</w:t>
            </w:r>
          </w:p>
        </w:tc>
        <w:tc>
          <w:tcPr>
            <w:tcMar>
              <w:top w:w="100" w:type="dxa"/>
              <w:bottom w:w="100" w:type="dxa"/>
              <w:left w:w="150" w:type="dxa"/>
              <w:right w:w="150" w:type="dxa"/>
            </w:tcMar>
            <w:vAlign w:val="center"/>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Predatory/low-credibility journal perception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Senate-set editorial standards + mandatory Sharī’ah Advisory Board isnād certification for religious-content articles</w:t>
            </w:r>
          </w:p>
        </w:tc>
      </w:tr>
      <w:tr>
        <w:trPr>
          <w:cantSplit/>
        </w:trPr>
        <w:tc>
          <w:tcPr>
            <w:tcMar>
              <w:top w:w="100" w:type="dxa"/>
              <w:bottom w:w="100" w:type="dxa"/>
              <w:left w:w="150" w:type="dxa"/>
              <w:right w:w="150" w:type="dxa"/>
            </w:tcMar>
            <w:vAlign w:val="center"/>
          </w:tcPr>
          <w:p>
            <w:pPr>
              <w:pStyle w:val="Compact"/>
              <w:jc w:val="left"/>
              <w:suppressAutoHyphens/>
            </w:pPr>
            <w:r>
              <w:t xml:space="preserve">Low early submission volume</w:t>
            </w:r>
          </w:p>
        </w:tc>
        <w:tc>
          <w:tcPr>
            <w:tcMar>
              <w:top w:w="100" w:type="dxa"/>
              <w:bottom w:w="100" w:type="dxa"/>
              <w:left w:w="150" w:type="dxa"/>
              <w:right w:w="150" w:type="dxa"/>
            </w:tcMar>
            <w:vAlign w:val="center"/>
          </w:tcPr>
          <w:p>
            <w:pPr>
              <w:pStyle w:val="Compact"/>
              <w:jc w:val="left"/>
              <w:suppressAutoHyphens/>
            </w:pPr>
            <w:r>
              <w:t xml:space="preserve">Publication requirement embedded in Ph.D./Post-Doc candidacy expectations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incentive spend exceeding fiduciary limits</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3"/>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3"/>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3"/>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Local Roots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tcMar>
              <w:top w:w="100" w:type="dxa"/>
              <w:bottom w:w="100" w:type="dxa"/>
              <w:left w:w="150" w:type="dxa"/>
              <w:right w:w="150" w:type="dxa"/>
            </w:tcMar>
            <w:vAlign w:val="center"/>
          </w:tcPr>
          <w:p>
            <w:pPr>
              <w:pStyle w:val="Compact"/>
              <w:jc w:val="left"/>
              <w:suppressAutoHyphens/>
            </w:pPr>
            <w:r>
              <w:t xml:space="preserve">2 – Gambia Support</w:t>
            </w:r>
          </w:p>
        </w:tc>
        <w:tc>
          <w:tcPr>
            <w:tcMar>
              <w:top w:w="100" w:type="dxa"/>
              <w:bottom w:w="100" w:type="dxa"/>
              <w:left w:w="150" w:type="dxa"/>
              <w:right w:w="150" w:type="dxa"/>
            </w:tcMar>
            <w:vAlign w:val="center"/>
          </w:tcPr>
          <w:p>
            <w:pPr>
              <w:pStyle w:val="Compact"/>
              <w:jc w:val="left"/>
              <w:suppressAutoHyphens/>
            </w:pPr>
            <w:r>
              <w:t xml:space="preserve">Yr2–4 (2029–31)</w:t>
            </w:r>
          </w:p>
        </w:tc>
        <w:tc>
          <w:tcPr>
            <w:tcMar>
              <w:top w:w="100" w:type="dxa"/>
              <w:bottom w:w="100" w:type="dxa"/>
              <w:left w:w="150" w:type="dxa"/>
              <w:right w:w="150" w:type="dxa"/>
            </w:tcMar>
            <w:vAlign w:val="center"/>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Academic Peer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Yr5–9 (2032–36)</w:t>
            </w:r>
          </w:p>
        </w:tc>
        <w:tc>
          <w:tcPr>
            <w:tcMar>
              <w:top w:w="100" w:type="dxa"/>
              <w:bottom w:w="100" w:type="dxa"/>
              <w:left w:w="150" w:type="dxa"/>
              <w:right w:w="150" w:type="dxa"/>
            </w:tcMar>
            <w:vAlign w:val="center"/>
            <w:shd w:val="clear" w:color="auto" w:fill="E9EDF6"/>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tcMar>
              <w:top w:w="100" w:type="dxa"/>
              <w:bottom w:w="100" w:type="dxa"/>
              <w:left w:w="150" w:type="dxa"/>
              <w:right w:w="150" w:type="dxa"/>
            </w:tcMar>
            <w:vAlign w:val="center"/>
          </w:tcPr>
          <w:p>
            <w:pPr>
              <w:pStyle w:val="Compact"/>
              <w:jc w:val="left"/>
              <w:suppressAutoHyphens/>
            </w:pPr>
            <w:r>
              <w:t xml:space="preserve">4 – Sovereign Expansion Support</w:t>
            </w:r>
          </w:p>
        </w:tc>
        <w:tc>
          <w:tcPr>
            <w:tcMar>
              <w:top w:w="100" w:type="dxa"/>
              <w:bottom w:w="100" w:type="dxa"/>
              <w:left w:w="150" w:type="dxa"/>
              <w:right w:w="150" w:type="dxa"/>
            </w:tcMar>
            <w:vAlign w:val="center"/>
          </w:tcPr>
          <w:p>
            <w:pPr>
              <w:pStyle w:val="Compact"/>
              <w:jc w:val="left"/>
              <w:suppressAutoHyphens/>
            </w:pPr>
            <w:r>
              <w:t xml:space="preserve">Yr10–13 (2037–40)</w:t>
            </w:r>
          </w:p>
        </w:tc>
        <w:tc>
          <w:tcPr>
            <w:tcMar>
              <w:top w:w="100" w:type="dxa"/>
              <w:bottom w:w="100" w:type="dxa"/>
              <w:left w:w="150" w:type="dxa"/>
              <w:right w:w="150" w:type="dxa"/>
            </w:tcMar>
            <w:vAlign w:val="center"/>
          </w:tcPr>
          <w:p>
            <w:pPr>
              <w:pStyle w:val="Compact"/>
              <w:jc w:val="left"/>
              <w:suppressAutoHyphens/>
            </w:pPr>
            <w:r>
              <w:t xml:space="preserve">Relationship-building ahead of Nigeria NUC charter presentation (Yr10) and first Gulf ministry recognition agreements (Yr13 target).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Secular Widening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Yr11–20 (2038–47)</w:t>
            </w:r>
          </w:p>
        </w:tc>
        <w:tc>
          <w:tcPr>
            <w:tcMar>
              <w:top w:w="100" w:type="dxa"/>
              <w:bottom w:w="100" w:type="dxa"/>
              <w:left w:w="150" w:type="dxa"/>
              <w:right w:w="150" w:type="dxa"/>
            </w:tcMar>
            <w:vAlign w:val="center"/>
            <w:shd w:val="clear" w:color="auto" w:fill="E9EDF6"/>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Partnership outreach materials, travel</w:t>
            </w:r>
          </w:p>
        </w:tc>
        <w:tc>
          <w:tcPr>
            <w:tcMar>
              <w:top w:w="100" w:type="dxa"/>
              <w:bottom w:w="100" w:type="dxa"/>
              <w:left w:w="150" w:type="dxa"/>
              <w:right w:w="150" w:type="dxa"/>
            </w:tcMar>
            <w:vAlign w:val="center"/>
            <w:shd w:val="clear" w:color="auto" w:fill="E9EDF6"/>
          </w:tcPr>
          <w:p>
            <w:pPr>
              <w:pStyle w:val="Compact"/>
              <w:jc w:val="left"/>
              <w:suppressAutoHyphens/>
            </w:pPr>
            <w:r>
              <w:t xml:space="preserve">Marketing (10%)</w:t>
            </w:r>
          </w:p>
        </w:tc>
      </w:tr>
      <w:tr>
        <w:trPr>
          <w:cantSplit/>
        </w:trPr>
        <w:tc>
          <w:tcPr>
            <w:tcMar>
              <w:top w:w="100" w:type="dxa"/>
              <w:bottom w:w="100" w:type="dxa"/>
              <w:left w:w="150" w:type="dxa"/>
              <w:right w:w="150" w:type="dxa"/>
            </w:tcMar>
            <w:vAlign w:val="center"/>
          </w:tcPr>
          <w:p>
            <w:pPr>
              <w:pStyle w:val="Compact"/>
              <w:jc w:val="left"/>
              <w:suppressAutoHyphens/>
            </w:pPr>
            <w:r>
              <w:t xml:space="preserve">Mosque/school engagement events</w:t>
            </w:r>
          </w:p>
        </w:tc>
        <w:tc>
          <w:tcPr>
            <w:tcMar>
              <w:top w:w="100" w:type="dxa"/>
              <w:bottom w:w="100" w:type="dxa"/>
              <w:left w:w="150" w:type="dxa"/>
              <w:right w:w="150" w:type="dxa"/>
            </w:tcMar>
            <w:vAlign w:val="center"/>
          </w:tcPr>
          <w:p>
            <w:pPr>
              <w:pStyle w:val="Compact"/>
              <w:jc w:val="left"/>
              <w:suppressAutoHyphens/>
            </w:pPr>
            <w:r>
              <w:t xml:space="preserve">Da’wah &amp; Community Outreach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Direct partner mosque/school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sub-line: Islamic Schools/Mosque Support (25% of Waqf 20%)</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donor channel administration</w:t>
            </w:r>
          </w:p>
        </w:tc>
        <w:tc>
          <w:tcPr>
            <w:tcMar>
              <w:top w:w="100" w:type="dxa"/>
              <w:bottom w:w="100" w:type="dxa"/>
              <w:left w:w="150" w:type="dxa"/>
              <w:right w:w="150" w:type="dxa"/>
            </w:tcMar>
            <w:vAlign w:val="center"/>
          </w:tcPr>
          <w:p>
            <w:pPr>
              <w:pStyle w:val="Compact"/>
              <w:jc w:val="left"/>
              <w:suppressAutoHyphens/>
            </w:pPr>
            <w:r>
              <w:t xml:space="preserve">Waqf &amp; Endowment Board fiduciary oversight; &gt;$250,000/yr requires 2/3 Senate vote incl. ≥2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legal/local MOU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 MOU non-performance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renewal review, sunset clauses</w:t>
            </w:r>
          </w:p>
        </w:tc>
      </w:tr>
      <w:tr>
        <w:trPr>
          <w:cantSplit/>
        </w:trPr>
        <w:tc>
          <w:tcPr>
            <w:tcMar>
              <w:top w:w="100" w:type="dxa"/>
              <w:bottom w:w="100" w:type="dxa"/>
              <w:left w:w="150" w:type="dxa"/>
              <w:right w:w="150" w:type="dxa"/>
            </w:tcMar>
            <w:vAlign w:val="center"/>
          </w:tcPr>
          <w:p>
            <w:pPr>
              <w:pStyle w:val="Compact"/>
              <w:jc w:val="left"/>
              <w:suppressAutoHyphens/>
            </w:pPr>
            <w:r>
              <w:t xml:space="preserve">Nigeria NUC / Gulf recognition delay</w:t>
            </w:r>
          </w:p>
        </w:tc>
        <w:tc>
          <w:tcPr>
            <w:tcMar>
              <w:top w:w="100" w:type="dxa"/>
              <w:bottom w:w="100" w:type="dxa"/>
              <w:left w:w="150" w:type="dxa"/>
              <w:right w:w="150" w:type="dxa"/>
            </w:tcMar>
            <w:vAlign w:val="center"/>
          </w:tcPr>
          <w:p>
            <w:pPr>
              <w:pStyle w:val="Compact"/>
              <w:jc w:val="left"/>
              <w:suppressAutoHyphens/>
            </w:pPr>
            <w:r>
              <w:t xml:space="preserve">Already framed in risk register as funding target, not guarantee — partnerships continue regardless of sovereign 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Reputational exposure from unvetted religious partners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Layout w:type="fixed"/>
      </w:tblPr>
      <w:tblGrid>
        <w:gridCol w:w="1141"/>
        <w:gridCol w:w="1876"/>
        <w:gridCol w:w="2296"/>
        <w:gridCol w:w="1771"/>
        <w:gridCol w:w="19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141"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876" w:type="dxa"/>
          </w:tcPr>
          <w:p>
            <w:pPr>
              <w:pStyle w:val="Compact"/>
              <w:jc w:val="left"/>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W w:w="2296"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177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1988" w:type="dxa"/>
          </w:tcPr>
          <w:p>
            <w:pPr>
              <w:pStyle w:val="Compact"/>
              <w:jc w:val="left"/>
            </w:pPr>
            <w:r>
              <w:rPr>
                <w:b/>
                <w:color w:val="FFFFFF"/>
                <w:caps/>
                <w:spacing w:val="4"/>
              </w:rPr>
              <w:t xml:space="preserve">Independence</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Yr2 (2029)</w:t>
            </w:r>
          </w:p>
        </w:tc>
        <w:tc>
          <w:tcPr>
            <w:tcMar>
              <w:top w:w="100" w:type="dxa"/>
              <w:bottom w:w="100" w:type="dxa"/>
              <w:left w:w="150" w:type="dxa"/>
              <w:right w:w="150" w:type="dxa"/>
            </w:tcMar>
            <w:vAlign w:val="center"/>
            <w:shd w:val="clear" w:color="auto" w:fill="E9EDF6"/>
            <w:tcW w:w="1876" w:type="dxa"/>
          </w:tcPr>
          <w:p>
            <w:pPr>
              <w:pStyle w:val="Compact"/>
              <w:jc w:val="left"/>
            </w:pPr>
            <w:r>
              <w:t xml:space="preserve">CPD Accreditation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$4,000 initial + $1,200/yr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Yr2–4 (2029–31)</w:t>
            </w:r>
          </w:p>
        </w:tc>
        <w:tc>
          <w:tcPr>
            <w:tcMar>
              <w:top w:w="100" w:type="dxa"/>
              <w:bottom w:w="100" w:type="dxa"/>
              <w:left w:w="150" w:type="dxa"/>
              <w:right w:w="150" w:type="dxa"/>
            </w:tcMar>
            <w:vAlign w:val="center"/>
            <w:tcW w:w="1876" w:type="dxa"/>
          </w:tcPr>
          <w:p>
            <w:pPr>
              <w:pStyle w:val="Compact"/>
              <w:jc w:val="left"/>
            </w:pPr>
            <w:r>
              <w:t xml:space="preserve">Gambia NAQAA accreditation (Stage 3)</w:t>
            </w:r>
          </w:p>
        </w:tc>
        <w:tc>
          <w:tcPr>
            <w:tcMar>
              <w:top w:w="100" w:type="dxa"/>
              <w:bottom w:w="100" w:type="dxa"/>
              <w:left w:w="150" w:type="dxa"/>
              <w:right w:w="150" w:type="dxa"/>
            </w:tcMar>
            <w:vAlign w:val="center"/>
            <w:tcW w:w="2296" w:type="dxa"/>
          </w:tcPr>
          <w:p>
            <w:pPr>
              <w:pStyle w:val="Compact"/>
              <w:jc w:val="left"/>
            </w:pPr>
            <w:r>
              <w:t xml:space="preserve">$50,000 ceiling ($10k trust/endowment capitalization, $35k application/review/site-visits, $5k local legal counsel)</w:t>
            </w:r>
          </w:p>
        </w:tc>
        <w:tc>
          <w:tcPr>
            <w:tcMar>
              <w:top w:w="100" w:type="dxa"/>
              <w:bottom w:w="100" w:type="dxa"/>
              <w:left w:w="150" w:type="dxa"/>
              <w:right w:w="150" w:type="dxa"/>
            </w:tcMar>
            <w:vAlign w:val="center"/>
            <w:tcW w:w="1771" w:type="dxa"/>
          </w:tcPr>
          <w:p>
            <w:pPr>
              <w:pStyle w:val="Compact"/>
              <w:jc w:val="left"/>
            </w:pPr>
            <w:r>
              <w:t xml:space="preserve">Board-approved Gambia ceiling</w:t>
            </w:r>
          </w:p>
        </w:tc>
        <w:tc>
          <w:tcPr>
            <w:tcMar>
              <w:top w:w="100" w:type="dxa"/>
              <w:bottom w:w="100" w:type="dxa"/>
              <w:left w:w="150" w:type="dxa"/>
              <w:right w:w="150" w:type="dxa"/>
            </w:tcMar>
            <w:vAlign w:val="center"/>
            <w:tcW w:w="1988" w:type="dxa"/>
          </w:tcPr>
          <w:p>
            <w:pPr>
              <w:pStyle w:val="Compact"/>
              <w:jc w:val="left"/>
            </w:pPr>
            <w:r>
              <w:t xml:space="preserve">Independent of Texas parent</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876" w:type="dxa"/>
          </w:tcPr>
          <w:p>
            <w:pPr>
              <w:pStyle w:val="Compact"/>
              <w:jc w:val="left"/>
            </w:pPr>
            <w:r>
              <w:t xml:space="preserve">ISO 21001 (EOMS)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$12,000 initial + $3,500/yr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Yr10 (2037)</w:t>
            </w:r>
          </w:p>
        </w:tc>
        <w:tc>
          <w:tcPr>
            <w:tcMar>
              <w:top w:w="100" w:type="dxa"/>
              <w:bottom w:w="100" w:type="dxa"/>
              <w:left w:w="150" w:type="dxa"/>
              <w:right w:w="150" w:type="dxa"/>
            </w:tcMar>
            <w:vAlign w:val="center"/>
            <w:tcW w:w="1876" w:type="dxa"/>
          </w:tcPr>
          <w:p>
            <w:pPr>
              <w:pStyle w:val="Compact"/>
              <w:jc w:val="left"/>
            </w:pPr>
            <w:r>
              <w:t xml:space="preserve">Nigeria Mega-University: formal charter presentation to National Assembly/NUC</w:t>
            </w:r>
          </w:p>
        </w:tc>
        <w:tc>
          <w:tcPr>
            <w:tcMar>
              <w:top w:w="100" w:type="dxa"/>
              <w:bottom w:w="100" w:type="dxa"/>
              <w:left w:w="150" w:type="dxa"/>
              <w:right w:w="150" w:type="dxa"/>
            </w:tcMar>
            <w:vAlign w:val="center"/>
            <w:tcW w:w="2296" w:type="dxa"/>
          </w:tcPr>
          <w:p>
            <w:pPr>
              <w:pStyle w:val="Compact"/>
              <w:jc w:val="left"/>
            </w:pPr>
            <w:r>
              <w:t xml:space="preserve">Variable, sovereign-controlled</w:t>
            </w:r>
          </w:p>
        </w:tc>
        <w:tc>
          <w:tcPr>
            <w:tcMar>
              <w:top w:w="100" w:type="dxa"/>
              <w:bottom w:w="100" w:type="dxa"/>
              <w:left w:w="150" w:type="dxa"/>
              <w:right w:w="150" w:type="dxa"/>
            </w:tcMar>
            <w:vAlign w:val="center"/>
            <w:tcW w:w="1771" w:type="dxa"/>
          </w:tcPr>
          <w:p>
            <w:pPr>
              <w:pStyle w:val="Compact"/>
              <w:jc w:val="left"/>
            </w:pPr>
            <w:r>
              <w:t xml:space="preserve">Waqf Nigeria Mega-University Reserve (20% of Waqf 20%)</w:t>
            </w:r>
          </w:p>
        </w:tc>
        <w:tc>
          <w:tcPr>
            <w:tcMar>
              <w:top w:w="100" w:type="dxa"/>
              <w:bottom w:w="100" w:type="dxa"/>
              <w:left w:w="150" w:type="dxa"/>
              <w:right w:w="150" w:type="dxa"/>
            </w:tcMar>
            <w:vAlign w:val="center"/>
            <w:tcW w:w="1988" w:type="dxa"/>
          </w:tcPr>
          <w:p>
            <w:pPr>
              <w:pStyle w:val="Compact"/>
              <w:jc w:val="left"/>
            </w:pPr>
            <w:r>
              <w:t xml:space="preserve">Independent of Texas parent; sovereign process outside AMIU control</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Yr11–12 (2038–39)</w:t>
            </w:r>
          </w:p>
        </w:tc>
        <w:tc>
          <w:tcPr>
            <w:tcMar>
              <w:top w:w="100" w:type="dxa"/>
              <w:bottom w:w="100" w:type="dxa"/>
              <w:left w:w="150" w:type="dxa"/>
              <w:right w:w="150" w:type="dxa"/>
            </w:tcMar>
            <w:vAlign w:val="center"/>
            <w:shd w:val="clear" w:color="auto" w:fill="E9EDF6"/>
            <w:tcW w:w="1876" w:type="dxa"/>
          </w:tcPr>
          <w:p>
            <w:pPr>
              <w:pStyle w:val="Compact"/>
              <w:jc w:val="left"/>
            </w:pPr>
            <w:r>
              <w:t xml:space="preserve">Texas/US secular (regional/national) accreditation process begins</w:t>
            </w:r>
          </w:p>
        </w:tc>
        <w:tc>
          <w:tcPr>
            <w:tcMar>
              <w:top w:w="100" w:type="dxa"/>
              <w:bottom w:w="100" w:type="dxa"/>
              <w:left w:w="150" w:type="dxa"/>
              <w:right w:w="150" w:type="dxa"/>
            </w:tcMar>
            <w:vAlign w:val="center"/>
            <w:shd w:val="clear" w:color="auto" w:fill="E9EDF6"/>
            <w:tcW w:w="2296" w:type="dxa"/>
          </w:tcPr>
          <w:p>
            <w:pPr>
              <w:pStyle w:val="Compact"/>
              <w:jc w:val="left"/>
            </w:pPr>
            <w:r>
              <w:t xml:space="preserve">TBD, funded from retained reserve</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 Liquidity Reserve draw, Board-approved</w:t>
            </w:r>
          </w:p>
        </w:tc>
        <w:tc>
          <w:tcPr>
            <w:tcMar>
              <w:top w:w="100" w:type="dxa"/>
              <w:bottom w:w="100" w:type="dxa"/>
              <w:left w:w="150" w:type="dxa"/>
              <w:right w:w="150" w:type="dxa"/>
            </w:tcMar>
            <w:vAlign w:val="center"/>
            <w:shd w:val="clear" w:color="auto" w:fill="E9EDF6"/>
            <w:tcW w:w="1988" w:type="dxa"/>
          </w:tcPr>
          <w:p>
            <w:pPr>
              <w:pStyle w:val="Compact"/>
              <w:jc w:val="left"/>
            </w:pPr>
            <w:r>
              <w:t xml:space="preserve">Not a survival dependency</w:t>
            </w:r>
          </w:p>
        </w:tc>
      </w:tr>
      <w:tr>
        <w:trPr>
          <w:cantSplit/>
        </w:trPr>
        <w:tc>
          <w:tcPr>
            <w:tcMar>
              <w:top w:w="100" w:type="dxa"/>
              <w:bottom w:w="100" w:type="dxa"/>
              <w:left w:w="150" w:type="dxa"/>
              <w:right w:w="150" w:type="dxa"/>
            </w:tcMar>
            <w:vAlign w:val="center"/>
            <w:tcW w:w="1141" w:type="dxa"/>
          </w:tcPr>
          <w:p>
            <w:pPr>
              <w:pStyle w:val="Compact"/>
              <w:jc w:val="left"/>
            </w:pPr>
            <w:r>
              <w:t xml:space="preserve">Yr13 (2040)</w:t>
            </w:r>
          </w:p>
        </w:tc>
        <w:tc>
          <w:tcPr>
            <w:tcMar>
              <w:top w:w="100" w:type="dxa"/>
              <w:bottom w:w="100" w:type="dxa"/>
              <w:left w:w="150" w:type="dxa"/>
              <w:right w:w="150" w:type="dxa"/>
            </w:tcMar>
            <w:vAlign w:val="center"/>
            <w:tcW w:w="1876" w:type="dxa"/>
          </w:tcPr>
          <w:p>
            <w:pPr>
              <w:pStyle w:val="Compact"/>
              <w:jc w:val="left"/>
            </w:pPr>
            <w:r>
              <w:t xml:space="preserve">First Gulf ministry recognition agreements targeted</w:t>
            </w:r>
          </w:p>
        </w:tc>
        <w:tc>
          <w:tcPr>
            <w:tcMar>
              <w:top w:w="100" w:type="dxa"/>
              <w:bottom w:w="100" w:type="dxa"/>
              <w:left w:w="150" w:type="dxa"/>
              <w:right w:w="150" w:type="dxa"/>
            </w:tcMar>
            <w:vAlign w:val="center"/>
            <w:tcW w:w="2296" w:type="dxa"/>
          </w:tcPr>
          <w:p>
            <w:pPr>
              <w:pStyle w:val="Compact"/>
              <w:jc w:val="left"/>
            </w:pPr>
            <w:r>
              <w:t xml:space="preserve">Administrative, minimal direct cost</w:t>
            </w:r>
          </w:p>
        </w:tc>
        <w:tc>
          <w:tcPr>
            <w:tcMar>
              <w:top w:w="100" w:type="dxa"/>
              <w:bottom w:w="100" w:type="dxa"/>
              <w:left w:w="150" w:type="dxa"/>
              <w:right w:w="150" w:type="dxa"/>
            </w:tcMar>
            <w:vAlign w:val="center"/>
            <w:tcW w:w="1771" w:type="dxa"/>
          </w:tcPr>
          <w:p>
            <w:pPr>
              <w:pStyle w:val="Compact"/>
              <w:jc w:val="left"/>
            </w:pPr>
            <w:r>
              <w:t xml:space="preserve">OpEx / Marketing (outreach)</w:t>
            </w:r>
          </w:p>
        </w:tc>
        <w:tc>
          <w:tcPr>
            <w:tcMar>
              <w:top w:w="100" w:type="dxa"/>
              <w:bottom w:w="100" w:type="dxa"/>
              <w:left w:w="150" w:type="dxa"/>
              <w:right w:w="150" w:type="dxa"/>
            </w:tcMar>
            <w:vAlign w:val="center"/>
            <w:tcW w:w="1988" w:type="dxa"/>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Awareness &amp; Gap Analysis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Build</w:t>
            </w:r>
          </w:p>
        </w:tc>
        <w:tc>
          <w:tcPr>
            <w:tcMar>
              <w:top w:w="100" w:type="dxa"/>
              <w:bottom w:w="100" w:type="dxa"/>
              <w:left w:w="150" w:type="dxa"/>
              <w:right w:w="150" w:type="dxa"/>
            </w:tcMar>
            <w:vAlign w:val="center"/>
          </w:tcPr>
          <w:p>
            <w:pPr>
              <w:pStyle w:val="Compact"/>
              <w:jc w:val="left"/>
              <w:suppressAutoHyphens/>
            </w:pPr>
            <w:r>
              <w:t xml:space="preserve">Yr3 H1 (early 2030)</w:t>
            </w:r>
          </w:p>
        </w:tc>
        <w:tc>
          <w:tcPr>
            <w:tcMar>
              <w:top w:w="100" w:type="dxa"/>
              <w:bottom w:w="100" w:type="dxa"/>
              <w:left w:w="150" w:type="dxa"/>
              <w:right w:w="150" w:type="dxa"/>
            </w:tcMar>
            <w:vAlign w:val="center"/>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Internal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Yr3 H1–H2 (2030)</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tcMar>
              <w:top w:w="100" w:type="dxa"/>
              <w:bottom w:w="100" w:type="dxa"/>
              <w:left w:w="150" w:type="dxa"/>
              <w:right w:w="150" w:type="dxa"/>
            </w:tcMar>
            <w:vAlign w:val="center"/>
          </w:tcPr>
          <w:p>
            <w:pPr>
              <w:pStyle w:val="Compact"/>
              <w:jc w:val="left"/>
              <w:suppressAutoHyphens/>
            </w:pPr>
            <w:r>
              <w:t xml:space="preserve">External Certification</w:t>
            </w:r>
          </w:p>
        </w:tc>
        <w:tc>
          <w:tcPr>
            <w:tcMar>
              <w:top w:w="100" w:type="dxa"/>
              <w:bottom w:w="100" w:type="dxa"/>
              <w:left w:w="150" w:type="dxa"/>
              <w:right w:w="150" w:type="dxa"/>
            </w:tcMar>
            <w:vAlign w:val="center"/>
          </w:tcPr>
          <w:p>
            <w:pPr>
              <w:pStyle w:val="Compact"/>
              <w:jc w:val="left"/>
              <w:suppressAutoHyphens/>
            </w:pPr>
            <w:r>
              <w:t xml:space="preserve">Yr3 H2 (2030, target completion)</w:t>
            </w:r>
          </w:p>
        </w:tc>
        <w:tc>
          <w:tcPr>
            <w:tcMar>
              <w:top w:w="100" w:type="dxa"/>
              <w:bottom w:w="100" w:type="dxa"/>
              <w:left w:w="150" w:type="dxa"/>
              <w:right w:w="150" w:type="dxa"/>
            </w:tcMar>
            <w:vAlign w:val="center"/>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Surveillance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Yr4–20 (2031–47)</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Layout w:type="fixed"/>
      </w:tblPr>
      <w:tblGrid>
        <w:gridCol w:w="2703"/>
        <w:gridCol w:w="1560"/>
        <w:gridCol w:w="1984"/>
        <w:gridCol w:w="282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3" w:type="dxa"/>
          </w:tcPr>
          <w:p>
            <w:pPr>
              <w:pStyle w:val="Compact"/>
              <w:jc w:val="left"/>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W w:w="156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984"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2825" w:type="dxa"/>
          </w:tcPr>
          <w:p>
            <w:pPr>
              <w:pStyle w:val="Compact"/>
              <w:jc w:val="left"/>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Initial certification (Stage 1 + Stage 2 audits, cert body fees)</w:t>
            </w:r>
          </w:p>
        </w:tc>
        <w:tc>
          <w:tcPr>
            <w:tcMar>
              <w:top w:w="100" w:type="dxa"/>
              <w:bottom w:w="100" w:type="dxa"/>
              <w:left w:w="150" w:type="dxa"/>
              <w:right w:w="150" w:type="dxa"/>
            </w:tcMar>
            <w:vAlign w:val="center"/>
            <w:shd w:val="clear" w:color="auto" w:fill="E9EDF6"/>
            <w:tcW w:w="1560"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984" w:type="dxa"/>
          </w:tcPr>
          <w:p>
            <w:pPr>
              <w:pStyle w:val="Compact"/>
              <w:jc w:val="left"/>
            </w:pPr>
            <w:r>
              <w:t xml:space="preserve">$12,000 one-time</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 Board-approved reserve draw only if a single year’s OpEx is insufficient</w:t>
            </w:r>
          </w:p>
        </w:tc>
      </w:tr>
      <w:tr>
        <w:trPr>
          <w:cantSplit/>
        </w:trPr>
        <w:tc>
          <w:tcPr>
            <w:tcMar>
              <w:top w:w="100" w:type="dxa"/>
              <w:bottom w:w="100" w:type="dxa"/>
              <w:left w:w="150" w:type="dxa"/>
              <w:right w:w="150" w:type="dxa"/>
            </w:tcMar>
            <w:vAlign w:val="center"/>
            <w:tcW w:w="2703" w:type="dxa"/>
          </w:tcPr>
          <w:p>
            <w:pPr>
              <w:pStyle w:val="Compact"/>
              <w:jc w:val="left"/>
            </w:pPr>
            <w:r>
              <w:t xml:space="preserve">Annual surveillance audit</w:t>
            </w:r>
          </w:p>
        </w:tc>
        <w:tc>
          <w:tcPr>
            <w:tcMar>
              <w:top w:w="100" w:type="dxa"/>
              <w:bottom w:w="100" w:type="dxa"/>
              <w:left w:w="150" w:type="dxa"/>
              <w:right w:w="150" w:type="dxa"/>
            </w:tcMar>
            <w:vAlign w:val="center"/>
            <w:tcW w:w="1560" w:type="dxa"/>
          </w:tcPr>
          <w:p>
            <w:pPr>
              <w:pStyle w:val="Compact"/>
              <w:jc w:val="left"/>
            </w:pPr>
            <w:r>
              <w:t xml:space="preserve">Yr4+ (2031+)</w:t>
            </w:r>
          </w:p>
        </w:tc>
        <w:tc>
          <w:tcPr>
            <w:tcMar>
              <w:top w:w="100" w:type="dxa"/>
              <w:bottom w:w="100" w:type="dxa"/>
              <w:left w:w="150" w:type="dxa"/>
              <w:right w:w="150" w:type="dxa"/>
            </w:tcMar>
            <w:vAlign w:val="center"/>
            <w:tcW w:w="1984" w:type="dxa"/>
          </w:tcPr>
          <w:p>
            <w:pPr>
              <w:pStyle w:val="Compact"/>
              <w:jc w:val="left"/>
            </w:pPr>
            <w:r>
              <w:t xml:space="preserve">$3,500/yr</w:t>
            </w:r>
          </w:p>
        </w:tc>
        <w:tc>
          <w:tcPr>
            <w:tcMar>
              <w:top w:w="100" w:type="dxa"/>
              <w:bottom w:w="100" w:type="dxa"/>
              <w:left w:w="150" w:type="dxa"/>
              <w:right w:w="150" w:type="dxa"/>
            </w:tcMar>
            <w:vAlign w:val="center"/>
            <w:tcW w:w="2825" w:type="dxa"/>
          </w:tcPr>
          <w:p>
            <w:pPr>
              <w:pStyle w:val="Compact"/>
              <w:jc w:val="left"/>
            </w:pPr>
            <w:r>
              <w:t xml:space="preserve">OpEx (5%)</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Internal audit training/contractor</w:t>
            </w:r>
          </w:p>
        </w:tc>
        <w:tc>
          <w:tcPr>
            <w:tcMar>
              <w:top w:w="100" w:type="dxa"/>
              <w:bottom w:w="100" w:type="dxa"/>
              <w:left w:w="150" w:type="dxa"/>
              <w:right w:w="150" w:type="dxa"/>
            </w:tcMar>
            <w:vAlign w:val="center"/>
            <w:shd w:val="clear" w:color="auto" w:fill="E9EDF6"/>
            <w:tcW w:w="1560" w:type="dxa"/>
          </w:tcPr>
          <w:p>
            <w:pPr>
              <w:pStyle w:val="Compact"/>
              <w:jc w:val="left"/>
            </w:pPr>
            <w:r>
              <w:t xml:space="preserve">Yr2–3</w:t>
            </w:r>
          </w:p>
        </w:tc>
        <w:tc>
          <w:tcPr>
            <w:tcMar>
              <w:top w:w="100" w:type="dxa"/>
              <w:bottom w:w="100" w:type="dxa"/>
              <w:left w:w="150" w:type="dxa"/>
              <w:right w:w="150" w:type="dxa"/>
            </w:tcMar>
            <w:vAlign w:val="center"/>
            <w:shd w:val="clear" w:color="auto" w:fill="E9EDF6"/>
            <w:tcW w:w="1984" w:type="dxa"/>
          </w:tcPr>
          <w:p>
            <w:pPr>
              <w:pStyle w:val="Compact"/>
              <w:jc w:val="left"/>
            </w:pPr>
            <w:r>
              <w:t xml:space="preserve">Modest, within OpEx</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w:t>
            </w:r>
          </w:p>
        </w:tc>
      </w:tr>
      <w:tr>
        <w:trPr>
          <w:cantSplit/>
        </w:trPr>
        <w:tc>
          <w:tcPr>
            <w:tcMar>
              <w:top w:w="100" w:type="dxa"/>
              <w:bottom w:w="100" w:type="dxa"/>
              <w:left w:w="150" w:type="dxa"/>
              <w:right w:w="150" w:type="dxa"/>
            </w:tcMar>
            <w:vAlign w:val="center"/>
            <w:tcW w:w="2703" w:type="dxa"/>
          </w:tcPr>
          <w:p>
            <w:pPr>
              <w:pStyle w:val="Compact"/>
              <w:jc w:val="left"/>
            </w:pPr>
            <w:r>
              <w:t xml:space="preserve">Documentation tooling</w:t>
            </w:r>
          </w:p>
        </w:tc>
        <w:tc>
          <w:tcPr>
            <w:tcMar>
              <w:top w:w="100" w:type="dxa"/>
              <w:bottom w:w="100" w:type="dxa"/>
              <w:left w:w="150" w:type="dxa"/>
              <w:right w:w="150" w:type="dxa"/>
            </w:tcMar>
            <w:vAlign w:val="center"/>
            <w:tcW w:w="1560" w:type="dxa"/>
          </w:tcPr>
          <w:p>
            <w:pPr>
              <w:pStyle w:val="Compact"/>
              <w:jc w:val="left"/>
            </w:pPr>
            <w:r>
              <w:t xml:space="preserve">Ongoing</w:t>
            </w:r>
          </w:p>
        </w:tc>
        <w:tc>
          <w:tcPr>
            <w:tcMar>
              <w:top w:w="100" w:type="dxa"/>
              <w:bottom w:w="100" w:type="dxa"/>
              <w:left w:w="150" w:type="dxa"/>
              <w:right w:w="150" w:type="dxa"/>
            </w:tcMar>
            <w:vAlign w:val="center"/>
            <w:tcW w:w="1984" w:type="dxa"/>
          </w:tcPr>
          <w:p>
            <w:pPr>
              <w:pStyle w:val="Compact"/>
              <w:jc w:val="left"/>
            </w:pPr>
            <w:r>
              <w:t xml:space="preserve">Near-zero (shared drive/existing LMS)</w:t>
            </w:r>
          </w:p>
        </w:tc>
        <w:tc>
          <w:tcPr>
            <w:tcMar>
              <w:top w:w="100" w:type="dxa"/>
              <w:bottom w:w="100" w:type="dxa"/>
              <w:left w:w="150" w:type="dxa"/>
              <w:right w:w="150" w:type="dxa"/>
            </w:tcMar>
            <w:vAlign w:val="center"/>
            <w:tcW w:w="2825" w:type="dxa"/>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Cost overrun beyond $12,000/$3,500</w:t>
            </w:r>
          </w:p>
        </w:tc>
        <w:tc>
          <w:tcPr>
            <w:tcMar>
              <w:top w:w="100" w:type="dxa"/>
              <w:bottom w:w="100" w:type="dxa"/>
              <w:left w:w="150" w:type="dxa"/>
              <w:right w:w="150" w:type="dxa"/>
            </w:tcMar>
            <w:vAlign w:val="center"/>
            <w:shd w:val="clear" w:color="auto" w:fill="E9EDF6"/>
          </w:tcPr>
          <w:p>
            <w:pPr>
              <w:pStyle w:val="Compact"/>
              <w:jc w:val="left"/>
              <w:suppressAutoHyphens/>
            </w:pPr>
            <w:r>
              <w:t xml:space="preserve">Hard-capped within OpEx; Board approval gate before any reserve draw</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burden diverting Founder/Senate time</w:t>
            </w:r>
          </w:p>
        </w:tc>
        <w:tc>
          <w:tcPr>
            <w:tcMar>
              <w:top w:w="100" w:type="dxa"/>
              <w:bottom w:w="100" w:type="dxa"/>
              <w:left w:w="150" w:type="dxa"/>
              <w:right w:w="150" w:type="dxa"/>
            </w:tcMar>
            <w:vAlign w:val="center"/>
          </w:tcPr>
          <w:p>
            <w:pPr>
              <w:pStyle w:val="Compact"/>
              <w:jc w:val="left"/>
              <w:suppressAutoHyphens/>
            </w:pPr>
            <w:r>
              <w:t xml:space="preserve">Gap analysis begins Yr1, spreading workload over two years before the Yr3 deadline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Failed Stage 2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Buffer built into Yr3 H2 schedule; internal audit precedes external audit by a full quarter</w:t>
            </w:r>
          </w:p>
        </w:tc>
      </w:tr>
      <w:tr>
        <w:trPr>
          <w:cantSplit/>
        </w:trPr>
        <w:tc>
          <w:tcPr>
            <w:tcMar>
              <w:top w:w="100" w:type="dxa"/>
              <w:bottom w:w="100" w:type="dxa"/>
              <w:left w:w="150" w:type="dxa"/>
              <w:right w:w="150" w:type="dxa"/>
            </w:tcMar>
            <w:vAlign w:val="center"/>
          </w:tcPr>
          <w:p>
            <w:pPr>
              <w:pStyle w:val="Compact"/>
              <w:jc w:val="left"/>
              <w:suppressAutoHyphens/>
            </w:pPr>
            <w:r>
              <w:t xml:space="preserve">Surveillance lapse causing certificate suspension</w:t>
            </w:r>
          </w:p>
        </w:tc>
        <w:tc>
          <w:tcPr>
            <w:tcMar>
              <w:top w:w="100" w:type="dxa"/>
              <w:bottom w:w="100" w:type="dxa"/>
              <w:left w:w="150" w:type="dxa"/>
              <w:right w:w="150" w:type="dxa"/>
            </w:tcMar>
            <w:vAlign w:val="center"/>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Source Serif 4" w:hAnsi="Source Serif 4"/>
          <w:i/>
          <w:smallCap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Source Serif 4" w:hAnsi="Source Serif 4"/>
                <w:i/>
                <w:smallCaps/>
                <w:color w:val="8C97AB"/>
                <w:sz w:val="19"/>
                <w:spacing w:val="10"/>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tcMar>
              <w:top w:w="100" w:type="dxa"/>
              <w:bottom w:w="100" w:type="dxa"/>
              <w:left w:w="150" w:type="dxa"/>
              <w:right w:w="150" w:type="dxa"/>
            </w:tcMar>
            <w:vAlign w:val="center"/>
          </w:tcPr>
          <w:p>
            <w:pPr>
              <w:pStyle w:val="Compact"/>
              <w:jc w:val="left"/>
              <w:suppressAutoHyphens/>
            </w:pPr>
            <w:r>
              <w:t xml:space="preserve">2 — Stabilization</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tcMar>
              <w:top w:w="100" w:type="dxa"/>
              <w:bottom w:w="100" w:type="dxa"/>
              <w:left w:w="150" w:type="dxa"/>
              <w:right w:w="150" w:type="dxa"/>
            </w:tcMar>
            <w:vAlign w:val="center"/>
          </w:tcPr>
          <w:p>
            <w:pPr>
              <w:pStyle w:val="Compact"/>
              <w:jc w:val="left"/>
              <w:suppressAutoHyphens/>
            </w:pPr>
            <w:r>
              <w:t xml:space="preserve">4 — Secular-Expansion Maturity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4"/>
        </w:numPr>
        <w:pStyle w:val="Compact"/>
        <w:jc w:val="both"/>
      </w:pPr>
      <w:r>
        <w:t xml:space="preserve">Year 1: part-time/contract LMS Administrator (Payroll line, ~0.5 FTE)</w:t>
      </w:r>
    </w:p>
    <w:p>
      <w:pPr>
        <w:numPr>
          <w:ilvl w:val="0"/>
          <w:numId w:val="1014"/>
        </w:numPr>
        <w:pStyle w:val="Compact"/>
        <w:jc w:val="both"/>
      </w:pPr>
      <w:r>
        <w:t xml:space="preserve">Year 3–5: full-time LMS Manager</w:t>
      </w:r>
    </w:p>
    <w:p>
      <w:pPr>
        <w:numPr>
          <w:ilvl w:val="0"/>
          <w:numId w:val="1014"/>
        </w:numPr>
        <w:pStyle w:val="Compact"/>
        <w:jc w:val="both"/>
      </w:pPr>
      <w:r>
        <w:t xml:space="preserve">Year 6–10: LMS Manager + 1–2 junior support technicians + content-conversion coordinator (all Payroll-funded; tooling/hosting on LMS&amp;Tech line)</w:t>
      </w:r>
    </w:p>
    <w:p>
      <w:pPr>
        <w:numPr>
          <w:ilvl w:val="0"/>
          <w:numId w:val="1014"/>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LMS &amp; Tech Budget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Use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(2028)</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Hosting, base plugins, gateway integration fees</w:t>
            </w:r>
          </w:p>
        </w:tc>
      </w:tr>
      <w:tr>
        <w:trPr>
          <w:cantSplit/>
        </w:trPr>
        <w:tc>
          <w:tcPr>
            <w:tcMar>
              <w:top w:w="100" w:type="dxa"/>
              <w:bottom w:w="100" w:type="dxa"/>
              <w:left w:w="150" w:type="dxa"/>
              <w:right w:w="150" w:type="dxa"/>
            </w:tcMar>
            <w:vAlign w:val="center"/>
          </w:tcPr>
          <w:p>
            <w:pPr>
              <w:pStyle w:val="Compact"/>
              <w:jc w:val="left"/>
              <w:suppressAutoHyphens/>
            </w:pPr>
            <w:r>
              <w:t xml:space="preserve">5 (2032)</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Mobile/PWA build-out, CDN, plugin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 (2037)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$191,527/yr</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 infrastructure, API/SIS integration, catalog completion</w:t>
            </w:r>
          </w:p>
        </w:tc>
      </w:tr>
      <w:tr>
        <w:trPr>
          <w:cantSplit/>
        </w:trPr>
        <w:tc>
          <w:tcPr>
            <w:tcMar>
              <w:top w:w="100" w:type="dxa"/>
              <w:bottom w:w="100" w:type="dxa"/>
              <w:left w:w="150" w:type="dxa"/>
              <w:right w:w="150" w:type="dxa"/>
            </w:tcMar>
            <w:vAlign w:val="center"/>
          </w:tcPr>
          <w:p>
            <w:pPr>
              <w:pStyle w:val="Compact"/>
              <w:jc w:val="left"/>
              <w:suppressAutoHyphens/>
            </w:pPr>
            <w:r>
              <w:t xml:space="preserve">10-yr cumulative</w:t>
            </w:r>
          </w:p>
        </w:tc>
        <w:tc>
          <w:tcPr>
            <w:tcMar>
              <w:top w:w="100" w:type="dxa"/>
              <w:bottom w:w="100" w:type="dxa"/>
              <w:left w:w="150" w:type="dxa"/>
              <w:right w:w="150" w:type="dxa"/>
            </w:tcMar>
            <w:vAlign w:val="center"/>
          </w:tcPr>
          <w:p>
            <w:pPr>
              <w:pStyle w:val="Compact"/>
              <w:jc w:val="left"/>
              <w:suppressAutoHyphens/>
            </w:pPr>
            <w:r>
              <w:t xml:space="preserve">$833,460</w:t>
            </w:r>
          </w:p>
        </w:tc>
        <w:tc>
          <w:tcPr>
            <w:tcMar>
              <w:top w:w="100" w:type="dxa"/>
              <w:bottom w:w="100" w:type="dxa"/>
              <w:left w:w="150" w:type="dxa"/>
              <w:right w:w="150" w:type="dxa"/>
            </w:tcMar>
            <w:vAlign w:val="center"/>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Use Case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Nature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Sharī’ah Review Required?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Arabic/Qur’ānic-text-aware tutoring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RAG assistant over faculty-curated corpus, human-supervised</w:t>
            </w:r>
          </w:p>
        </w:tc>
        <w:tc>
          <w:tcPr>
            <w:tcMar>
              <w:top w:w="100" w:type="dxa"/>
              <w:bottom w:w="100" w:type="dxa"/>
              <w:left w:w="150" w:type="dxa"/>
              <w:right w:w="150" w:type="dxa"/>
            </w:tcMar>
            <w:vAlign w:val="center"/>
            <w:shd w:val="clear" w:color="auto" w:fill="E9EDF6"/>
          </w:tcPr>
          <w:p>
            <w:pPr>
              <w:pStyle w:val="Compact"/>
              <w:jc w:val="left"/>
              <w:suppressAutoHyphens/>
            </w:pPr>
            <w:r>
              <w:t xml:space="preserve">Yes — mandatory pre-deployment + biennial re-cert</w:t>
            </w:r>
          </w:p>
        </w:tc>
      </w:tr>
      <w:tr>
        <w:trPr>
          <w:cantSplit/>
        </w:trPr>
        <w:tc>
          <w:tcPr>
            <w:tcMar>
              <w:top w:w="100" w:type="dxa"/>
              <w:bottom w:w="100" w:type="dxa"/>
              <w:left w:w="150" w:type="dxa"/>
              <w:right w:w="150" w:type="dxa"/>
            </w:tcMar>
            <w:vAlign w:val="center"/>
          </w:tcPr>
          <w:p>
            <w:pPr>
              <w:pStyle w:val="Compact"/>
              <w:jc w:val="left"/>
              <w:suppressAutoHyphens/>
            </w:pPr>
            <w:r>
              <w:t xml:space="preserve">Automated Tajweed/recitation feedback</w:t>
            </w:r>
          </w:p>
        </w:tc>
        <w:tc>
          <w:tcPr>
            <w:tcMar>
              <w:top w:w="100" w:type="dxa"/>
              <w:bottom w:w="100" w:type="dxa"/>
              <w:left w:w="150" w:type="dxa"/>
              <w:right w:w="150" w:type="dxa"/>
            </w:tcMar>
            <w:vAlign w:val="center"/>
          </w:tcPr>
          <w:p>
            <w:pPr>
              <w:pStyle w:val="Compact"/>
              <w:jc w:val="left"/>
              <w:suppressAutoHyphens/>
            </w:pPr>
            <w:r>
              <w:t xml:space="preserve">Licensed third-party speech-analysis API</w:t>
            </w:r>
          </w:p>
        </w:tc>
        <w:tc>
          <w:tcPr>
            <w:tcMar>
              <w:top w:w="100" w:type="dxa"/>
              <w:bottom w:w="100" w:type="dxa"/>
              <w:left w:w="150" w:type="dxa"/>
              <w:right w:w="150" w:type="dxa"/>
            </w:tcMar>
            <w:vAlign w:val="center"/>
          </w:tcPr>
          <w:p>
            <w:pPr>
              <w:pStyle w:val="Compact"/>
              <w:jc w:val="left"/>
              <w:suppressAutoHyphens/>
            </w:pPr>
            <w:r>
              <w:t xml:space="preserve">Yes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Admissions document verification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OCR + fraud-flagging for tier eligibility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No (administrative, non-religious)</w:t>
            </w:r>
          </w:p>
        </w:tc>
      </w:tr>
      <w:tr>
        <w:trPr>
          <w:cantSplit/>
        </w:trPr>
        <w:tc>
          <w:tcPr>
            <w:tcMar>
              <w:top w:w="100" w:type="dxa"/>
              <w:bottom w:w="100" w:type="dxa"/>
              <w:left w:w="150" w:type="dxa"/>
              <w:right w:w="150" w:type="dxa"/>
            </w:tcMar>
            <w:vAlign w:val="center"/>
          </w:tcPr>
          <w:p>
            <w:pPr>
              <w:pStyle w:val="Compact"/>
              <w:jc w:val="left"/>
              <w:suppressAutoHyphens/>
            </w:pPr>
            <w:r>
              <w:t xml:space="preserve">Faculty content-authoring assistance</w:t>
            </w:r>
          </w:p>
        </w:tc>
        <w:tc>
          <w:tcPr>
            <w:tcMar>
              <w:top w:w="100" w:type="dxa"/>
              <w:bottom w:w="100" w:type="dxa"/>
              <w:left w:w="150" w:type="dxa"/>
              <w:right w:w="150" w:type="dxa"/>
            </w:tcMar>
            <w:vAlign w:val="center"/>
          </w:tcPr>
          <w:p>
            <w:pPr>
              <w:pStyle w:val="Compact"/>
              <w:jc w:val="left"/>
              <w:suppressAutoHyphens/>
            </w:pPr>
            <w:r>
              <w:t xml:space="preserve">LLM-drafted quiz banks/translations, faculty-reviewed</w:t>
            </w:r>
          </w:p>
        </w:tc>
        <w:tc>
          <w:tcPr>
            <w:tcMar>
              <w:top w:w="100" w:type="dxa"/>
              <w:bottom w:w="100" w:type="dxa"/>
              <w:left w:w="150" w:type="dxa"/>
              <w:right w:w="150" w:type="dxa"/>
            </w:tcMar>
            <w:vAlign w:val="center"/>
          </w:tcPr>
          <w:p>
            <w:pPr>
              <w:pStyle w:val="Compact"/>
              <w:jc w:val="left"/>
              <w:suppressAutoHyphens/>
            </w:pPr>
            <w:r>
              <w:t xml:space="preserve">Yes if religious-studies content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support chatbot (FAQ/advising)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Off-the-shelf/free-tier chatbot, non-religious scope</w:t>
            </w:r>
          </w:p>
        </w:tc>
        <w:tc>
          <w:tcPr>
            <w:tcMar>
              <w:top w:w="100" w:type="dxa"/>
              <w:bottom w:w="100" w:type="dxa"/>
              <w:left w:w="150" w:type="dxa"/>
              <w:right w:w="150" w:type="dxa"/>
            </w:tcMar>
            <w:vAlign w:val="center"/>
            <w:shd w:val="clear" w:color="auto" w:fill="E9EDF6"/>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5"/>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5"/>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5"/>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AI Tooling Share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~$0–1,000 (free-tier chatbot)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~$3,000–6,000 (Tajweed API, OCR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Layout w:type="fixed"/>
      </w:tblPr>
      <w:tblGrid>
        <w:gridCol w:w="1521"/>
        <w:gridCol w:w="1302"/>
        <w:gridCol w:w="1706"/>
        <w:gridCol w:w="1706"/>
        <w:gridCol w:w="28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1" w:type="dxa"/>
          </w:tcPr>
          <w:p>
            <w:pPr>
              <w:pStyle w:val="Compact"/>
              <w:jc w:val="left"/>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W w:w="1302" w:type="dxa"/>
          </w:tcPr>
          <w:p>
            <w:pPr>
              <w:pStyle w:val="Compact"/>
              <w:jc w:val="left"/>
            </w:pPr>
            <w:r>
              <w:rPr>
                <w:b/>
                <w:color w:val="FFFFFF"/>
                <w:caps/>
                <w:spacing w:val="4"/>
              </w:rPr>
              <w:t xml:space="preserve">Y1–2 (Lean)</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Y3–5 (Growth)</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Y6–10 (Scale)</w:t>
            </w:r>
          </w:p>
        </w:tc>
        <w:tc>
          <w:tcPr>
            <w:shd w:val="clear" w:color="auto" w:fill="122A4E"/>
            <w:tcMar>
              <w:top w:w="130" w:type="dxa"/>
              <w:bottom w:w="130" w:type="dxa"/>
              <w:left w:w="150" w:type="dxa"/>
              <w:right w:w="150" w:type="dxa"/>
            </w:tcMar>
            <w:tcBorders>
              <w:bottom w:val="single" w:sz="16" w:space="0" w:color="B08625"/>
            </w:tcBorders>
            <w:vAlign w:val="center"/>
            <w:tcW w:w="2837" w:type="dxa"/>
          </w:tcPr>
          <w:p>
            <w:pPr>
              <w:pStyle w:val="Compact"/>
              <w:jc w:val="left"/>
            </w:pPr>
            <w:r>
              <w:rPr>
                <w:b/>
                <w:color w:val="FFFFFF"/>
                <w:caps/>
                <w:spacing w:val="4"/>
              </w:rPr>
              <w:t xml:space="preserve">Y11+ (Secular-Expansion)</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LMS</w:t>
            </w:r>
          </w:p>
        </w:tc>
        <w:tc>
          <w:tcPr>
            <w:tcMar>
              <w:top w:w="100" w:type="dxa"/>
              <w:bottom w:w="100" w:type="dxa"/>
              <w:left w:w="150" w:type="dxa"/>
              <w:right w:w="150" w:type="dxa"/>
            </w:tcMar>
            <w:vAlign w:val="center"/>
            <w:shd w:val="clear" w:color="auto" w:fill="E9EDF6"/>
            <w:tcW w:w="1302" w:type="dxa"/>
          </w:tcPr>
          <w:p>
            <w:pPr>
              <w:pStyle w:val="Compact"/>
              <w:jc w:val="left"/>
            </w:pPr>
            <w:r>
              <w:t xml:space="preserve">Single Moodle instance</w:t>
            </w:r>
          </w:p>
        </w:tc>
        <w:tc>
          <w:tcPr>
            <w:tcMar>
              <w:top w:w="100" w:type="dxa"/>
              <w:bottom w:w="100" w:type="dxa"/>
              <w:left w:w="150" w:type="dxa"/>
              <w:right w:w="150" w:type="dxa"/>
            </w:tcMar>
            <w:vAlign w:val="center"/>
            <w:shd w:val="clear" w:color="auto" w:fill="E9EDF6"/>
            <w:tcW w:w="1706" w:type="dxa"/>
          </w:tcPr>
          <w:p>
            <w:pPr>
              <w:pStyle w:val="Compact"/>
              <w:jc w:val="left"/>
            </w:pPr>
            <w:r>
              <w:t xml:space="preserve">Mobile/PWA + plugins</w:t>
            </w:r>
          </w:p>
        </w:tc>
        <w:tc>
          <w:tcPr>
            <w:tcMar>
              <w:top w:w="100" w:type="dxa"/>
              <w:bottom w:w="100" w:type="dxa"/>
              <w:left w:w="150" w:type="dxa"/>
              <w:right w:w="150" w:type="dxa"/>
            </w:tcMar>
            <w:vAlign w:val="center"/>
            <w:shd w:val="clear" w:color="auto" w:fill="E9EDF6"/>
            <w:tcW w:w="1706" w:type="dxa"/>
          </w:tcPr>
          <w:p>
            <w:pPr>
              <w:pStyle w:val="Compact"/>
              <w:jc w:val="left"/>
            </w:pPr>
            <w:r>
              <w:t xml:space="preserve">API-integrated, redundant hosting</w:t>
            </w:r>
          </w:p>
        </w:tc>
        <w:tc>
          <w:tcPr>
            <w:tcMar>
              <w:top w:w="100" w:type="dxa"/>
              <w:bottom w:w="100" w:type="dxa"/>
              <w:left w:w="150" w:type="dxa"/>
              <w:right w:w="150" w:type="dxa"/>
            </w:tcMar>
            <w:vAlign w:val="center"/>
            <w:shd w:val="clear" w:color="auto" w:fill="E9EDF6"/>
            <w:tcW w:w="2837" w:type="dxa"/>
          </w:tcPr>
          <w:p>
            <w:pPr>
              <w:pStyle w:val="Compact"/>
              <w:jc w:val="left"/>
            </w:pPr>
            <w:r>
              <w:t xml:space="preserve">Multi-tenant</w:t>
            </w:r>
          </w:p>
        </w:tc>
      </w:tr>
      <w:tr>
        <w:trPr>
          <w:cantSplit/>
        </w:trPr>
        <w:tc>
          <w:tcPr>
            <w:tcMar>
              <w:top w:w="100" w:type="dxa"/>
              <w:bottom w:w="100" w:type="dxa"/>
              <w:left w:w="150" w:type="dxa"/>
              <w:right w:w="150" w:type="dxa"/>
            </w:tcMar>
            <w:vAlign w:val="center"/>
            <w:tcW w:w="1521" w:type="dxa"/>
          </w:tcPr>
          <w:p>
            <w:pPr>
              <w:pStyle w:val="Compact"/>
              <w:jc w:val="left"/>
            </w:pPr>
            <w:r>
              <w:t xml:space="preserve">SIS/Registrar</w:t>
            </w:r>
          </w:p>
        </w:tc>
        <w:tc>
          <w:tcPr>
            <w:tcMar>
              <w:top w:w="100" w:type="dxa"/>
              <w:bottom w:w="100" w:type="dxa"/>
              <w:left w:w="150" w:type="dxa"/>
              <w:right w:w="150" w:type="dxa"/>
            </w:tcMar>
            <w:vAlign w:val="center"/>
            <w:tcW w:w="1302" w:type="dxa"/>
          </w:tcPr>
          <w:p>
            <w:pPr>
              <w:pStyle w:val="Compact"/>
              <w:jc w:val="left"/>
            </w:pPr>
            <w:r>
              <w:t xml:space="preserve">Spreadsheet/manual</w:t>
            </w:r>
          </w:p>
        </w:tc>
        <w:tc>
          <w:tcPr>
            <w:tcMar>
              <w:top w:w="100" w:type="dxa"/>
              <w:bottom w:w="100" w:type="dxa"/>
              <w:left w:w="150" w:type="dxa"/>
              <w:right w:w="150" w:type="dxa"/>
            </w:tcMar>
            <w:vAlign w:val="center"/>
            <w:tcW w:w="1706" w:type="dxa"/>
          </w:tcPr>
          <w:p>
            <w:pPr>
              <w:pStyle w:val="Compact"/>
              <w:jc w:val="left"/>
            </w:pPr>
            <w:r>
              <w:t xml:space="preserve">Dedicated light SIS software</w:t>
            </w:r>
          </w:p>
        </w:tc>
        <w:tc>
          <w:tcPr>
            <w:tcMar>
              <w:top w:w="100" w:type="dxa"/>
              <w:bottom w:w="100" w:type="dxa"/>
              <w:left w:w="150" w:type="dxa"/>
              <w:right w:w="150" w:type="dxa"/>
            </w:tcMar>
            <w:vAlign w:val="center"/>
            <w:tcW w:w="1706" w:type="dxa"/>
          </w:tcPr>
          <w:p>
            <w:pPr>
              <w:pStyle w:val="Compact"/>
              <w:jc w:val="left"/>
            </w:pPr>
            <w:r>
              <w:t xml:space="preserve">LMS-SIS API integration</w:t>
            </w:r>
          </w:p>
        </w:tc>
        <w:tc>
          <w:tcPr>
            <w:tcMar>
              <w:top w:w="100" w:type="dxa"/>
              <w:bottom w:w="100" w:type="dxa"/>
              <w:left w:w="150" w:type="dxa"/>
              <w:right w:w="150" w:type="dxa"/>
            </w:tcMar>
            <w:vAlign w:val="center"/>
            <w:tcW w:w="2837" w:type="dxa"/>
          </w:tcPr>
          <w:p>
            <w:pPr>
              <w:pStyle w:val="Compact"/>
              <w:jc w:val="left"/>
            </w:pPr>
            <w:r>
              <w:t xml:space="preserve">Full SIS platform</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Payments</w:t>
            </w:r>
          </w:p>
        </w:tc>
        <w:tc>
          <w:tcPr>
            <w:tcMar>
              <w:top w:w="100" w:type="dxa"/>
              <w:bottom w:w="100" w:type="dxa"/>
              <w:left w:w="150" w:type="dxa"/>
              <w:right w:w="150" w:type="dxa"/>
            </w:tcMar>
            <w:vAlign w:val="center"/>
            <w:shd w:val="clear" w:color="auto" w:fill="E9EDF6"/>
            <w:tcW w:w="1302" w:type="dxa"/>
          </w:tcPr>
          <w:p>
            <w:pPr>
              <w:pStyle w:val="Compact"/>
              <w:jc w:val="left"/>
            </w:pPr>
            <w:r>
              <w:t xml:space="preserve">2 gateways + bank transfer</w:t>
            </w:r>
          </w:p>
        </w:tc>
        <w:tc>
          <w:tcPr>
            <w:tcMar>
              <w:top w:w="100" w:type="dxa"/>
              <w:bottom w:w="100" w:type="dxa"/>
              <w:left w:w="150" w:type="dxa"/>
              <w:right w:w="150" w:type="dxa"/>
            </w:tcMar>
            <w:vAlign w:val="center"/>
            <w:shd w:val="clear" w:color="auto" w:fill="E9EDF6"/>
            <w:tcW w:w="1706" w:type="dxa"/>
          </w:tcPr>
          <w:p>
            <w:pPr>
              <w:pStyle w:val="Compact"/>
              <w:jc w:val="left"/>
            </w:pPr>
            <w:r>
              <w:t xml:space="preserve">Regional gateway expansion</w:t>
            </w:r>
          </w:p>
        </w:tc>
        <w:tc>
          <w:tcPr>
            <w:tcMar>
              <w:top w:w="100" w:type="dxa"/>
              <w:bottom w:w="100" w:type="dxa"/>
              <w:left w:w="150" w:type="dxa"/>
              <w:right w:w="150" w:type="dxa"/>
            </w:tcMar>
            <w:vAlign w:val="center"/>
            <w:shd w:val="clear" w:color="auto" w:fill="E9EDF6"/>
            <w:tcW w:w="1706" w:type="dxa"/>
          </w:tcPr>
          <w:p>
            <w:pPr>
              <w:pStyle w:val="Compact"/>
              <w:jc w:val="left"/>
            </w:pPr>
            <w:r>
              <w:t xml:space="preserve">Automated multi-currency reconciliation</w:t>
            </w:r>
          </w:p>
        </w:tc>
        <w:tc>
          <w:tcPr>
            <w:tcMar>
              <w:top w:w="100" w:type="dxa"/>
              <w:bottom w:w="100" w:type="dxa"/>
              <w:left w:w="150" w:type="dxa"/>
              <w:right w:w="150" w:type="dxa"/>
            </w:tcMar>
            <w:vAlign w:val="center"/>
            <w:shd w:val="clear" w:color="auto" w:fill="E9EDF6"/>
            <w:tcW w:w="2837" w:type="dxa"/>
          </w:tcPr>
          <w:p>
            <w:pPr>
              <w:pStyle w:val="Compact"/>
              <w:jc w:val="left"/>
            </w:pPr>
            <w:r>
              <w:t xml:space="preserve">Enterprise payment orchestration</w:t>
            </w:r>
          </w:p>
        </w:tc>
      </w:tr>
      <w:tr>
        <w:trPr>
          <w:cantSplit/>
        </w:trPr>
        <w:tc>
          <w:tcPr>
            <w:tcMar>
              <w:top w:w="100" w:type="dxa"/>
              <w:bottom w:w="100" w:type="dxa"/>
              <w:left w:w="150" w:type="dxa"/>
              <w:right w:w="150" w:type="dxa"/>
            </w:tcMar>
            <w:vAlign w:val="center"/>
            <w:tcW w:w="1521" w:type="dxa"/>
          </w:tcPr>
          <w:p>
            <w:pPr>
              <w:pStyle w:val="Compact"/>
              <w:jc w:val="left"/>
            </w:pPr>
            <w:r>
              <w:t xml:space="preserve">Comms</w:t>
            </w:r>
          </w:p>
        </w:tc>
        <w:tc>
          <w:tcPr>
            <w:tcMar>
              <w:top w:w="100" w:type="dxa"/>
              <w:bottom w:w="100" w:type="dxa"/>
              <w:left w:w="150" w:type="dxa"/>
              <w:right w:w="150" w:type="dxa"/>
            </w:tcMar>
            <w:vAlign w:val="center"/>
            <w:tcW w:w="1302" w:type="dxa"/>
          </w:tcPr>
          <w:p>
            <w:pPr>
              <w:pStyle w:val="Compact"/>
              <w:jc w:val="left"/>
            </w:pPr>
            <w:r>
              <w:t xml:space="preserve">Email + WhatsApp (Tier 3/4)</w:t>
            </w:r>
          </w:p>
        </w:tc>
        <w:tc>
          <w:tcPr>
            <w:tcMar>
              <w:top w:w="100" w:type="dxa"/>
              <w:bottom w:w="100" w:type="dxa"/>
              <w:left w:w="150" w:type="dxa"/>
              <w:right w:w="150" w:type="dxa"/>
            </w:tcMar>
            <w:vAlign w:val="center"/>
            <w:tcW w:w="1706" w:type="dxa"/>
          </w:tcPr>
          <w:p>
            <w:pPr>
              <w:pStyle w:val="Compact"/>
              <w:jc w:val="left"/>
            </w:pPr>
            <w:r>
              <w:t xml:space="preserve">CRM/admissions tracking</w:t>
            </w:r>
          </w:p>
        </w:tc>
        <w:tc>
          <w:tcPr>
            <w:tcMar>
              <w:top w:w="100" w:type="dxa"/>
              <w:bottom w:w="100" w:type="dxa"/>
              <w:left w:w="150" w:type="dxa"/>
              <w:right w:w="150" w:type="dxa"/>
            </w:tcMar>
            <w:vAlign w:val="center"/>
            <w:tcW w:w="1706" w:type="dxa"/>
          </w:tcPr>
          <w:p>
            <w:pPr>
              <w:pStyle w:val="Compact"/>
              <w:jc w:val="left"/>
            </w:pPr>
            <w:r>
              <w:t xml:space="preserve">Integrated support ticketing</w:t>
            </w:r>
          </w:p>
        </w:tc>
        <w:tc>
          <w:tcPr>
            <w:tcMar>
              <w:top w:w="100" w:type="dxa"/>
              <w:bottom w:w="100" w:type="dxa"/>
              <w:left w:w="150" w:type="dxa"/>
              <w:right w:w="150" w:type="dxa"/>
            </w:tcMar>
            <w:vAlign w:val="center"/>
            <w:tcW w:w="2837" w:type="dxa"/>
          </w:tcPr>
          <w:p>
            <w:pPr>
              <w:pStyle w:val="Compact"/>
              <w:jc w:val="left"/>
            </w:pPr>
            <w:r>
              <w:t xml:space="preserve">Omnichannel support</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Security</w:t>
            </w:r>
          </w:p>
        </w:tc>
        <w:tc>
          <w:tcPr>
            <w:tcMar>
              <w:top w:w="100" w:type="dxa"/>
              <w:bottom w:w="100" w:type="dxa"/>
              <w:left w:w="150" w:type="dxa"/>
              <w:right w:w="150" w:type="dxa"/>
            </w:tcMar>
            <w:vAlign w:val="center"/>
            <w:shd w:val="clear" w:color="auto" w:fill="E9EDF6"/>
            <w:tcW w:w="1302" w:type="dxa"/>
          </w:tcPr>
          <w:p>
            <w:pPr>
              <w:pStyle w:val="Compact"/>
              <w:jc w:val="left"/>
            </w:pPr>
            <w:r>
              <w:t xml:space="preserve">Basic MFA, SSL, backups</w:t>
            </w:r>
          </w:p>
        </w:tc>
        <w:tc>
          <w:tcPr>
            <w:tcMar>
              <w:top w:w="100" w:type="dxa"/>
              <w:bottom w:w="100" w:type="dxa"/>
              <w:left w:w="150" w:type="dxa"/>
              <w:right w:w="150" w:type="dxa"/>
            </w:tcMar>
            <w:vAlign w:val="center"/>
            <w:shd w:val="clear" w:color="auto" w:fill="E9EDF6"/>
            <w:tcW w:w="1706" w:type="dxa"/>
          </w:tcPr>
          <w:p>
            <w:pPr>
              <w:pStyle w:val="Compact"/>
              <w:jc w:val="left"/>
            </w:pPr>
            <w:r>
              <w:t xml:space="preserve">Formal data-governance policy</w:t>
            </w:r>
          </w:p>
        </w:tc>
        <w:tc>
          <w:tcPr>
            <w:tcMar>
              <w:top w:w="100" w:type="dxa"/>
              <w:bottom w:w="100" w:type="dxa"/>
              <w:left w:w="150" w:type="dxa"/>
              <w:right w:w="150" w:type="dxa"/>
            </w:tcMar>
            <w:vAlign w:val="center"/>
            <w:shd w:val="clear" w:color="auto" w:fill="E9EDF6"/>
            <w:tcW w:w="1706" w:type="dxa"/>
          </w:tcPr>
          <w:p>
            <w:pPr>
              <w:pStyle w:val="Compact"/>
              <w:jc w:val="left"/>
            </w:pPr>
            <w:r>
              <w:t xml:space="preserve">Annual third-party security audit</w:t>
            </w:r>
          </w:p>
        </w:tc>
        <w:tc>
          <w:tcPr>
            <w:tcMar>
              <w:top w:w="100" w:type="dxa"/>
              <w:bottom w:w="100" w:type="dxa"/>
              <w:left w:w="150" w:type="dxa"/>
              <w:right w:w="150" w:type="dxa"/>
            </w:tcMar>
            <w:vAlign w:val="center"/>
            <w:shd w:val="clear" w:color="auto" w:fill="E9EDF6"/>
            <w:tcW w:w="2837" w:type="dxa"/>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Curate open-access Islamic-studies digital collection; minimal licensed-database spend</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Modest expansion of licensed subscriptions (regional/Arabic-language databases); LMS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2033–36</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repository for faculty publications; digitization of AMIU’s own curriculum materials</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2037+</w:t>
            </w:r>
          </w:p>
        </w:tc>
        <w:tc>
          <w:tcPr>
            <w:tcMar>
              <w:top w:w="100" w:type="dxa"/>
              <w:bottom w:w="100" w:type="dxa"/>
              <w:left w:w="150" w:type="dxa"/>
              <w:right w:w="150" w:type="dxa"/>
            </w:tcMar>
            <w:vAlign w:val="center"/>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Library Sub-Share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~$1,100</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~$6,450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 every year, fixed</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(annually spent)</w:t>
            </w:r>
          </w:p>
        </w:tc>
        <w:tc>
          <w:tcPr>
            <w:tcMar>
              <w:top w:w="100" w:type="dxa"/>
              <w:bottom w:w="100" w:type="dxa"/>
              <w:left w:w="150" w:type="dxa"/>
              <w:right w:w="150" w:type="dxa"/>
            </w:tcMar>
            <w:vAlign w:val="center"/>
          </w:tcPr>
          <w:p>
            <w:pPr>
              <w:pStyle w:val="Compact"/>
              <w:jc w:val="left"/>
              <w:suppressAutoHyphens/>
            </w:pPr>
            <w:r>
              <w:t xml:space="preserve">50% of the 20% 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Retained (AMIU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50% of the 20% line, Sharī’ah-compliant investment only</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sub-split</w:t>
            </w:r>
          </w:p>
        </w:tc>
        <w:tc>
          <w:tcPr>
            <w:tcMar>
              <w:top w:w="100" w:type="dxa"/>
              <w:bottom w:w="100" w:type="dxa"/>
              <w:left w:w="150" w:type="dxa"/>
              <w:right w:w="150" w:type="dxa"/>
            </w:tcMar>
            <w:vAlign w:val="center"/>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Ten-year cumulative (distributed sub-lines)</w:t>
            </w:r>
          </w:p>
        </w:tc>
        <w:tc>
          <w:tcPr>
            <w:tcMar>
              <w:top w:w="100" w:type="dxa"/>
              <w:bottom w:w="100" w:type="dxa"/>
              <w:left w:w="150" w:type="dxa"/>
              <w:right w:w="150" w:type="dxa"/>
            </w:tcMar>
            <w:vAlign w:val="center"/>
            <w:shd w:val="clear" w:color="auto" w:fill="E9EDF6"/>
          </w:tcPr>
          <w:p>
            <w:pPr>
              <w:pStyle w:val="Compact"/>
              <w:jc w:val="left"/>
              <w:suppressAutoHyphens/>
            </w:pPr>
            <w:r>
              <w:t xml:space="preserve">$416,729 / $416,729 / $333,383 / $333,383 / $166,692 respectively</w:t>
            </w:r>
          </w:p>
        </w:tc>
      </w:tr>
      <w:tr>
        <w:trPr>
          <w:cantSplit/>
        </w:trPr>
        <w:tc>
          <w:tcPr>
            <w:tcMar>
              <w:top w:w="100" w:type="dxa"/>
              <w:bottom w:w="100" w:type="dxa"/>
              <w:left w:w="150" w:type="dxa"/>
              <w:right w:w="150" w:type="dxa"/>
            </w:tcMar>
            <w:vAlign w:val="center"/>
          </w:tcPr>
          <w:p>
            <w:pPr>
              <w:pStyle w:val="Compact"/>
              <w:jc w:val="left"/>
              <w:suppressAutoHyphens/>
            </w:pPr>
            <w:r>
              <w:t xml:space="preserve">Strategic Business Reserve, Year-10 cumulative balance</w:t>
            </w:r>
          </w:p>
        </w:tc>
        <w:tc>
          <w:tcPr>
            <w:tcMar>
              <w:top w:w="100" w:type="dxa"/>
              <w:bottom w:w="100" w:type="dxa"/>
              <w:left w:w="150" w:type="dxa"/>
              <w:right w:w="150" w:type="dxa"/>
            </w:tcMar>
            <w:vAlign w:val="center"/>
          </w:tcPr>
          <w:p>
            <w:pPr>
              <w:pStyle w:val="Compact"/>
              <w:jc w:val="left"/>
              <w:suppressAutoHyphens/>
            </w:pPr>
            <w:r>
              <w:t xml:space="preserve">$1,240,527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Deployment threshold</w:t>
            </w:r>
          </w:p>
        </w:tc>
        <w:tc>
          <w:tcPr>
            <w:tcMar>
              <w:top w:w="100" w:type="dxa"/>
              <w:bottom w:w="100" w:type="dxa"/>
              <w:left w:w="150" w:type="dxa"/>
              <w:right w:w="150" w:type="dxa"/>
            </w:tcMar>
            <w:vAlign w:val="center"/>
            <w:shd w:val="clear" w:color="auto" w:fill="E9EDF6"/>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Establishment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tcMar>
              <w:top w:w="100" w:type="dxa"/>
              <w:bottom w:w="100" w:type="dxa"/>
              <w:left w:w="150" w:type="dxa"/>
              <w:right w:w="150" w:type="dxa"/>
            </w:tcMar>
            <w:vAlign w:val="center"/>
          </w:tcPr>
          <w:p>
            <w:pPr>
              <w:pStyle w:val="Compact"/>
              <w:jc w:val="left"/>
              <w:suppressAutoHyphens/>
            </w:pPr>
            <w:r>
              <w:t xml:space="preserve">2 — Formalization</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Waqf &amp; Endowment Board adopts formal Investment Policy Statement; begins modest diversification as balance grows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Scale-Up</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tcMar>
              <w:top w:w="100" w:type="dxa"/>
              <w:bottom w:w="100" w:type="dxa"/>
              <w:left w:w="150" w:type="dxa"/>
              <w:right w:w="150" w:type="dxa"/>
            </w:tcMar>
            <w:vAlign w:val="center"/>
          </w:tcPr>
          <w:p>
            <w:pPr>
              <w:pStyle w:val="Compact"/>
              <w:jc w:val="left"/>
              <w:suppressAutoHyphens/>
            </w:pPr>
            <w:r>
              <w:t xml:space="preserve">4 — Endowment Maturation</w:t>
            </w:r>
          </w:p>
        </w:tc>
        <w:tc>
          <w:tcPr>
            <w:tcMar>
              <w:top w:w="100" w:type="dxa"/>
              <w:bottom w:w="100" w:type="dxa"/>
              <w:left w:w="150" w:type="dxa"/>
              <w:right w:w="150" w:type="dxa"/>
            </w:tcMar>
            <w:vAlign w:val="center"/>
          </w:tcPr>
          <w:p>
            <w:pPr>
              <w:pStyle w:val="Compact"/>
              <w:jc w:val="left"/>
              <w:suppressAutoHyphens/>
            </w:pPr>
            <w:r>
              <w:t xml:space="preserve">2038–47</w:t>
            </w:r>
          </w:p>
        </w:tc>
        <w:tc>
          <w:tcPr>
            <w:tcMar>
              <w:top w:w="100" w:type="dxa"/>
              <w:bottom w:w="100" w:type="dxa"/>
              <w:left w:w="150" w:type="dxa"/>
              <w:right w:w="150" w:type="dxa"/>
            </w:tcMar>
            <w:vAlign w:val="center"/>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Perpetual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Source Serif 4" w:hAnsi="Source Serif 4"/>
                <w:i/>
                <w:smallCaps/>
                <w:color w:val="8C97AB"/>
                <w:sz w:val="19"/>
                <w:spacing w:val="10"/>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Instrument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w:t>
            </w:r>
          </w:p>
        </w:tc>
        <w:tc>
          <w:tcPr>
            <w:tcMar>
              <w:top w:w="100" w:type="dxa"/>
              <w:bottom w:w="100" w:type="dxa"/>
              <w:left w:w="150" w:type="dxa"/>
              <w:right w:w="150" w:type="dxa"/>
            </w:tcMar>
            <w:vAlign w:val="center"/>
            <w:shd w:val="clear" w:color="auto" w:fill="E9EDF6"/>
          </w:tcPr>
          <w:p>
            <w:pPr>
              <w:pStyle w:val="Compact"/>
              <w:jc w:val="left"/>
              <w:suppressAutoHyphens/>
            </w:pPr>
            <w:r>
              <w:t xml:space="preserve">Discretionary awards drawn annually from distributed Waqf income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(20% of gross revenue)</w:t>
            </w:r>
          </w:p>
        </w:tc>
      </w:tr>
      <w:tr>
        <w:trPr>
          <w:cantSplit/>
        </w:trPr>
        <w:tc>
          <w:tcPr>
            <w:tcMar>
              <w:top w:w="100" w:type="dxa"/>
              <w:bottom w:w="100" w:type="dxa"/>
              <w:left w:w="150" w:type="dxa"/>
              <w:right w:w="150" w:type="dxa"/>
            </w:tcMar>
            <w:vAlign w:val="center"/>
          </w:tcPr>
          <w:p>
            <w:pPr>
              <w:pStyle w:val="Compact"/>
              <w:jc w:val="left"/>
              <w:suppressAutoHyphens/>
            </w:pPr>
            <w:r>
              <w:t xml:space="preserve">Merit / Hifz Scholarships</w:t>
            </w:r>
          </w:p>
        </w:tc>
        <w:tc>
          <w:tcPr>
            <w:tcMar>
              <w:top w:w="100" w:type="dxa"/>
              <w:bottom w:w="100" w:type="dxa"/>
              <w:left w:w="150" w:type="dxa"/>
              <w:right w:w="150" w:type="dxa"/>
            </w:tcMar>
            <w:vAlign w:val="center"/>
          </w:tcPr>
          <w:p>
            <w:pPr>
              <w:pStyle w:val="Compact"/>
              <w:jc w:val="left"/>
              <w:suppressAutoHyphens/>
            </w:pPr>
            <w:r>
              <w:t xml:space="preserve">Published academic and Qur’ān-memorization criteria, Senate-approved</w:t>
            </w:r>
          </w:p>
        </w:tc>
        <w:tc>
          <w:tcPr>
            <w:tcMar>
              <w:top w:w="100" w:type="dxa"/>
              <w:bottom w:w="100" w:type="dxa"/>
              <w:left w:w="150" w:type="dxa"/>
              <w:right w:w="150" w:type="dxa"/>
            </w:tcMar>
            <w:vAlign w:val="center"/>
          </w:tcPr>
          <w:p>
            <w:pPr>
              <w:pStyle w:val="Compact"/>
              <w:jc w:val="left"/>
              <w:suppressAutoHyphens/>
            </w:pPr>
            <w:r>
              <w:t xml:space="preserve">Waqf &amp; Stakeholder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Tier-4 Built-in Waivers</w:t>
            </w:r>
          </w:p>
        </w:tc>
        <w:tc>
          <w:tcPr>
            <w:tcMar>
              <w:top w:w="100" w:type="dxa"/>
              <w:bottom w:w="100" w:type="dxa"/>
              <w:left w:w="150" w:type="dxa"/>
              <w:right w:w="150" w:type="dxa"/>
            </w:tcMar>
            <w:vAlign w:val="center"/>
            <w:shd w:val="clear" w:color="auto" w:fill="E9EDF6"/>
          </w:tcPr>
          <w:p>
            <w:pPr>
              <w:pStyle w:val="Compact"/>
              <w:jc w:val="left"/>
              <w:suppressAutoHyphens/>
            </w:pPr>
            <w:r>
              <w:t xml:space="preserve">Structural, not discretionary — embedded in the Sponsored/conflict-affected tuition tier</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pricing architecture (revenue-side, Board-set)</w:t>
            </w:r>
          </w:p>
        </w:tc>
      </w:tr>
      <w:tr>
        <w:trPr>
          <w:cantSplit/>
        </w:trPr>
        <w:tc>
          <w:tcPr>
            <w:tcMar>
              <w:top w:w="100" w:type="dxa"/>
              <w:bottom w:w="100" w:type="dxa"/>
              <w:left w:w="150" w:type="dxa"/>
              <w:right w:w="150" w:type="dxa"/>
            </w:tcMar>
            <w:vAlign w:val="center"/>
          </w:tcPr>
          <w:p>
            <w:pPr>
              <w:pStyle w:val="Compact"/>
              <w:jc w:val="left"/>
              <w:suppressAutoHyphens/>
            </w:pPr>
            <w:r>
              <w:t xml:space="preserve">Community &amp; Institutional Nominated Seats</w:t>
            </w:r>
          </w:p>
        </w:tc>
        <w:tc>
          <w:tcPr>
            <w:tcMar>
              <w:top w:w="100" w:type="dxa"/>
              <w:bottom w:w="100" w:type="dxa"/>
              <w:left w:w="150" w:type="dxa"/>
              <w:right w:w="150" w:type="dxa"/>
            </w:tcMar>
            <w:vAlign w:val="center"/>
          </w:tcPr>
          <w:p>
            <w:pPr>
              <w:pStyle w:val="Compact"/>
              <w:jc w:val="left"/>
              <w:suppressAutoHyphens/>
            </w:pPr>
            <w:r>
              <w:t xml:space="preserve">Partner mosques/organizations nominate 1–2 students/year</w:t>
            </w:r>
          </w:p>
        </w:tc>
        <w:tc>
          <w:tcPr>
            <w:tcMar>
              <w:top w:w="100" w:type="dxa"/>
              <w:bottom w:w="100" w:type="dxa"/>
              <w:left w:w="150" w:type="dxa"/>
              <w:right w:w="150" w:type="dxa"/>
            </w:tcMar>
            <w:vAlign w:val="center"/>
          </w:tcPr>
          <w:p>
            <w:pPr>
              <w:pStyle w:val="Compact"/>
              <w:jc w:val="left"/>
              <w:suppressAutoHyphens/>
            </w:pPr>
            <w:r>
              <w:t xml:space="preserve">Waqf &amp; Stakeholder Reserve (administrative overlay, no incremental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Named Sadaqah Jāriyah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Donor-endowed, permanently named, publicly reported</w:t>
            </w:r>
          </w:p>
        </w:tc>
        <w:tc>
          <w:tcPr>
            <w:tcMar>
              <w:top w:w="100" w:type="dxa"/>
              <w:bottom w:w="100" w:type="dxa"/>
              <w:left w:w="150" w:type="dxa"/>
              <w:right w:w="150" w:type="dxa"/>
            </w:tcMar>
            <w:vAlign w:val="center"/>
            <w:shd w:val="clear" w:color="auto" w:fill="E9EDF6"/>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6"/>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6"/>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6"/>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9"/>
        <w:gridCol w:w="2876"/>
        <w:gridCol w:w="1964"/>
        <w:gridCol w:w="275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9"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7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6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75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duties held by Registrar/Admissions</w:t>
            </w:r>
          </w:p>
        </w:tc>
        <w:tc>
          <w:tcPr>
            <w:tcMar>
              <w:top w:w="100" w:type="dxa"/>
              <w:bottom w:w="100" w:type="dxa"/>
              <w:left w:w="150" w:type="dxa"/>
              <w:right w:w="150" w:type="dxa"/>
            </w:tcMar>
            <w:vAlign w:val="center"/>
            <w:shd w:val="clear" w:color="auto" w:fill="E9EDF6"/>
            <w:tcW w:w="196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w:t>
            </w:r>
          </w:p>
        </w:tc>
      </w:tr>
      <w:tr>
        <w:trPr>
          <w:cantSplit/>
        </w:trPr>
        <w:tc>
          <w:tcPr>
            <w:tcMar>
              <w:top w:w="100" w:type="dxa"/>
              <w:bottom w:w="100" w:type="dxa"/>
              <w:left w:w="150" w:type="dxa"/>
              <w:right w:w="150" w:type="dxa"/>
            </w:tcMar>
            <w:vAlign w:val="center"/>
            <w:tcW w:w="1479" w:type="dxa"/>
          </w:tcPr>
          <w:p>
            <w:pPr>
              <w:pStyle w:val="Compact"/>
              <w:jc w:val="left"/>
            </w:pPr>
            <w:r>
              <w:t xml:space="preserve">3–5</w:t>
            </w:r>
          </w:p>
        </w:tc>
        <w:tc>
          <w:tcPr>
            <w:tcMar>
              <w:top w:w="100" w:type="dxa"/>
              <w:bottom w:w="100" w:type="dxa"/>
              <w:left w:w="150" w:type="dxa"/>
              <w:right w:w="150" w:type="dxa"/>
            </w:tcMar>
            <w:vAlign w:val="center"/>
            <w:tcW w:w="2876" w:type="dxa"/>
          </w:tcPr>
          <w:p>
            <w:pPr>
              <w:pStyle w:val="Compact"/>
              <w:jc w:val="left"/>
            </w:pPr>
            <w:r>
              <w:t xml:space="preserve">Scholarship &amp; Financial Aid Officer</w:t>
            </w:r>
          </w:p>
        </w:tc>
        <w:tc>
          <w:tcPr>
            <w:tcMar>
              <w:top w:w="100" w:type="dxa"/>
              <w:bottom w:w="100" w:type="dxa"/>
              <w:left w:w="150" w:type="dxa"/>
              <w:right w:w="150" w:type="dxa"/>
            </w:tcMar>
            <w:vAlign w:val="center"/>
            <w:tcW w:w="1964" w:type="dxa"/>
          </w:tcPr>
          <w:p>
            <w:pPr>
              <w:pStyle w:val="Compact"/>
              <w:jc w:val="left"/>
            </w:pPr>
            <w:r>
              <w:t xml:space="preserve">0.5</w:t>
            </w:r>
          </w:p>
        </w:tc>
        <w:tc>
          <w:tcPr>
            <w:tcMar>
              <w:top w:w="100" w:type="dxa"/>
              <w:bottom w:w="100" w:type="dxa"/>
              <w:left w:w="150" w:type="dxa"/>
              <w:right w:w="150" w:type="dxa"/>
            </w:tcMar>
            <w:vAlign w:val="center"/>
            <w:tcW w:w="2753"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10</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Officer + Waqf Donor Relations Coordinator</w:t>
            </w:r>
          </w:p>
        </w:tc>
        <w:tc>
          <w:tcPr>
            <w:tcMar>
              <w:top w:w="100" w:type="dxa"/>
              <w:bottom w:w="100" w:type="dxa"/>
              <w:left w:w="150" w:type="dxa"/>
              <w:right w:w="150" w:type="dxa"/>
            </w:tcMar>
            <w:vAlign w:val="center"/>
            <w:shd w:val="clear" w:color="auto" w:fill="E9EDF6"/>
            <w:tcW w:w="1964" w:type="dxa"/>
          </w:tcPr>
          <w:p>
            <w:pPr>
              <w:pStyle w:val="Compact"/>
              <w:jc w:val="left"/>
            </w:pPr>
            <w:r>
              <w:t xml:space="preserve">1.5</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Allocation Category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Tiered tuition volume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driver: 347 (Yr1) → 3,493 (Yr5) → 11,021 (Yr10) students across 4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Gross Revenue base</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 philanthropic Waqf inflows</w:t>
            </w:r>
          </w:p>
        </w:tc>
        <w:tc>
          <w:tcPr>
            <w:tcMar>
              <w:top w:w="100" w:type="dxa"/>
              <w:bottom w:w="100" w:type="dxa"/>
              <w:left w:w="150" w:type="dxa"/>
              <w:right w:w="150" w:type="dxa"/>
            </w:tcMar>
            <w:vAlign w:val="center"/>
          </w:tcPr>
          <w:p>
            <w:pPr>
              <w:pStyle w:val="Compact"/>
              <w:jc w:val="left"/>
              <w:suppressAutoHyphens/>
            </w:pPr>
            <w:r>
              <w:t xml:space="preserve">Donor gifts additive to tuition, not tuition itself</w:t>
            </w:r>
          </w:p>
        </w:tc>
        <w:tc>
          <w:tcPr>
            <w:tcMar>
              <w:top w:w="100" w:type="dxa"/>
              <w:bottom w:w="100" w:type="dxa"/>
              <w:left w:w="150" w:type="dxa"/>
              <w:right w:w="150" w:type="dxa"/>
            </w:tcMar>
            <w:vAlign w:val="center"/>
          </w:tcPr>
          <w:p>
            <w:pPr>
              <w:pStyle w:val="Compact"/>
              <w:jc w:val="left"/>
              <w:suppressAutoHyphens/>
            </w:pPr>
            <w:r>
              <w:t xml:space="preserve">Waqf &amp; Stakeholder Reserve (20%)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 short-course / digital-certificate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Low-cost, LMS-delivered, non-degree offerings for working professionals and community learners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Technology Infrastructure (5%) for delivery; Payroll/Core Admin for coordination</w:t>
            </w:r>
          </w:p>
        </w:tc>
      </w:tr>
      <w:tr>
        <w:trPr>
          <w:cantSplit/>
        </w:trPr>
        <w:tc>
          <w:tcPr>
            <w:tcMar>
              <w:top w:w="100" w:type="dxa"/>
              <w:bottom w:w="100" w:type="dxa"/>
              <w:left w:w="150" w:type="dxa"/>
              <w:right w:w="150" w:type="dxa"/>
            </w:tcMar>
            <w:vAlign w:val="center"/>
          </w:tcPr>
          <w:p>
            <w:pPr>
              <w:pStyle w:val="Compact"/>
              <w:jc w:val="left"/>
              <w:suppressAutoHyphens/>
            </w:pPr>
            <w:r>
              <w:t xml:space="preserve">Liquidity-Reserve-funded resilience initiatives</w:t>
            </w:r>
          </w:p>
        </w:tc>
        <w:tc>
          <w:tcPr>
            <w:tcMar>
              <w:top w:w="100" w:type="dxa"/>
              <w:bottom w:w="100" w:type="dxa"/>
              <w:left w:w="150" w:type="dxa"/>
              <w:right w:w="150" w:type="dxa"/>
            </w:tcMar>
            <w:vAlign w:val="center"/>
          </w:tcPr>
          <w:p>
            <w:pPr>
              <w:pStyle w:val="Compact"/>
              <w:jc w:val="left"/>
              <w:suppressAutoHyphens/>
            </w:pPr>
            <w:r>
              <w:t xml:space="preserve">Reserve-funded forward investment (campus expansion, accreditation costs), not new revenue but risk buffer enabling growth</w:t>
            </w:r>
          </w:p>
        </w:tc>
        <w:tc>
          <w:tcPr>
            <w:tcMar>
              <w:top w:w="100" w:type="dxa"/>
              <w:bottom w:w="100" w:type="dxa"/>
              <w:left w:w="150" w:type="dxa"/>
              <w:right w:w="150" w:type="dxa"/>
            </w:tcMar>
            <w:vAlign w:val="center"/>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7"/>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7"/>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7"/>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Emphasis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Channels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 (Premium)</w:t>
            </w:r>
          </w:p>
        </w:tc>
        <w:tc>
          <w:tcPr>
            <w:tcMar>
              <w:top w:w="100" w:type="dxa"/>
              <w:bottom w:w="100" w:type="dxa"/>
              <w:left w:w="150" w:type="dxa"/>
              <w:right w:w="150" w:type="dxa"/>
            </w:tcMar>
            <w:vAlign w:val="center"/>
            <w:shd w:val="clear" w:color="auto" w:fill="E9EDF6"/>
          </w:tcPr>
          <w:p>
            <w:pPr>
              <w:pStyle w:val="Compact"/>
              <w:jc w:val="left"/>
              <w:suppressAutoHyphens/>
            </w:pPr>
            <w:r>
              <w:t xml:space="preserve">Rigor, credential trajectory, global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LinkedIn, diaspora mosque boards, email, alumni networks</w:t>
            </w:r>
          </w:p>
        </w:tc>
      </w:tr>
      <w:tr>
        <w:trPr>
          <w:cantSplit/>
        </w:trPr>
        <w:tc>
          <w:tcPr>
            <w:tcMar>
              <w:top w:w="100" w:type="dxa"/>
              <w:bottom w:w="100" w:type="dxa"/>
              <w:left w:w="150" w:type="dxa"/>
              <w:right w:w="150" w:type="dxa"/>
            </w:tcMar>
            <w:vAlign w:val="center"/>
          </w:tcPr>
          <w:p>
            <w:pPr>
              <w:pStyle w:val="Compact"/>
              <w:jc w:val="left"/>
              <w:suppressAutoHyphens/>
            </w:pPr>
            <w:r>
              <w:t xml:space="preserve">Tier 2 (Standard)</w:t>
            </w:r>
          </w:p>
        </w:tc>
        <w:tc>
          <w:tcPr>
            <w:tcMar>
              <w:top w:w="100" w:type="dxa"/>
              <w:bottom w:w="100" w:type="dxa"/>
              <w:left w:w="150" w:type="dxa"/>
              <w:right w:w="150" w:type="dxa"/>
            </w:tcMar>
            <w:vAlign w:val="center"/>
          </w:tcPr>
          <w:p>
            <w:pPr>
              <w:pStyle w:val="Compact"/>
              <w:jc w:val="left"/>
              <w:suppressAutoHyphens/>
            </w:pPr>
            <w:r>
              <w:t xml:space="preserve">Balanced value + accessibility</w:t>
            </w:r>
          </w:p>
        </w:tc>
        <w:tc>
          <w:tcPr>
            <w:tcMar>
              <w:top w:w="100" w:type="dxa"/>
              <w:bottom w:w="100" w:type="dxa"/>
              <w:left w:w="150" w:type="dxa"/>
              <w:right w:w="150" w:type="dxa"/>
            </w:tcMar>
            <w:vAlign w:val="center"/>
          </w:tcPr>
          <w:p>
            <w:pPr>
              <w:pStyle w:val="Compact"/>
              <w:jc w:val="left"/>
              <w:suppressAutoHyphens/>
            </w:pPr>
            <w:r>
              <w:t xml:space="preserve">Social media, community referral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3 (Accessible: Nigeria/Pakistan/Bangladesh/India/Indonesia)</w:t>
            </w:r>
          </w:p>
        </w:tc>
        <w:tc>
          <w:tcPr>
            <w:tcMar>
              <w:top w:w="100" w:type="dxa"/>
              <w:bottom w:w="100" w:type="dxa"/>
              <w:left w:w="150" w:type="dxa"/>
              <w:right w:w="150" w:type="dxa"/>
            </w:tcMar>
            <w:vAlign w:val="center"/>
            <w:shd w:val="clear" w:color="auto" w:fill="E9EDF6"/>
          </w:tcPr>
          <w:p>
            <w:pPr>
              <w:pStyle w:val="Compact"/>
              <w:jc w:val="left"/>
              <w:suppressAutoHyphens/>
            </w:pPr>
            <w:r>
              <w:t xml:space="preserve">Affordability, stackable ladder, scholarship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WhatsApp/Facebook groups, local ambassadors, mosque partners, local-language content</w:t>
            </w:r>
          </w:p>
        </w:tc>
      </w:tr>
      <w:tr>
        <w:trPr>
          <w:cantSplit/>
        </w:trPr>
        <w:tc>
          <w:tcPr>
            <w:tcMar>
              <w:top w:w="100" w:type="dxa"/>
              <w:bottom w:w="100" w:type="dxa"/>
              <w:left w:w="150" w:type="dxa"/>
              <w:right w:w="150" w:type="dxa"/>
            </w:tcMar>
            <w:vAlign w:val="center"/>
          </w:tcPr>
          <w:p>
            <w:pPr>
              <w:pStyle w:val="Compact"/>
              <w:jc w:val="left"/>
              <w:suppressAutoHyphens/>
            </w:pPr>
            <w:r>
              <w:t xml:space="preserve">Tier 4 (Sponsored/conflict-affected)</w:t>
            </w:r>
          </w:p>
        </w:tc>
        <w:tc>
          <w:tcPr>
            <w:tcMar>
              <w:top w:w="100" w:type="dxa"/>
              <w:bottom w:w="100" w:type="dxa"/>
              <w:left w:w="150" w:type="dxa"/>
              <w:right w:w="150" w:type="dxa"/>
            </w:tcMar>
            <w:vAlign w:val="center"/>
          </w:tcPr>
          <w:p>
            <w:pPr>
              <w:pStyle w:val="Compact"/>
              <w:jc w:val="left"/>
              <w:suppressAutoHyphens/>
            </w:pPr>
            <w:r>
              <w:t xml:space="preserve">Zero/near-zero barrier</w:t>
            </w:r>
          </w:p>
        </w:tc>
        <w:tc>
          <w:tcPr>
            <w:tcMar>
              <w:top w:w="100" w:type="dxa"/>
              <w:bottom w:w="100" w:type="dxa"/>
              <w:left w:w="150" w:type="dxa"/>
              <w:right w:w="150" w:type="dxa"/>
            </w:tcMar>
            <w:vAlign w:val="center"/>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8"/>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8"/>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8"/>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8"/>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6"/>
        <w:gridCol w:w="2882"/>
        <w:gridCol w:w="2031"/>
        <w:gridCol w:w="268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82"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031"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68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w:t>
            </w:r>
          </w:p>
        </w:tc>
        <w:tc>
          <w:tcPr>
            <w:tcMar>
              <w:top w:w="100" w:type="dxa"/>
              <w:bottom w:w="100" w:type="dxa"/>
              <w:left w:w="150" w:type="dxa"/>
              <w:right w:w="150" w:type="dxa"/>
            </w:tcMar>
            <w:vAlign w:val="center"/>
            <w:shd w:val="clear" w:color="auto" w:fill="E9EDF6"/>
            <w:tcW w:w="2882" w:type="dxa"/>
          </w:tcPr>
          <w:p>
            <w:pPr>
              <w:pStyle w:val="Compact"/>
              <w:jc w:val="left"/>
            </w:pPr>
            <w:r>
              <w:t xml:space="preserve">Founders + volunteer ambassadors</w:t>
            </w:r>
          </w:p>
        </w:tc>
        <w:tc>
          <w:tcPr>
            <w:tcMar>
              <w:top w:w="100" w:type="dxa"/>
              <w:bottom w:w="100" w:type="dxa"/>
              <w:left w:w="150" w:type="dxa"/>
              <w:right w:w="150" w:type="dxa"/>
            </w:tcMar>
            <w:vAlign w:val="center"/>
            <w:shd w:val="clear" w:color="auto" w:fill="E9EDF6"/>
            <w:tcW w:w="2031" w:type="dxa"/>
          </w:tcPr>
          <w:p>
            <w:pPr>
              <w:pStyle w:val="Compact"/>
              <w:jc w:val="left"/>
            </w:pPr>
            <w:r>
              <w:t xml:space="preserve">0 dedicated FTE</w:t>
            </w:r>
          </w:p>
        </w:tc>
        <w:tc>
          <w:tcPr>
            <w:tcMar>
              <w:top w:w="100" w:type="dxa"/>
              <w:bottom w:w="100" w:type="dxa"/>
              <w:left w:w="150" w:type="dxa"/>
              <w:right w:w="150" w:type="dxa"/>
            </w:tcMar>
            <w:vAlign w:val="center"/>
            <w:shd w:val="clear" w:color="auto" w:fill="E9EDF6"/>
            <w:tcW w:w="2683" w:type="dxa"/>
          </w:tcPr>
          <w:p>
            <w:pPr>
              <w:pStyle w:val="Compact"/>
              <w:jc w:val="left"/>
            </w:pPr>
            <w:r>
              <w:t xml:space="preserve">Marketing 10% line (stipends only)</w:t>
            </w:r>
          </w:p>
        </w:tc>
      </w:tr>
      <w:tr>
        <w:trPr>
          <w:cantSplit/>
        </w:trPr>
        <w:tc>
          <w:tcPr>
            <w:tcMar>
              <w:top w:w="100" w:type="dxa"/>
              <w:bottom w:w="100" w:type="dxa"/>
              <w:left w:w="150" w:type="dxa"/>
              <w:right w:w="150" w:type="dxa"/>
            </w:tcMar>
            <w:vAlign w:val="center"/>
            <w:tcW w:w="1476" w:type="dxa"/>
          </w:tcPr>
          <w:p>
            <w:pPr>
              <w:pStyle w:val="Compact"/>
              <w:jc w:val="left"/>
            </w:pPr>
            <w:r>
              <w:t xml:space="preserve">3–5</w:t>
            </w:r>
          </w:p>
        </w:tc>
        <w:tc>
          <w:tcPr>
            <w:tcMar>
              <w:top w:w="100" w:type="dxa"/>
              <w:bottom w:w="100" w:type="dxa"/>
              <w:left w:w="150" w:type="dxa"/>
              <w:right w:w="150" w:type="dxa"/>
            </w:tcMar>
            <w:vAlign w:val="center"/>
            <w:tcW w:w="2882" w:type="dxa"/>
          </w:tcPr>
          <w:p>
            <w:pPr>
              <w:pStyle w:val="Compact"/>
              <w:jc w:val="left"/>
            </w:pPr>
            <w:r>
              <w:t xml:space="preserve">Marketing &amp; Admissions Outreach Coordinator</w:t>
            </w:r>
          </w:p>
        </w:tc>
        <w:tc>
          <w:tcPr>
            <w:tcMar>
              <w:top w:w="100" w:type="dxa"/>
              <w:bottom w:w="100" w:type="dxa"/>
              <w:left w:w="150" w:type="dxa"/>
              <w:right w:w="150" w:type="dxa"/>
            </w:tcMar>
            <w:vAlign w:val="center"/>
            <w:tcW w:w="2031" w:type="dxa"/>
          </w:tcPr>
          <w:p>
            <w:pPr>
              <w:pStyle w:val="Compact"/>
              <w:jc w:val="left"/>
            </w:pPr>
            <w:r>
              <w:t xml:space="preserve">0.5–1.0</w:t>
            </w:r>
          </w:p>
        </w:tc>
        <w:tc>
          <w:tcPr>
            <w:tcMar>
              <w:top w:w="100" w:type="dxa"/>
              <w:bottom w:w="100" w:type="dxa"/>
              <w:left w:w="150" w:type="dxa"/>
              <w:right w:w="150" w:type="dxa"/>
            </w:tcMar>
            <w:vAlign w:val="center"/>
            <w:tcW w:w="2683" w:type="dxa"/>
          </w:tcPr>
          <w:p>
            <w:pPr>
              <w:pStyle w:val="Compact"/>
              <w:jc w:val="left"/>
            </w:pPr>
            <w:r>
              <w:t xml:space="preserve">Payroll — Core Admin Staff sub-line</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10</w:t>
            </w:r>
          </w:p>
        </w:tc>
        <w:tc>
          <w:tcPr>
            <w:tcMar>
              <w:top w:w="100" w:type="dxa"/>
              <w:bottom w:w="100" w:type="dxa"/>
              <w:left w:w="150" w:type="dxa"/>
              <w:right w:w="150" w:type="dxa"/>
            </w:tcMar>
            <w:vAlign w:val="center"/>
            <w:shd w:val="clear" w:color="auto" w:fill="E9EDF6"/>
            <w:tcW w:w="2882" w:type="dxa"/>
          </w:tcPr>
          <w:p>
            <w:pPr>
              <w:pStyle w:val="Compact"/>
              <w:jc w:val="left"/>
            </w:pPr>
            <w:r>
              <w:t xml:space="preserve">Regional marketing/admissions liaisons (one per major tier region)</w:t>
            </w:r>
          </w:p>
        </w:tc>
        <w:tc>
          <w:tcPr>
            <w:tcMar>
              <w:top w:w="100" w:type="dxa"/>
              <w:bottom w:w="100" w:type="dxa"/>
              <w:left w:w="150" w:type="dxa"/>
              <w:right w:w="150" w:type="dxa"/>
            </w:tcMar>
            <w:vAlign w:val="center"/>
            <w:shd w:val="clear" w:color="auto" w:fill="E9EDF6"/>
            <w:tcW w:w="2031" w:type="dxa"/>
          </w:tcPr>
          <w:p>
            <w:pPr>
              <w:pStyle w:val="Compact"/>
              <w:jc w:val="left"/>
            </w:pPr>
            <w:r>
              <w:t xml:space="preserve">2–3</w:t>
            </w:r>
          </w:p>
        </w:tc>
        <w:tc>
          <w:tcPr>
            <w:tcMar>
              <w:top w:w="100" w:type="dxa"/>
              <w:bottom w:w="100" w:type="dxa"/>
              <w:left w:w="150" w:type="dxa"/>
              <w:right w:w="150" w:type="dxa"/>
            </w:tcMar>
            <w:vAlign w:val="center"/>
            <w:shd w:val="clear" w:color="auto" w:fill="E9EDF6"/>
            <w:tcW w:w="2683" w:type="dxa"/>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9"/>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9"/>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9"/>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20"/>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20"/>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20"/>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10"/>
        <w:gridCol w:w="3181"/>
        <w:gridCol w:w="1914"/>
        <w:gridCol w:w="25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1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318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1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567"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Brand/comms duties held by Founders/DVC Admin &amp; Finance</w:t>
            </w:r>
          </w:p>
        </w:tc>
        <w:tc>
          <w:tcPr>
            <w:tcMar>
              <w:top w:w="100" w:type="dxa"/>
              <w:bottom w:w="100" w:type="dxa"/>
              <w:left w:w="150" w:type="dxa"/>
              <w:right w:w="150" w:type="dxa"/>
            </w:tcMar>
            <w:vAlign w:val="center"/>
            <w:shd w:val="clear" w:color="auto" w:fill="E9EDF6"/>
            <w:tcW w:w="191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(nominal)</w:t>
            </w:r>
          </w:p>
        </w:tc>
      </w:tr>
      <w:tr>
        <w:trPr>
          <w:cantSplit/>
        </w:trPr>
        <w:tc>
          <w:tcPr>
            <w:tcMar>
              <w:top w:w="100" w:type="dxa"/>
              <w:bottom w:w="100" w:type="dxa"/>
              <w:left w:w="150" w:type="dxa"/>
              <w:right w:w="150" w:type="dxa"/>
            </w:tcMar>
            <w:vAlign w:val="center"/>
            <w:tcW w:w="1410" w:type="dxa"/>
          </w:tcPr>
          <w:p>
            <w:pPr>
              <w:pStyle w:val="Compact"/>
              <w:jc w:val="left"/>
            </w:pPr>
            <w:r>
              <w:t xml:space="preserve">5</w:t>
            </w:r>
          </w:p>
        </w:tc>
        <w:tc>
          <w:tcPr>
            <w:tcMar>
              <w:top w:w="100" w:type="dxa"/>
              <w:bottom w:w="100" w:type="dxa"/>
              <w:left w:w="150" w:type="dxa"/>
              <w:right w:w="150" w:type="dxa"/>
            </w:tcMar>
            <w:vAlign w:val="center"/>
            <w:tcW w:w="3181" w:type="dxa"/>
          </w:tcPr>
          <w:p>
            <w:pPr>
              <w:pStyle w:val="Compact"/>
              <w:jc w:val="left"/>
            </w:pPr>
            <w:r>
              <w:t xml:space="preserve">Brand &amp; Communications Officer</w:t>
            </w:r>
          </w:p>
        </w:tc>
        <w:tc>
          <w:tcPr>
            <w:tcMar>
              <w:top w:w="100" w:type="dxa"/>
              <w:bottom w:w="100" w:type="dxa"/>
              <w:left w:w="150" w:type="dxa"/>
              <w:right w:w="150" w:type="dxa"/>
            </w:tcMar>
            <w:vAlign w:val="center"/>
            <w:tcW w:w="1914" w:type="dxa"/>
          </w:tcPr>
          <w:p>
            <w:pPr>
              <w:pStyle w:val="Compact"/>
              <w:jc w:val="left"/>
            </w:pPr>
            <w:r>
              <w:t xml:space="preserve">0.5</w:t>
            </w:r>
          </w:p>
        </w:tc>
        <w:tc>
          <w:tcPr>
            <w:tcMar>
              <w:top w:w="100" w:type="dxa"/>
              <w:bottom w:w="100" w:type="dxa"/>
              <w:left w:w="150" w:type="dxa"/>
              <w:right w:w="150" w:type="dxa"/>
            </w:tcMar>
            <w:vAlign w:val="center"/>
            <w:tcW w:w="2567"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10</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Brand/Communications Officer + regional brand liaisons (part-time)</w:t>
            </w:r>
          </w:p>
        </w:tc>
        <w:tc>
          <w:tcPr>
            <w:tcMar>
              <w:top w:w="100" w:type="dxa"/>
              <w:bottom w:w="100" w:type="dxa"/>
              <w:left w:w="150" w:type="dxa"/>
              <w:right w:w="150" w:type="dxa"/>
            </w:tcMar>
            <w:vAlign w:val="center"/>
            <w:shd w:val="clear" w:color="auto" w:fill="E9EDF6"/>
            <w:tcW w:w="1914" w:type="dxa"/>
          </w:tcPr>
          <w:p>
            <w:pPr>
              <w:pStyle w:val="Compact"/>
              <w:jc w:val="left"/>
            </w:pPr>
            <w:r>
              <w:t xml:space="preserve">1.0 +</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Layout w:type="fixed"/>
      </w:tblPr>
      <w:tblGrid>
        <w:gridCol w:w="2530"/>
        <w:gridCol w:w="1930"/>
        <w:gridCol w:w="2381"/>
        <w:gridCol w:w="223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30"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1930"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381" w:type="dxa"/>
          </w:tcPr>
          <w:p>
            <w:pPr>
              <w:pStyle w:val="Compact"/>
              <w:jc w:val="left"/>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W w:w="2231"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Digital four-tier global reach</w:t>
            </w:r>
          </w:p>
        </w:tc>
        <w:tc>
          <w:tcPr>
            <w:tcMar>
              <w:top w:w="100" w:type="dxa"/>
              <w:bottom w:w="100" w:type="dxa"/>
              <w:left w:w="150" w:type="dxa"/>
              <w:right w:w="150" w:type="dxa"/>
            </w:tcMar>
            <w:vAlign w:val="center"/>
            <w:shd w:val="clear" w:color="auto" w:fill="E9EDF6"/>
            <w:tcW w:w="1930" w:type="dxa"/>
          </w:tcPr>
          <w:p>
            <w:pPr>
              <w:pStyle w:val="Compact"/>
              <w:jc w:val="left"/>
            </w:pPr>
            <w:r>
              <w:t xml:space="preserve">Ongoing from Year 1 (2028)</w:t>
            </w:r>
          </w:p>
        </w:tc>
        <w:tc>
          <w:tcPr>
            <w:tcMar>
              <w:top w:w="100" w:type="dxa"/>
              <w:bottom w:w="100" w:type="dxa"/>
              <w:left w:w="150" w:type="dxa"/>
              <w:right w:w="150" w:type="dxa"/>
            </w:tcMar>
            <w:vAlign w:val="center"/>
            <w:shd w:val="clear" w:color="auto" w:fill="E9EDF6"/>
            <w:tcW w:w="2381" w:type="dxa"/>
          </w:tcPr>
          <w:p>
            <w:pPr>
              <w:pStyle w:val="Compact"/>
              <w:jc w:val="left"/>
            </w:pPr>
            <w:r>
              <w:t xml:space="preserve">Core tuition model, no campus required</w:t>
            </w:r>
          </w:p>
        </w:tc>
        <w:tc>
          <w:tcPr>
            <w:tcMar>
              <w:top w:w="100" w:type="dxa"/>
              <w:bottom w:w="100" w:type="dxa"/>
              <w:left w:w="150" w:type="dxa"/>
              <w:right w:w="150" w:type="dxa"/>
            </w:tcMar>
            <w:vAlign w:val="center"/>
            <w:shd w:val="clear" w:color="auto" w:fill="E9EDF6"/>
            <w:tcW w:w="2231" w:type="dxa"/>
          </w:tcPr>
          <w:p>
            <w:pPr>
              <w:pStyle w:val="Compact"/>
              <w:jc w:val="left"/>
            </w:pPr>
            <w:r>
              <w:t xml:space="preserve">Gross tuition revenue</w:t>
            </w:r>
          </w:p>
        </w:tc>
      </w:tr>
      <w:tr>
        <w:trPr>
          <w:cantSplit/>
        </w:trPr>
        <w:tc>
          <w:tcPr>
            <w:tcMar>
              <w:top w:w="100" w:type="dxa"/>
              <w:bottom w:w="100" w:type="dxa"/>
              <w:left w:w="150" w:type="dxa"/>
              <w:right w:w="150" w:type="dxa"/>
            </w:tcMar>
            <w:vAlign w:val="center"/>
            <w:tcW w:w="2530" w:type="dxa"/>
          </w:tcPr>
          <w:p>
            <w:pPr>
              <w:pStyle w:val="Compact"/>
              <w:jc w:val="left"/>
            </w:pPr>
            <w:r>
              <w:t xml:space="preserve">Gambia Branch Campus</w:t>
            </w:r>
          </w:p>
        </w:tc>
        <w:tc>
          <w:tcPr>
            <w:tcMar>
              <w:top w:w="100" w:type="dxa"/>
              <w:bottom w:w="100" w:type="dxa"/>
              <w:left w:w="150" w:type="dxa"/>
              <w:right w:w="150" w:type="dxa"/>
            </w:tcMar>
            <w:vAlign w:val="center"/>
            <w:tcW w:w="1930" w:type="dxa"/>
          </w:tcPr>
          <w:p>
            <w:pPr>
              <w:pStyle w:val="Compact"/>
              <w:jc w:val="left"/>
            </w:pPr>
            <w:r>
              <w:t xml:space="preserve">Stage 3, Years 2–4 (2029–2031)</w:t>
            </w:r>
          </w:p>
        </w:tc>
        <w:tc>
          <w:tcPr>
            <w:tcMar>
              <w:top w:w="100" w:type="dxa"/>
              <w:bottom w:w="100" w:type="dxa"/>
              <w:left w:w="150" w:type="dxa"/>
              <w:right w:w="150" w:type="dxa"/>
            </w:tcMar>
            <w:vAlign w:val="center"/>
            <w:tcW w:w="2381" w:type="dxa"/>
          </w:tcPr>
          <w:p>
            <w:pPr>
              <w:pStyle w:val="Compact"/>
              <w:jc w:val="left"/>
            </w:pPr>
            <w:r>
              <w:t xml:space="preserve">$50,000 Board-approved ceiling; independent NAQAA accreditation pursuit</w:t>
            </w:r>
          </w:p>
        </w:tc>
        <w:tc>
          <w:tcPr>
            <w:tcMar>
              <w:top w:w="100" w:type="dxa"/>
              <w:bottom w:w="100" w:type="dxa"/>
              <w:left w:w="150" w:type="dxa"/>
              <w:right w:w="150" w:type="dxa"/>
            </w:tcMar>
            <w:vAlign w:val="center"/>
            <w:tcW w:w="2231" w:type="dxa"/>
          </w:tcPr>
          <w:p>
            <w:pPr>
              <w:pStyle w:val="Compact"/>
              <w:jc w:val="left"/>
            </w:pPr>
            <w:r>
              <w:t xml:space="preserve">Liquidity Reserve (35%)</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Nigeria Mega-University Initiative</w:t>
            </w:r>
          </w:p>
        </w:tc>
        <w:tc>
          <w:tcPr>
            <w:tcMar>
              <w:top w:w="100" w:type="dxa"/>
              <w:bottom w:w="100" w:type="dxa"/>
              <w:left w:w="150" w:type="dxa"/>
              <w:right w:w="150" w:type="dxa"/>
            </w:tcMar>
            <w:vAlign w:val="center"/>
            <w:shd w:val="clear" w:color="auto" w:fill="E9EDF6"/>
            <w:tcW w:w="1930" w:type="dxa"/>
          </w:tcPr>
          <w:p>
            <w:pPr>
              <w:pStyle w:val="Compact"/>
              <w:jc w:val="left"/>
            </w:pPr>
            <w:r>
              <w:t xml:space="preserve">Target Year 10 (2037) charter application to National Assembly/NUC</w:t>
            </w:r>
          </w:p>
        </w:tc>
        <w:tc>
          <w:tcPr>
            <w:tcMar>
              <w:top w:w="100" w:type="dxa"/>
              <w:bottom w:w="100" w:type="dxa"/>
              <w:left w:w="150" w:type="dxa"/>
              <w:right w:w="150" w:type="dxa"/>
            </w:tcMar>
            <w:vAlign w:val="center"/>
            <w:shd w:val="clear" w:color="auto" w:fill="E9EDF6"/>
            <w:tcW w:w="2381" w:type="dxa"/>
          </w:tcPr>
          <w:p>
            <w:pPr>
              <w:pStyle w:val="Compact"/>
              <w:jc w:val="left"/>
            </w:pPr>
            <w:r>
              <w:t xml:space="preserve">Physical charter for public legitimacy in largest Tier-3 market</w:t>
            </w:r>
          </w:p>
        </w:tc>
        <w:tc>
          <w:tcPr>
            <w:tcMar>
              <w:top w:w="100" w:type="dxa"/>
              <w:bottom w:w="100" w:type="dxa"/>
              <w:left w:w="150" w:type="dxa"/>
              <w:right w:w="150" w:type="dxa"/>
            </w:tcMar>
            <w:vAlign w:val="center"/>
            <w:shd w:val="clear" w:color="auto" w:fill="E9EDF6"/>
            <w:tcW w:w="2231" w:type="dxa"/>
          </w:tcPr>
          <w:p>
            <w:pPr>
              <w:pStyle w:val="Compact"/>
              <w:jc w:val="left"/>
            </w:pPr>
            <w:r>
              <w:t xml:space="preserve">Waqf Nigeria Reserve sub-line ($333,383 10-yr cumulative, within Waqf &amp; Stakeholder Reserve 20%)</w:t>
            </w:r>
          </w:p>
        </w:tc>
      </w:tr>
      <w:tr>
        <w:trPr>
          <w:cantSplit/>
        </w:trPr>
        <w:tc>
          <w:tcPr>
            <w:tcMar>
              <w:top w:w="100" w:type="dxa"/>
              <w:bottom w:w="100" w:type="dxa"/>
              <w:left w:w="150" w:type="dxa"/>
              <w:right w:w="150" w:type="dxa"/>
            </w:tcMar>
            <w:vAlign w:val="center"/>
            <w:tcW w:w="2530" w:type="dxa"/>
          </w:tcPr>
          <w:p>
            <w:pPr>
              <w:pStyle w:val="Compact"/>
              <w:jc w:val="left"/>
            </w:pPr>
            <w:r>
              <w:t xml:space="preserve">First Gulf ministry recognition</w:t>
            </w:r>
          </w:p>
        </w:tc>
        <w:tc>
          <w:tcPr>
            <w:tcMar>
              <w:top w:w="100" w:type="dxa"/>
              <w:bottom w:w="100" w:type="dxa"/>
              <w:left w:w="150" w:type="dxa"/>
              <w:right w:w="150" w:type="dxa"/>
            </w:tcMar>
            <w:vAlign w:val="center"/>
            <w:tcW w:w="1930" w:type="dxa"/>
          </w:tcPr>
          <w:p>
            <w:pPr>
              <w:pStyle w:val="Compact"/>
              <w:jc w:val="left"/>
            </w:pPr>
            <w:r>
              <w:t xml:space="preserve">Target Year 13 (2040)</w:t>
            </w:r>
          </w:p>
        </w:tc>
        <w:tc>
          <w:tcPr>
            <w:tcMar>
              <w:top w:w="100" w:type="dxa"/>
              <w:bottom w:w="100" w:type="dxa"/>
              <w:left w:w="150" w:type="dxa"/>
              <w:right w:w="150" w:type="dxa"/>
            </w:tcMar>
            <w:vAlign w:val="center"/>
            <w:tcW w:w="2381" w:type="dxa"/>
          </w:tcPr>
          <w:p>
            <w:pPr>
              <w:pStyle w:val="Compact"/>
              <w:jc w:val="left"/>
            </w:pPr>
            <w:r>
              <w:t xml:space="preserve">Recognition agreement, not a physical campus</w:t>
            </w:r>
          </w:p>
        </w:tc>
        <w:tc>
          <w:tcPr>
            <w:tcMar>
              <w:top w:w="100" w:type="dxa"/>
              <w:bottom w:w="100" w:type="dxa"/>
              <w:left w:w="150" w:type="dxa"/>
              <w:right w:w="150" w:type="dxa"/>
            </w:tcMar>
            <w:vAlign w:val="center"/>
            <w:tcW w:w="2231"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1"/>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1"/>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1"/>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1"/>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2527"/>
        <w:gridCol w:w="2166"/>
        <w:gridCol w:w="1775"/>
        <w:gridCol w:w="260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27"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216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775"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604"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Gambia</w:t>
            </w:r>
          </w:p>
        </w:tc>
        <w:tc>
          <w:tcPr>
            <w:tcMar>
              <w:top w:w="100" w:type="dxa"/>
              <w:bottom w:w="100" w:type="dxa"/>
              <w:left w:w="150" w:type="dxa"/>
              <w:right w:w="150" w:type="dxa"/>
            </w:tcMar>
            <w:vAlign w:val="center"/>
            <w:shd w:val="clear" w:color="auto" w:fill="E9EDF6"/>
            <w:tcW w:w="2166" w:type="dxa"/>
          </w:tcPr>
          <w:p>
            <w:pPr>
              <w:pStyle w:val="Compact"/>
              <w:jc w:val="left"/>
            </w:pPr>
            <w:r>
              <w:t xml:space="preserve">Campus Director/Registrar (1 FTE) + 1–2 local admin hires</w:t>
            </w:r>
          </w:p>
        </w:tc>
        <w:tc>
          <w:tcPr>
            <w:tcMar>
              <w:top w:w="100" w:type="dxa"/>
              <w:bottom w:w="100" w:type="dxa"/>
              <w:left w:w="150" w:type="dxa"/>
              <w:right w:w="150" w:type="dxa"/>
            </w:tcMar>
            <w:vAlign w:val="center"/>
            <w:shd w:val="clear" w:color="auto" w:fill="E9EDF6"/>
            <w:tcW w:w="1775" w:type="dxa"/>
          </w:tcPr>
          <w:p>
            <w:pPr>
              <w:pStyle w:val="Compact"/>
              <w:jc w:val="left"/>
            </w:pPr>
            <w:r>
              <w:t xml:space="preserve">From Year 2</w:t>
            </w:r>
          </w:p>
        </w:tc>
        <w:tc>
          <w:tcPr>
            <w:tcMar>
              <w:top w:w="100" w:type="dxa"/>
              <w:bottom w:w="100" w:type="dxa"/>
              <w:left w:w="150" w:type="dxa"/>
              <w:right w:w="150" w:type="dxa"/>
            </w:tcMar>
            <w:vAlign w:val="center"/>
            <w:shd w:val="clear" w:color="auto" w:fill="E9EDF6"/>
            <w:tcW w:w="2604" w:type="dxa"/>
          </w:tcPr>
          <w:p>
            <w:pPr>
              <w:pStyle w:val="Compact"/>
              <w:jc w:val="left"/>
            </w:pPr>
            <w:r>
              <w:t xml:space="preserve">Payroll — Founders’ Compensation / Core Admin Staff</w:t>
            </w:r>
          </w:p>
        </w:tc>
      </w:tr>
      <w:tr>
        <w:trPr>
          <w:cantSplit/>
        </w:trPr>
        <w:tc>
          <w:tcPr>
            <w:tcMar>
              <w:top w:w="100" w:type="dxa"/>
              <w:bottom w:w="100" w:type="dxa"/>
              <w:left w:w="150" w:type="dxa"/>
              <w:right w:w="150" w:type="dxa"/>
            </w:tcMar>
            <w:vAlign w:val="center"/>
            <w:tcW w:w="2527" w:type="dxa"/>
          </w:tcPr>
          <w:p>
            <w:pPr>
              <w:pStyle w:val="Compact"/>
              <w:jc w:val="left"/>
            </w:pPr>
            <w:r>
              <w:t xml:space="preserve">Nigeria</w:t>
            </w:r>
          </w:p>
        </w:tc>
        <w:tc>
          <w:tcPr>
            <w:tcMar>
              <w:top w:w="100" w:type="dxa"/>
              <w:bottom w:w="100" w:type="dxa"/>
              <w:left w:w="150" w:type="dxa"/>
              <w:right w:w="150" w:type="dxa"/>
            </w:tcMar>
            <w:vAlign w:val="center"/>
            <w:tcW w:w="2166" w:type="dxa"/>
          </w:tcPr>
          <w:p>
            <w:pPr>
              <w:pStyle w:val="Compact"/>
              <w:jc w:val="left"/>
            </w:pPr>
            <w:r>
              <w:t xml:space="preserve">Charter Liaison/Government Relations Officer (part-time)</w:t>
            </w:r>
          </w:p>
        </w:tc>
        <w:tc>
          <w:tcPr>
            <w:tcMar>
              <w:top w:w="100" w:type="dxa"/>
              <w:bottom w:w="100" w:type="dxa"/>
              <w:left w:w="150" w:type="dxa"/>
              <w:right w:w="150" w:type="dxa"/>
            </w:tcMar>
            <w:vAlign w:val="center"/>
            <w:tcW w:w="1775" w:type="dxa"/>
          </w:tcPr>
          <w:p>
            <w:pPr>
              <w:pStyle w:val="Compact"/>
              <w:jc w:val="left"/>
            </w:pPr>
            <w:r>
              <w:t xml:space="preserve">Years 7–10</w:t>
            </w:r>
          </w:p>
        </w:tc>
        <w:tc>
          <w:tcPr>
            <w:tcMar>
              <w:top w:w="100" w:type="dxa"/>
              <w:bottom w:w="100" w:type="dxa"/>
              <w:left w:w="150" w:type="dxa"/>
              <w:right w:w="150" w:type="dxa"/>
            </w:tcMar>
            <w:vAlign w:val="center"/>
            <w:tcW w:w="2604" w:type="dxa"/>
          </w:tcPr>
          <w:p>
            <w:pPr>
              <w:pStyle w:val="Compact"/>
              <w:jc w:val="left"/>
            </w:pPr>
            <w:r>
              <w:t xml:space="preserve">Waqf Nigeria Reserve sub-line administrative allowance</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Gulf</w:t>
            </w:r>
          </w:p>
        </w:tc>
        <w:tc>
          <w:tcPr>
            <w:tcMar>
              <w:top w:w="100" w:type="dxa"/>
              <w:bottom w:w="100" w:type="dxa"/>
              <w:left w:w="150" w:type="dxa"/>
              <w:right w:w="150" w:type="dxa"/>
            </w:tcMar>
            <w:vAlign w:val="center"/>
            <w:shd w:val="clear" w:color="auto" w:fill="E9EDF6"/>
            <w:tcW w:w="2166" w:type="dxa"/>
          </w:tcPr>
          <w:p>
            <w:pPr>
              <w:pStyle w:val="Compact"/>
              <w:jc w:val="left"/>
            </w:pPr>
            <w:r>
              <w:t xml:space="preserve">Ministry Relations Officer (part-time contract)</w:t>
            </w:r>
          </w:p>
        </w:tc>
        <w:tc>
          <w:tcPr>
            <w:tcMar>
              <w:top w:w="100" w:type="dxa"/>
              <w:bottom w:w="100" w:type="dxa"/>
              <w:left w:w="150" w:type="dxa"/>
              <w:right w:w="150" w:type="dxa"/>
            </w:tcMar>
            <w:vAlign w:val="center"/>
            <w:shd w:val="clear" w:color="auto" w:fill="E9EDF6"/>
            <w:tcW w:w="1775" w:type="dxa"/>
          </w:tcPr>
          <w:p>
            <w:pPr>
              <w:pStyle w:val="Compact"/>
              <w:jc w:val="left"/>
            </w:pPr>
            <w:r>
              <w:t xml:space="preserve">Years 11–13</w:t>
            </w:r>
          </w:p>
        </w:tc>
        <w:tc>
          <w:tcPr>
            <w:tcMar>
              <w:top w:w="100" w:type="dxa"/>
              <w:bottom w:w="100" w:type="dxa"/>
              <w:left w:w="150" w:type="dxa"/>
              <w:right w:w="150" w:type="dxa"/>
            </w:tcMar>
            <w:vAlign w:val="center"/>
            <w:shd w:val="clear" w:color="auto" w:fill="E9EDF6"/>
            <w:tcW w:w="2604"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Source Serif 4" w:hAnsi="Source Serif 4"/>
                <w:i/>
                <w:smallCaps/>
                <w:color w:val="8C97AB"/>
                <w:sz w:val="19"/>
                <w:spacing w:val="10"/>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Desk research, Nigerian diaspora/community consultation, no physical footprint or committed spend</w:t>
            </w:r>
          </w:p>
        </w:tc>
      </w:tr>
      <w:tr>
        <w:trPr>
          <w:cantSplit/>
        </w:trPr>
        <w:tc>
          <w:tcPr>
            <w:tcMar>
              <w:top w:w="100" w:type="dxa"/>
              <w:bottom w:w="100" w:type="dxa"/>
              <w:left w:w="150" w:type="dxa"/>
              <w:right w:w="150" w:type="dxa"/>
            </w:tcMar>
            <w:vAlign w:val="center"/>
          </w:tcPr>
          <w:p>
            <w:pPr>
              <w:pStyle w:val="Compact"/>
              <w:jc w:val="left"/>
              <w:suppressAutoHyphens/>
            </w:pPr>
            <w:r>
              <w:t xml:space="preserve">1 — Feasibility</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Statutory Sequencing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2034–2036</w:t>
            </w:r>
          </w:p>
        </w:tc>
        <w:tc>
          <w:tcPr>
            <w:tcMar>
              <w:top w:w="100" w:type="dxa"/>
              <w:bottom w:w="100" w:type="dxa"/>
              <w:left w:w="150" w:type="dxa"/>
              <w:right w:w="150" w:type="dxa"/>
            </w:tcMar>
            <w:vAlign w:val="center"/>
            <w:shd w:val="clear" w:color="auto" w:fill="E9EDF6"/>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tcMar>
              <w:top w:w="100" w:type="dxa"/>
              <w:bottom w:w="100" w:type="dxa"/>
              <w:left w:w="150" w:type="dxa"/>
              <w:right w:w="150" w:type="dxa"/>
            </w:tcMar>
            <w:vAlign w:val="center"/>
          </w:tcPr>
          <w:p>
            <w:pPr>
              <w:pStyle w:val="Compact"/>
              <w:jc w:val="left"/>
              <w:suppressAutoHyphens/>
            </w:pPr>
            <w:r>
              <w:t xml:space="preserve">3 — Charter Application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10 / 2037</w:t>
            </w:r>
          </w:p>
        </w:tc>
        <w:tc>
          <w:tcPr>
            <w:tcMar>
              <w:top w:w="100" w:type="dxa"/>
              <w:bottom w:w="100" w:type="dxa"/>
              <w:left w:w="150" w:type="dxa"/>
              <w:right w:w="150" w:type="dxa"/>
            </w:tcMar>
            <w:vAlign w:val="center"/>
          </w:tcPr>
          <w:p>
            <w:pPr>
              <w:pStyle w:val="Compact"/>
              <w:jc w:val="left"/>
              <w:suppressAutoHyphens/>
            </w:pPr>
            <w:r>
              <w:t xml:space="preserve">Formal presentation and charter application to Nigeria’s National Assembly and NUC (sovereign processes outside AMIU control)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Contingent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2"/>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2"/>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Presence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2028–2031</w:t>
            </w:r>
          </w:p>
        </w:tc>
        <w:tc>
          <w:tcPr>
            <w:tcMar>
              <w:top w:w="100" w:type="dxa"/>
              <w:bottom w:w="100" w:type="dxa"/>
              <w:left w:w="150" w:type="dxa"/>
              <w:right w:w="150" w:type="dxa"/>
            </w:tcMar>
            <w:vAlign w:val="center"/>
            <w:shd w:val="clear" w:color="auto" w:fill="E9EDF6"/>
          </w:tcPr>
          <w:p>
            <w:pPr>
              <w:pStyle w:val="Compact"/>
              <w:jc w:val="left"/>
              <w:suppressAutoHyphens/>
            </w:pPr>
            <w:r>
              <w:t xml:space="preserve">Arabic-English bilingual marketing, Gulf-targeted social/digital campaigns, mosque community engagement (informal)</w:t>
            </w:r>
          </w:p>
        </w:tc>
      </w:tr>
      <w:tr>
        <w:trPr>
          <w:cantSplit/>
        </w:trPr>
        <w:tc>
          <w:tcPr>
            <w:tcMar>
              <w:top w:w="100" w:type="dxa"/>
              <w:bottom w:w="100" w:type="dxa"/>
              <w:left w:w="150" w:type="dxa"/>
              <w:right w:w="150" w:type="dxa"/>
            </w:tcMar>
            <w:vAlign w:val="center"/>
          </w:tcPr>
          <w:p>
            <w:pPr>
              <w:pStyle w:val="Compact"/>
              <w:jc w:val="left"/>
              <w:suppressAutoHyphens/>
            </w:pPr>
            <w:r>
              <w:t xml:space="preserve">2 — Relationship Building</w:t>
            </w:r>
          </w:p>
        </w:tc>
        <w:tc>
          <w:tcPr>
            <w:tcMar>
              <w:top w:w="100" w:type="dxa"/>
              <w:bottom w:w="100" w:type="dxa"/>
              <w:left w:w="150" w:type="dxa"/>
              <w:right w:w="150" w:type="dxa"/>
            </w:tcMar>
            <w:vAlign w:val="center"/>
          </w:tcPr>
          <w:p>
            <w:pPr>
              <w:pStyle w:val="Compact"/>
              <w:jc w:val="left"/>
              <w:suppressAutoHyphens/>
            </w:pPr>
            <w:r>
              <w:t xml:space="preserve">2032–2035</w:t>
            </w:r>
          </w:p>
        </w:tc>
        <w:tc>
          <w:tcPr>
            <w:tcMar>
              <w:top w:w="100" w:type="dxa"/>
              <w:bottom w:w="100" w:type="dxa"/>
              <w:left w:w="150" w:type="dxa"/>
              <w:right w:w="150" w:type="dxa"/>
            </w:tcMar>
            <w:vAlign w:val="center"/>
          </w:tcPr>
          <w:p>
            <w:pPr>
              <w:pStyle w:val="Compact"/>
              <w:jc w:val="left"/>
              <w:suppressAutoHyphens/>
            </w:pPr>
            <w:r>
              <w:t xml:space="preserve">Gulf student ambassador program, informal contact with individual scholars/mosques, early donor cultivation conversations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Pre-Recognition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2036–2039</w:t>
            </w:r>
          </w:p>
        </w:tc>
        <w:tc>
          <w:tcPr>
            <w:tcMar>
              <w:top w:w="100" w:type="dxa"/>
              <w:bottom w:w="100" w:type="dxa"/>
              <w:left w:w="150" w:type="dxa"/>
              <w:right w:w="150" w:type="dxa"/>
            </w:tcMar>
            <w:vAlign w:val="center"/>
            <w:shd w:val="clear" w:color="auto" w:fill="E9EDF6"/>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tcMar>
              <w:top w:w="100" w:type="dxa"/>
              <w:bottom w:w="100" w:type="dxa"/>
              <w:left w:w="150" w:type="dxa"/>
              <w:right w:w="150" w:type="dxa"/>
            </w:tcMar>
            <w:vAlign w:val="center"/>
          </w:tcPr>
          <w:p>
            <w:pPr>
              <w:pStyle w:val="Compact"/>
              <w:jc w:val="left"/>
              <w:suppressAutoHyphens/>
            </w:pPr>
            <w:r>
              <w:t xml:space="preserve">4 — Ministry Recognition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13 / 2040</w:t>
            </w:r>
          </w:p>
        </w:tc>
        <w:tc>
          <w:tcPr>
            <w:tcMar>
              <w:top w:w="100" w:type="dxa"/>
              <w:bottom w:w="100" w:type="dxa"/>
              <w:left w:w="150" w:type="dxa"/>
              <w:right w:w="150" w:type="dxa"/>
            </w:tcMar>
            <w:vAlign w:val="center"/>
          </w:tcPr>
          <w:p>
            <w:pPr>
              <w:pStyle w:val="Compact"/>
              <w:jc w:val="left"/>
              <w:suppressAutoHyphens/>
            </w:pPr>
            <w:r>
              <w:t xml:space="preserve">First Gulf ministry recognition/accreditation agreement(s) targeted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Scaled Cross-Subsidy</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3"/>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3"/>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3"/>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LMS self-service advising portal, FAQ/knowledge base, async email support (Core Admin Staff), volunteer chaplaincy-faculty pastoral care</w:t>
            </w:r>
          </w:p>
        </w:tc>
      </w:tr>
      <w:tr>
        <w:trPr>
          <w:cantSplit/>
        </w:trPr>
        <w:tc>
          <w:tcPr>
            <w:tcMar>
              <w:top w:w="100" w:type="dxa"/>
              <w:bottom w:w="100" w:type="dxa"/>
              <w:left w:w="150" w:type="dxa"/>
              <w:right w:w="150" w:type="dxa"/>
            </w:tcMar>
            <w:vAlign w:val="center"/>
          </w:tcPr>
          <w:p>
            <w:pPr>
              <w:pStyle w:val="Compact"/>
              <w:jc w:val="left"/>
              <w:suppressAutoHyphens/>
            </w:pPr>
            <w:r>
              <w:t xml:space="preserve">2 — Structured Peer Support</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Formalized Escalation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tcMar>
              <w:top w:w="100" w:type="dxa"/>
              <w:bottom w:w="100" w:type="dxa"/>
              <w:left w:w="150" w:type="dxa"/>
              <w:right w:w="150" w:type="dxa"/>
            </w:tcMar>
            <w:vAlign w:val="center"/>
          </w:tcPr>
          <w:p>
            <w:pPr>
              <w:pStyle w:val="Compact"/>
              <w:jc w:val="left"/>
              <w:suppressAutoHyphens/>
            </w:pPr>
            <w:r>
              <w:t xml:space="preserve">4 — Dedicated Function</w:t>
            </w:r>
          </w:p>
        </w:tc>
        <w:tc>
          <w:tcPr>
            <w:tcMar>
              <w:top w:w="100" w:type="dxa"/>
              <w:bottom w:w="100" w:type="dxa"/>
              <w:left w:w="150" w:type="dxa"/>
              <w:right w:w="150" w:type="dxa"/>
            </w:tcMar>
            <w:vAlign w:val="center"/>
          </w:tcPr>
          <w:p>
            <w:pPr>
              <w:pStyle w:val="Compact"/>
              <w:jc w:val="left"/>
              <w:suppressAutoHyphens/>
            </w:pPr>
            <w:r>
              <w:t xml:space="preserve">2038+ (Year 11+)</w:t>
            </w:r>
          </w:p>
        </w:tc>
        <w:tc>
          <w:tcPr>
            <w:tcMar>
              <w:top w:w="100" w:type="dxa"/>
              <w:bottom w:w="100" w:type="dxa"/>
              <w:left w:w="150" w:type="dxa"/>
              <w:right w:w="150" w:type="dxa"/>
            </w:tcMar>
            <w:vAlign w:val="center"/>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4"/>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4"/>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Identity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tcMar>
              <w:top w:w="100" w:type="dxa"/>
              <w:bottom w:w="100" w:type="dxa"/>
              <w:left w:w="150" w:type="dxa"/>
              <w:right w:w="150" w:type="dxa"/>
            </w:tcMar>
            <w:vAlign w:val="center"/>
          </w:tcPr>
          <w:p>
            <w:pPr>
              <w:pStyle w:val="Compact"/>
              <w:jc w:val="left"/>
              <w:suppressAutoHyphens/>
            </w:pPr>
            <w:r>
              <w:t xml:space="preserve">2 — Ambassador Network</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Structured Engagement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2033–2036</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tcMar>
              <w:top w:w="100" w:type="dxa"/>
              <w:bottom w:w="100" w:type="dxa"/>
              <w:left w:w="150" w:type="dxa"/>
              <w:right w:w="150" w:type="dxa"/>
            </w:tcMar>
            <w:vAlign w:val="center"/>
          </w:tcPr>
          <w:p>
            <w:pPr>
              <w:pStyle w:val="Compact"/>
              <w:jc w:val="left"/>
              <w:suppressAutoHyphens/>
            </w:pPr>
            <w:r>
              <w:t xml:space="preserve">4 — First Paid Role</w:t>
            </w:r>
          </w:p>
        </w:tc>
        <w:tc>
          <w:tcPr>
            <w:tcMar>
              <w:top w:w="100" w:type="dxa"/>
              <w:bottom w:w="100" w:type="dxa"/>
              <w:left w:w="150" w:type="dxa"/>
              <w:right w:w="150" w:type="dxa"/>
            </w:tcMar>
            <w:vAlign w:val="center"/>
          </w:tcPr>
          <w:p>
            <w:pPr>
              <w:pStyle w:val="Compact"/>
              <w:jc w:val="left"/>
              <w:suppressAutoHyphens/>
            </w:pPr>
            <w:r>
              <w:t xml:space="preserve">2037–2040 (Year 10+)</w:t>
            </w:r>
          </w:p>
        </w:tc>
        <w:tc>
          <w:tcPr>
            <w:tcMar>
              <w:top w:w="100" w:type="dxa"/>
              <w:bottom w:w="100" w:type="dxa"/>
              <w:left w:w="150" w:type="dxa"/>
              <w:right w:w="150" w:type="dxa"/>
            </w:tcMar>
            <w:vAlign w:val="center"/>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Function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2041+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5"/>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5"/>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Embedded &amp; Informal</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Career-readiness content embedded in curriculum; informal mosque/employer-network referral; free LMS job-postings board</w:t>
            </w:r>
          </w:p>
        </w:tc>
      </w:tr>
      <w:tr>
        <w:trPr>
          <w:cantSplit/>
        </w:trPr>
        <w:tc>
          <w:tcPr>
            <w:tcMar>
              <w:top w:w="100" w:type="dxa"/>
              <w:bottom w:w="100" w:type="dxa"/>
              <w:left w:w="150" w:type="dxa"/>
              <w:right w:w="150" w:type="dxa"/>
            </w:tcMar>
            <w:vAlign w:val="center"/>
          </w:tcPr>
          <w:p>
            <w:pPr>
              <w:pStyle w:val="Compact"/>
              <w:jc w:val="left"/>
              <w:suppressAutoHyphens/>
            </w:pPr>
            <w:r>
              <w:t xml:space="preserve">2 — Partnership Formalization</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MOUs with mosque associations, Islamic schools, Islamic finance institutions — faculty/Admin relationship-building, no new spend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Fractional Liaison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 (Year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tcMar>
              <w:top w:w="100" w:type="dxa"/>
              <w:bottom w:w="100" w:type="dxa"/>
              <w:left w:w="150" w:type="dxa"/>
              <w:right w:w="150" w:type="dxa"/>
            </w:tcMar>
            <w:vAlign w:val="center"/>
          </w:tcPr>
          <w:p>
            <w:pPr>
              <w:pStyle w:val="Compact"/>
              <w:jc w:val="left"/>
              <w:suppressAutoHyphens/>
            </w:pPr>
            <w:r>
              <w:t xml:space="preserve">4 — Dual-Track Expansion</w:t>
            </w:r>
          </w:p>
        </w:tc>
        <w:tc>
          <w:tcPr>
            <w:tcMar>
              <w:top w:w="100" w:type="dxa"/>
              <w:bottom w:w="100" w:type="dxa"/>
              <w:left w:w="150" w:type="dxa"/>
              <w:right w:w="150" w:type="dxa"/>
            </w:tcMar>
            <w:vAlign w:val="center"/>
          </w:tcPr>
          <w:p>
            <w:pPr>
              <w:pStyle w:val="Compact"/>
              <w:jc w:val="left"/>
              <w:suppressAutoHyphens/>
            </w:pPr>
            <w:r>
              <w:t xml:space="preserve">2038–2040 (Year 11–13)</w:t>
            </w:r>
          </w:p>
        </w:tc>
        <w:tc>
          <w:tcPr>
            <w:tcMar>
              <w:top w:w="100" w:type="dxa"/>
              <w:bottom w:w="100" w:type="dxa"/>
              <w:left w:w="150" w:type="dxa"/>
              <w:right w:w="150" w:type="dxa"/>
            </w:tcMar>
            <w:vAlign w:val="center"/>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Dual Office</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6"/>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6"/>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6"/>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Source Serif 4" w:hAnsi="Source Serif 4"/>
                <w:i/>
                <w:smallCaps/>
                <w:color w:val="8C97AB"/>
                <w:sz w:val="19"/>
                <w:spacing w:val="10"/>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7"/>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7"/>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7"/>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7"/>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Oversight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Register formalized; Audit &amp; Risk Committee seated; external CPA engaged</w:t>
            </w:r>
          </w:p>
        </w:tc>
      </w:tr>
      <w:tr>
        <w:trPr>
          <w:cantSplit/>
        </w:trPr>
        <w:tc>
          <w:tcPr>
            <w:tcMar>
              <w:top w:w="100" w:type="dxa"/>
              <w:bottom w:w="100" w:type="dxa"/>
              <w:left w:w="150" w:type="dxa"/>
              <w:right w:w="150" w:type="dxa"/>
            </w:tcMar>
            <w:vAlign w:val="center"/>
          </w:tcPr>
          <w:p>
            <w:pPr>
              <w:pStyle w:val="Compact"/>
              <w:jc w:val="left"/>
              <w:suppressAutoHyphens/>
            </w:pPr>
            <w:r>
              <w:t xml:space="preserve">II — Embedded Coordination</w:t>
            </w:r>
          </w:p>
        </w:tc>
        <w:tc>
          <w:tcPr>
            <w:tcMar>
              <w:top w:w="100" w:type="dxa"/>
              <w:bottom w:w="100" w:type="dxa"/>
              <w:left w:w="150" w:type="dxa"/>
              <w:right w:w="150" w:type="dxa"/>
            </w:tcMar>
            <w:vAlign w:val="center"/>
          </w:tcPr>
          <w:p>
            <w:pPr>
              <w:pStyle w:val="Compact"/>
              <w:jc w:val="left"/>
              <w:suppressAutoHyphens/>
            </w:pPr>
            <w:r>
              <w:t xml:space="preserve">2030–2032 (Yr 3–5)</w:t>
            </w:r>
          </w:p>
        </w:tc>
        <w:tc>
          <w:tcPr>
            <w:tcMar>
              <w:top w:w="100" w:type="dxa"/>
              <w:bottom w:w="100" w:type="dxa"/>
              <w:left w:w="150" w:type="dxa"/>
              <w:right w:w="150" w:type="dxa"/>
            </w:tcMar>
            <w:vAlign w:val="center"/>
          </w:tcPr>
          <w:p>
            <w:pPr>
              <w:pStyle w:val="Compact"/>
              <w:jc w:val="left"/>
              <w:suppressAutoHyphens/>
            </w:pPr>
            <w:r>
              <w:t xml:space="preserve">Fractional risk/compliance coordination folded into Core Admin Staff; Gambia-specific risk lines active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Systematic Monitoring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 (Yr 6–10)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coordinator; quarterly heat-map reporting to Board; register closes founding decade at 14+ risks reviewed</w:t>
            </w:r>
          </w:p>
        </w:tc>
      </w:tr>
      <w:tr>
        <w:trPr>
          <w:cantSplit/>
        </w:trPr>
        <w:tc>
          <w:tcPr>
            <w:tcMar>
              <w:top w:w="100" w:type="dxa"/>
              <w:bottom w:w="100" w:type="dxa"/>
              <w:left w:w="150" w:type="dxa"/>
              <w:right w:w="150" w:type="dxa"/>
            </w:tcMar>
            <w:vAlign w:val="center"/>
          </w:tcPr>
          <w:p>
            <w:pPr>
              <w:pStyle w:val="Compact"/>
              <w:jc w:val="left"/>
              <w:suppressAutoHyphens/>
            </w:pPr>
            <w:r>
              <w:t xml:space="preserve">IV — Secular-Era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Layout w:type="fixed"/>
      </w:tblPr>
      <w:tblGrid>
        <w:gridCol w:w="603"/>
        <w:gridCol w:w="2716"/>
        <w:gridCol w:w="2126"/>
        <w:gridCol w:w="36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03"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716"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126"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627"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w:t>
            </w:r>
          </w:p>
        </w:tc>
        <w:tc>
          <w:tcPr>
            <w:tcMar>
              <w:top w:w="100" w:type="dxa"/>
              <w:bottom w:w="100" w:type="dxa"/>
              <w:left w:w="150" w:type="dxa"/>
              <w:right w:w="150" w:type="dxa"/>
            </w:tcMar>
            <w:vAlign w:val="center"/>
            <w:shd w:val="clear" w:color="auto" w:fill="E9EDF6"/>
            <w:tcW w:w="2716" w:type="dxa"/>
          </w:tcPr>
          <w:p>
            <w:pPr>
              <w:pStyle w:val="Compact"/>
              <w:jc w:val="left"/>
            </w:pPr>
            <w:r>
              <w:t xml:space="preserve">Commercial Engine project underperforms/fails Gate clearance</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Moderate/Low</w:t>
            </w:r>
          </w:p>
        </w:tc>
        <w:tc>
          <w:tcPr>
            <w:tcMar>
              <w:top w:w="100" w:type="dxa"/>
              <w:bottom w:w="100" w:type="dxa"/>
              <w:left w:w="150" w:type="dxa"/>
              <w:right w:w="150" w:type="dxa"/>
            </w:tcMar>
            <w:vAlign w:val="center"/>
            <w:shd w:val="clear" w:color="auto" w:fill="E9EDF6"/>
            <w:tcW w:w="3627" w:type="dxa"/>
          </w:tcPr>
          <w:p>
            <w:pPr>
              <w:pStyle w:val="Compact"/>
              <w:jc w:val="left"/>
            </w:pPr>
            <w:r>
              <w:t xml:space="preserve">Gate A/B/C due-diligence clearance required before capital deployment</w:t>
            </w:r>
          </w:p>
        </w:tc>
      </w:tr>
      <w:tr>
        <w:trPr>
          <w:cantSplit/>
        </w:trPr>
        <w:tc>
          <w:tcPr>
            <w:tcMar>
              <w:top w:w="100" w:type="dxa"/>
              <w:bottom w:w="100" w:type="dxa"/>
              <w:left w:w="150" w:type="dxa"/>
              <w:right w:w="150" w:type="dxa"/>
            </w:tcMar>
            <w:vAlign w:val="center"/>
            <w:tcW w:w="603" w:type="dxa"/>
          </w:tcPr>
          <w:p>
            <w:pPr>
              <w:pStyle w:val="Compact"/>
              <w:jc w:val="left"/>
            </w:pPr>
            <w:r>
              <w:t xml:space="preserve">2</w:t>
            </w:r>
          </w:p>
        </w:tc>
        <w:tc>
          <w:tcPr>
            <w:tcMar>
              <w:top w:w="100" w:type="dxa"/>
              <w:bottom w:w="100" w:type="dxa"/>
              <w:left w:w="150" w:type="dxa"/>
              <w:right w:w="150" w:type="dxa"/>
            </w:tcMar>
            <w:vAlign w:val="center"/>
            <w:tcW w:w="2716" w:type="dxa"/>
          </w:tcPr>
          <w:p>
            <w:pPr>
              <w:pStyle w:val="Compact"/>
              <w:jc w:val="left"/>
            </w:pPr>
            <w:r>
              <w:t xml:space="preserve">Credibility risk in a future CE offering</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Offering documents, disclosure discipline, arm’s-length firewall</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3</w:t>
            </w:r>
          </w:p>
        </w:tc>
        <w:tc>
          <w:tcPr>
            <w:tcMar>
              <w:top w:w="100" w:type="dxa"/>
              <w:bottom w:w="100" w:type="dxa"/>
              <w:left w:w="150" w:type="dxa"/>
              <w:right w:w="150" w:type="dxa"/>
            </w:tcMar>
            <w:vAlign w:val="center"/>
            <w:shd w:val="clear" w:color="auto" w:fill="E9EDF6"/>
            <w:tcW w:w="2716" w:type="dxa"/>
          </w:tcPr>
          <w:p>
            <w:pPr>
              <w:pStyle w:val="Compact"/>
              <w:jc w:val="left"/>
            </w:pPr>
            <w:r>
              <w:t xml:space="preserve">Sharī’ah-compliance risk in the 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Low/High</w:t>
            </w:r>
          </w:p>
        </w:tc>
        <w:tc>
          <w:tcPr>
            <w:tcMar>
              <w:top w:w="100" w:type="dxa"/>
              <w:bottom w:w="100" w:type="dxa"/>
              <w:left w:w="150" w:type="dxa"/>
              <w:right w:w="150" w:type="dxa"/>
            </w:tcMar>
            <w:vAlign w:val="center"/>
            <w:shd w:val="clear" w:color="auto" w:fill="E9EDF6"/>
            <w:tcW w:w="3627" w:type="dxa"/>
          </w:tcPr>
          <w:p>
            <w:pPr>
              <w:pStyle w:val="Compact"/>
              <w:jc w:val="left"/>
            </w:pPr>
            <w:r>
              <w:t xml:space="preserve">Independent Sharī’ah Advisory Board biennial re-certification</w:t>
            </w:r>
          </w:p>
        </w:tc>
      </w:tr>
      <w:tr>
        <w:trPr>
          <w:cantSplit/>
        </w:trPr>
        <w:tc>
          <w:tcPr>
            <w:tcMar>
              <w:top w:w="100" w:type="dxa"/>
              <w:bottom w:w="100" w:type="dxa"/>
              <w:left w:w="150" w:type="dxa"/>
              <w:right w:w="150" w:type="dxa"/>
            </w:tcMar>
            <w:vAlign w:val="center"/>
            <w:tcW w:w="603" w:type="dxa"/>
          </w:tcPr>
          <w:p>
            <w:pPr>
              <w:pStyle w:val="Compact"/>
              <w:jc w:val="left"/>
            </w:pPr>
            <w:r>
              <w:t xml:space="preserve">4</w:t>
            </w:r>
          </w:p>
        </w:tc>
        <w:tc>
          <w:tcPr>
            <w:tcMar>
              <w:top w:w="100" w:type="dxa"/>
              <w:bottom w:w="100" w:type="dxa"/>
              <w:left w:w="150" w:type="dxa"/>
              <w:right w:w="150" w:type="dxa"/>
            </w:tcMar>
            <w:vAlign w:val="center"/>
            <w:tcW w:w="2716" w:type="dxa"/>
          </w:tcPr>
          <w:p>
            <w:pPr>
              <w:pStyle w:val="Compact"/>
              <w:jc w:val="left"/>
            </w:pPr>
            <w:r>
              <w:t xml:space="preserve">Waqf Strategic Business Reserve deployment governance</w:t>
            </w:r>
          </w:p>
        </w:tc>
        <w:tc>
          <w:tcPr>
            <w:tcMar>
              <w:top w:w="100" w:type="dxa"/>
              <w:bottom w:w="100" w:type="dxa"/>
              <w:left w:w="150" w:type="dxa"/>
              <w:right w:w="150" w:type="dxa"/>
            </w:tcMar>
            <w:vAlign w:val="center"/>
            <w:tcW w:w="2126" w:type="dxa"/>
          </w:tcPr>
          <w:p>
            <w:pPr>
              <w:pStyle w:val="Compact"/>
              <w:jc w:val="left"/>
            </w:pPr>
            <w:r>
              <w:t xml:space="preserve">Low/Medium</w:t>
            </w:r>
          </w:p>
        </w:tc>
        <w:tc>
          <w:tcPr>
            <w:tcMar>
              <w:top w:w="100" w:type="dxa"/>
              <w:bottom w:w="100" w:type="dxa"/>
              <w:left w:w="150" w:type="dxa"/>
              <w:right w:w="150" w:type="dxa"/>
            </w:tcMar>
            <w:vAlign w:val="center"/>
            <w:tcW w:w="3627" w:type="dxa"/>
          </w:tcPr>
          <w:p>
            <w:pPr>
              <w:pStyle w:val="Compact"/>
              <w:jc w:val="left"/>
            </w:pPr>
            <w:r>
              <w:t xml:space="preserve">2/3 Senate vote + 2 independent seats above $250,000/yr</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5</w:t>
            </w:r>
          </w:p>
        </w:tc>
        <w:tc>
          <w:tcPr>
            <w:tcMar>
              <w:top w:w="100" w:type="dxa"/>
              <w:bottom w:w="100" w:type="dxa"/>
              <w:left w:w="150" w:type="dxa"/>
              <w:right w:w="150" w:type="dxa"/>
            </w:tcMar>
            <w:vAlign w:val="center"/>
            <w:shd w:val="clear" w:color="auto" w:fill="E9EDF6"/>
            <w:tcW w:w="2716" w:type="dxa"/>
          </w:tcPr>
          <w:p>
            <w:pPr>
              <w:pStyle w:val="Compact"/>
              <w:jc w:val="left"/>
            </w:pPr>
            <w:r>
              <w:t xml:space="preserve">Founder/Senate self-compensation governance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All 4 independent Senate seats’ affirmative approval, published annually</w:t>
            </w:r>
          </w:p>
        </w:tc>
      </w:tr>
      <w:tr>
        <w:trPr>
          <w:cantSplit/>
        </w:trPr>
        <w:tc>
          <w:tcPr>
            <w:tcMar>
              <w:top w:w="100" w:type="dxa"/>
              <w:bottom w:w="100" w:type="dxa"/>
              <w:left w:w="150" w:type="dxa"/>
              <w:right w:w="150" w:type="dxa"/>
            </w:tcMar>
            <w:vAlign w:val="center"/>
            <w:tcW w:w="603" w:type="dxa"/>
          </w:tcPr>
          <w:p>
            <w:pPr>
              <w:pStyle w:val="Compact"/>
              <w:jc w:val="left"/>
            </w:pPr>
            <w:r>
              <w:t xml:space="preserve">6</w:t>
            </w:r>
          </w:p>
        </w:tc>
        <w:tc>
          <w:tcPr>
            <w:tcMar>
              <w:top w:w="100" w:type="dxa"/>
              <w:bottom w:w="100" w:type="dxa"/>
              <w:left w:w="150" w:type="dxa"/>
              <w:right w:w="150" w:type="dxa"/>
            </w:tcMar>
            <w:vAlign w:val="center"/>
            <w:tcW w:w="2716" w:type="dxa"/>
          </w:tcPr>
          <w:p>
            <w:pPr>
              <w:pStyle w:val="Compact"/>
              <w:jc w:val="left"/>
            </w:pPr>
            <w:r>
              <w:t xml:space="preserve">Nigeria Mega-University delay/non-approval</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Framed as funding target, not guarantee; doesn’t affect solvency</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7</w:t>
            </w:r>
          </w:p>
        </w:tc>
        <w:tc>
          <w:tcPr>
            <w:tcMar>
              <w:top w:w="100" w:type="dxa"/>
              <w:bottom w:w="100" w:type="dxa"/>
              <w:left w:w="150" w:type="dxa"/>
              <w:right w:w="150" w:type="dxa"/>
            </w:tcMar>
            <w:vAlign w:val="center"/>
            <w:shd w:val="clear" w:color="auto" w:fill="E9EDF6"/>
            <w:tcW w:w="2716" w:type="dxa"/>
          </w:tcPr>
          <w:p>
            <w:pPr>
              <w:pStyle w:val="Compact"/>
              <w:jc w:val="left"/>
            </w:pPr>
            <w:r>
              <w:t xml:space="preserve">Faculty attrition/burnout during founding growth</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Faculty Honoraria contractually 40% of Payroll, no ceiling, scales with revenue</w:t>
            </w:r>
          </w:p>
        </w:tc>
      </w:tr>
      <w:tr>
        <w:trPr>
          <w:cantSplit/>
        </w:trPr>
        <w:tc>
          <w:tcPr>
            <w:tcMar>
              <w:top w:w="100" w:type="dxa"/>
              <w:bottom w:w="100" w:type="dxa"/>
              <w:left w:w="150" w:type="dxa"/>
              <w:right w:w="150" w:type="dxa"/>
            </w:tcMar>
            <w:vAlign w:val="center"/>
            <w:tcW w:w="603" w:type="dxa"/>
          </w:tcPr>
          <w:p>
            <w:pPr>
              <w:pStyle w:val="Compact"/>
              <w:jc w:val="left"/>
            </w:pPr>
            <w:r>
              <w:t xml:space="preserve">8</w:t>
            </w:r>
          </w:p>
        </w:tc>
        <w:tc>
          <w:tcPr>
            <w:tcMar>
              <w:top w:w="100" w:type="dxa"/>
              <w:bottom w:w="100" w:type="dxa"/>
              <w:left w:w="150" w:type="dxa"/>
              <w:right w:w="150" w:type="dxa"/>
            </w:tcMar>
            <w:vAlign w:val="center"/>
            <w:tcW w:w="2716" w:type="dxa"/>
          </w:tcPr>
          <w:p>
            <w:pPr>
              <w:pStyle w:val="Compact"/>
              <w:jc w:val="left"/>
            </w:pPr>
            <w:r>
              <w:t xml:space="preserve">Nonprofit/for-profit commingling scrutiny (IRS)</w:t>
            </w:r>
          </w:p>
        </w:tc>
        <w:tc>
          <w:tcPr>
            <w:tcMar>
              <w:top w:w="100" w:type="dxa"/>
              <w:bottom w:w="100" w:type="dxa"/>
              <w:left w:w="150" w:type="dxa"/>
              <w:right w:w="150" w:type="dxa"/>
            </w:tcMar>
            <w:vAlign w:val="center"/>
            <w:tcW w:w="2126" w:type="dxa"/>
          </w:tcPr>
          <w:p>
            <w:pPr>
              <w:pStyle w:val="Compact"/>
              <w:jc w:val="left"/>
            </w:pPr>
            <w:r>
              <w:t xml:space="preserve">Low/High</w:t>
            </w:r>
          </w:p>
        </w:tc>
        <w:tc>
          <w:tcPr>
            <w:tcMar>
              <w:top w:w="100" w:type="dxa"/>
              <w:bottom w:w="100" w:type="dxa"/>
              <w:left w:w="150" w:type="dxa"/>
              <w:right w:w="150" w:type="dxa"/>
            </w:tcMar>
            <w:vAlign w:val="center"/>
            <w:tcW w:w="3627" w:type="dxa"/>
          </w:tcPr>
          <w:p>
            <w:pPr>
              <w:pStyle w:val="Compact"/>
              <w:jc w:val="left"/>
            </w:pPr>
            <w:r>
              <w:t xml:space="preserve">University costs never touch CE obligations; fair-market-value shared services; independent legal counsel before any firewall amendment</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9</w:t>
            </w:r>
          </w:p>
        </w:tc>
        <w:tc>
          <w:tcPr>
            <w:tcMar>
              <w:top w:w="100" w:type="dxa"/>
              <w:bottom w:w="100" w:type="dxa"/>
              <w:left w:w="150" w:type="dxa"/>
              <w:right w:w="150" w:type="dxa"/>
            </w:tcMar>
            <w:vAlign w:val="center"/>
            <w:shd w:val="clear" w:color="auto" w:fill="E9EDF6"/>
            <w:tcW w:w="2716" w:type="dxa"/>
          </w:tcPr>
          <w:p>
            <w:pPr>
              <w:pStyle w:val="Compact"/>
              <w:jc w:val="left"/>
            </w:pPr>
            <w:r>
              <w:t xml:space="preserve">Regional payment-gateway disruption</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Redundant gateways per region + bank-transfer fallback</w:t>
            </w:r>
          </w:p>
        </w:tc>
      </w:tr>
      <w:tr>
        <w:trPr>
          <w:cantSplit/>
        </w:trPr>
        <w:tc>
          <w:tcPr>
            <w:tcMar>
              <w:top w:w="100" w:type="dxa"/>
              <w:bottom w:w="100" w:type="dxa"/>
              <w:left w:w="150" w:type="dxa"/>
              <w:right w:w="150" w:type="dxa"/>
            </w:tcMar>
            <w:vAlign w:val="center"/>
            <w:tcW w:w="603" w:type="dxa"/>
          </w:tcPr>
          <w:p>
            <w:pPr>
              <w:pStyle w:val="Compact"/>
              <w:jc w:val="left"/>
            </w:pPr>
            <w:r>
              <w:t xml:space="preserve">10</w:t>
            </w:r>
          </w:p>
        </w:tc>
        <w:tc>
          <w:tcPr>
            <w:tcMar>
              <w:top w:w="100" w:type="dxa"/>
              <w:bottom w:w="100" w:type="dxa"/>
              <w:left w:w="150" w:type="dxa"/>
              <w:right w:w="150" w:type="dxa"/>
            </w:tcMar>
            <w:vAlign w:val="center"/>
            <w:tcW w:w="2716" w:type="dxa"/>
          </w:tcPr>
          <w:p>
            <w:pPr>
              <w:pStyle w:val="Compact"/>
              <w:jc w:val="left"/>
            </w:pPr>
            <w:r>
              <w:t xml:space="preserve">Country tier misclassification disputes</w:t>
            </w:r>
          </w:p>
        </w:tc>
        <w:tc>
          <w:tcPr>
            <w:tcMar>
              <w:top w:w="100" w:type="dxa"/>
              <w:bottom w:w="100" w:type="dxa"/>
              <w:left w:w="150" w:type="dxa"/>
              <w:right w:w="150" w:type="dxa"/>
            </w:tcMar>
            <w:vAlign w:val="center"/>
            <w:tcW w:w="2126" w:type="dxa"/>
          </w:tcPr>
          <w:p>
            <w:pPr>
              <w:pStyle w:val="Compact"/>
              <w:jc w:val="left"/>
            </w:pPr>
            <w:r>
              <w:t xml:space="preserve">Low/Low</w:t>
            </w:r>
          </w:p>
        </w:tc>
        <w:tc>
          <w:tcPr>
            <w:tcMar>
              <w:top w:w="100" w:type="dxa"/>
              <w:bottom w:w="100" w:type="dxa"/>
              <w:left w:w="150" w:type="dxa"/>
              <w:right w:w="150" w:type="dxa"/>
            </w:tcMar>
            <w:vAlign w:val="center"/>
            <w:tcW w:w="3627" w:type="dxa"/>
          </w:tcPr>
          <w:p>
            <w:pPr>
              <w:pStyle w:val="Compact"/>
              <w:jc w:val="left"/>
            </w:pPr>
            <w:r>
              <w:t xml:space="preserve">Transparent published tier list; appeal via info@edu.amiu.com</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11</w:t>
            </w:r>
          </w:p>
        </w:tc>
        <w:tc>
          <w:tcPr>
            <w:tcMar>
              <w:top w:w="100" w:type="dxa"/>
              <w:bottom w:w="100" w:type="dxa"/>
              <w:left w:w="150" w:type="dxa"/>
              <w:right w:w="150" w:type="dxa"/>
            </w:tcMar>
            <w:vAlign w:val="center"/>
            <w:shd w:val="clear" w:color="auto" w:fill="E9EDF6"/>
            <w:tcW w:w="2716" w:type="dxa"/>
          </w:tcPr>
          <w:p>
            <w:pPr>
              <w:pStyle w:val="Compact"/>
              <w:jc w:val="left"/>
            </w:pPr>
            <w:r>
              <w:t xml:space="preserve">Accreditation candidacy delay beyond Year 5</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Programs remain religious-exemption-valid; candidacy funded from retained reserve, not survival-dependent</w:t>
            </w:r>
          </w:p>
        </w:tc>
      </w:tr>
      <w:tr>
        <w:trPr>
          <w:cantSplit/>
        </w:trPr>
        <w:tc>
          <w:tcPr>
            <w:tcMar>
              <w:top w:w="100" w:type="dxa"/>
              <w:bottom w:w="100" w:type="dxa"/>
              <w:left w:w="150" w:type="dxa"/>
              <w:right w:w="150" w:type="dxa"/>
            </w:tcMar>
            <w:vAlign w:val="center"/>
            <w:tcW w:w="603" w:type="dxa"/>
          </w:tcPr>
          <w:p>
            <w:pPr>
              <w:pStyle w:val="Compact"/>
              <w:jc w:val="left"/>
            </w:pPr>
            <w:r>
              <w:t xml:space="preserve">12</w:t>
            </w:r>
          </w:p>
        </w:tc>
        <w:tc>
          <w:tcPr>
            <w:tcMar>
              <w:top w:w="100" w:type="dxa"/>
              <w:bottom w:w="100" w:type="dxa"/>
              <w:left w:w="150" w:type="dxa"/>
              <w:right w:w="150" w:type="dxa"/>
            </w:tcMar>
            <w:vAlign w:val="center"/>
            <w:tcW w:w="2716" w:type="dxa"/>
          </w:tcPr>
          <w:p>
            <w:pPr>
              <w:pStyle w:val="Compact"/>
              <w:jc w:val="left"/>
            </w:pPr>
            <w:r>
              <w:t xml:space="preserve">Key-person risk (three founders)</w:t>
            </w:r>
          </w:p>
        </w:tc>
        <w:tc>
          <w:tcPr>
            <w:tcMar>
              <w:top w:w="100" w:type="dxa"/>
              <w:bottom w:w="100" w:type="dxa"/>
              <w:left w:w="150" w:type="dxa"/>
              <w:right w:w="150" w:type="dxa"/>
            </w:tcMar>
            <w:vAlign w:val="center"/>
            <w:tcW w:w="2126" w:type="dxa"/>
          </w:tcPr>
          <w:p>
            <w:pPr>
              <w:pStyle w:val="Compact"/>
              <w:jc w:val="left"/>
            </w:pPr>
            <w:r>
              <w:t xml:space="preserve">Moderate/High</w:t>
            </w:r>
          </w:p>
        </w:tc>
        <w:tc>
          <w:tcPr>
            <w:tcMar>
              <w:top w:w="100" w:type="dxa"/>
              <w:bottom w:w="100" w:type="dxa"/>
              <w:left w:w="150" w:type="dxa"/>
              <w:right w:w="150" w:type="dxa"/>
            </w:tcMar>
            <w:vAlign w:val="center"/>
            <w:tcW w:w="3627" w:type="dxa"/>
          </w:tcPr>
          <w:p>
            <w:pPr>
              <w:pStyle w:val="Compact"/>
              <w:jc w:val="left"/>
            </w:pPr>
            <w:r>
              <w:t xml:space="preserve">Senate succession policy; documented successor plans for seats 2–4 by Year 3</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13</w:t>
            </w:r>
          </w:p>
        </w:tc>
        <w:tc>
          <w:tcPr>
            <w:tcMar>
              <w:top w:w="100" w:type="dxa"/>
              <w:bottom w:w="100" w:type="dxa"/>
              <w:left w:w="150" w:type="dxa"/>
              <w:right w:w="150" w:type="dxa"/>
            </w:tcMar>
            <w:vAlign w:val="center"/>
            <w:shd w:val="clear" w:color="auto" w:fill="E9EDF6"/>
            <w:tcW w:w="2716" w:type="dxa"/>
          </w:tcPr>
          <w:p>
            <w:pPr>
              <w:pStyle w:val="Compact"/>
              <w:jc w:val="left"/>
            </w:pPr>
            <w:r>
              <w:t xml:space="preserve">Currency/FX exposure across four pricing tiers</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Multi-currency collection converted to USD on rolling basis</w:t>
            </w:r>
          </w:p>
        </w:tc>
      </w:tr>
      <w:tr>
        <w:trPr>
          <w:cantSplit/>
        </w:trPr>
        <w:tc>
          <w:tcPr>
            <w:tcMar>
              <w:top w:w="100" w:type="dxa"/>
              <w:bottom w:w="100" w:type="dxa"/>
              <w:left w:w="150" w:type="dxa"/>
              <w:right w:w="150" w:type="dxa"/>
            </w:tcMar>
            <w:vAlign w:val="center"/>
            <w:tcW w:w="603" w:type="dxa"/>
          </w:tcPr>
          <w:p>
            <w:pPr>
              <w:pStyle w:val="Compact"/>
              <w:jc w:val="left"/>
            </w:pPr>
            <w:r>
              <w:t xml:space="preserve">14</w:t>
            </w:r>
          </w:p>
        </w:tc>
        <w:tc>
          <w:tcPr>
            <w:tcMar>
              <w:top w:w="100" w:type="dxa"/>
              <w:bottom w:w="100" w:type="dxa"/>
              <w:left w:w="150" w:type="dxa"/>
              <w:right w:w="150" w:type="dxa"/>
            </w:tcMar>
            <w:vAlign w:val="center"/>
            <w:tcW w:w="2716" w:type="dxa"/>
          </w:tcPr>
          <w:p>
            <w:pPr>
              <w:pStyle w:val="Compact"/>
              <w:jc w:val="left"/>
            </w:pPr>
            <w:r>
              <w:t xml:space="preserve">Geopolitical disruption in Tier-4 weighted regions</w:t>
            </w:r>
          </w:p>
        </w:tc>
        <w:tc>
          <w:tcPr>
            <w:tcMar>
              <w:top w:w="100" w:type="dxa"/>
              <w:bottom w:w="100" w:type="dxa"/>
              <w:left w:w="150" w:type="dxa"/>
              <w:right w:w="150" w:type="dxa"/>
            </w:tcMar>
            <w:vAlign w:val="center"/>
            <w:tcW w:w="2126" w:type="dxa"/>
          </w:tcPr>
          <w:p>
            <w:pPr>
              <w:pStyle w:val="Compact"/>
              <w:jc w:val="left"/>
            </w:pPr>
            <w:r>
              <w:t xml:space="preserve">Moderate/Low-Medium</w:t>
            </w:r>
          </w:p>
        </w:tc>
        <w:tc>
          <w:tcPr>
            <w:tcMar>
              <w:top w:w="100" w:type="dxa"/>
              <w:bottom w:w="100" w:type="dxa"/>
              <w:left w:w="150" w:type="dxa"/>
              <w:right w:w="150" w:type="dxa"/>
            </w:tcMar>
            <w:vAlign w:val="center"/>
            <w:tcW w:w="3627" w:type="dxa"/>
          </w:tcPr>
          <w:p>
            <w:pPr>
              <w:pStyle w:val="Compact"/>
              <w:jc w:val="left"/>
            </w:pPr>
            <w:r>
              <w:t xml:space="preserve">No single region exceeds 10% of Tier-4 population-weighted share</w:t>
            </w:r>
          </w:p>
        </w:tc>
      </w:tr>
    </w:tbl>
    <w:p>
      <w:pPr>
        <w:pStyle w:val="BodyText"/>
        <w:jc w:val="both"/>
      </w:pPr>
      <w:r>
        <w:rPr>
          <w:bCs/>
          <w:b/>
        </w:rPr>
        <w:t xml:space="preserve">Founding-Decade Addition: Risk 15 — Cybersecurity &amp; Data Breach</w:t>
      </w:r>
    </w:p>
    <w:p>
      <w:pPr>
        <w:pStyle w:val="BodyText"/>
        <w:jc w:val="both"/>
      </w:pPr>
      <w:r>
        <w:t xml:space="preserve">The 14 risks above are the register AMIU-MP-001 adopted at founding. A subsequent governance review identified one omission from that original register that could not wait for the Year-11 expansion window: a cybersecurity incident or student-data breach, given AMIU’s entirely online, globally distributed student body from Year 1. Section 37 (Compliance Framework) had already noted this exposure but treated it as a technical-control matter outside the register; that treatment is corrected here, since a breach of this kind carries reputational, regulatory, and enrollment consequences at least as severe as several risks already scored above (Risks 9 and 13), and a risk of that severity belongs in the register the Audit &amp; Risk Committee actually reviews quarterly, not left to be managed silently at the IT-operations level.</w:t>
      </w:r>
    </w:p>
    <w:tbl>
      <w:tblPr>
        <w:tblStyle w:val="Table"/>
        <w:tblW w:type="pct" w:w="5000"/>
        <w:tblLook w:firstRow="1" w:lastRow="0" w:firstColumn="0" w:lastColumn="0" w:noHBand="0" w:noVBand="0" w:val="0020"/>
        <w:jc w:val="start"/>
        <w:tblLayout w:type="fixed"/>
      </w:tblPr>
      <w:tblGrid>
        <w:gridCol w:w="747"/>
        <w:gridCol w:w="2501"/>
        <w:gridCol w:w="2582"/>
        <w:gridCol w:w="3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7"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501"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582"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242"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E9EDF6"/>
            <w:tcW w:w="747" w:type="dxa"/>
          </w:tcPr>
          <w:p>
            <w:pPr>
              <w:pStyle w:val="Compact"/>
              <w:jc w:val="left"/>
            </w:pPr>
            <w:r>
              <w:t xml:space="preserve">15</w:t>
            </w:r>
          </w:p>
        </w:tc>
        <w:tc>
          <w:tcPr>
            <w:tcMar>
              <w:top w:w="100" w:type="dxa"/>
              <w:bottom w:w="100" w:type="dxa"/>
              <w:left w:w="150" w:type="dxa"/>
              <w:right w:w="150" w:type="dxa"/>
            </w:tcMar>
            <w:vAlign w:val="center"/>
            <w:shd w:val="clear" w:color="auto" w:fill="E9EDF6"/>
            <w:tcW w:w="2501" w:type="dxa"/>
          </w:tcPr>
          <w:p>
            <w:pPr>
              <w:pStyle w:val="Compact"/>
              <w:jc w:val="left"/>
            </w:pPr>
            <w:r>
              <w:t xml:space="preserve">Cybersecurity incident or student/financial data breach</w:t>
            </w:r>
          </w:p>
        </w:tc>
        <w:tc>
          <w:tcPr>
            <w:tcMar>
              <w:top w:w="100" w:type="dxa"/>
              <w:bottom w:w="100" w:type="dxa"/>
              <w:left w:w="150" w:type="dxa"/>
              <w:right w:w="150" w:type="dxa"/>
            </w:tcMar>
            <w:vAlign w:val="center"/>
            <w:shd w:val="clear" w:color="auto" w:fill="E9EDF6"/>
            <w:tcW w:w="2582" w:type="dxa"/>
          </w:tcPr>
          <w:p>
            <w:pPr>
              <w:pStyle w:val="Compact"/>
              <w:jc w:val="left"/>
            </w:pPr>
            <w:r>
              <w:t xml:space="preserve">Moderate/High</w:t>
            </w:r>
          </w:p>
        </w:tc>
        <w:tc>
          <w:tcPr>
            <w:tcMar>
              <w:top w:w="100" w:type="dxa"/>
              <w:bottom w:w="100" w:type="dxa"/>
              <w:left w:w="150" w:type="dxa"/>
              <w:right w:w="150" w:type="dxa"/>
            </w:tcMar>
            <w:vAlign w:val="center"/>
            <w:shd w:val="clear" w:color="auto" w:fill="E9EDF6"/>
            <w:tcW w:w="3242" w:type="dxa"/>
          </w:tcPr>
          <w:p>
            <w:pPr>
              <w:pStyle w:val="Compact"/>
              <w:jc w:val="left"/>
            </w:pPr>
            <w:r>
              <w:t xml:space="preserve">LMS &amp; Technology Infrastructure line (5%) funds technical controls (access management, encryption, breach-response retainer); Data Privacy &amp; Security Policy (OPS-016) and Backup &amp; Disaster Recovery Plan (OPS-017) govern response; Audit &amp; Risk Committee receives incident reports within 72 hours of detection and quarterly control-testing results year-round, not only upon incident</w:t>
            </w:r>
          </w:p>
        </w:tc>
      </w:tr>
    </w:tbl>
    <w:p>
      <w:pPr>
        <w:pStyle w:val="BodyText"/>
        <w:jc w:val="both"/>
      </w:pPr>
      <w:r>
        <w:t xml:space="preserve">Risk 15 is scored and reviewed on the same cadence as Risks 1–14 from Year 1 (2028) — it is a founding-decade risk, not a Year-11+ expansion risk. Its mitigation funding remains inside the existing LMS &amp; Technology Infrastructure line rather than a new budget category, consistent with this section’s proportionate-resourcing discipline, but its presence in the register ensures it receives Board-level visibility rather than purely operational handling.</w:t>
      </w:r>
    </w:p>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16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17 — Nigeria NUC compliance risk</w:t>
      </w:r>
      <w:r>
        <w:t xml:space="preserve"> </w:t>
      </w:r>
      <w:r>
        <w:t xml:space="preserve">(National Universities Commission approval separate from NAQAA/Texas tracks);</w:t>
      </w:r>
      <w:r>
        <w:t xml:space="preserve"> </w:t>
      </w:r>
      <w:r>
        <w:rPr>
          <w:bCs/>
          <w:b/>
        </w:rPr>
        <w:t xml:space="preserve">Risk 18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1–15,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8"/>
        </w:numPr>
        <w:pStyle w:val="Compact"/>
        <w:shd w:val="clear" w:color="auto" w:fill="F7F3E8"/>
        <w:pBdr>
          <w:left w:val="single" w:sz="24" w:space="10" w:color="B08625"/>
        </w:pBdr>
        <w:ind w:left="300"/>
        <w:spacing w:before="0" w:after="0"/>
        <w:jc w:val="both"/>
      </w:pPr>
      <w:r>
        <w:t xml:space="preserve">100% of the 15 (growing to 18+) risks reviewed at least quarterly by the Audit &amp; Risk Committee.</w:t>
      </w:r>
    </w:p>
    <w:p>
      <w:pPr>
        <w:numPr>
          <w:ilvl w:val="0"/>
          <w:numId w:val="1028"/>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8"/>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8"/>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Risk 15 (cybersecurity/data breach) added at founding. 2029–2030: external audit cadence established. 2030 (Yr 3): succession plans documented (Risk 12 closes). 2033 (Yr 6): coordinator reaches 1.0 FTE. 2037 (Yr 10): founding-decade risk retrospective delivered to Board. 2038 (Yr 11): Risks 16–18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risk-appetite owner; approves Liquidity Reserve draws for resilience</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Operational register owner; quarterly review; independent of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Escalates academic/program risk; 4 independent seats safeguard compensation-risk items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Owns Risks 4 and 6 (Waqf deployment, Nigeria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Single compliance calendar maintained centrally (not per-department), reviewed by the Board Audit &amp; Risk Committee — standard nonprofit governance practice.</w:t>
      </w:r>
    </w:p>
    <w:p>
      <w:pPr>
        <w:numPr>
          <w:ilvl w:val="0"/>
          <w:numId w:val="1029"/>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9"/>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9"/>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Formation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2027–2028</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Certificate of Formation, EIN, IRS Form 1023, TX tax exemption, TWC Ch.132, USPTO Class 41 trademark</w:t>
            </w:r>
          </w:p>
        </w:tc>
      </w:tr>
      <w:tr>
        <w:trPr>
          <w:cantSplit/>
        </w:trPr>
        <w:tc>
          <w:tcPr>
            <w:tcMar>
              <w:top w:w="100" w:type="dxa"/>
              <w:bottom w:w="100" w:type="dxa"/>
              <w:left w:w="150" w:type="dxa"/>
              <w:right w:w="150" w:type="dxa"/>
            </w:tcMar>
            <w:vAlign w:val="center"/>
          </w:tcPr>
          <w:p>
            <w:pPr>
              <w:pStyle w:val="Compact"/>
              <w:jc w:val="left"/>
              <w:suppressAutoHyphens/>
            </w:pPr>
            <w:r>
              <w:t xml:space="preserve">II — Accreditation Onboarding</w:t>
            </w:r>
          </w:p>
        </w:tc>
        <w:tc>
          <w:tcPr>
            <w:tcMar>
              <w:top w:w="100" w:type="dxa"/>
              <w:bottom w:w="100" w:type="dxa"/>
              <w:left w:w="150" w:type="dxa"/>
              <w:right w:w="150" w:type="dxa"/>
            </w:tcMar>
            <w:vAlign w:val="center"/>
          </w:tcPr>
          <w:p>
            <w:pPr>
              <w:pStyle w:val="Compact"/>
              <w:jc w:val="left"/>
              <w:suppressAutoHyphens/>
            </w:pPr>
            <w:r>
              <w:t xml:space="preserve">2029–2031 (Yr 2–4)</w:t>
            </w:r>
          </w:p>
        </w:tc>
        <w:tc>
          <w:tcPr>
            <w:tcMar>
              <w:top w:w="100" w:type="dxa"/>
              <w:bottom w:w="100" w:type="dxa"/>
              <w:left w:w="150" w:type="dxa"/>
              <w:right w:w="150" w:type="dxa"/>
            </w:tcMar>
            <w:vAlign w:val="center"/>
          </w:tcPr>
          <w:p>
            <w:pPr>
              <w:pStyle w:val="Compact"/>
              <w:jc w:val="left"/>
              <w:suppressAutoHyphens/>
            </w:pPr>
            <w:r>
              <w:t xml:space="preserve">CPD (Yr 2), ISO 21001 (Yr 3), Gambia NAQAA registration and site visits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Steady-State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2032–2037 (Yr 5–10)</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990 filings, ISO surveillance audits, CPD renewals, NAQAA reporting</w:t>
            </w:r>
          </w:p>
        </w:tc>
      </w:tr>
      <w:tr>
        <w:trPr>
          <w:cantSplit/>
        </w:trPr>
        <w:tc>
          <w:tcPr>
            <w:tcMar>
              <w:top w:w="100" w:type="dxa"/>
              <w:bottom w:w="100" w:type="dxa"/>
              <w:left w:w="150" w:type="dxa"/>
              <w:right w:w="150" w:type="dxa"/>
            </w:tcMar>
            <w:vAlign w:val="center"/>
          </w:tcPr>
          <w:p>
            <w:pPr>
              <w:pStyle w:val="Compact"/>
              <w:jc w:val="left"/>
              <w:suppressAutoHyphens/>
            </w:pPr>
            <w:r>
              <w:t xml:space="preserve">IV — Secular/Regulatory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Texas formation (one-time)</w:t>
            </w:r>
          </w:p>
        </w:tc>
        <w:tc>
          <w:tcPr>
            <w:tcMar>
              <w:top w:w="100" w:type="dxa"/>
              <w:bottom w:w="100" w:type="dxa"/>
              <w:left w:w="150" w:type="dxa"/>
              <w:right w:w="150" w:type="dxa"/>
            </w:tcMar>
            <w:vAlign w:val="center"/>
            <w:shd w:val="clear" w:color="auto" w:fill="E9EDF6"/>
          </w:tcPr>
          <w:p>
            <w:pPr>
              <w:pStyle w:val="Compact"/>
              <w:jc w:val="left"/>
              <w:suppressAutoHyphens/>
            </w:pPr>
            <w:r>
              <w:t xml:space="preserve">~$1,015</w:t>
            </w:r>
          </w:p>
        </w:tc>
        <w:tc>
          <w:tcPr>
            <w:tcMar>
              <w:top w:w="100" w:type="dxa"/>
              <w:bottom w:w="100" w:type="dxa"/>
              <w:left w:w="150" w:type="dxa"/>
              <w:right w:w="150" w:type="dxa"/>
            </w:tcMar>
            <w:vAlign w:val="center"/>
            <w:shd w:val="clear" w:color="auto" w:fill="E9EDF6"/>
          </w:tcPr>
          <w:p>
            <w:pPr>
              <w:pStyle w:val="Compact"/>
              <w:jc w:val="left"/>
              <w:suppressAutoHyphens/>
            </w:pPr>
            <w:r>
              <w:t xml:space="preserve">Year-1 OpEx ($11,237)</w:t>
            </w:r>
          </w:p>
        </w:tc>
      </w:tr>
      <w:tr>
        <w:trPr>
          <w:cantSplit/>
        </w:trPr>
        <w:tc>
          <w:tcPr>
            <w:tcMar>
              <w:top w:w="100" w:type="dxa"/>
              <w:bottom w:w="100" w:type="dxa"/>
              <w:left w:w="150" w:type="dxa"/>
              <w:right w:w="150" w:type="dxa"/>
            </w:tcMar>
            <w:vAlign w:val="center"/>
          </w:tcPr>
          <w:p>
            <w:pPr>
              <w:pStyle w:val="Compact"/>
              <w:jc w:val="left"/>
              <w:suppressAutoHyphens/>
            </w:pPr>
            <w:r>
              <w:t xml:space="preserve">Registered agent</w:t>
            </w:r>
          </w:p>
        </w:tc>
        <w:tc>
          <w:tcPr>
            <w:tcMar>
              <w:top w:w="100" w:type="dxa"/>
              <w:bottom w:w="100" w:type="dxa"/>
              <w:left w:w="150" w:type="dxa"/>
              <w:right w:w="150" w:type="dxa"/>
            </w:tcMar>
            <w:vAlign w:val="center"/>
          </w:tcPr>
          <w:p>
            <w:pPr>
              <w:pStyle w:val="Compact"/>
              <w:jc w:val="left"/>
              <w:suppressAutoHyphens/>
            </w:pPr>
            <w:r>
              <w:t xml:space="preserve">~$150/yr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$4,000 initial (Yr 2) + $1,200/yr</w:t>
            </w:r>
          </w:p>
        </w:tc>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r>
      <w:tr>
        <w:trPr>
          <w:cantSplit/>
        </w:trPr>
        <w:tc>
          <w:tcPr>
            <w:tcMar>
              <w:top w:w="100" w:type="dxa"/>
              <w:bottom w:w="100" w:type="dxa"/>
              <w:left w:w="150" w:type="dxa"/>
              <w:right w:w="150" w:type="dxa"/>
            </w:tcMar>
            <w:vAlign w:val="center"/>
          </w:tcPr>
          <w:p>
            <w:pPr>
              <w:pStyle w:val="Compact"/>
              <w:jc w:val="left"/>
              <w:suppressAutoHyphens/>
            </w:pPr>
            <w:r>
              <w:t xml:space="preserve">ISO 21001</w:t>
            </w:r>
          </w:p>
        </w:tc>
        <w:tc>
          <w:tcPr>
            <w:tcMar>
              <w:top w:w="100" w:type="dxa"/>
              <w:bottom w:w="100" w:type="dxa"/>
              <w:left w:w="150" w:type="dxa"/>
              <w:right w:w="150" w:type="dxa"/>
            </w:tcMar>
            <w:vAlign w:val="center"/>
          </w:tcPr>
          <w:p>
            <w:pPr>
              <w:pStyle w:val="Compact"/>
              <w:jc w:val="left"/>
              <w:suppressAutoHyphens/>
            </w:pPr>
            <w:r>
              <w:t xml:space="preserve">$12,000 initial (Yr 3) + $3,500/yr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registration/trust/NAQAA (Stage 3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total (Yr 2–4)</w:t>
            </w:r>
          </w:p>
        </w:tc>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 (35%)</w:t>
            </w:r>
          </w:p>
        </w:tc>
      </w:tr>
      <w:tr>
        <w:trPr>
          <w:cantSplit/>
        </w:trPr>
        <w:tc>
          <w:tcPr>
            <w:tcMar>
              <w:top w:w="100" w:type="dxa"/>
              <w:bottom w:w="100" w:type="dxa"/>
              <w:left w:w="150" w:type="dxa"/>
              <w:right w:w="150" w:type="dxa"/>
            </w:tcMar>
            <w:vAlign w:val="center"/>
          </w:tcPr>
          <w:p>
            <w:pPr>
              <w:pStyle w:val="Compact"/>
              <w:jc w:val="left"/>
              <w:suppressAutoHyphens/>
            </w:pPr>
            <w:r>
              <w:t xml:space="preserve">Compliance coordinator time</w:t>
            </w:r>
          </w:p>
        </w:tc>
        <w:tc>
          <w:tcPr>
            <w:tcMar>
              <w:top w:w="100" w:type="dxa"/>
              <w:bottom w:w="100" w:type="dxa"/>
              <w:left w:w="150" w:type="dxa"/>
              <w:right w:w="150" w:type="dxa"/>
            </w:tcMar>
            <w:vAlign w:val="center"/>
          </w:tcPr>
          <w:p>
            <w:pPr>
              <w:pStyle w:val="Compact"/>
              <w:jc w:val="left"/>
              <w:suppressAutoHyphens/>
            </w:pPr>
            <w:r>
              <w:t xml:space="preserve">Embedded, no separate line</w:t>
            </w:r>
          </w:p>
        </w:tc>
        <w:tc>
          <w:tcPr>
            <w:tcMar>
              <w:top w:w="100" w:type="dxa"/>
              <w:bottom w:w="100" w:type="dxa"/>
              <w:left w:w="150" w:type="dxa"/>
              <w:right w:w="150" w:type="dxa"/>
            </w:tcMar>
            <w:vAlign w:val="center"/>
          </w:tcPr>
          <w:p>
            <w:pPr>
              <w:pStyle w:val="Compact"/>
              <w:jc w:val="left"/>
              <w:suppressAutoHyphens/>
            </w:pPr>
            <w:r>
              <w:t xml:space="preserve">Core Admin Staff (18% of Payroll)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Future secular-accreditor candidacy fees (Yr 11+)</w:t>
            </w:r>
          </w:p>
        </w:tc>
        <w:tc>
          <w:tcPr>
            <w:tcMar>
              <w:top w:w="100" w:type="dxa"/>
              <w:bottom w:w="100" w:type="dxa"/>
              <w:left w:w="150" w:type="dxa"/>
              <w:right w:w="150" w:type="dxa"/>
            </w:tcMar>
            <w:vAlign w:val="center"/>
            <w:shd w:val="clear" w:color="auto" w:fill="E9EDF6"/>
          </w:tcPr>
          <w:p>
            <w:pPr>
              <w:pStyle w:val="Compact"/>
              <w:jc w:val="left"/>
              <w:suppressAutoHyphens/>
            </w:pPr>
            <w:r>
              <w:t xml:space="preserve">Sized to that era’s OpEx/Liquidity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Period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990 preparation; TX registered-agent renewal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ISO 21001 surveillance audit window (post-Yr 3); CPD renewal filing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biennial re-certification (odd-numbered cycles) of Commercial Engine structures</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Ongoing</w:t>
            </w:r>
          </w:p>
        </w:tc>
        <w:tc>
          <w:tcPr>
            <w:tcMar>
              <w:top w:w="100" w:type="dxa"/>
              <w:bottom w:w="100" w:type="dxa"/>
              <w:left w:w="150" w:type="dxa"/>
              <w:right w:w="150" w:type="dxa"/>
            </w:tcMar>
            <w:vAlign w:val="center"/>
            <w:shd w:val="clear" w:color="auto" w:fill="E9EDF6"/>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Risk 11 (accreditation candidacy delay — mitigated by framing candidacy as reserve-funded, not survival-dependent), and Risk 15 (cybersecurity/data breach — see Section 36). Risk 15’s mitigation cost sits inside the existing LMS &amp; Technology Infrastructure line (5%) rather than a new budget category, since it is a technical-control matter, but it is scored and reviewed as a full register item, not handled as an operational matter with no Board-level visibility.</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compliance accountability; approves Liquidity Reserve draws for Gambia/accreditation costs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calendar adherence; commissions independent legal-counsel opinions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academic-content compliance (TWC Ch.132 scope, future licensure-adjacent curricula)</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N/A directly, but reviewed for compliance of Waqf fund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30"/>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30"/>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0"/>
        </w:numPr>
        <w:pStyle w:val="Compact"/>
        <w:jc w:val="both"/>
      </w:pPr>
      <w:r>
        <w:t xml:space="preserve">Scenario planning (conservative/expected/growth bands around one structural model, not three different budgets) is standard in nonprofit financial resilience planning.</w:t>
      </w:r>
    </w:p>
    <w:p>
      <w:pPr>
        <w:numPr>
          <w:ilvl w:val="0"/>
          <w:numId w:val="1030"/>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1"/>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1"/>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1"/>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Model Validation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Confirm actual revenue tracks within Conservative–Growth band</w:t>
            </w:r>
          </w:p>
        </w:tc>
      </w:tr>
      <w:tr>
        <w:trPr>
          <w:cantSplit/>
        </w:trPr>
        <w:tc>
          <w:tcPr>
            <w:tcMar>
              <w:top w:w="100" w:type="dxa"/>
              <w:bottom w:w="100" w:type="dxa"/>
              <w:left w:w="150" w:type="dxa"/>
              <w:right w:w="150" w:type="dxa"/>
            </w:tcMar>
            <w:vAlign w:val="center"/>
          </w:tcPr>
          <w:p>
            <w:pPr>
              <w:pStyle w:val="Compact"/>
              <w:jc w:val="left"/>
              <w:suppressAutoHyphens/>
            </w:pPr>
            <w:r>
              <w:t xml:space="preserve">II — Reserve Build</w:t>
            </w:r>
          </w:p>
        </w:tc>
        <w:tc>
          <w:tcPr>
            <w:tcMar>
              <w:top w:w="100" w:type="dxa"/>
              <w:bottom w:w="100" w:type="dxa"/>
              <w:left w:w="150" w:type="dxa"/>
              <w:right w:w="150" w:type="dxa"/>
            </w:tcMar>
            <w:vAlign w:val="center"/>
          </w:tcPr>
          <w:p>
            <w:pPr>
              <w:pStyle w:val="Compact"/>
              <w:jc w:val="left"/>
              <w:suppressAutoHyphens/>
            </w:pPr>
            <w:r>
              <w:t xml:space="preserve">2030–2034</w:t>
            </w:r>
          </w:p>
        </w:tc>
        <w:tc>
          <w:tcPr>
            <w:tcMar>
              <w:top w:w="100" w:type="dxa"/>
              <w:bottom w:w="100" w:type="dxa"/>
              <w:left w:w="150" w:type="dxa"/>
              <w:right w:w="150" w:type="dxa"/>
            </w:tcMar>
            <w:vAlign w:val="center"/>
          </w:tcPr>
          <w:p>
            <w:pPr>
              <w:pStyle w:val="Compact"/>
              <w:jc w:val="left"/>
              <w:suppressAutoHyphens/>
            </w:pPr>
            <w:r>
              <w:t xml:space="preserve">Liquidity Reserve and Strategic Business Reserve compound; first Gambia/accreditation draws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Decade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audited zero-deficit track record completed — precondition for Year-11 secular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IV — Scaled Sustainability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2"/>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2"/>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2"/>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2"/>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Exclusive tuition-setting authority; approves Liquidity Reserve draws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reconciliation-to-the-dollar; triggers Downside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Reviews Payroll-line implications (Faculty Honoraria, Senate Stipends)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over Strategic Business Reserve investment discipline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3"/>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3"/>
        </w:numPr>
        <w:pStyle w:val="Compact"/>
        <w:jc w:val="both"/>
      </w:pPr>
      <w:r>
        <w:t xml:space="preserve">Phased capital ceilings (a board-approved not-to-exceed figure before groundbreaking) rather than open-ended construction budgets — exactly the Gambia $50,000 model.</w:t>
      </w:r>
    </w:p>
    <w:p>
      <w:pPr>
        <w:numPr>
          <w:ilvl w:val="0"/>
          <w:numId w:val="1033"/>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3"/>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Layout w:type="fixed"/>
      </w:tblPr>
      <w:tblGrid>
        <w:gridCol w:w="2776"/>
        <w:gridCol w:w="1760"/>
        <w:gridCol w:w="2141"/>
        <w:gridCol w:w="23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76" w:type="dxa"/>
          </w:tcPr>
          <w:p>
            <w:pPr>
              <w:pStyle w:val="Compact"/>
              <w:jc w:val="left"/>
            </w:pPr>
            <w:r>
              <w:rPr>
                <w:b/>
                <w:color w:val="FFFFFF"/>
                <w:caps/>
                <w:spacing w:val="4"/>
              </w:rPr>
              <w:t xml:space="preserve">Project</w:t>
            </w:r>
          </w:p>
        </w:tc>
        <w:tc>
          <w:tcPr>
            <w:shd w:val="clear" w:color="auto" w:fill="122A4E"/>
            <w:tcMar>
              <w:top w:w="130" w:type="dxa"/>
              <w:bottom w:w="130" w:type="dxa"/>
              <w:left w:w="150" w:type="dxa"/>
              <w:right w:w="150" w:type="dxa"/>
            </w:tcMar>
            <w:tcBorders>
              <w:bottom w:val="single" w:sz="16" w:space="0" w:color="B08625"/>
            </w:tcBorders>
            <w:vAlign w:val="center"/>
            <w:tcW w:w="1760"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14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2395"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Gambia Branch Campus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Yr 2–4 (2029–2031)</w:t>
            </w:r>
          </w:p>
        </w:tc>
        <w:tc>
          <w:tcPr>
            <w:tcMar>
              <w:top w:w="100" w:type="dxa"/>
              <w:bottom w:w="100" w:type="dxa"/>
              <w:left w:w="150" w:type="dxa"/>
              <w:right w:w="150" w:type="dxa"/>
            </w:tcMar>
            <w:vAlign w:val="center"/>
            <w:shd w:val="clear" w:color="auto" w:fill="E9EDF6"/>
            <w:tcW w:w="2141" w:type="dxa"/>
          </w:tcPr>
          <w:p>
            <w:pPr>
              <w:pStyle w:val="Compact"/>
              <w:jc w:val="left"/>
            </w:pPr>
            <w:r>
              <w:t xml:space="preserve">University Liquidity Reserve (35% line)</w:t>
            </w:r>
          </w:p>
        </w:tc>
        <w:tc>
          <w:tcPr>
            <w:tcMar>
              <w:top w:w="100" w:type="dxa"/>
              <w:bottom w:w="100" w:type="dxa"/>
              <w:left w:w="150" w:type="dxa"/>
              <w:right w:w="150" w:type="dxa"/>
            </w:tcMar>
            <w:vAlign w:val="center"/>
            <w:shd w:val="clear" w:color="auto" w:fill="E9EDF6"/>
            <w:tcW w:w="2395" w:type="dxa"/>
          </w:tcPr>
          <w:p>
            <w:pPr>
              <w:pStyle w:val="Compact"/>
              <w:jc w:val="left"/>
            </w:pPr>
            <w:r>
              <w:t xml:space="preserve">$50,000 board-approved ceiling: registration $3,000, office lease $2,000, statutory trust capitalization $10,000, NAQAA accreditation $30,000, local counsel $5,000</w:t>
            </w:r>
          </w:p>
        </w:tc>
      </w:tr>
      <w:tr>
        <w:trPr>
          <w:cantSplit/>
        </w:trPr>
        <w:tc>
          <w:tcPr>
            <w:tcMar>
              <w:top w:w="100" w:type="dxa"/>
              <w:bottom w:w="100" w:type="dxa"/>
              <w:left w:w="150" w:type="dxa"/>
              <w:right w:w="150" w:type="dxa"/>
            </w:tcMar>
            <w:vAlign w:val="center"/>
            <w:tcW w:w="2776" w:type="dxa"/>
          </w:tcPr>
          <w:p>
            <w:pPr>
              <w:pStyle w:val="Compact"/>
              <w:jc w:val="left"/>
            </w:pPr>
            <w:r>
              <w:t xml:space="preserve">Nigeria Mega-University land/seed capital</w:t>
            </w:r>
          </w:p>
        </w:tc>
        <w:tc>
          <w:tcPr>
            <w:tcMar>
              <w:top w:w="100" w:type="dxa"/>
              <w:bottom w:w="100" w:type="dxa"/>
              <w:left w:w="150" w:type="dxa"/>
              <w:right w:w="150" w:type="dxa"/>
            </w:tcMar>
            <w:vAlign w:val="center"/>
            <w:tcW w:w="1760" w:type="dxa"/>
          </w:tcPr>
          <w:p>
            <w:pPr>
              <w:pStyle w:val="Compact"/>
              <w:jc w:val="left"/>
            </w:pPr>
            <w:r>
              <w:t xml:space="preserve">Yr 6+ (2033+), target maturity 2040s</w:t>
            </w:r>
          </w:p>
        </w:tc>
        <w:tc>
          <w:tcPr>
            <w:tcMar>
              <w:top w:w="100" w:type="dxa"/>
              <w:bottom w:w="100" w:type="dxa"/>
              <w:left w:w="150" w:type="dxa"/>
              <w:right w:w="150" w:type="dxa"/>
            </w:tcMar>
            <w:vAlign w:val="center"/>
            <w:tcW w:w="2141" w:type="dxa"/>
          </w:tcPr>
          <w:p>
            <w:pPr>
              <w:pStyle w:val="Compact"/>
              <w:jc w:val="left"/>
            </w:pPr>
            <w:r>
              <w:t xml:space="preserve">Waqf Nigeria Mega-University Reserve sub-line (20% of the 50% distributed Waqf pool = 2% of gross revenue; 10-yr cumulative ≈ $333,383)</w:t>
            </w:r>
          </w:p>
        </w:tc>
        <w:tc>
          <w:tcPr>
            <w:tcMar>
              <w:top w:w="100" w:type="dxa"/>
              <w:bottom w:w="100" w:type="dxa"/>
              <w:left w:w="150" w:type="dxa"/>
              <w:right w:w="150" w:type="dxa"/>
            </w:tcMar>
            <w:vAlign w:val="center"/>
            <w:tcW w:w="2395" w:type="dxa"/>
          </w:tcPr>
          <w:p>
            <w:pPr>
              <w:pStyle w:val="Compact"/>
              <w:jc w:val="left"/>
            </w:pPr>
            <w:r>
              <w:t xml:space="preserve">Framed per Risk 6 as a funding target, not a guarantee; delay does not affect University solvency</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Nigeria residential colleges/library (full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Post Yr 11 (2038+)</w:t>
            </w:r>
          </w:p>
        </w:tc>
        <w:tc>
          <w:tcPr>
            <w:tcMar>
              <w:top w:w="100" w:type="dxa"/>
              <w:bottom w:w="100" w:type="dxa"/>
              <w:left w:w="150" w:type="dxa"/>
              <w:right w:w="150" w:type="dxa"/>
            </w:tcMar>
            <w:vAlign w:val="center"/>
            <w:shd w:val="clear" w:color="auto" w:fill="E9EDF6"/>
            <w:tcW w:w="2141" w:type="dxa"/>
          </w:tcPr>
          <w:p>
            <w:pPr>
              <w:pStyle w:val="Compact"/>
              <w:jc w:val="left"/>
            </w:pPr>
            <w:r>
              <w:t xml:space="preserve">Waqf Nigeria Reserve continuing accrual + possible dedicated Waqf capital campaign</w:t>
            </w:r>
          </w:p>
        </w:tc>
        <w:tc>
          <w:tcPr>
            <w:tcMar>
              <w:top w:w="100" w:type="dxa"/>
              <w:bottom w:w="100" w:type="dxa"/>
              <w:left w:w="150" w:type="dxa"/>
              <w:right w:w="150" w:type="dxa"/>
            </w:tcMar>
            <w:vAlign w:val="center"/>
            <w:shd w:val="clear" w:color="auto" w:fill="E9EDF6"/>
            <w:tcW w:w="2395" w:type="dxa"/>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tcMar>
              <w:top w:w="100" w:type="dxa"/>
              <w:bottom w:w="100" w:type="dxa"/>
              <w:left w:w="150" w:type="dxa"/>
              <w:right w:w="150" w:type="dxa"/>
            </w:tcMar>
            <w:vAlign w:val="center"/>
            <w:tcW w:w="2776" w:type="dxa"/>
          </w:tcPr>
          <w:p>
            <w:pPr>
              <w:pStyle w:val="Compact"/>
              <w:jc w:val="left"/>
            </w:pPr>
            <w:r>
              <w:t xml:space="preserve">Future Tier-1-region facilities</w:t>
            </w:r>
          </w:p>
        </w:tc>
        <w:tc>
          <w:tcPr>
            <w:tcMar>
              <w:top w:w="100" w:type="dxa"/>
              <w:bottom w:w="100" w:type="dxa"/>
              <w:left w:w="150" w:type="dxa"/>
              <w:right w:w="150" w:type="dxa"/>
            </w:tcMar>
            <w:vAlign w:val="center"/>
            <w:tcW w:w="1760" w:type="dxa"/>
          </w:tcPr>
          <w:p>
            <w:pPr>
              <w:pStyle w:val="Compact"/>
              <w:jc w:val="left"/>
            </w:pPr>
            <w:r>
              <w:t xml:space="preserve">Yr 15+ (2042+), illustrative only</w:t>
            </w:r>
          </w:p>
        </w:tc>
        <w:tc>
          <w:tcPr>
            <w:tcMar>
              <w:top w:w="100" w:type="dxa"/>
              <w:bottom w:w="100" w:type="dxa"/>
              <w:left w:w="150" w:type="dxa"/>
              <w:right w:w="150" w:type="dxa"/>
            </w:tcMar>
            <w:vAlign w:val="center"/>
            <w:tcW w:w="2141" w:type="dxa"/>
          </w:tcPr>
          <w:p>
            <w:pPr>
              <w:pStyle w:val="Compact"/>
              <w:jc w:val="left"/>
            </w:pPr>
            <w:r>
              <w:t xml:space="preserve">Primarily Commercial Engine (Gate B real-estate acquisition, independently raised investor capital)</w:t>
            </w:r>
          </w:p>
        </w:tc>
        <w:tc>
          <w:tcPr>
            <w:tcMar>
              <w:top w:w="100" w:type="dxa"/>
              <w:bottom w:w="100" w:type="dxa"/>
              <w:left w:w="150" w:type="dxa"/>
              <w:right w:w="150" w:type="dxa"/>
            </w:tcMar>
            <w:vAlign w:val="center"/>
            <w:tcW w:w="2395" w:type="dxa"/>
          </w:tcPr>
          <w:p>
            <w:pPr>
              <w:pStyle w:val="Compact"/>
              <w:jc w:val="left"/>
            </w:pPr>
            <w:r>
              <w:t xml:space="preserve">University may only participate via fair-market-value lease-back, never capital contribution</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Accreditation-linked capital costs (ISO surveillance, future US secular-accreditor site visits)</w:t>
            </w:r>
          </w:p>
        </w:tc>
        <w:tc>
          <w:tcPr>
            <w:tcMar>
              <w:top w:w="100" w:type="dxa"/>
              <w:bottom w:w="100" w:type="dxa"/>
              <w:left w:w="150" w:type="dxa"/>
              <w:right w:w="150" w:type="dxa"/>
            </w:tcMar>
            <w:vAlign w:val="center"/>
            <w:shd w:val="clear" w:color="auto" w:fill="E9EDF6"/>
            <w:tcW w:w="1760" w:type="dxa"/>
          </w:tcPr>
          <w:p>
            <w:pPr>
              <w:pStyle w:val="Compact"/>
              <w:jc w:val="left"/>
            </w:pPr>
            <w:r>
              <w:t xml:space="preserve">Ongoing / Yr 11–12</w:t>
            </w:r>
          </w:p>
        </w:tc>
        <w:tc>
          <w:tcPr>
            <w:tcMar>
              <w:top w:w="100" w:type="dxa"/>
              <w:bottom w:w="100" w:type="dxa"/>
              <w:left w:w="150" w:type="dxa"/>
              <w:right w:w="150" w:type="dxa"/>
            </w:tcMar>
            <w:vAlign w:val="center"/>
            <w:shd w:val="clear" w:color="auto" w:fill="E9EDF6"/>
            <w:tcW w:w="2141" w:type="dxa"/>
          </w:tcPr>
          <w:p>
            <w:pPr>
              <w:pStyle w:val="Compact"/>
              <w:jc w:val="left"/>
            </w:pPr>
            <w:r>
              <w:t xml:space="preserve">OpEx (5%) for recurring; Liquidity Reserve for larger one-off candidacy costs</w:t>
            </w:r>
          </w:p>
        </w:tc>
        <w:tc>
          <w:tcPr>
            <w:tcMar>
              <w:top w:w="100" w:type="dxa"/>
              <w:bottom w:w="100" w:type="dxa"/>
              <w:left w:w="150" w:type="dxa"/>
              <w:right w:w="150" w:type="dxa"/>
            </w:tcMar>
            <w:vAlign w:val="center"/>
            <w:shd w:val="clear" w:color="auto" w:fill="E9EDF6"/>
            <w:tcW w:w="2395" w:type="dxa"/>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Gambia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2029–2031</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ceiling spent, NAQAA accreditation earned independently of Texas parent</w:t>
            </w:r>
          </w:p>
        </w:tc>
      </w:tr>
      <w:tr>
        <w:trPr>
          <w:cantSplit/>
        </w:trPr>
        <w:tc>
          <w:tcPr>
            <w:tcMar>
              <w:top w:w="100" w:type="dxa"/>
              <w:bottom w:w="100" w:type="dxa"/>
              <w:left w:w="150" w:type="dxa"/>
              <w:right w:w="150" w:type="dxa"/>
            </w:tcMar>
            <w:vAlign w:val="center"/>
          </w:tcPr>
          <w:p>
            <w:pPr>
              <w:pStyle w:val="Compact"/>
              <w:jc w:val="left"/>
              <w:suppressAutoHyphens/>
            </w:pPr>
            <w:r>
              <w:t xml:space="preserve">II — Nigeria Reserve Accrual</w:t>
            </w:r>
          </w:p>
        </w:tc>
        <w:tc>
          <w:tcPr>
            <w:tcMar>
              <w:top w:w="100" w:type="dxa"/>
              <w:bottom w:w="100" w:type="dxa"/>
              <w:left w:w="150" w:type="dxa"/>
              <w:right w:w="150" w:type="dxa"/>
            </w:tcMar>
            <w:vAlign w:val="center"/>
          </w:tcPr>
          <w:p>
            <w:pPr>
              <w:pStyle w:val="Compact"/>
              <w:jc w:val="left"/>
              <w:suppressAutoHyphens/>
            </w:pPr>
            <w:r>
              <w:t xml:space="preserve">2033–2037</w:t>
            </w:r>
          </w:p>
        </w:tc>
        <w:tc>
          <w:tcPr>
            <w:tcMar>
              <w:top w:w="100" w:type="dxa"/>
              <w:bottom w:w="100" w:type="dxa"/>
              <w:left w:w="150" w:type="dxa"/>
              <w:right w:w="150" w:type="dxa"/>
            </w:tcMar>
            <w:vAlign w:val="center"/>
          </w:tcPr>
          <w:p>
            <w:pPr>
              <w:pStyle w:val="Compact"/>
              <w:jc w:val="left"/>
              <w:suppressAutoHyphens/>
            </w:pPr>
            <w:r>
              <w:t xml:space="preserve">Waqf Nigeria sub-line compounds; feasibility study conducted, funded from 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Nigeria Capital Deployment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2038–2044 (indicative)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Land/seed capital deployed if Reserve + campaign sufficient; framed as target throughout</w:t>
            </w:r>
          </w:p>
        </w:tc>
      </w:tr>
      <w:tr>
        <w:trPr>
          <w:cantSplit/>
        </w:trPr>
        <w:tc>
          <w:tcPr>
            <w:tcMar>
              <w:top w:w="100" w:type="dxa"/>
              <w:bottom w:w="100" w:type="dxa"/>
              <w:left w:w="150" w:type="dxa"/>
              <w:right w:w="150" w:type="dxa"/>
            </w:tcMar>
            <w:vAlign w:val="center"/>
          </w:tcPr>
          <w:p>
            <w:pPr>
              <w:pStyle w:val="Compact"/>
              <w:jc w:val="left"/>
              <w:suppressAutoHyphens/>
            </w:pPr>
            <w:r>
              <w:t xml:space="preserve">IV — Tier-1 Facilities (illustrative)</w:t>
            </w:r>
          </w:p>
        </w:tc>
        <w:tc>
          <w:tcPr>
            <w:tcMar>
              <w:top w:w="100" w:type="dxa"/>
              <w:bottom w:w="100" w:type="dxa"/>
              <w:left w:w="150" w:type="dxa"/>
              <w:right w:w="150" w:type="dxa"/>
            </w:tcMar>
            <w:vAlign w:val="center"/>
          </w:tcPr>
          <w:p>
            <w:pPr>
              <w:pStyle w:val="Compact"/>
              <w:jc w:val="left"/>
              <w:suppressAutoHyphens/>
            </w:pPr>
            <w:r>
              <w:t xml:space="preserve">2042+</w:t>
            </w:r>
          </w:p>
        </w:tc>
        <w:tc>
          <w:tcPr>
            <w:tcMar>
              <w:top w:w="100" w:type="dxa"/>
              <w:bottom w:w="100" w:type="dxa"/>
              <w:left w:w="150" w:type="dxa"/>
              <w:right w:w="150" w:type="dxa"/>
            </w:tcMar>
            <w:vAlign w:val="center"/>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capital ceilings; enforces firewall on every project</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Audits source-of-funds tagging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No direct capital authority; informed of academic-capacity implications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owner of the Nigeria Reserve sub-line and any Waqf capital campaign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2027 (Dec 6)</w:t>
            </w:r>
          </w:p>
        </w:tc>
        <w:tc>
          <w:tcPr>
            <w:tcMar>
              <w:top w:w="100" w:type="dxa"/>
              <w:bottom w:w="100" w:type="dxa"/>
              <w:left w:w="150" w:type="dxa"/>
              <w:right w:w="150" w:type="dxa"/>
            </w:tcMar>
            <w:vAlign w:val="center"/>
            <w:shd w:val="clear" w:color="auto" w:fill="E9EDF6"/>
          </w:tcPr>
          <w:p>
            <w:pPr>
              <w:pStyle w:val="Compact"/>
              <w:jc w:val="left"/>
              <w:suppressAutoHyphens/>
            </w:pPr>
            <w:r>
              <w:t xml:space="preserve">Incorporation, Texas Nonprofit Corp, 501(c)(3) religious-exempt</w:t>
            </w:r>
          </w:p>
        </w:tc>
        <w:tc>
          <w:tcPr>
            <w:tcMar>
              <w:top w:w="100" w:type="dxa"/>
              <w:bottom w:w="100" w:type="dxa"/>
              <w:left w:w="150" w:type="dxa"/>
              <w:right w:w="150" w:type="dxa"/>
            </w:tcMar>
            <w:vAlign w:val="center"/>
            <w:shd w:val="clear" w:color="auto" w:fill="E9EDF6"/>
          </w:tcPr>
          <w:p>
            <w:pPr>
              <w:pStyle w:val="Compact"/>
              <w:jc w:val="left"/>
              <w:suppressAutoHyphens/>
            </w:pPr>
            <w:r>
              <w:t xml:space="preserve">3–5; 37</w:t>
            </w:r>
          </w:p>
        </w:tc>
      </w:tr>
      <w:tr>
        <w:trPr>
          <w:cantSplit/>
        </w:trPr>
        <w:tc>
          <w:tcPr>
            <w:tcMar>
              <w:top w:w="100" w:type="dxa"/>
              <w:bottom w:w="100" w:type="dxa"/>
              <w:left w:w="150" w:type="dxa"/>
              <w:right w:w="150" w:type="dxa"/>
            </w:tcMar>
            <w:vAlign w:val="center"/>
          </w:tcPr>
          <w:p>
            <w:pPr>
              <w:pStyle w:val="Compact"/>
              <w:jc w:val="left"/>
              <w:suppressAutoHyphens/>
            </w:pPr>
            <w:r>
              <w:t xml:space="preserve">2028 (Yr 1)</w:t>
            </w:r>
          </w:p>
        </w:tc>
        <w:tc>
          <w:tcPr>
            <w:tcMar>
              <w:top w:w="100" w:type="dxa"/>
              <w:bottom w:w="100" w:type="dxa"/>
              <w:left w:w="150" w:type="dxa"/>
              <w:right w:w="150" w:type="dxa"/>
            </w:tcMar>
            <w:vAlign w:val="center"/>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tcMar>
              <w:top w:w="100" w:type="dxa"/>
              <w:bottom w:w="100" w:type="dxa"/>
              <w:left w:w="150" w:type="dxa"/>
              <w:right w:w="150" w:type="dxa"/>
            </w:tcMar>
            <w:vAlign w:val="center"/>
          </w:tcPr>
          <w:p>
            <w:pPr>
              <w:pStyle w:val="Compact"/>
              <w:jc w:val="left"/>
              <w:suppressAutoHyphens/>
            </w:pPr>
            <w:r>
              <w:t xml:space="preserve">1–5; 36–38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2029 (Yr 2)</w:t>
            </w:r>
          </w:p>
        </w:tc>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 achieved ($4,000 initial); Gambia Branch Campus Stage 3 begins ($50,000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19–20; 30; 37; 39</w:t>
            </w:r>
          </w:p>
        </w:tc>
      </w:tr>
      <w:tr>
        <w:trPr>
          <w:cantSplit/>
        </w:trPr>
        <w:tc>
          <w:tcPr>
            <w:tcMar>
              <w:top w:w="100" w:type="dxa"/>
              <w:bottom w:w="100" w:type="dxa"/>
              <w:left w:w="150" w:type="dxa"/>
              <w:right w:w="150" w:type="dxa"/>
            </w:tcMar>
            <w:vAlign w:val="center"/>
          </w:tcPr>
          <w:p>
            <w:pPr>
              <w:pStyle w:val="Compact"/>
              <w:jc w:val="left"/>
              <w:suppressAutoHyphens/>
            </w:pPr>
            <w:r>
              <w:t xml:space="preserve">2030 (Yr 3)</w:t>
            </w:r>
          </w:p>
        </w:tc>
        <w:tc>
          <w:tcPr>
            <w:tcMar>
              <w:top w:w="100" w:type="dxa"/>
              <w:bottom w:w="100" w:type="dxa"/>
              <w:left w:w="150" w:type="dxa"/>
              <w:right w:w="150" w:type="dxa"/>
            </w:tcMar>
            <w:vAlign w:val="center"/>
          </w:tcPr>
          <w:p>
            <w:pPr>
              <w:pStyle w:val="Compact"/>
              <w:jc w:val="left"/>
              <w:suppressAutoHyphens/>
            </w:pPr>
            <w:r>
              <w:t xml:space="preserve">ISO 21001 achieved ($12,000 initial); PhD tier launches; Senate succession plans documented for founder-linked seats 2–4 (Risk 12 closes)</w:t>
            </w:r>
          </w:p>
        </w:tc>
        <w:tc>
          <w:tcPr>
            <w:tcMar>
              <w:top w:w="100" w:type="dxa"/>
              <w:bottom w:w="100" w:type="dxa"/>
              <w:left w:w="150" w:type="dxa"/>
              <w:right w:w="150" w:type="dxa"/>
            </w:tcMar>
            <w:vAlign w:val="center"/>
          </w:tcPr>
          <w:p>
            <w:pPr>
              <w:pStyle w:val="Compact"/>
              <w:jc w:val="left"/>
              <w:suppressAutoHyphens/>
            </w:pPr>
            <w:r>
              <w:t xml:space="preserve">7; 16; 19–20;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2031 (Yr 4)</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Branch Campus NAQAA-accredited, independent of Texas parent</w:t>
            </w:r>
          </w:p>
        </w:tc>
        <w:tc>
          <w:tcPr>
            <w:tcMar>
              <w:top w:w="100" w:type="dxa"/>
              <w:bottom w:w="100" w:type="dxa"/>
              <w:left w:w="150" w:type="dxa"/>
              <w:right w:w="150" w:type="dxa"/>
            </w:tcMar>
            <w:vAlign w:val="center"/>
            <w:shd w:val="clear" w:color="auto" w:fill="E9EDF6"/>
          </w:tcPr>
          <w:p>
            <w:pPr>
              <w:pStyle w:val="Compact"/>
              <w:jc w:val="left"/>
              <w:suppressAutoHyphens/>
            </w:pPr>
            <w:r>
              <w:t xml:space="preserve">30; 39</w:t>
            </w:r>
          </w:p>
        </w:tc>
      </w:tr>
      <w:tr>
        <w:trPr>
          <w:cantSplit/>
        </w:trPr>
        <w:tc>
          <w:tcPr>
            <w:tcMar>
              <w:top w:w="100" w:type="dxa"/>
              <w:bottom w:w="100" w:type="dxa"/>
              <w:left w:w="150" w:type="dxa"/>
              <w:right w:w="150" w:type="dxa"/>
            </w:tcMar>
            <w:vAlign w:val="center"/>
          </w:tcPr>
          <w:p>
            <w:pPr>
              <w:pStyle w:val="Compact"/>
              <w:jc w:val="left"/>
              <w:suppressAutoHyphens/>
            </w:pPr>
            <w:r>
              <w:t xml:space="preserve">2032 (Yr 5)</w:t>
            </w:r>
          </w:p>
        </w:tc>
        <w:tc>
          <w:tcPr>
            <w:tcMar>
              <w:top w:w="100" w:type="dxa"/>
              <w:bottom w:w="100" w:type="dxa"/>
              <w:left w:w="150" w:type="dxa"/>
              <w:right w:w="150" w:type="dxa"/>
            </w:tcMar>
            <w:vAlign w:val="center"/>
          </w:tcPr>
          <w:p>
            <w:pPr>
              <w:pStyle w:val="Compact"/>
              <w:jc w:val="left"/>
              <w:suppressAutoHyphens/>
            </w:pPr>
            <w:r>
              <w:t xml:space="preserve">3,493 students / $1,290,784 revenue; reserves compounding on schedule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2033 (Yr 6)</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 tier launches</w:t>
            </w:r>
          </w:p>
        </w:tc>
        <w:tc>
          <w:tcPr>
            <w:tcMar>
              <w:top w:w="100" w:type="dxa"/>
              <w:bottom w:w="100" w:type="dxa"/>
              <w:left w:w="150" w:type="dxa"/>
              <w:right w:w="150" w:type="dxa"/>
            </w:tcMar>
            <w:vAlign w:val="center"/>
            <w:shd w:val="clear" w:color="auto" w:fill="E9EDF6"/>
          </w:tcPr>
          <w:p>
            <w:pPr>
              <w:pStyle w:val="Compact"/>
              <w:jc w:val="left"/>
              <w:suppressAutoHyphens/>
            </w:pPr>
            <w:r>
              <w:t xml:space="preserve">7; 16</w:t>
            </w:r>
          </w:p>
        </w:tc>
      </w:tr>
      <w:tr>
        <w:trPr>
          <w:cantSplit/>
        </w:trPr>
        <w:tc>
          <w:tcPr>
            <w:tcMar>
              <w:top w:w="100" w:type="dxa"/>
              <w:bottom w:w="100" w:type="dxa"/>
              <w:left w:w="150" w:type="dxa"/>
              <w:right w:w="150" w:type="dxa"/>
            </w:tcMar>
            <w:vAlign w:val="center"/>
          </w:tcPr>
          <w:p>
            <w:pPr>
              <w:pStyle w:val="Compact"/>
              <w:jc w:val="left"/>
              <w:suppressAutoHyphens/>
            </w:pPr>
            <w:r>
              <w:t xml:space="preserve">2033–2036 (Yr 6–9)</w:t>
            </w:r>
          </w:p>
        </w:tc>
        <w:tc>
          <w:tcPr>
            <w:tcMar>
              <w:top w:w="100" w:type="dxa"/>
              <w:bottom w:w="100" w:type="dxa"/>
              <w:left w:w="150" w:type="dxa"/>
              <w:right w:w="150" w:type="dxa"/>
            </w:tcMar>
            <w:vAlign w:val="center"/>
          </w:tcPr>
          <w:p>
            <w:pPr>
              <w:pStyle w:val="Compact"/>
              <w:jc w:val="left"/>
              <w:suppressAutoHyphens/>
            </w:pPr>
            <w:r>
              <w:t xml:space="preserve">Risk/Compliance coordinator scales to 1.0 FTE; Nigeria feasibility study initiated; steady-state compliance cycle in force</w:t>
            </w:r>
          </w:p>
        </w:tc>
        <w:tc>
          <w:tcPr>
            <w:tcMar>
              <w:top w:w="100" w:type="dxa"/>
              <w:bottom w:w="100" w:type="dxa"/>
              <w:left w:w="150" w:type="dxa"/>
              <w:right w:w="150" w:type="dxa"/>
            </w:tcMar>
            <w:vAlign w:val="center"/>
          </w:tcPr>
          <w:p>
            <w:pPr>
              <w:pStyle w:val="Compact"/>
              <w:jc w:val="left"/>
              <w:suppressAutoHyphens/>
            </w:pPr>
            <w:r>
              <w:t xml:space="preserve">31; 36–39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2037 (Yr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tcMar>
              <w:top w:w="100" w:type="dxa"/>
              <w:bottom w:w="100" w:type="dxa"/>
              <w:left w:w="150" w:type="dxa"/>
              <w:right w:w="150" w:type="dxa"/>
            </w:tcMar>
            <w:vAlign w:val="center"/>
            <w:shd w:val="clear" w:color="auto" w:fill="E9EDF6"/>
          </w:tcPr>
          <w:p>
            <w:pPr>
              <w:pStyle w:val="Compact"/>
              <w:jc w:val="left"/>
              <w:suppressAutoHyphens/>
            </w:pPr>
            <w:r>
              <w:t xml:space="preserve">1; 31; 38–39</w:t>
            </w:r>
          </w:p>
        </w:tc>
      </w:tr>
      <w:tr>
        <w:trPr>
          <w:cantSplit/>
        </w:trPr>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Secular accreditation era begins: 28 secular programs (#72–99), 7 new schools, launch; revenue $8.36M; Risks 16–18 (licensure, NUC, Gulf recognition) formally added to register</w:t>
            </w:r>
          </w:p>
        </w:tc>
        <w:tc>
          <w:tcPr>
            <w:tcMar>
              <w:top w:w="100" w:type="dxa"/>
              <w:bottom w:w="100" w:type="dxa"/>
              <w:left w:w="150" w:type="dxa"/>
              <w:right w:w="150" w:type="dxa"/>
            </w:tcMar>
            <w:vAlign w:val="center"/>
          </w:tcPr>
          <w:p>
            <w:pPr>
              <w:pStyle w:val="Compact"/>
              <w:jc w:val="left"/>
              <w:suppressAutoHyphens/>
            </w:pPr>
            <w:r>
              <w:t xml:space="preserve">6–11; 19;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$14.6M; Texas secular accreditation targeted 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19; 37</w:t>
            </w:r>
          </w:p>
        </w:tc>
      </w:tr>
      <w:tr>
        <w:trPr>
          <w:cantSplit/>
        </w:trPr>
        <w:tc>
          <w:tcPr>
            <w:tcMar>
              <w:top w:w="100" w:type="dxa"/>
              <w:bottom w:w="100" w:type="dxa"/>
              <w:left w:w="150" w:type="dxa"/>
              <w:right w:w="150" w:type="dxa"/>
            </w:tcMar>
            <w:vAlign w:val="center"/>
          </w:tcPr>
          <w:p>
            <w:pPr>
              <w:pStyle w:val="Compact"/>
              <w:jc w:val="left"/>
              <w:suppressAutoHyphens/>
            </w:pPr>
            <w:r>
              <w:t xml:space="preserve">2040 (Yr 13)</w:t>
            </w:r>
          </w:p>
        </w:tc>
        <w:tc>
          <w:tcPr>
            <w:tcMar>
              <w:top w:w="100" w:type="dxa"/>
              <w:bottom w:w="100" w:type="dxa"/>
              <w:left w:w="150" w:type="dxa"/>
              <w:right w:w="150" w:type="dxa"/>
            </w:tcMar>
            <w:vAlign w:val="center"/>
          </w:tcPr>
          <w:p>
            <w:pPr>
              <w:pStyle w:val="Compact"/>
              <w:jc w:val="left"/>
              <w:suppressAutoHyphens/>
            </w:pPr>
            <w:r>
              <w:t xml:space="preserve">Revenue $22.7M; first Gulf ministry recognition targeted</w:t>
            </w:r>
          </w:p>
        </w:tc>
        <w:tc>
          <w:tcPr>
            <w:tcMar>
              <w:top w:w="100" w:type="dxa"/>
              <w:bottom w:w="100" w:type="dxa"/>
              <w:left w:w="150" w:type="dxa"/>
              <w:right w:w="150" w:type="dxa"/>
            </w:tcMar>
            <w:vAlign w:val="center"/>
          </w:tcPr>
          <w:p>
            <w:pPr>
              <w:pStyle w:val="Compact"/>
              <w:jc w:val="left"/>
              <w:suppressAutoHyphens/>
            </w:pPr>
            <w:r>
              <w:t xml:space="preserve">19; 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2041 (Yr 14)</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$32.2M; Nigeria capital-deployment phase evaluated against Reserve sufficiency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2042 (Yr 15)</w:t>
            </w:r>
          </w:p>
        </w:tc>
        <w:tc>
          <w:tcPr>
            <w:tcMar>
              <w:top w:w="100" w:type="dxa"/>
              <w:bottom w:w="100" w:type="dxa"/>
              <w:left w:w="150" w:type="dxa"/>
              <w:right w:w="150" w:type="dxa"/>
            </w:tcMar>
            <w:vAlign w:val="center"/>
          </w:tcPr>
          <w:p>
            <w:pPr>
              <w:pStyle w:val="Compact"/>
              <w:jc w:val="left"/>
              <w:suppressAutoHyphens/>
            </w:pPr>
            <w:r>
              <w:t xml:space="preserve">Revenue $43.1M; Vision trajectory re-forecast checkpoint; illustrative Tier-1-region Commercial Engine facilities phase begins (firewall-observant)</w:t>
            </w:r>
          </w:p>
        </w:tc>
        <w:tc>
          <w:tcPr>
            <w:tcMar>
              <w:top w:w="100" w:type="dxa"/>
              <w:bottom w:w="100" w:type="dxa"/>
              <w:left w:w="150" w:type="dxa"/>
              <w:right w:w="150" w:type="dxa"/>
            </w:tcMar>
            <w:vAlign w:val="center"/>
          </w:tcPr>
          <w:p>
            <w:pPr>
              <w:pStyle w:val="Compact"/>
              <w:jc w:val="left"/>
              <w:suppressAutoHyphens/>
            </w:pPr>
            <w:r>
              <w:t xml:space="preserve">1; 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2043–2046 (Yr 16–19)</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trajectory $54.8M → $86.1M; Nigeria Mega-University residential colleges/library targeted toward operational maturity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2047 (Yr 20)</w:t>
            </w:r>
          </w:p>
        </w:tc>
        <w:tc>
          <w:tcPr>
            <w:tcMar>
              <w:top w:w="100" w:type="dxa"/>
              <w:bottom w:w="100" w:type="dxa"/>
              <w:left w:w="150" w:type="dxa"/>
              <w:right w:w="150" w:type="dxa"/>
            </w:tcMar>
            <w:vAlign w:val="center"/>
          </w:tcPr>
          <w:p>
            <w:pPr>
              <w:pStyle w:val="Compact"/>
              <w:jc w:val="left"/>
              <w:suppressAutoHyphens/>
            </w:pPr>
            <w:r>
              <w:t xml:space="preserve">Revenue $93.9M, within the $90–150M institutional-economy target; twenty-year audited firewall track record complete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tcMar>
              <w:top w:w="100" w:type="dxa"/>
              <w:bottom w:w="100" w:type="dxa"/>
              <w:left w:w="150" w:type="dxa"/>
              <w:right w:w="150" w:type="dxa"/>
            </w:tcMar>
            <w:vAlign w:val="center"/>
            <w:shd w:val="clear" w:color="auto" w:fill="E9EDF6"/>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Layout w:type="fixed"/>
      </w:tblPr>
      <w:tblGrid>
        <w:gridCol w:w="1092"/>
        <w:gridCol w:w="1758"/>
        <w:gridCol w:w="1903"/>
        <w:gridCol w:w="1647"/>
        <w:gridCol w:w="267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92"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58" w:type="dxa"/>
          </w:tcPr>
          <w:p>
            <w:pPr>
              <w:pStyle w:val="Compact"/>
              <w:jc w:val="left"/>
            </w:pPr>
            <w:r>
              <w:rPr>
                <w:b/>
                <w:color w:val="FFFFFF"/>
                <w:caps/>
                <w:spacing w:val="4"/>
              </w:rPr>
              <w:t xml:space="preserve">Calendar</w:t>
            </w:r>
          </w:p>
        </w:tc>
        <w:tc>
          <w:tcPr>
            <w:shd w:val="clear" w:color="auto" w:fill="122A4E"/>
            <w:tcMar>
              <w:top w:w="130" w:type="dxa"/>
              <w:bottom w:w="130" w:type="dxa"/>
              <w:left w:w="150" w:type="dxa"/>
              <w:right w:w="150" w:type="dxa"/>
            </w:tcMar>
            <w:tcBorders>
              <w:bottom w:val="single" w:sz="16" w:space="0" w:color="B08625"/>
            </w:tcBorders>
            <w:vAlign w:val="center"/>
            <w:tcW w:w="190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647" w:type="dxa"/>
          </w:tcPr>
          <w:p>
            <w:pPr>
              <w:pStyle w:val="Compact"/>
              <w:jc w:val="left"/>
            </w:pPr>
            <w:r>
              <w:rPr>
                <w:b/>
                <w:color w:val="FFFFFF"/>
                <w:caps/>
                <w:spacing w:val="4"/>
              </w:rPr>
              <w:t xml:space="preserve">Status</w:t>
            </w:r>
          </w:p>
        </w:tc>
        <w:tc>
          <w:tcPr>
            <w:shd w:val="clear" w:color="auto" w:fill="122A4E"/>
            <w:tcMar>
              <w:top w:w="130" w:type="dxa"/>
              <w:bottom w:w="130" w:type="dxa"/>
              <w:left w:w="150" w:type="dxa"/>
              <w:right w:w="150" w:type="dxa"/>
            </w:tcMar>
            <w:tcBorders>
              <w:bottom w:val="single" w:sz="16" w:space="0" w:color="B08625"/>
            </w:tcBorders>
            <w:vAlign w:val="center"/>
            <w:tcW w:w="2672" w:type="dxa"/>
          </w:tcPr>
          <w:p>
            <w:pPr>
              <w:pStyle w:val="Compact"/>
              <w:jc w:val="left"/>
            </w:pPr>
            <w:r>
              <w:rPr>
                <w:b/>
                <w:color w:val="FFFFFF"/>
                <w:caps/>
                <w:spacing w:val="4"/>
              </w:rPr>
              <w:t xml:space="preserve">What This Means</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1</w:t>
            </w:r>
          </w:p>
        </w:tc>
        <w:tc>
          <w:tcPr>
            <w:tcMar>
              <w:top w:w="100" w:type="dxa"/>
              <w:bottom w:w="100" w:type="dxa"/>
              <w:left w:w="150" w:type="dxa"/>
              <w:right w:w="150" w:type="dxa"/>
            </w:tcMar>
            <w:vAlign w:val="center"/>
            <w:shd w:val="clear" w:color="auto" w:fill="E9EDF6"/>
            <w:tcW w:w="1758" w:type="dxa"/>
          </w:tcPr>
          <w:p>
            <w:pPr>
              <w:pStyle w:val="Compact"/>
              <w:jc w:val="left"/>
            </w:pPr>
            <w:r>
              <w:t xml:space="preserve">2028</w:t>
            </w:r>
          </w:p>
        </w:tc>
        <w:tc>
          <w:tcPr>
            <w:tcMar>
              <w:top w:w="100" w:type="dxa"/>
              <w:bottom w:w="100" w:type="dxa"/>
              <w:left w:w="150" w:type="dxa"/>
              <w:right w:w="150" w:type="dxa"/>
            </w:tcMar>
            <w:vAlign w:val="center"/>
            <w:shd w:val="clear" w:color="auto" w:fill="E9EDF6"/>
            <w:tcW w:w="1903" w:type="dxa"/>
          </w:tcPr>
          <w:p>
            <w:pPr>
              <w:pStyle w:val="Compact"/>
              <w:jc w:val="left"/>
            </w:pPr>
            <w:r>
              <w:t xml:space="preserve">Foundation &amp; Struggle</w:t>
            </w:r>
          </w:p>
        </w:tc>
        <w:tc>
          <w:tcPr>
            <w:tcMar>
              <w:top w:w="100" w:type="dxa"/>
              <w:bottom w:w="100" w:type="dxa"/>
              <w:left w:w="150" w:type="dxa"/>
              <w:right w:w="150" w:type="dxa"/>
            </w:tcMar>
            <w:vAlign w:val="center"/>
            <w:shd w:val="clear" w:color="auto" w:fill="E9EDF6"/>
            <w:tcW w:w="1647" w:type="dxa"/>
          </w:tcPr>
          <w:p>
            <w:pPr>
              <w:pStyle w:val="Compact"/>
              <w:jc w:val="left"/>
            </w:pPr>
            <w:r>
              <w:t xml:space="preserve">RED</w:t>
            </w:r>
          </w:p>
        </w:tc>
        <w:tc>
          <w:tcPr>
            <w:tcMar>
              <w:top w:w="100" w:type="dxa"/>
              <w:bottom w:w="100" w:type="dxa"/>
              <w:left w:w="150" w:type="dxa"/>
              <w:right w:w="150" w:type="dxa"/>
            </w:tcMar>
            <w:vAlign w:val="center"/>
            <w:shd w:val="clear" w:color="auto" w:fill="E9EDF6"/>
            <w:tcW w:w="2672" w:type="dxa"/>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tcMar>
              <w:top w:w="100" w:type="dxa"/>
              <w:bottom w:w="100" w:type="dxa"/>
              <w:left w:w="150" w:type="dxa"/>
              <w:right w:w="150" w:type="dxa"/>
            </w:tcMar>
            <w:vAlign w:val="center"/>
            <w:tcW w:w="1092" w:type="dxa"/>
          </w:tcPr>
          <w:p>
            <w:pPr>
              <w:pStyle w:val="Compact"/>
              <w:jc w:val="left"/>
            </w:pPr>
            <w:r>
              <w:t xml:space="preserve">2</w:t>
            </w:r>
          </w:p>
        </w:tc>
        <w:tc>
          <w:tcPr>
            <w:tcMar>
              <w:top w:w="100" w:type="dxa"/>
              <w:bottom w:w="100" w:type="dxa"/>
              <w:left w:w="150" w:type="dxa"/>
              <w:right w:w="150" w:type="dxa"/>
            </w:tcMar>
            <w:vAlign w:val="center"/>
            <w:tcW w:w="1758" w:type="dxa"/>
          </w:tcPr>
          <w:p>
            <w:pPr>
              <w:pStyle w:val="Compact"/>
              <w:jc w:val="left"/>
            </w:pPr>
            <w:r>
              <w:t xml:space="preserve">2029</w:t>
            </w:r>
          </w:p>
        </w:tc>
        <w:tc>
          <w:tcPr>
            <w:tcMar>
              <w:top w:w="100" w:type="dxa"/>
              <w:bottom w:w="100" w:type="dxa"/>
              <w:left w:w="150" w:type="dxa"/>
              <w:right w:w="150" w:type="dxa"/>
            </w:tcMar>
            <w:vAlign w:val="center"/>
            <w:tcW w:w="1903" w:type="dxa"/>
          </w:tcPr>
          <w:p>
            <w:pPr>
              <w:pStyle w:val="Compact"/>
              <w:jc w:val="left"/>
            </w:pPr>
            <w:r>
              <w:t xml:space="preserve">Stabilization &amp; Survival</w:t>
            </w:r>
          </w:p>
        </w:tc>
        <w:tc>
          <w:tcPr>
            <w:tcMar>
              <w:top w:w="100" w:type="dxa"/>
              <w:bottom w:w="100" w:type="dxa"/>
              <w:left w:w="150" w:type="dxa"/>
              <w:right w:w="150" w:type="dxa"/>
            </w:tcMar>
            <w:vAlign w:val="center"/>
            <w:tcW w:w="1647" w:type="dxa"/>
          </w:tcPr>
          <w:p>
            <w:pPr>
              <w:pStyle w:val="Compact"/>
              <w:jc w:val="left"/>
            </w:pPr>
            <w:r>
              <w:t xml:space="preserve">RED</w:t>
            </w:r>
          </w:p>
        </w:tc>
        <w:tc>
          <w:tcPr>
            <w:tcMar>
              <w:top w:w="100" w:type="dxa"/>
              <w:bottom w:w="100" w:type="dxa"/>
              <w:left w:w="150" w:type="dxa"/>
              <w:right w:w="150" w:type="dxa"/>
            </w:tcMar>
            <w:vAlign w:val="center"/>
            <w:tcW w:w="2672" w:type="dxa"/>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3</w:t>
            </w:r>
          </w:p>
        </w:tc>
        <w:tc>
          <w:tcPr>
            <w:tcMar>
              <w:top w:w="100" w:type="dxa"/>
              <w:bottom w:w="100" w:type="dxa"/>
              <w:left w:w="150" w:type="dxa"/>
              <w:right w:w="150" w:type="dxa"/>
            </w:tcMar>
            <w:vAlign w:val="center"/>
            <w:shd w:val="clear" w:color="auto" w:fill="E9EDF6"/>
            <w:tcW w:w="1758" w:type="dxa"/>
          </w:tcPr>
          <w:p>
            <w:pPr>
              <w:pStyle w:val="Compact"/>
              <w:jc w:val="left"/>
            </w:pPr>
            <w:r>
              <w:t xml:space="preserve">2030</w:t>
            </w:r>
          </w:p>
        </w:tc>
        <w:tc>
          <w:tcPr>
            <w:tcMar>
              <w:top w:w="100" w:type="dxa"/>
              <w:bottom w:w="100" w:type="dxa"/>
              <w:left w:w="150" w:type="dxa"/>
              <w:right w:w="150" w:type="dxa"/>
            </w:tcMar>
            <w:vAlign w:val="center"/>
            <w:shd w:val="clear" w:color="auto" w:fill="E9EDF6"/>
            <w:tcW w:w="1903" w:type="dxa"/>
          </w:tcPr>
          <w:p>
            <w:pPr>
              <w:pStyle w:val="Compact"/>
              <w:jc w:val="left"/>
            </w:pPr>
            <w:r>
              <w:t xml:space="preserve">Controlled Growth</w:t>
            </w:r>
          </w:p>
        </w:tc>
        <w:tc>
          <w:tcPr>
            <w:tcMar>
              <w:top w:w="100" w:type="dxa"/>
              <w:bottom w:w="100" w:type="dxa"/>
              <w:left w:w="150" w:type="dxa"/>
              <w:right w:w="150" w:type="dxa"/>
            </w:tcMar>
            <w:vAlign w:val="center"/>
            <w:shd w:val="clear" w:color="auto" w:fill="E9EDF6"/>
            <w:tcW w:w="1647" w:type="dxa"/>
          </w:tcPr>
          <w:p>
            <w:pPr>
              <w:pStyle w:val="Compact"/>
              <w:jc w:val="left"/>
            </w:pPr>
            <w:r>
              <w:t xml:space="preserve">AMBER</w:t>
            </w:r>
          </w:p>
        </w:tc>
        <w:tc>
          <w:tcPr>
            <w:tcMar>
              <w:top w:w="100" w:type="dxa"/>
              <w:bottom w:w="100" w:type="dxa"/>
              <w:left w:w="150" w:type="dxa"/>
              <w:right w:w="150" w:type="dxa"/>
            </w:tcMar>
            <w:vAlign w:val="center"/>
            <w:shd w:val="clear" w:color="auto" w:fill="E9EDF6"/>
            <w:tcW w:w="2672" w:type="dxa"/>
          </w:tcPr>
          <w:p>
            <w:pPr>
              <w:pStyle w:val="Compact"/>
              <w:jc w:val="left"/>
            </w:pPr>
            <w:r>
              <w:t xml:space="preserve">Formation stack complete; still zero tuition increase assumed (AMIU-MP-001 §5.8 — no fee review before Year 4).</w:t>
            </w:r>
          </w:p>
        </w:tc>
      </w:tr>
      <w:tr>
        <w:trPr>
          <w:cantSplit/>
        </w:trPr>
        <w:tc>
          <w:tcPr>
            <w:tcMar>
              <w:top w:w="100" w:type="dxa"/>
              <w:bottom w:w="100" w:type="dxa"/>
              <w:left w:w="150" w:type="dxa"/>
              <w:right w:w="150" w:type="dxa"/>
            </w:tcMar>
            <w:vAlign w:val="center"/>
            <w:tcW w:w="1092" w:type="dxa"/>
          </w:tcPr>
          <w:p>
            <w:pPr>
              <w:pStyle w:val="Compact"/>
              <w:jc w:val="left"/>
            </w:pPr>
            <w:r>
              <w:t xml:space="preserve">4–5</w:t>
            </w:r>
          </w:p>
        </w:tc>
        <w:tc>
          <w:tcPr>
            <w:tcMar>
              <w:top w:w="100" w:type="dxa"/>
              <w:bottom w:w="100" w:type="dxa"/>
              <w:left w:w="150" w:type="dxa"/>
              <w:right w:w="150" w:type="dxa"/>
            </w:tcMar>
            <w:vAlign w:val="center"/>
            <w:tcW w:w="1758" w:type="dxa"/>
          </w:tcPr>
          <w:p>
            <w:pPr>
              <w:pStyle w:val="Compact"/>
              <w:jc w:val="left"/>
            </w:pPr>
            <w:r>
              <w:t xml:space="preserve">2031–2032</w:t>
            </w:r>
          </w:p>
        </w:tc>
        <w:tc>
          <w:tcPr>
            <w:tcMar>
              <w:top w:w="100" w:type="dxa"/>
              <w:bottom w:w="100" w:type="dxa"/>
              <w:left w:w="150" w:type="dxa"/>
              <w:right w:w="150" w:type="dxa"/>
            </w:tcMar>
            <w:vAlign w:val="center"/>
            <w:tcW w:w="1903" w:type="dxa"/>
          </w:tcPr>
          <w:p>
            <w:pPr>
              <w:pStyle w:val="Compact"/>
              <w:jc w:val="left"/>
            </w:pPr>
            <w:r>
              <w:t xml:space="preserve">Institutional Consolidation</w:t>
            </w:r>
          </w:p>
        </w:tc>
        <w:tc>
          <w:tcPr>
            <w:tcMar>
              <w:top w:w="100" w:type="dxa"/>
              <w:bottom w:w="100" w:type="dxa"/>
              <w:left w:w="150" w:type="dxa"/>
              <w:right w:w="150" w:type="dxa"/>
            </w:tcMar>
            <w:vAlign w:val="center"/>
            <w:tcW w:w="1647" w:type="dxa"/>
          </w:tcPr>
          <w:p>
            <w:pPr>
              <w:pStyle w:val="Compact"/>
              <w:jc w:val="left"/>
            </w:pPr>
            <w:r>
              <w:t xml:space="preserve">AMBER→GREEN</w:t>
            </w:r>
          </w:p>
        </w:tc>
        <w:tc>
          <w:tcPr>
            <w:tcMar>
              <w:top w:w="100" w:type="dxa"/>
              <w:bottom w:w="100" w:type="dxa"/>
              <w:left w:w="150" w:type="dxa"/>
              <w:right w:w="150" w:type="dxa"/>
            </w:tcMar>
            <w:vAlign w:val="center"/>
            <w:tcW w:w="2672" w:type="dxa"/>
          </w:tcPr>
          <w:p>
            <w:pPr>
              <w:pStyle w:val="Compact"/>
              <w:jc w:val="left"/>
            </w:pPr>
            <w:r>
              <w:t xml:space="preserve">First governance-approved fee review; Liquidity Reserve crosses $1.29M cumulative.</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6–10</w:t>
            </w:r>
          </w:p>
        </w:tc>
        <w:tc>
          <w:tcPr>
            <w:tcMar>
              <w:top w:w="100" w:type="dxa"/>
              <w:bottom w:w="100" w:type="dxa"/>
              <w:left w:w="150" w:type="dxa"/>
              <w:right w:w="150" w:type="dxa"/>
            </w:tcMar>
            <w:vAlign w:val="center"/>
            <w:shd w:val="clear" w:color="auto" w:fill="E9EDF6"/>
            <w:tcW w:w="1758" w:type="dxa"/>
          </w:tcPr>
          <w:p>
            <w:pPr>
              <w:pStyle w:val="Compact"/>
              <w:jc w:val="left"/>
            </w:pPr>
            <w:r>
              <w:t xml:space="preserve">2033–2037</w:t>
            </w:r>
          </w:p>
        </w:tc>
        <w:tc>
          <w:tcPr>
            <w:tcMar>
              <w:top w:w="100" w:type="dxa"/>
              <w:bottom w:w="100" w:type="dxa"/>
              <w:left w:w="150" w:type="dxa"/>
              <w:right w:w="150" w:type="dxa"/>
            </w:tcMar>
            <w:vAlign w:val="center"/>
            <w:shd w:val="clear" w:color="auto" w:fill="E9EDF6"/>
            <w:tcW w:w="1903" w:type="dxa"/>
          </w:tcPr>
          <w:p>
            <w:pPr>
              <w:pStyle w:val="Compact"/>
              <w:jc w:val="left"/>
            </w:pPr>
            <w:r>
              <w:t xml:space="preserve">Expansion</w:t>
            </w:r>
          </w:p>
        </w:tc>
        <w:tc>
          <w:tcPr>
            <w:tcMar>
              <w:top w:w="100" w:type="dxa"/>
              <w:bottom w:w="100" w:type="dxa"/>
              <w:left w:w="150" w:type="dxa"/>
              <w:right w:w="150" w:type="dxa"/>
            </w:tcMar>
            <w:vAlign w:val="center"/>
            <w:shd w:val="clear" w:color="auto" w:fill="E9EDF6"/>
            <w:tcW w:w="1647" w:type="dxa"/>
          </w:tcPr>
          <w:p>
            <w:pPr>
              <w:pStyle w:val="Compact"/>
              <w:jc w:val="left"/>
            </w:pPr>
            <w:r>
              <w:t xml:space="preserve">GREEN</w:t>
            </w:r>
          </w:p>
        </w:tc>
        <w:tc>
          <w:tcPr>
            <w:tcMar>
              <w:top w:w="100" w:type="dxa"/>
              <w:bottom w:w="100" w:type="dxa"/>
              <w:left w:w="150" w:type="dxa"/>
              <w:right w:w="150" w:type="dxa"/>
            </w:tcMar>
            <w:vAlign w:val="center"/>
            <w:shd w:val="clear" w:color="auto" w:fill="E9EDF6"/>
            <w:tcW w:w="2672" w:type="dxa"/>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Layout w:type="fixed"/>
      </w:tblPr>
      <w:tblGrid>
        <w:gridCol w:w="1014"/>
        <w:gridCol w:w="2265"/>
        <w:gridCol w:w="1901"/>
        <w:gridCol w:w="2174"/>
        <w:gridCol w:w="171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14" w:type="dxa"/>
          </w:tcPr>
          <w:p>
            <w:pPr>
              <w:pStyle w:val="Compact"/>
              <w:jc w:val="left"/>
            </w:pPr>
            <w:r>
              <w:rPr>
                <w:b/>
                <w:color w:val="FFFFFF"/>
                <w:caps/>
                <w:spacing w:val="4"/>
              </w:rPr>
              <w:t xml:space="preserve">Window</w:t>
            </w:r>
          </w:p>
        </w:tc>
        <w:tc>
          <w:tcPr>
            <w:shd w:val="clear" w:color="auto" w:fill="122A4E"/>
            <w:tcMar>
              <w:top w:w="130" w:type="dxa"/>
              <w:bottom w:w="130" w:type="dxa"/>
              <w:left w:w="150" w:type="dxa"/>
              <w:right w:w="150" w:type="dxa"/>
            </w:tcMar>
            <w:tcBorders>
              <w:bottom w:val="single" w:sz="16" w:space="0" w:color="B08625"/>
            </w:tcBorders>
            <w:vAlign w:val="center"/>
            <w:tcW w:w="2265" w:type="dxa"/>
          </w:tcPr>
          <w:p>
            <w:pPr>
              <w:pStyle w:val="Compact"/>
              <w:jc w:val="left"/>
            </w:pPr>
            <w:r>
              <w:rPr>
                <w:b/>
                <w:color w:val="FFFFFF"/>
                <w:caps/>
                <w:spacing w:val="4"/>
              </w:rPr>
              <w:t xml:space="preserve">Designation</w:t>
            </w:r>
          </w:p>
        </w:tc>
        <w:tc>
          <w:tcPr>
            <w:shd w:val="clear" w:color="auto" w:fill="122A4E"/>
            <w:tcMar>
              <w:top w:w="130" w:type="dxa"/>
              <w:bottom w:w="130" w:type="dxa"/>
              <w:left w:w="150" w:type="dxa"/>
              <w:right w:w="150" w:type="dxa"/>
            </w:tcMar>
            <w:tcBorders>
              <w:bottom w:val="single" w:sz="16" w:space="0" w:color="B08625"/>
            </w:tcBorders>
            <w:vAlign w:val="center"/>
            <w:tcW w:w="1901" w:type="dxa"/>
          </w:tcPr>
          <w:p>
            <w:pPr>
              <w:pStyle w:val="Compact"/>
              <w:jc w:val="left"/>
            </w:pPr>
            <w:r>
              <w:rPr>
                <w:b/>
                <w:color w:val="FFFFFF"/>
                <w:caps/>
                <w:spacing w:val="4"/>
              </w:rPr>
              <w:t xml:space="preserve">Acting Party</w:t>
            </w:r>
          </w:p>
        </w:tc>
        <w:tc>
          <w:tcPr>
            <w:shd w:val="clear" w:color="auto" w:fill="122A4E"/>
            <w:tcMar>
              <w:top w:w="130" w:type="dxa"/>
              <w:bottom w:w="130" w:type="dxa"/>
              <w:left w:w="150" w:type="dxa"/>
              <w:right w:w="150" w:type="dxa"/>
            </w:tcMar>
            <w:tcBorders>
              <w:bottom w:val="single" w:sz="16" w:space="0" w:color="B08625"/>
            </w:tcBorders>
            <w:vAlign w:val="center"/>
            <w:tcW w:w="2174" w:type="dxa"/>
          </w:tcPr>
          <w:p>
            <w:pPr>
              <w:pStyle w:val="Compact"/>
              <w:jc w:val="left"/>
            </w:pPr>
            <w:r>
              <w:rPr>
                <w:b/>
                <w:color w:val="FFFFFF"/>
                <w:caps/>
                <w:spacing w:val="4"/>
              </w:rPr>
              <w:t xml:space="preserve">Cost to Registrant</w:t>
            </w:r>
          </w:p>
        </w:tc>
        <w:tc>
          <w:tcPr>
            <w:shd w:val="clear" w:color="auto" w:fill="122A4E"/>
            <w:tcMar>
              <w:top w:w="130" w:type="dxa"/>
              <w:bottom w:w="130" w:type="dxa"/>
              <w:left w:w="150" w:type="dxa"/>
              <w:right w:w="150" w:type="dxa"/>
            </w:tcMar>
            <w:tcBorders>
              <w:bottom w:val="single" w:sz="16" w:space="0" w:color="B08625"/>
            </w:tcBorders>
            <w:vAlign w:val="center"/>
            <w:tcW w:w="1718" w:type="dxa"/>
          </w:tcPr>
          <w:p>
            <w:pPr>
              <w:pStyle w:val="Compact"/>
              <w:jc w:val="left"/>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~Mid-2027 – 6 Dec 2027</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Registration &amp; Outreach</w:t>
            </w:r>
          </w:p>
        </w:tc>
        <w:tc>
          <w:tcPr>
            <w:tcMar>
              <w:top w:w="100" w:type="dxa"/>
              <w:bottom w:w="100" w:type="dxa"/>
              <w:left w:w="150" w:type="dxa"/>
              <w:right w:w="150" w:type="dxa"/>
            </w:tcMar>
            <w:vAlign w:val="center"/>
            <w:shd w:val="clear" w:color="auto" w:fill="E9EDF6"/>
            <w:tcW w:w="1901" w:type="dxa"/>
          </w:tcPr>
          <w:p>
            <w:pPr>
              <w:pStyle w:val="Compact"/>
              <w:jc w:val="left"/>
            </w:pPr>
            <w:r>
              <w:t xml:space="preserve">Founding Committee (pre-incorporation; trustees-designate, in a founding rather than institutional capacity)</w:t>
            </w:r>
          </w:p>
        </w:tc>
        <w:tc>
          <w:tcPr>
            <w:tcMar>
              <w:top w:w="100" w:type="dxa"/>
              <w:bottom w:w="100" w:type="dxa"/>
              <w:left w:w="150" w:type="dxa"/>
              <w:right w:w="150" w:type="dxa"/>
            </w:tcMar>
            <w:vAlign w:val="center"/>
            <w:shd w:val="clear" w:color="auto" w:fill="E9EDF6"/>
            <w:tcW w:w="2174" w:type="dxa"/>
          </w:tcPr>
          <w:p>
            <w:pPr>
              <w:pStyle w:val="Compact"/>
              <w:jc w:val="left"/>
            </w:pPr>
            <w:r>
              <w:t xml:space="preserve">Free — registration of interest only; no admission decision issued</w:t>
            </w:r>
          </w:p>
        </w:tc>
        <w:tc>
          <w:tcPr>
            <w:tcMar>
              <w:top w:w="100" w:type="dxa"/>
              <w:bottom w:w="100" w:type="dxa"/>
              <w:left w:w="150" w:type="dxa"/>
              <w:right w:w="150" w:type="dxa"/>
            </w:tcMar>
            <w:vAlign w:val="center"/>
            <w:shd w:val="clear" w:color="auto" w:fill="E9EDF6"/>
            <w:tcW w:w="1718" w:type="dxa"/>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tcMar>
              <w:top w:w="100" w:type="dxa"/>
              <w:bottom w:w="100" w:type="dxa"/>
              <w:left w:w="150" w:type="dxa"/>
              <w:right w:w="150" w:type="dxa"/>
            </w:tcMar>
            <w:vAlign w:val="center"/>
            <w:tcW w:w="1014" w:type="dxa"/>
          </w:tcPr>
          <w:p>
            <w:pPr>
              <w:pStyle w:val="Compact"/>
              <w:jc w:val="left"/>
            </w:pPr>
            <w:r>
              <w:t xml:space="preserve">6 Dec 2027 – 31 Dec 2027</w:t>
            </w:r>
          </w:p>
        </w:tc>
        <w:tc>
          <w:tcPr>
            <w:tcMar>
              <w:top w:w="100" w:type="dxa"/>
              <w:bottom w:w="100" w:type="dxa"/>
              <w:left w:w="150" w:type="dxa"/>
              <w:right w:w="150" w:type="dxa"/>
            </w:tcMar>
            <w:vAlign w:val="center"/>
            <w:tcW w:w="2265" w:type="dxa"/>
          </w:tcPr>
          <w:p>
            <w:pPr>
              <w:pStyle w:val="Compact"/>
              <w:jc w:val="left"/>
            </w:pPr>
            <w:r>
              <w:t xml:space="preserve">Incorporation-to-Launch Bridge</w:t>
            </w:r>
          </w:p>
        </w:tc>
        <w:tc>
          <w:tcPr>
            <w:tcMar>
              <w:top w:w="100" w:type="dxa"/>
              <w:bottom w:w="100" w:type="dxa"/>
              <w:left w:w="150" w:type="dxa"/>
              <w:right w:w="150" w:type="dxa"/>
            </w:tcMar>
            <w:vAlign w:val="center"/>
            <w:tcW w:w="1901" w:type="dxa"/>
          </w:tcPr>
          <w:p>
            <w:pPr>
              <w:pStyle w:val="Compact"/>
              <w:jc w:val="left"/>
            </w:pPr>
            <w:r>
              <w:t xml:space="preserve">AMIU (newly incorporated)</w:t>
            </w:r>
          </w:p>
        </w:tc>
        <w:tc>
          <w:tcPr>
            <w:tcMar>
              <w:top w:w="100" w:type="dxa"/>
              <w:bottom w:w="100" w:type="dxa"/>
              <w:left w:w="150" w:type="dxa"/>
              <w:right w:w="150" w:type="dxa"/>
            </w:tcMar>
            <w:vAlign w:val="center"/>
            <w:tcW w:w="2174" w:type="dxa"/>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tcMar>
              <w:top w:w="100" w:type="dxa"/>
              <w:bottom w:w="100" w:type="dxa"/>
              <w:left w:w="150" w:type="dxa"/>
              <w:right w:w="150" w:type="dxa"/>
            </w:tcMar>
            <w:vAlign w:val="center"/>
            <w:tcW w:w="1718" w:type="dxa"/>
          </w:tcPr>
          <w:p>
            <w:pPr>
              <w:pStyle w:val="Compact"/>
              <w:jc w:val="left"/>
            </w:pPr>
            <w:r>
              <w:t xml:space="preserve">Convert the registration pipeline into verified, fee-eligible applications; fund admissions-office setup ahead of Day 1</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1 Jan 2028 →</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Academic Year</w:t>
            </w:r>
          </w:p>
        </w:tc>
        <w:tc>
          <w:tcPr>
            <w:tcMar>
              <w:top w:w="100" w:type="dxa"/>
              <w:bottom w:w="100" w:type="dxa"/>
              <w:left w:w="150" w:type="dxa"/>
              <w:right w:w="150" w:type="dxa"/>
            </w:tcMar>
            <w:vAlign w:val="center"/>
            <w:shd w:val="clear" w:color="auto" w:fill="E9EDF6"/>
            <w:tcW w:w="1901" w:type="dxa"/>
          </w:tcPr>
          <w:p>
            <w:pPr>
              <w:pStyle w:val="Compact"/>
              <w:jc w:val="left"/>
            </w:pPr>
            <w:r>
              <w:t xml:space="preserve">AMIU</w:t>
            </w:r>
          </w:p>
        </w:tc>
        <w:tc>
          <w:tcPr>
            <w:tcMar>
              <w:top w:w="100" w:type="dxa"/>
              <w:bottom w:w="100" w:type="dxa"/>
              <w:left w:w="150" w:type="dxa"/>
              <w:right w:w="150" w:type="dxa"/>
            </w:tcMar>
            <w:vAlign w:val="center"/>
            <w:shd w:val="clear" w:color="auto" w:fill="E9EDF6"/>
            <w:tcW w:w="2174" w:type="dxa"/>
          </w:tcPr>
          <w:p>
            <w:pPr>
              <w:pStyle w:val="Compact"/>
              <w:jc w:val="left"/>
            </w:pPr>
            <w:r>
              <w:t xml:space="preserve">Full Section 2 tuition architecture; the Founding Cohort incentive stack of AMIU-MP-001 §15 (15% upfront discount, 10%→15% affiliate commission in the first 90 days)</w:t>
            </w:r>
          </w:p>
        </w:tc>
        <w:tc>
          <w:tcPr>
            <w:tcMar>
              <w:top w:w="100" w:type="dxa"/>
              <w:bottom w:w="100" w:type="dxa"/>
              <w:left w:w="150" w:type="dxa"/>
              <w:right w:w="150" w:type="dxa"/>
            </w:tcMar>
            <w:vAlign w:val="center"/>
            <w:shd w:val="clear" w:color="auto" w:fill="E9EDF6"/>
            <w:tcW w:w="1718" w:type="dxa"/>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suppressAutoHyphens/>
            </w:pP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Standard Split (20% of Distributed Half)</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Reweighted for Yrs 1–2 (50% of Distributed Half)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Year 1 Scholarship Block ($22,475 distributed)</w:t>
            </w:r>
          </w:p>
        </w:tc>
        <w:tc>
          <w:tcPr>
            <w:tcMar>
              <w:top w:w="100" w:type="dxa"/>
              <w:bottom w:w="100" w:type="dxa"/>
              <w:left w:w="150" w:type="dxa"/>
              <w:right w:w="150" w:type="dxa"/>
            </w:tcMar>
            <w:vAlign w:val="center"/>
            <w:shd w:val="clear" w:color="auto" w:fill="E9EDF6"/>
          </w:tcPr>
          <w:p>
            <w:pPr>
              <w:pStyle w:val="Compact"/>
              <w:jc w:val="left"/>
              <w:suppressAutoHyphens/>
            </w:pPr>
            <w:r>
              <w:t xml:space="preserve">$4,495</w:t>
            </w:r>
          </w:p>
        </w:tc>
        <w:tc>
          <w:tcPr>
            <w:tcMar>
              <w:top w:w="100" w:type="dxa"/>
              <w:bottom w:w="100" w:type="dxa"/>
              <w:left w:w="150" w:type="dxa"/>
              <w:right w:w="150" w:type="dxa"/>
            </w:tcMar>
            <w:vAlign w:val="center"/>
            <w:shd w:val="clear" w:color="auto" w:fill="E9EDF6"/>
          </w:tcPr>
          <w:p>
            <w:pPr>
              <w:pStyle w:val="Compact"/>
              <w:jc w:val="left"/>
              <w:suppressAutoHyphens/>
            </w:pPr>
            <w:r>
              <w:t xml:space="preserve">$11,238</w:t>
            </w:r>
          </w:p>
        </w:tc>
      </w:tr>
      <w:tr>
        <w:trPr>
          <w:cantSplit/>
        </w:trPr>
        <w:tc>
          <w:tcPr>
            <w:tcMar>
              <w:top w:w="100" w:type="dxa"/>
              <w:bottom w:w="100" w:type="dxa"/>
              <w:left w:w="150" w:type="dxa"/>
              <w:right w:w="150" w:type="dxa"/>
            </w:tcMar>
            <w:vAlign w:val="center"/>
          </w:tcPr>
          <w:p>
            <w:pPr>
              <w:pStyle w:val="Compact"/>
              <w:jc w:val="left"/>
              <w:suppressAutoHyphens/>
            </w:pPr>
            <w:r>
              <w:t xml:space="preserve">Year 2 Scholarship Block ($45,139 distributed)</w:t>
            </w:r>
          </w:p>
        </w:tc>
        <w:tc>
          <w:tcPr>
            <w:tcMar>
              <w:top w:w="100" w:type="dxa"/>
              <w:bottom w:w="100" w:type="dxa"/>
              <w:left w:w="150" w:type="dxa"/>
              <w:right w:w="150" w:type="dxa"/>
            </w:tcMar>
            <w:vAlign w:val="center"/>
          </w:tcPr>
          <w:p>
            <w:pPr>
              <w:pStyle w:val="Compact"/>
              <w:jc w:val="left"/>
              <w:suppressAutoHyphens/>
            </w:pPr>
            <w:r>
              <w:t xml:space="preserve">$9,028</w:t>
            </w:r>
          </w:p>
        </w:tc>
        <w:tc>
          <w:tcPr>
            <w:tcMar>
              <w:top w:w="100" w:type="dxa"/>
              <w:bottom w:w="100" w:type="dxa"/>
              <w:left w:w="150" w:type="dxa"/>
              <w:right w:w="150" w:type="dxa"/>
            </w:tcMar>
            <w:vAlign w:val="center"/>
          </w:tcPr>
          <w:p>
            <w:pPr>
              <w:pStyle w:val="Compact"/>
              <w:jc w:val="left"/>
              <w:suppressAutoHyphens/>
            </w:pPr>
            <w:r>
              <w:t xml:space="preserve">$22,570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Two-Year Total</w:t>
            </w:r>
          </w:p>
        </w:tc>
        <w:tc>
          <w:tcPr>
            <w:tcMar>
              <w:top w:w="100" w:type="dxa"/>
              <w:bottom w:w="100" w:type="dxa"/>
              <w:left w:w="150" w:type="dxa"/>
              <w:right w:w="150" w:type="dxa"/>
            </w:tcMar>
            <w:vAlign w:val="center"/>
            <w:shd w:val="clear" w:color="auto" w:fill="E9EDF6"/>
          </w:tcPr>
          <w:p>
            <w:pPr>
              <w:pStyle w:val="Compact"/>
              <w:jc w:val="left"/>
              <w:suppressAutoHyphens/>
            </w:pPr>
            <w:r>
              <w:t xml:space="preserve">$13,523</w:t>
            </w:r>
          </w:p>
        </w:tc>
        <w:tc>
          <w:tcPr>
            <w:tcMar>
              <w:top w:w="100" w:type="dxa"/>
              <w:bottom w:w="100" w:type="dxa"/>
              <w:left w:w="150" w:type="dxa"/>
              <w:right w:w="150" w:type="dxa"/>
            </w:tcMar>
            <w:vAlign w:val="center"/>
            <w:shd w:val="clear" w:color="auto" w:fill="E9EDF6"/>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Layout w:type="fixed"/>
      </w:tblPr>
      <w:tblGrid>
        <w:gridCol w:w="1866"/>
        <w:gridCol w:w="2640"/>
        <w:gridCol w:w="2273"/>
        <w:gridCol w:w="22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66" w:type="dxa"/>
          </w:tcPr>
          <w:p>
            <w:pPr>
              <w:pStyle w:val="Compact"/>
            </w:pPr>
          </w:p>
        </w:tc>
        <w:tc>
          <w:tcPr>
            <w:shd w:val="clear" w:color="auto" w:fill="122A4E"/>
            <w:tcMar>
              <w:top w:w="130" w:type="dxa"/>
              <w:bottom w:w="130" w:type="dxa"/>
              <w:left w:w="150" w:type="dxa"/>
              <w:right w:w="150" w:type="dxa"/>
            </w:tcMar>
            <w:tcBorders>
              <w:bottom w:val="single" w:sz="16" w:space="0" w:color="B08625"/>
            </w:tcBorders>
            <w:vAlign w:val="center"/>
            <w:tcW w:w="2640" w:type="dxa"/>
          </w:tcPr>
          <w:p>
            <w:pPr>
              <w:pStyle w:val="Compact"/>
              <w:jc w:val="left"/>
            </w:pPr>
            <w:r>
              <w:rPr>
                <w:b/>
                <w:color w:val="FFFFFF"/>
                <w:caps/>
                <w:spacing w:val="4"/>
              </w:rPr>
              <w:t xml:space="preserve">Low Estimate (Tier 3 Associate, $340/seat)</w:t>
            </w:r>
          </w:p>
        </w:tc>
        <w:tc>
          <w:tcPr>
            <w:shd w:val="clear" w:color="auto" w:fill="122A4E"/>
            <w:tcMar>
              <w:top w:w="130" w:type="dxa"/>
              <w:bottom w:w="130" w:type="dxa"/>
              <w:left w:w="150" w:type="dxa"/>
              <w:right w:w="150" w:type="dxa"/>
            </w:tcMar>
            <w:tcBorders>
              <w:bottom w:val="single" w:sz="16" w:space="0" w:color="B08625"/>
            </w:tcBorders>
            <w:vAlign w:val="center"/>
            <w:tcW w:w="2273" w:type="dxa"/>
          </w:tcPr>
          <w:p>
            <w:pPr>
              <w:pStyle w:val="Compact"/>
              <w:jc w:val="left"/>
            </w:pPr>
            <w:r>
              <w:rPr>
                <w:b/>
                <w:color w:val="FFFFFF"/>
                <w:caps/>
                <w:spacing w:val="4"/>
              </w:rPr>
              <w:t xml:space="preserve">Blended Estimate ($175/seat)</w:t>
            </w:r>
          </w:p>
        </w:tc>
        <w:tc>
          <w:tcPr>
            <w:shd w:val="clear" w:color="auto" w:fill="122A4E"/>
            <w:tcMar>
              <w:top w:w="130" w:type="dxa"/>
              <w:bottom w:w="130" w:type="dxa"/>
              <w:left w:w="150" w:type="dxa"/>
              <w:right w:w="150" w:type="dxa"/>
            </w:tcMar>
            <w:tcBorders>
              <w:bottom w:val="single" w:sz="16" w:space="0" w:color="B08625"/>
            </w:tcBorders>
            <w:vAlign w:val="center"/>
            <w:tcW w:w="2293" w:type="dxa"/>
          </w:tcPr>
          <w:p>
            <w:pPr>
              <w:pStyle w:val="Compact"/>
              <w:jc w:val="left"/>
            </w:pPr>
            <w:r>
              <w:rPr>
                <w:b/>
                <w:color w:val="FFFFFF"/>
                <w:caps/>
                <w:spacing w:val="4"/>
              </w:rPr>
              <w:t xml:space="preserve">High Estimate (Tier 4 Diploma, $80/seat)</w:t>
            </w:r>
          </w:p>
        </w:tc>
      </w:tr>
      <w:tr>
        <w:trPr>
          <w:cantSplit/>
        </w:trPr>
        <w:tc>
          <w:tcPr>
            <w:tcMar>
              <w:top w:w="100" w:type="dxa"/>
              <w:bottom w:w="100" w:type="dxa"/>
              <w:left w:w="150" w:type="dxa"/>
              <w:right w:w="150" w:type="dxa"/>
            </w:tcMar>
            <w:vAlign w:val="center"/>
            <w:shd w:val="clear" w:color="auto" w:fill="E9EDF6"/>
            <w:tcW w:w="1866" w:type="dxa"/>
          </w:tcPr>
          <w:p>
            <w:pPr>
              <w:pStyle w:val="Compact"/>
              <w:jc w:val="left"/>
            </w:pPr>
            <w:r>
              <w:t xml:space="preserve">Year 1 (~33 to ~140 seats)</w:t>
            </w:r>
          </w:p>
        </w:tc>
        <w:tc>
          <w:tcPr>
            <w:tcMar>
              <w:top w:w="100" w:type="dxa"/>
              <w:bottom w:w="100" w:type="dxa"/>
              <w:left w:w="150" w:type="dxa"/>
              <w:right w:w="150" w:type="dxa"/>
            </w:tcMar>
            <w:vAlign w:val="center"/>
            <w:shd w:val="clear" w:color="auto" w:fill="E9EDF6"/>
            <w:tcW w:w="2640" w:type="dxa"/>
          </w:tcPr>
          <w:p>
            <w:pPr>
              <w:pStyle w:val="Compact"/>
              <w:jc w:val="left"/>
            </w:pPr>
            <w:r>
              <w:t xml:space="preserve">33</w:t>
            </w:r>
          </w:p>
        </w:tc>
        <w:tc>
          <w:tcPr>
            <w:tcMar>
              <w:top w:w="100" w:type="dxa"/>
              <w:bottom w:w="100" w:type="dxa"/>
              <w:left w:w="150" w:type="dxa"/>
              <w:right w:w="150" w:type="dxa"/>
            </w:tcMar>
            <w:vAlign w:val="center"/>
            <w:shd w:val="clear" w:color="auto" w:fill="E9EDF6"/>
            <w:tcW w:w="2273" w:type="dxa"/>
          </w:tcPr>
          <w:p>
            <w:pPr>
              <w:pStyle w:val="Compact"/>
              <w:jc w:val="left"/>
            </w:pPr>
            <w:r>
              <w:t xml:space="preserve">64</w:t>
            </w:r>
          </w:p>
        </w:tc>
        <w:tc>
          <w:tcPr>
            <w:tcMar>
              <w:top w:w="100" w:type="dxa"/>
              <w:bottom w:w="100" w:type="dxa"/>
              <w:left w:w="150" w:type="dxa"/>
              <w:right w:w="150" w:type="dxa"/>
            </w:tcMar>
            <w:vAlign w:val="center"/>
            <w:shd w:val="clear" w:color="auto" w:fill="E9EDF6"/>
            <w:tcW w:w="2293" w:type="dxa"/>
          </w:tcPr>
          <w:p>
            <w:pPr>
              <w:pStyle w:val="Compact"/>
              <w:jc w:val="left"/>
            </w:pPr>
            <w:r>
              <w:t xml:space="preserve">140</w:t>
            </w:r>
          </w:p>
        </w:tc>
      </w:tr>
      <w:tr>
        <w:trPr>
          <w:cantSplit/>
        </w:trPr>
        <w:tc>
          <w:tcPr>
            <w:tcMar>
              <w:top w:w="100" w:type="dxa"/>
              <w:bottom w:w="100" w:type="dxa"/>
              <w:left w:w="150" w:type="dxa"/>
              <w:right w:w="150" w:type="dxa"/>
            </w:tcMar>
            <w:vAlign w:val="center"/>
            <w:tcW w:w="1866" w:type="dxa"/>
          </w:tcPr>
          <w:p>
            <w:pPr>
              <w:pStyle w:val="Compact"/>
              <w:jc w:val="left"/>
            </w:pPr>
            <w:r>
              <w:t xml:space="preserve">Year 2 (~66 to ~282 seats)</w:t>
            </w:r>
          </w:p>
        </w:tc>
        <w:tc>
          <w:tcPr>
            <w:tcMar>
              <w:top w:w="100" w:type="dxa"/>
              <w:bottom w:w="100" w:type="dxa"/>
              <w:left w:w="150" w:type="dxa"/>
              <w:right w:w="150" w:type="dxa"/>
            </w:tcMar>
            <w:vAlign w:val="center"/>
            <w:tcW w:w="2640" w:type="dxa"/>
          </w:tcPr>
          <w:p>
            <w:pPr>
              <w:pStyle w:val="Compact"/>
              <w:jc w:val="left"/>
            </w:pPr>
            <w:r>
              <w:t xml:space="preserve">66</w:t>
            </w:r>
          </w:p>
        </w:tc>
        <w:tc>
          <w:tcPr>
            <w:tcMar>
              <w:top w:w="100" w:type="dxa"/>
              <w:bottom w:w="100" w:type="dxa"/>
              <w:left w:w="150" w:type="dxa"/>
              <w:right w:w="150" w:type="dxa"/>
            </w:tcMar>
            <w:vAlign w:val="center"/>
            <w:tcW w:w="2273" w:type="dxa"/>
          </w:tcPr>
          <w:p>
            <w:pPr>
              <w:pStyle w:val="Compact"/>
              <w:jc w:val="left"/>
            </w:pPr>
            <w:r>
              <w:t xml:space="preserve">129</w:t>
            </w:r>
          </w:p>
        </w:tc>
        <w:tc>
          <w:tcPr>
            <w:tcMar>
              <w:top w:w="100" w:type="dxa"/>
              <w:bottom w:w="100" w:type="dxa"/>
              <w:left w:w="150" w:type="dxa"/>
              <w:right w:w="150" w:type="dxa"/>
            </w:tcMar>
            <w:vAlign w:val="center"/>
            <w:tcW w:w="2293" w:type="dxa"/>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Emergency Relief sub-line deferred in Years 1–2 leaves a mission-specific buffer thin</w:t>
            </w:r>
          </w:p>
        </w:tc>
        <w:tc>
          <w:tcPr>
            <w:tcMar>
              <w:top w:w="100" w:type="dxa"/>
              <w:bottom w:w="100" w:type="dxa"/>
              <w:left w:w="150" w:type="dxa"/>
              <w:right w:w="150" w:type="dxa"/>
            </w:tcMar>
            <w:vAlign w:val="center"/>
            <w:shd w:val="clear" w:color="auto" w:fill="E9EDF6"/>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tcMar>
              <w:top w:w="100" w:type="dxa"/>
              <w:bottom w:w="100" w:type="dxa"/>
              <w:left w:w="150" w:type="dxa"/>
              <w:right w:w="150" w:type="dxa"/>
            </w:tcMar>
            <w:vAlign w:val="center"/>
          </w:tcPr>
          <w:p>
            <w:pPr>
              <w:pStyle w:val="Compact"/>
              <w:jc w:val="left"/>
              <w:suppressAutoHyphens/>
            </w:pPr>
            <w:r>
              <w:t xml:space="preserve">Nigeria Reserve deferred in Years 1–2</w:t>
            </w:r>
          </w:p>
        </w:tc>
        <w:tc>
          <w:tcPr>
            <w:tcMar>
              <w:top w:w="100" w:type="dxa"/>
              <w:bottom w:w="100" w:type="dxa"/>
              <w:left w:w="150" w:type="dxa"/>
              <w:right w:w="150" w:type="dxa"/>
            </w:tcMar>
            <w:vAlign w:val="center"/>
          </w:tcPr>
          <w:p>
            <w:pPr>
              <w:pStyle w:val="Compact"/>
              <w:jc w:val="left"/>
              <w:suppressAutoHyphens/>
            </w:pPr>
            <w:r>
              <w:t xml:space="preserve">No effect on the funding target, which is Year 10 (§6.2.1) — eight years of runway remain to rebuild the sub-line from Year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Registration pipeline overperforms, creating expectations the Founding Scholarship pool cannot meet at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tcMar>
              <w:top w:w="100" w:type="dxa"/>
              <w:bottom w:w="100" w:type="dxa"/>
              <w:left w:w="150" w:type="dxa"/>
              <w:right w:w="150" w:type="dxa"/>
            </w:tcMar>
            <w:vAlign w:val="center"/>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tcMar>
              <w:top w:w="100" w:type="dxa"/>
              <w:bottom w:w="100" w:type="dxa"/>
              <w:left w:w="150" w:type="dxa"/>
              <w:right w:w="150" w:type="dxa"/>
            </w:tcMar>
            <w:vAlign w:val="center"/>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(or declines) the illustrative bridge-phase fee; retains exclusive tuition-setting authority (§11.3)</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Registrar / Admissions (Section 14)</w:t>
            </w:r>
          </w:p>
        </w:tc>
        <w:tc>
          <w:tcPr>
            <w:tcMar>
              <w:top w:w="100" w:type="dxa"/>
              <w:bottom w:w="100" w:type="dxa"/>
              <w:left w:w="150" w:type="dxa"/>
              <w:right w:w="150" w:type="dxa"/>
            </w:tcMar>
            <w:vAlign w:val="center"/>
            <w:shd w:val="clear" w:color="auto" w:fill="E9EDF6"/>
          </w:tcPr>
          <w:p>
            <w:pPr>
              <w:pStyle w:val="Compact"/>
              <w:jc w:val="left"/>
              <w:suppressAutoHyphens/>
            </w:pPr>
            <w:r>
              <w:t xml:space="preserve">Administers Founding Registration and the transition to formal admissions</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Source Serif 4" w:hAnsi="Source Serif 4"/>
                <w:i/>
                <w:smallCaps/>
                <w:color w:val="B08625"/>
                <w:b/>
                <w:sz w:val="18"/>
                <w:spacing w:val="10"/>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This Blueprint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AMIU-MP-001 Reference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Relationship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§10–11 (Governance: University Senate &amp; Delegation of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committee structure, elections, and succession beneath the fixed 18-seat charter</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tcMar>
              <w:top w:w="100" w:type="dxa"/>
              <w:bottom w:w="100" w:type="dxa"/>
              <w:left w:w="150" w:type="dxa"/>
              <w:right w:w="150" w:type="dxa"/>
            </w:tcMar>
            <w:vAlign w:val="center"/>
          </w:tcPr>
          <w:p>
            <w:pPr>
              <w:pStyle w:val="Compact"/>
              <w:jc w:val="left"/>
              <w:suppressAutoHyphens/>
            </w:pPr>
            <w:r>
              <w:t xml:space="preserve">§1 (Academic Credit-Hour Architecture)</w:t>
            </w:r>
          </w:p>
        </w:tc>
        <w:tc>
          <w:tcPr>
            <w:tcMar>
              <w:top w:w="100" w:type="dxa"/>
              <w:bottom w:w="100" w:type="dxa"/>
              <w:left w:w="150" w:type="dxa"/>
              <w:right w:w="150" w:type="dxa"/>
            </w:tcMar>
            <w:vAlign w:val="center"/>
          </w:tcPr>
          <w:p>
            <w:pPr>
              <w:pStyle w:val="Compact"/>
              <w:jc w:val="left"/>
              <w:suppressAutoHyphens/>
            </w:pPr>
            <w:r>
              <w:t xml:space="preserve">Operationalizes staffing, college, department, and faculty-rank structure beneath the 71-program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tcMar>
              <w:top w:w="100" w:type="dxa"/>
              <w:bottom w:w="100" w:type="dxa"/>
              <w:left w:w="150" w:type="dxa"/>
              <w:right w:w="150" w:type="dxa"/>
            </w:tcMar>
            <w:vAlign w:val="center"/>
            <w:shd w:val="clear" w:color="auto" w:fill="E9EDF6"/>
          </w:tcPr>
          <w:p>
            <w:pPr>
              <w:pStyle w:val="Compact"/>
              <w:jc w:val="left"/>
              <w:suppressAutoHyphens/>
            </w:pPr>
            <w:r>
              <w:t xml:space="preserve">§1–3 (Academic Architecture, Tuition &amp; Fees,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admissions, curriculum mapping, and recruitment beneath fixed CH totals and tuition tiers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tcMar>
              <w:top w:w="100" w:type="dxa"/>
              <w:bottom w:w="100" w:type="dxa"/>
              <w:left w:w="150" w:type="dxa"/>
              <w:right w:w="150" w:type="dxa"/>
            </w:tcMar>
            <w:vAlign w:val="center"/>
          </w:tcPr>
          <w:p>
            <w:pPr>
              <w:pStyle w:val="Compact"/>
              <w:jc w:val="left"/>
              <w:suppressAutoHyphens/>
            </w:pPr>
            <w:r>
              <w:t xml:space="preserve">§9.4 (ISO 21001 &amp; CPD), §9.3 (Gambia), §16 (Twenty-Year Horizon)</w:t>
            </w:r>
          </w:p>
        </w:tc>
        <w:tc>
          <w:tcPr>
            <w:tcMar>
              <w:top w:w="100" w:type="dxa"/>
              <w:bottom w:w="100" w:type="dxa"/>
              <w:left w:w="150" w:type="dxa"/>
              <w:right w:w="150" w:type="dxa"/>
            </w:tcMar>
            <w:vAlign w:val="center"/>
          </w:tcPr>
          <w:p>
            <w:pPr>
              <w:pStyle w:val="Compact"/>
              <w:jc w:val="left"/>
              <w:suppressAutoHyphens/>
            </w:pPr>
            <w:r>
              <w:t xml:space="preserve">Operationalizes the accreditation pipeline within its adopted sequencing and cost figures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tcMar>
              <w:top w:w="100" w:type="dxa"/>
              <w:bottom w:w="100" w:type="dxa"/>
              <w:left w:w="150" w:type="dxa"/>
              <w:right w:w="150" w:type="dxa"/>
            </w:tcMar>
            <w:vAlign w:val="center"/>
            <w:shd w:val="clear" w:color="auto" w:fill="E9EDF6"/>
          </w:tcPr>
          <w:p>
            <w:pPr>
              <w:pStyle w:val="Compact"/>
              <w:jc w:val="left"/>
              <w:suppressAutoHyphens/>
            </w:pPr>
            <w:r>
              <w:t xml:space="preserve">§5.4 (LMS &amp; Tech allocation), §6 (Waqf &amp;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digital infrastructure and Waqf development within fixed allocation lines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tcMar>
              <w:top w:w="100" w:type="dxa"/>
              <w:bottom w:w="100" w:type="dxa"/>
              <w:left w:w="150" w:type="dxa"/>
              <w:right w:w="150" w:type="dxa"/>
            </w:tcMar>
            <w:vAlign w:val="center"/>
          </w:tcPr>
          <w:p>
            <w:pPr>
              <w:pStyle w:val="Compact"/>
              <w:jc w:val="left"/>
              <w:suppressAutoHyphens/>
            </w:pPr>
            <w:r>
              <w:t xml:space="preserve">§2–3 (Tuition &amp; Fees, Scholarships), §5.4 (Marketing allocation)</w:t>
            </w:r>
          </w:p>
        </w:tc>
        <w:tc>
          <w:tcPr>
            <w:tcMar>
              <w:top w:w="100" w:type="dxa"/>
              <w:bottom w:w="100" w:type="dxa"/>
              <w:left w:w="150" w:type="dxa"/>
              <w:right w:w="150" w:type="dxa"/>
            </w:tcMar>
            <w:vAlign w:val="center"/>
          </w:tcPr>
          <w:p>
            <w:pPr>
              <w:pStyle w:val="Compact"/>
              <w:jc w:val="left"/>
              <w:suppressAutoHyphens/>
            </w:pPr>
            <w:r>
              <w:t xml:space="preserve">Operationalizes scholarship, marketing, and branding execution within fixed tuition and allocation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§6.2.1 (Nigeria Mega-University), §9.3 (Gambia Branch)</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regional expansion within Waqf &amp; Stakeholder Reserve sub-lines and Board-approved ceilings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tcMar>
              <w:top w:w="100" w:type="dxa"/>
              <w:bottom w:w="100" w:type="dxa"/>
              <w:left w:w="150" w:type="dxa"/>
              <w:right w:w="150" w:type="dxa"/>
            </w:tcMar>
            <w:vAlign w:val="center"/>
          </w:tcPr>
          <w:p>
            <w:pPr>
              <w:pStyle w:val="Compact"/>
              <w:jc w:val="left"/>
              <w:suppressAutoHyphens/>
            </w:pPr>
            <w:r>
              <w:t xml:space="preserve">§14 (Risk Register), §5 (Financial Audit), §16 (Twenty-Year Horizon), §3 &amp; §6.3 (Scholarship &amp; External Waqf Donor Contributions)</w:t>
            </w:r>
          </w:p>
        </w:tc>
        <w:tc>
          <w:tcPr>
            <w:tcMar>
              <w:top w:w="100" w:type="dxa"/>
              <w:bottom w:w="100" w:type="dxa"/>
              <w:left w:w="150" w:type="dxa"/>
              <w:right w:w="150" w:type="dxa"/>
            </w:tcMar>
            <w:vAlign w:val="center"/>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Exhibit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Status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Constitution and 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B</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Syllabi — All 71 Named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D</w:t>
            </w:r>
          </w:p>
        </w:tc>
        <w:tc>
          <w:tcPr>
            <w:tcMar>
              <w:top w:w="100" w:type="dxa"/>
              <w:bottom w:w="100" w:type="dxa"/>
              <w:left w:w="150" w:type="dxa"/>
              <w:right w:w="150" w:type="dxa"/>
            </w:tcMar>
            <w:vAlign w:val="center"/>
          </w:tcPr>
          <w:p>
            <w:pPr>
              <w:pStyle w:val="Compact"/>
              <w:jc w:val="left"/>
              <w:suppressAutoHyphens/>
            </w:pPr>
            <w:r>
              <w:t xml:space="preserve">AMIU Global Services LLC — Offering Documents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Charter</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F–G</w:t>
            </w:r>
          </w:p>
        </w:tc>
        <w:tc>
          <w:tcPr>
            <w:tcMar>
              <w:top w:w="100" w:type="dxa"/>
              <w:bottom w:w="100" w:type="dxa"/>
              <w:left w:w="150" w:type="dxa"/>
              <w:right w:w="150" w:type="dxa"/>
            </w:tcMar>
            <w:vAlign w:val="center"/>
          </w:tcPr>
          <w:p>
            <w:pPr>
              <w:pStyle w:val="Compact"/>
              <w:jc w:val="left"/>
              <w:suppressAutoHyphens/>
            </w:pPr>
            <w:r>
              <w:t xml:space="preserve">Certificates of Formation — University &amp; LLC (Texas)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1023 Application — 501(c)(3) Status</w:t>
            </w:r>
          </w:p>
        </w:tc>
        <w:tc>
          <w:tcPr>
            <w:tcMar>
              <w:top w:w="100" w:type="dxa"/>
              <w:bottom w:w="100" w:type="dxa"/>
              <w:left w:w="150" w:type="dxa"/>
              <w:right w:w="150" w:type="dxa"/>
            </w:tcMar>
            <w:vAlign w:val="center"/>
            <w:shd w:val="clear" w:color="auto" w:fill="E9EDF6"/>
          </w:tcPr>
          <w:p>
            <w:pPr>
              <w:pStyle w:val="Compact"/>
              <w:jc w:val="left"/>
              <w:suppressAutoHyphens/>
            </w:pPr>
            <w:r>
              <w:t xml:space="preserve">Filed / pending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Financial Model — Full Audited Workbook</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w:t>
            </w:r>
          </w:p>
        </w:tc>
        <w:tc>
          <w:tcPr>
            <w:tcMar>
              <w:top w:w="100" w:type="dxa"/>
              <w:bottom w:w="100" w:type="dxa"/>
              <w:left w:w="150" w:type="dxa"/>
              <w:right w:w="150" w:type="dxa"/>
            </w:tcMar>
            <w:vAlign w:val="center"/>
            <w:shd w:val="clear" w:color="auto" w:fill="E9EDF6"/>
          </w:tcPr>
          <w:p>
            <w:pPr>
              <w:pStyle w:val="Compact"/>
              <w:jc w:val="left"/>
              <w:suppressAutoHyphens/>
            </w:pPr>
            <w:r>
              <w:t xml:space="preserve">NAQAA Accreditation Application — Gambia Branch Campus</w:t>
            </w:r>
          </w:p>
        </w:tc>
        <w:tc>
          <w:tcPr>
            <w:tcMar>
              <w:top w:w="100" w:type="dxa"/>
              <w:bottom w:w="100" w:type="dxa"/>
              <w:left w:w="150" w:type="dxa"/>
              <w:right w:w="150" w:type="dxa"/>
            </w:tcMar>
            <w:vAlign w:val="center"/>
            <w:shd w:val="clear" w:color="auto" w:fill="E9EDF6"/>
          </w:tcPr>
          <w:p>
            <w:pPr>
              <w:pStyle w:val="Compact"/>
              <w:jc w:val="left"/>
              <w:suppressAutoHyphens/>
            </w:pPr>
            <w:r>
              <w:t xml:space="preserve">Stage 3 preparation</w:t>
            </w:r>
          </w:p>
        </w:tc>
      </w:tr>
      <w:tr>
        <w:trPr>
          <w:cantSplit/>
        </w:trPr>
        <w:tc>
          <w:tcPr>
            <w:tcMar>
              <w:top w:w="100" w:type="dxa"/>
              <w:bottom w:w="100" w:type="dxa"/>
              <w:left w:w="150" w:type="dxa"/>
              <w:right w:w="150" w:type="dxa"/>
            </w:tcMar>
            <w:vAlign w:val="center"/>
          </w:tcPr>
          <w:p>
            <w:pPr>
              <w:pStyle w:val="Compact"/>
              <w:jc w:val="left"/>
              <w:suppressAutoHyphens/>
            </w:pPr>
            <w:r>
              <w:t xml:space="preserve">K</w:t>
            </w:r>
          </w:p>
        </w:tc>
        <w:tc>
          <w:tcPr>
            <w:tcMar>
              <w:top w:w="100" w:type="dxa"/>
              <w:bottom w:w="100" w:type="dxa"/>
              <w:left w:w="150" w:type="dxa"/>
              <w:right w:w="150" w:type="dxa"/>
            </w:tcMar>
            <w:vAlign w:val="center"/>
          </w:tcPr>
          <w:p>
            <w:pPr>
              <w:pStyle w:val="Compact"/>
              <w:jc w:val="left"/>
              <w:suppressAutoHyphens/>
            </w:pPr>
            <w:r>
              <w:t xml:space="preserve">Nigeria NUC Charter Application</w:t>
            </w:r>
          </w:p>
        </w:tc>
        <w:tc>
          <w:tcPr>
            <w:tcMar>
              <w:top w:w="100" w:type="dxa"/>
              <w:bottom w:w="100" w:type="dxa"/>
              <w:left w:w="150" w:type="dxa"/>
              <w:right w:w="150" w:type="dxa"/>
            </w:tcMar>
            <w:vAlign w:val="center"/>
          </w:tcPr>
          <w:p>
            <w:pPr>
              <w:pStyle w:val="Compact"/>
              <w:jc w:val="left"/>
              <w:suppressAutoHyphens/>
            </w:pPr>
            <w:r>
              <w:t xml:space="preserve">Preparation begins Year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w:t>
            </w:r>
          </w:p>
        </w:tc>
        <w:tc>
          <w:tcPr>
            <w:tcMar>
              <w:top w:w="100" w:type="dxa"/>
              <w:bottom w:w="100" w:type="dxa"/>
              <w:left w:w="150" w:type="dxa"/>
              <w:right w:w="150" w:type="dxa"/>
            </w:tcMar>
            <w:vAlign w:val="center"/>
            <w:shd w:val="clear" w:color="auto" w:fill="E9EDF6"/>
          </w:tcPr>
          <w:p>
            <w:pPr>
              <w:pStyle w:val="Compact"/>
              <w:jc w:val="left"/>
              <w:suppressAutoHyphens/>
            </w:pPr>
            <w:r>
              <w:t xml:space="preserve">ISO 21001 / CPD Accreditation Application Documentation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Preparation per Blueprint Sections 19–20</w:t>
            </w:r>
          </w:p>
        </w:tc>
      </w:tr>
      <w:tr>
        <w:trPr>
          <w:cantSplit/>
        </w:trPr>
        <w:tc>
          <w:tcPr>
            <w:tcMar>
              <w:top w:w="100" w:type="dxa"/>
              <w:bottom w:w="100" w:type="dxa"/>
              <w:left w:w="150" w:type="dxa"/>
              <w:right w:w="150" w:type="dxa"/>
            </w:tcMar>
            <w:vAlign w:val="center"/>
          </w:tcPr>
          <w:p>
            <w:pPr>
              <w:pStyle w:val="Compact"/>
              <w:jc w:val="left"/>
              <w:suppressAutoHyphens/>
            </w:pPr>
            <w:r>
              <w:t xml:space="preserve">N</w:t>
            </w:r>
          </w:p>
        </w:tc>
        <w:tc>
          <w:tcPr>
            <w:tcMar>
              <w:top w:w="100" w:type="dxa"/>
              <w:bottom w:w="100" w:type="dxa"/>
              <w:left w:w="150" w:type="dxa"/>
              <w:right w:w="150" w:type="dxa"/>
            </w:tcMar>
            <w:vAlign w:val="center"/>
          </w:tcPr>
          <w:p>
            <w:pPr>
              <w:pStyle w:val="Compact"/>
              <w:jc w:val="left"/>
              <w:suppressAutoHyphens/>
            </w:pPr>
            <w:r>
              <w:t xml:space="preserve">Independent Sharī’ah Advisory Board Charter</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 Grading Policy &amp; Grievance Procedures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P</w:t>
            </w:r>
          </w:p>
        </w:tc>
        <w:tc>
          <w:tcPr>
            <w:tcMar>
              <w:top w:w="100" w:type="dxa"/>
              <w:bottom w:w="100" w:type="dxa"/>
              <w:left w:w="150" w:type="dxa"/>
              <w:right w:w="150" w:type="dxa"/>
            </w:tcMar>
            <w:vAlign w:val="center"/>
          </w:tcPr>
          <w:p>
            <w:pPr>
              <w:pStyle w:val="Compact"/>
              <w:jc w:val="left"/>
              <w:suppressAutoHyphens/>
            </w:pPr>
            <w:r>
              <w:t xml:space="preserve">Faculty Handbook &amp; Honoraria Schedule</w:t>
            </w:r>
          </w:p>
        </w:tc>
        <w:tc>
          <w:tcPr>
            <w:tcMar>
              <w:top w:w="100" w:type="dxa"/>
              <w:bottom w:w="100" w:type="dxa"/>
              <w:left w:w="150" w:type="dxa"/>
              <w:right w:w="150" w:type="dxa"/>
            </w:tcMar>
            <w:vAlign w:val="center"/>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 of Gross Revenue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Governing Body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35%</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Payroll (Faculty Honoraria 40% · Founders 24% · Senate 18% · Core Admin 18%)</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Board (budget) / Senate (stipends, 4-independent-seat compensation check)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(fiduciary)</w:t>
            </w:r>
          </w:p>
        </w:tc>
      </w:tr>
      <w:tr>
        <w:trPr>
          <w:cantSplit/>
        </w:trPr>
        <w:tc>
          <w:tcPr>
            <w:tcMar>
              <w:top w:w="100" w:type="dxa"/>
              <w:bottom w:w="100" w:type="dxa"/>
              <w:left w:w="150" w:type="dxa"/>
              <w:right w:w="150" w:type="dxa"/>
            </w:tcMar>
            <w:vAlign w:val="center"/>
          </w:tcPr>
          <w:p>
            <w:pPr>
              <w:pStyle w:val="Compact"/>
              <w:jc w:val="left"/>
              <w:suppressAutoHyphens/>
            </w:pPr>
            <w:r>
              <w:t xml:space="preserve">Marketing &amp; Student Acquisition</w:t>
            </w:r>
          </w:p>
        </w:tc>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 Infrastructure</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Senate Group IV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Total</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100%, zero unallocated residual</w:t>
            </w:r>
          </w:p>
        </w:tc>
        <w:tc>
          <w:tcPr>
            <w:tcMar>
              <w:top w:w="100" w:type="dxa"/>
              <w:bottom w:w="100" w:type="dxa"/>
              <w:left w:w="150" w:type="dxa"/>
              <w:right w:w="150" w:type="dxa"/>
            </w:tcMar>
            <w:vAlign w:val="center"/>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4"/>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Source Serif 4" w:hAnsi="Source Serif 4"/>
                <w:i/>
                <w:smallCaps/>
                <w:color w:val="B08625"/>
                <w:sz w:val="18"/>
                <w:spacing w:val="8"/>
              </w:rPr>
              <w:t>Strategic Implementation Blueprint · 2028–2050 · AMIU-SB-002</w:t>
            </w:r>
          </w:p>
          <w:p>
            <w:pPr>
              <w:jc w:val="center"/>
              <w:spacing w:before="0" w:after="0"/>
              <w:suppressAutoHyphens/>
            </w:pPr>
            <w:r>
              <w:rPr>
                <w:rFonts w:ascii="Source Serif 4" w:hAnsi="Source Serif 4"/>
                <w:i/>
                <w:smallCaps/>
                <w:color w:val="8C97AB"/>
                <w:sz w:val="16"/>
                <w:spacing w:val="8"/>
              </w:rPr>
              <w:t>edu.amiu.com  ·  info@edu.amiu.com  ·  Texas-Domiciled, Religiously Exempt  ·  Incorporated 6 December 2027</w:t>
            </w:r>
          </w:p>
          <w:p>
            <w:pPr>
              <w:jc w:val="center"/>
              <w:spacing w:before="240" w:after="0"/>
              <w:suppressAutoHyphens/>
            </w:pPr>
            <w:r>
              <w:rPr>
                <w:rFonts w:ascii="Source Serif 4" w:hAnsi="Source Serif 4"/>
                <w:i/>
                <w:smallCaps/>
                <w:color w:val="8C97AB"/>
                <w:sz w:val="15"/>
              </w:rPr>
              <w:t>This document is a strategic planning model prepared for Board, Senate, and accreditation-body decision-making.</w:t>
            </w:r>
          </w:p>
          <w:p>
            <w:pPr>
              <w:jc w:val="center"/>
              <w:spacing w:before="0" w:after="0"/>
              <w:suppressAutoHyphens/>
            </w:pPr>
            <w:r>
              <w:rPr>
                <w:rFonts w:ascii="Source Serif 4" w:hAnsi="Source Serif 4"/>
                <w:i/>
                <w:smallCaps/>
                <w:color w:val="8C97AB"/>
                <w:sz w:val="15"/>
              </w:rPr>
              <w:t>It does not constitute a certified financial audit or an offer of investment.</w:t>
            </w:r>
          </w:p>
        </w:tc>
      </w:tr>
    </w:tbl>
    <w:bookmarkEnd w:id="121"/>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AMIU-SB-002</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2026-07-27T14:02:08Z</dcterms:created>
  <dcterms:modified xsi:type="dcterms:W3CDTF">2026-07-27T14:02:08Z</dcterms:modified>
</cp:coreProperties>
</file>

<file path=docProps/custom.xml><?xml version="1.0" encoding="utf-8"?>
<Properties xmlns="http://schemas.openxmlformats.org/officeDocument/2006/custom-properties" xmlns:vt="http://schemas.openxmlformats.org/officeDocument/2006/docPropsVTypes"/>
</file>