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120"/>
              <w:suppressAutoHyphens/>
            </w:pPr>
            <w:r>
              <w:rPr>
                <w:rFonts w:ascii="Liberation Sans" w:hAnsi="Liberation Sans"/>
                <w:color w:val="8C97AB"/>
                <w:sz w:val="18"/>
              </w:rPr>
              <w:t>SUPREME STRATEGIC PLANNING COUNCIL · FOUNDING-DECADE EDITION</w:t>
            </w:r>
          </w:p>
          <w:p>
            <w:pPr>
              <w:jc w:val="center"/>
              <w:spacing w:before="200" w:after="120"/>
              <w:suppressAutoHyphens/>
            </w:pPr>
            <w:r>
              <w:rPr>
                <w:rFonts w:ascii="Liberation Sans" w:hAnsi="Liberation Sans"/>
                <w:b/>
                <w:sz w:val="22"/>
                <w:color w:val="B08625"/>
                <w:spacing w:val="18"/>
                <w:caps/>
              </w:rPr>
              <w:t>STRATEGIC IMPLEMENTATION BLUEPRINT · 2028–2050</w:t>
            </w:r>
          </w:p>
          <w:p>
            <w:pPr>
              <w:jc w:val="center"/>
              <w:spacing w:before="500" w:after="0"/>
              <w:suppressAutoHyphens/>
            </w:pPr>
            <w:r>
              <w:rPr>
                <w:rFonts w:ascii="Cinzel" w:hAnsi="Cinzel"/>
                <w:b/>
                <w:color w:val="B08625"/>
                <w:sz w:val="22"/>
                <w:caps/>
                <w:spacing w:val="18"/>
              </w:rPr>
              <w:t>AL-MULK</w:t>
            </w:r>
          </w:p>
          <w:p>
            <w:pPr>
              <w:jc w:val="center"/>
              <w:spacing w:before="0" w:after="500"/>
              <w:suppressAutoHyphens/>
            </w:pPr>
            <w:r>
              <w:rPr>
                <w:rFonts w:ascii="Cinzel" w:hAnsi="Cinzel"/>
                <w:b/>
                <w:color w:val="B08625"/>
                <w:sz w:val="22"/>
                <w:caps/>
                <w:spacing w:val="18"/>
              </w:rPr>
              <w:t>INTERNATIONAL UNIVERSITY</w:t>
            </w:r>
          </w:p>
          <w:p>
            <w:pPr>
              <w:jc w:val="center"/>
              <w:spacing w:before="300" w:after="100"/>
              <w:suppressAutoHyphens/>
            </w:pPr>
            <w:r>
              <w:rPr>
                <w:rFonts w:ascii="Cormorant Garamond" w:hAnsi="Cormorant Garamond"/>
                <w:i/>
                <w:color w:val="DCE3F0"/>
                <w:sz w:val="26"/>
              </w:rPr>
              <w:t>“Spreading Islamic Education Worldwide, at Every Pace”</w:t>
            </w:r>
          </w:p>
          <w:p>
            <w:pPr>
              <w:jc w:val="center"/>
              <w:spacing w:before="900" w:after="80"/>
              <w:suppressAutoHyphens/>
            </w:pPr>
            <w:r>
              <w:rPr>
                <w:rFonts w:ascii="Liberation Sans" w:hAnsi="Liberation Sans"/>
                <w:color w:val="8C97AB"/>
                <w:sz w:val="18"/>
              </w:rPr>
              <w:t>A COMPANION IMPLEMENTATION VOLUME TO</w:t>
            </w:r>
          </w:p>
          <w:p>
            <w:pPr>
              <w:jc w:val="center"/>
              <w:spacing w:before="0" w:after="700"/>
              <w:suppressAutoHyphens/>
            </w:pPr>
            <w:r>
              <w:rPr>
                <w:rFonts w:ascii="Liberation Sans" w:hAnsi="Liberation Sans"/>
                <w:color w:val="DCE3F0"/>
                <w:sz w:val="19"/>
              </w:rPr>
              <w:t>the Ten-Year Master Plan &amp; Strategic Charter (AMIU-MP-001, 2028–2037)</w:t>
            </w:r>
          </w:p>
          <w:p>
            <w:pPr>
              <w:jc w:val="center"/>
              <w:spacing w:before="0" w:after="60"/>
              <w:suppressAutoHyphens/>
            </w:pPr>
            <w:r>
              <w:rPr>
                <w:rFonts w:ascii="Liberation Sans" w:hAnsi="Liberation Sans"/>
                <w:b/>
                <w:color w:val="B08625"/>
                <w:sz w:val="22"/>
                <w:caps/>
                <w:spacing w:val="18"/>
              </w:rPr>
              <w:t>DOCUMENT REFERENCE  AMIU-SB-002</w:t>
            </w:r>
          </w:p>
          <w:p>
            <w:pPr>
              <w:jc w:val="center"/>
              <w:spacing w:before="0" w:after="0"/>
              <w:suppressAutoHyphens/>
            </w:pPr>
            <w:r>
              <w:rPr>
                <w:rFonts w:ascii="Liberation Sans" w:hAnsi="Liberation Sans"/>
                <w:color w:val="8C97AB"/>
                <w:sz w:val="16"/>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single Garamond-family type system throughout (Cinzel monumental numerals, Cormorant Garamond editorial headings, EB Garamond body serif),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Endorsing Authority</w:t>
            </w:r>
          </w:p>
        </w:tc>
        <w:tc>
          <w:tcPr/>
          <w:p>
            <w:pPr>
              <w:pStyle w:val="Compact"/>
              <w:jc w:val="left"/>
              <w:suppressAutoHyphens/>
            </w:pPr>
            <w:r>
              <w:t xml:space="preserve">Role in Endorsement</w:t>
            </w:r>
          </w:p>
        </w:tc>
        <w:tc>
          <w:tcPr/>
          <w:p>
            <w:pPr>
              <w:pStyle w:val="Compact"/>
              <w:jc w:val="left"/>
              <w:suppressAutoHyphens/>
            </w:pPr>
            <w:r>
              <w:t xml:space="preserve">Signature</w:t>
            </w:r>
          </w:p>
        </w:tc>
      </w:tr>
      <w:tr>
        <w:trPr>
          <w:cantSplit/>
        </w:trPr>
        <w:tc>
          <w:tcPr/>
          <w:p>
            <w:pPr>
              <w:pStyle w:val="Compact"/>
              <w:jc w:val="left"/>
              <w:suppressAutoHyphens/>
            </w:pPr>
            <w:r>
              <w:t xml:space="preserve">Chairman, Board of Trustees</w:t>
            </w:r>
          </w:p>
        </w:tc>
        <w:tc>
          <w:tcPr/>
          <w:p>
            <w:pPr>
              <w:pStyle w:val="Compact"/>
              <w:jc w:val="left"/>
              <w:suppressAutoHyphens/>
            </w:pPr>
            <w:r>
              <w:t xml:space="preserve">Approves institutional strategy and this Blueprint’s financial and governance framework</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Approves this Blueprint as the University’s operative implementation instrument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Deputy Vice-Chancellor, Academic Affairs — Dr. Muhammad Al-Qumash</w:t>
            </w:r>
          </w:p>
        </w:tc>
        <w:tc>
          <w:tcPr/>
          <w:p>
            <w:pPr>
              <w:pStyle w:val="Compact"/>
              <w:jc w:val="left"/>
              <w:suppressAutoHyphens/>
            </w:pPr>
            <w:r>
              <w:t xml:space="preserve">Endorses academic, curricular, and accreditation content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Deputy Vice-Chancellor, Admin &amp; Finance — Dr. Abdullah Turki</w:t>
            </w:r>
          </w:p>
        </w:tc>
        <w:tc>
          <w:tcPr/>
          <w:p>
            <w:pPr>
              <w:pStyle w:val="Compact"/>
              <w:jc w:val="left"/>
              <w:suppressAutoHyphens/>
            </w:pPr>
            <w:r>
              <w:t xml:space="preserve">Endorses financial, staffing, and budgetary content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Secretary, University Senate</w:t>
            </w:r>
          </w:p>
        </w:tc>
        <w:tc>
          <w:tcPr/>
          <w:p>
            <w:pPr>
              <w:pStyle w:val="Compact"/>
              <w:jc w:val="left"/>
              <w:suppressAutoHyphens/>
            </w:pPr>
            <w:r>
              <w:t xml:space="preserve">Certifies Senate review of all academic-authority provisions</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Chair, Waqf &amp; Endowment Board</w:t>
            </w:r>
          </w:p>
        </w:tc>
        <w:tc>
          <w:tcPr/>
          <w:p>
            <w:pPr>
              <w:pStyle w:val="Compact"/>
              <w:jc w:val="left"/>
              <w:suppressAutoHyphens/>
            </w:pPr>
            <w:r>
              <w:t xml:space="preserve">Endorses all Waqf allocation, scholarship, and endowment content</w:t>
            </w:r>
          </w:p>
        </w:tc>
        <w:tc>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Prior to publication, this Blueprint underwent two structured, independent quality assurance reviews by the AMIU Office of Institutional Planning, with oversight from the Board Audit &amp; Risk Committee (Section 36) and the University Senate. The second review was conducted as a fresh, adversarial re-read — auditors were not shown the first review’s findings and were instructed to verify the document as though encountering it for the first time, rather than to confirm that earlier corrections held:</w:t>
      </w:r>
    </w:p>
    <w:p>
      <w:pPr>
        <w:numPr>
          <w:ilvl w:val="0"/>
          <w:numId w:val="1001"/>
        </w:numPr>
        <w:pStyle w:val="Compact"/>
        <w:jc w:val="both"/>
      </w:pPr>
      <w:r>
        <w:rPr>
          <w:bCs/>
          <w:b/>
          <w:color w:val="B08625"/>
          <w:sz w:val="22"/>
          <w:caps/>
          <w:spacing w:val="18"/>
        </w:rPr>
        <w:t xml:space="preserve">Structural integrity</w:t>
      </w:r>
      <w:r>
        <w:t xml:space="preserve"> </w:t>
      </w:r>
      <w:r>
        <w:t xml:space="preserve">— every Section-to-Part assignment, Section kicker label, figure and table numbering sequence, Table of Contents entry, and Index cross-reference was checked programmatically against the document’s own numbering system across all forty-one sections, in both review rounds.</w:t>
      </w:r>
    </w:p>
    <w:p>
      <w:pPr>
        <w:numPr>
          <w:ilvl w:val="0"/>
          <w:numId w:val="1001"/>
        </w:numPr>
        <w:pStyle w:val="Compact"/>
        <w:jc w:val="both"/>
      </w:pPr>
      <w:r>
        <w:rPr>
          <w:bCs/>
          <w:b/>
          <w:color w:val="B08625"/>
          <w:sz w:val="22"/>
          <w:caps/>
          <w:spacing w:val="18"/>
        </w:rPr>
        <w:t xml:space="preserve">Financial consistency</w:t>
      </w:r>
      <w:r>
        <w:t xml:space="preserve"> </w:t>
      </w:r>
      <w:r>
        <w:t xml:space="preserve">— every dollar figure, percentage, and enrollment number cited in this Blueprint was checked against the canonical figures adopted in AMIU-MP-001, against every other citation of the same figure elsewhere in this Blueprint, and — in the second round — against the arithmetic each figure is supposed to satisfy (component breakdowns summing to their stated total, reconciliation statements checked by calculation rather than by reading).</w:t>
      </w:r>
    </w:p>
    <w:p>
      <w:pPr>
        <w:numPr>
          <w:ilvl w:val="0"/>
          <w:numId w:val="1001"/>
        </w:numPr>
        <w:pStyle w:val="Compact"/>
        <w:jc w:val="both"/>
      </w:pPr>
      <w:r>
        <w:rPr>
          <w:bCs/>
          <w:b/>
          <w:color w:val="B08625"/>
          <w:sz w:val="22"/>
          <w:caps/>
          <w:spacing w:val="18"/>
        </w:rPr>
        <w:t xml:space="preserve">Editorial review</w:t>
      </w:r>
      <w:r>
        <w:t xml:space="preserve"> </w:t>
      </w:r>
      <w:r>
        <w:t xml:space="preserve">— prose across the front matter, all forty-one sections, and the back matter was read in full, independently, in both rounds, for grammar, spelling, punctuation, capitalization consistency of institutional terms, and cross-reference accuracy.</w:t>
      </w:r>
    </w:p>
    <w:p>
      <w:pPr>
        <w:numPr>
          <w:ilvl w:val="0"/>
          <w:numId w:val="1001"/>
        </w:numPr>
        <w:pStyle w:val="Compact"/>
        <w:jc w:val="both"/>
      </w:pPr>
      <w:r>
        <w:rPr>
          <w:bCs/>
          <w:b/>
          <w:color w:val="B08625"/>
          <w:sz w:val="22"/>
          <w:caps/>
          <w:spacing w:val="18"/>
        </w:rPr>
        <w:t xml:space="preserve">Design consistency</w:t>
      </w:r>
      <w:r>
        <w:t xml:space="preserve"> </w:t>
      </w:r>
      <w:r>
        <w:t xml:space="preserve">— typography, running headers and footers, table styling, and page-level hierarchy are applied through a single shared style system rather than formatted page by page, so consistency is structural by construction; the second round specifically re-examined the front and back covers independently of the interior, and every page class (chapter openers, section openers, tables, captions, the Table of Contents) for hierarchy and layout defects the first round’s narrower sampling could plausibly have missed.</w:t>
      </w:r>
    </w:p>
    <w:p>
      <w:pPr>
        <w:pStyle w:val="FirstParagraph"/>
        <w:jc w:val="both"/>
      </w:pPr>
      <w:r>
        <w:t xml:space="preserve">The first review identified and corrected: several stale references to the document’s section count following a later structural addition, dollar-figure rounding inconsistencies between sections discussing the same reserve line at different points, two internal cross-references that pointed to the wrong section, and a number of spelling-convention and capitalization inconsistencies. The second, independent review — deliberately re-examining decisions the first round had already made, rather than assuming them settled — found and corrected a further set of issues the first round had missed: a Table of Contents entry that hyphenated mid-word, an inconsistent header/footer treatment between the front and back covers, an arithmetic reconciliation in the Waqf &amp; Stakeholder Reserve narrative that did not sum correctly, a certification-cost line item whose components did not add to its stated ceiling, three misordered Index entries, a governance-responsibility line that misattributed a University-funded activity to the Commercial Engine, one internally contradictory college-pairing assignment, one cross-reference to a faculty title that did not exist elsewhere in the document, and a further round of spelling-convention, terminology, and cross-reference corrections of the same kinds the first review addressed.</w:t>
      </w:r>
    </w:p>
    <w:p>
      <w:pPr>
        <w:pStyle w:val="BodyText"/>
        <w:jc w:val="both"/>
      </w:pPr>
      <w:r>
        <w:t xml:space="preserve">This statement certifies that both reviews described above were performed as described and that every issue either one identified was corrected before publication. It does not certify — and no review of a document this length can reasonably certify — the complete absence of any error whatsoever; a second independent pass finding issues the first missed is itself evidence that a third pass would likely do the same. A reader who identifies a further issue is asked to report it to info@edu.amiu.com for correction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Cormorant Garamond" w:hAnsi="Cormorant Garamond"/>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Cormorant Garamond" w:hAnsi="Cormorant Garamond"/>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Cormorant Garamond" w:hAnsi="Cormorant Garamond"/>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Cormorant Garamond" w:hAnsi="Cormorant Garamond"/>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11,021</w:t>
            </w:r>
          </w:p>
          <w:p>
            <w:pPr>
              <w:spacing w:before="0" w:after="0"/>
              <w:suppressAutoHyphens/>
            </w:pPr>
            <w:r>
              <w:rPr>
                <w:rFonts w:ascii="Liberation Sans" w:hAnsi="Liberation Sans"/>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$16.7M</w:t>
            </w:r>
          </w:p>
          <w:p>
            <w:pPr>
              <w:spacing w:before="0" w:after="0"/>
              <w:suppressAutoHyphens/>
            </w:pPr>
            <w:r>
              <w:rPr>
                <w:rFonts w:ascii="Liberation Sans" w:hAnsi="Liberation Sans"/>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$0</w:t>
            </w:r>
          </w:p>
          <w:p>
            <w:pPr>
              <w:spacing w:before="0" w:after="0"/>
              <w:suppressAutoHyphens/>
            </w:pPr>
            <w:r>
              <w:rPr>
                <w:rFonts w:ascii="Liberation Sans" w:hAnsi="Liberation Sans"/>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71</w:t>
            </w:r>
          </w:p>
          <w:p>
            <w:pPr>
              <w:spacing w:before="0" w:after="0"/>
              <w:suppressAutoHyphens/>
            </w:pPr>
            <w:r>
              <w:rPr>
                <w:rFonts w:ascii="Liberation Sans" w:hAnsi="Liberation Sans"/>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$5.8M</w:t>
            </w:r>
          </w:p>
          <w:p>
            <w:pPr>
              <w:spacing w:before="0" w:after="0"/>
              <w:suppressAutoHyphens/>
            </w:pPr>
            <w:r>
              <w:rPr>
                <w:rFonts w:ascii="Liberation Sans" w:hAnsi="Liberation Sans"/>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$3.3M</w:t>
            </w:r>
          </w:p>
          <w:p>
            <w:pPr>
              <w:spacing w:before="0" w:after="0"/>
              <w:suppressAutoHyphens/>
            </w:pPr>
            <w:r>
              <w:rPr>
                <w:rFonts w:ascii="Liberation Sans" w:hAnsi="Liberation Sans"/>
                <w:color w:val="5B6372"/>
                <w:sz w:val="15"/>
                <w:spacing w:val="8"/>
              </w:rPr>
              <w:t>TEN-YEAR WAQF &amp; STAKEHOLDER RESERVE</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Cormorant Garamond" w:hAnsi="Cormorant Garamond"/>
                <w:color w:val="B08625"/>
                <w:sz w:val="64"/>
              </w:rPr>
              <w:t>“</w:t>
            </w:r>
          </w:p>
          <w:p>
            <w:pPr>
              <w:jc w:val="center"/>
              <w:spacing w:before="0" w:after="320"/>
              <w:suppressAutoHyphens/>
            </w:pPr>
            <w:r>
              <w:rPr>
                <w:rFonts w:ascii="Cormorant Garamond" w:hAnsi="Cormorant Garamond"/>
                <w:i/>
                <w:color w:val="FFFFFF"/>
                <w:sz w:val="34"/>
              </w:rPr>
              <w:t>Financial capacity shall never be a barrier to knowledge.</w:t>
            </w:r>
          </w:p>
          <w:p>
            <w:pPr>
              <w:jc w:val="center"/>
              <w:spacing w:before="0" w:after="0"/>
              <w:suppressAutoHyphens/>
            </w:pPr>
            <w:r>
              <w:rPr>
                <w:rFonts w:ascii="Liberation Sans" w:hAnsi="Liberation Sans"/>
                <w:b/>
                <w:sz w:val="22"/>
                <w:color w:val="B08625"/>
                <w:spacing w:val="18"/>
                <w:caps/>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suppressAutoHyphens/>
            </w:pPr>
            <w:r>
              <w:rPr>
                <w:bCs/>
                <w:b/>
                <w:color w:val="B08625"/>
                <w:sz w:val="22"/>
                <w:caps/>
                <w:spacing w:val="18"/>
              </w:rPr>
              <w:t xml:space="preserve">Foreword</w:t>
            </w:r>
          </w:p>
        </w:tc>
        <w:tc>
          <w:tcPr/>
          <w:p>
            <w:pPr>
              <w:pStyle w:val="Compact"/>
              <w:jc w:val="right"/>
              <w:suppressAutoHyphens/>
            </w:pPr>
            <w:r>
              <w:rPr>
                <w:bCs/>
                <w:b/>
              </w:rPr>
              <w:t xml:space="preserve">9</w:t>
            </w:r>
          </w:p>
        </w:tc>
      </w:tr>
      <w:tr>
        <w:trPr>
          <w:cantSplit/>
        </w:trPr>
        <w:tc>
          <w:tcPr/>
          <w:p>
            <w:pPr>
              <w:pStyle w:val="Compact"/>
              <w:jc w:val="left"/>
              <w:suppressAutoHyphens/>
            </w:pPr>
            <w:r>
              <w:rPr>
                <w:bCs/>
                <w:b/>
                <w:color w:val="B08625"/>
                <w:sz w:val="22"/>
                <w:caps/>
                <w:spacing w:val="18"/>
              </w:rPr>
              <w:t xml:space="preserve">Founder’s Message</w:t>
            </w:r>
          </w:p>
        </w:tc>
        <w:tc>
          <w:tcPr/>
          <w:p>
            <w:pPr>
              <w:pStyle w:val="Compact"/>
              <w:jc w:val="right"/>
              <w:suppressAutoHyphens/>
            </w:pPr>
            <w:r>
              <w:rPr>
                <w:bCs/>
                <w:b/>
                <w:color w:val="B08625"/>
                <w:sz w:val="22"/>
                <w:caps/>
                <w:spacing w:val="18"/>
              </w:rPr>
              <w:t xml:space="preserve">11</w:t>
            </w:r>
          </w:p>
        </w:tc>
      </w:tr>
      <w:tr>
        <w:trPr>
          <w:cantSplit/>
        </w:trPr>
        <w:tc>
          <w:tcPr/>
          <w:p>
            <w:pPr>
              <w:pStyle w:val="Compact"/>
              <w:jc w:val="left"/>
              <w:suppressAutoHyphens/>
            </w:pPr>
            <w:r>
              <w:rPr>
                <w:bCs/>
                <w:b/>
                <w:color w:val="B08625"/>
                <w:sz w:val="22"/>
                <w:caps/>
                <w:spacing w:val="18"/>
              </w:rPr>
              <w:t xml:space="preserve">Chairman’s Message</w:t>
            </w:r>
          </w:p>
        </w:tc>
        <w:tc>
          <w:tcPr/>
          <w:p>
            <w:pPr>
              <w:pStyle w:val="Compact"/>
              <w:jc w:val="right"/>
              <w:suppressAutoHyphens/>
            </w:pPr>
            <w:r>
              <w:rPr>
                <w:bCs/>
                <w:b/>
                <w:color w:val="B08625"/>
                <w:sz w:val="22"/>
                <w:caps/>
                <w:spacing w:val="18"/>
              </w:rPr>
              <w:t xml:space="preserve">12</w:t>
            </w:r>
          </w:p>
        </w:tc>
      </w:tr>
      <w:tr>
        <w:trPr>
          <w:cantSplit/>
        </w:trPr>
        <w:tc>
          <w:tcPr/>
          <w:p>
            <w:pPr>
              <w:pStyle w:val="Compact"/>
              <w:jc w:val="left"/>
              <w:suppressAutoHyphens/>
            </w:pPr>
            <w:r>
              <w:rPr>
                <w:bCs/>
                <w:b/>
                <w:color w:val="B08625"/>
                <w:sz w:val="22"/>
                <w:caps/>
                <w:spacing w:val="18"/>
              </w:rPr>
              <w:t xml:space="preserve">President’s Message</w:t>
            </w:r>
          </w:p>
        </w:tc>
        <w:tc>
          <w:tcPr/>
          <w:p>
            <w:pPr>
              <w:pStyle w:val="Compact"/>
              <w:jc w:val="right"/>
              <w:suppressAutoHyphens/>
            </w:pPr>
            <w:r>
              <w:rPr>
                <w:bCs/>
                <w:b/>
                <w:color w:val="B08625"/>
                <w:sz w:val="22"/>
                <w:caps/>
                <w:spacing w:val="18"/>
              </w:rPr>
              <w:t xml:space="preserve">13</w:t>
            </w:r>
          </w:p>
        </w:tc>
      </w:tr>
      <w:tr>
        <w:trPr>
          <w:cantSplit/>
        </w:trPr>
        <w:tc>
          <w:tcPr/>
          <w:p>
            <w:pPr>
              <w:pStyle w:val="Compact"/>
              <w:jc w:val="left"/>
              <w:suppressAutoHyphens/>
            </w:pPr>
            <w:r>
              <w:rPr>
                <w:bCs/>
                <w:b/>
                <w:color w:val="B08625"/>
                <w:sz w:val="22"/>
                <w:caps/>
                <w:spacing w:val="18"/>
              </w:rPr>
              <w:t xml:space="preserve">Executive Summary</w:t>
            </w:r>
          </w:p>
        </w:tc>
        <w:tc>
          <w:tcPr/>
          <w:p>
            <w:pPr>
              <w:pStyle w:val="Compact"/>
              <w:jc w:val="right"/>
              <w:suppressAutoHyphens/>
            </w:pPr>
            <w:r>
              <w:rPr>
                <w:bCs/>
                <w:b/>
                <w:color w:val="B08625"/>
                <w:sz w:val="22"/>
                <w:caps/>
                <w:spacing w:val="18"/>
              </w:rPr>
              <w:t xml:space="preserve">14</w:t>
            </w:r>
          </w:p>
        </w:tc>
      </w:tr>
      <w:tr>
        <w:trPr>
          <w:cantSplit/>
        </w:trPr>
        <w:tc>
          <w:tcPr/>
          <w:p>
            <w:pPr>
              <w:pStyle w:val="Compact"/>
              <w:jc w:val="left"/>
              <w:suppressAutoHyphens/>
            </w:pPr>
            <w:r>
              <w:rPr>
                <w:bCs/>
                <w:b/>
                <w:color w:val="B08625"/>
                <w:sz w:val="22"/>
                <w:caps/>
                <w:spacing w:val="18"/>
              </w:rPr>
              <w:t xml:space="preserve">AMIU at a Glance</w:t>
            </w:r>
          </w:p>
        </w:tc>
        <w:tc>
          <w:tcPr/>
          <w:p>
            <w:pPr>
              <w:pStyle w:val="Compact"/>
              <w:jc w:val="right"/>
              <w:suppressAutoHyphens/>
            </w:pPr>
            <w:r>
              <w:rPr>
                <w:bCs/>
                <w:b/>
                <w:color w:val="B08625"/>
                <w:sz w:val="22"/>
                <w:caps/>
                <w:spacing w:val="18"/>
              </w:rPr>
              <w:t xml:space="preserve">16</w:t>
            </w:r>
          </w:p>
        </w:tc>
      </w:tr>
      <w:tr>
        <w:trPr>
          <w:cantSplit/>
        </w:trPr>
        <w:tc>
          <w:tcPr/>
          <w:p>
            <w:pPr>
              <w:pStyle w:val="Compact"/>
              <w:jc w:val="left"/>
              <w:suppressAutoHyphens/>
            </w:pPr>
            <w:r>
              <w:rPr>
                <w:bCs/>
                <w:b/>
                <w:color w:val="B08625"/>
                <w:sz w:val="22"/>
                <w:caps/>
                <w:spacing w:val="18"/>
              </w:rPr>
              <w:t xml:space="preserve">List of Figures</w:t>
            </w:r>
          </w:p>
        </w:tc>
        <w:tc>
          <w:tcPr/>
          <w:p>
            <w:pPr>
              <w:pStyle w:val="Compact"/>
              <w:jc w:val="right"/>
              <w:suppressAutoHyphens/>
            </w:pPr>
            <w:r>
              <w:rPr>
                <w:bCs/>
                <w:b/>
                <w:color w:val="B08625"/>
                <w:sz w:val="22"/>
                <w:caps/>
                <w:spacing w:val="18"/>
              </w:rPr>
              <w:t xml:space="preserve">23</w:t>
            </w:r>
          </w:p>
        </w:tc>
      </w:tr>
      <w:tr>
        <w:trPr>
          <w:cantSplit/>
        </w:trPr>
        <w:tc>
          <w:tcPr/>
          <w:p>
            <w:pPr>
              <w:pStyle w:val="Compact"/>
              <w:jc w:val="left"/>
              <w:suppressAutoHyphens/>
            </w:pPr>
            <w:r>
              <w:rPr>
                <w:bCs/>
                <w:b/>
                <w:color w:val="B08625"/>
                <w:sz w:val="22"/>
                <w:caps/>
                <w:spacing w:val="18"/>
              </w:rPr>
              <w:t xml:space="preserve">List of Charts</w:t>
            </w:r>
          </w:p>
        </w:tc>
        <w:tc>
          <w:tcPr/>
          <w:p>
            <w:pPr>
              <w:pStyle w:val="Compact"/>
              <w:jc w:val="right"/>
              <w:suppressAutoHyphens/>
            </w:pPr>
            <w:r>
              <w:rPr>
                <w:bCs/>
                <w:b/>
                <w:color w:val="B08625"/>
                <w:sz w:val="22"/>
                <w:caps/>
                <w:spacing w:val="18"/>
              </w:rPr>
              <w:t xml:space="preserve">24</w:t>
            </w:r>
          </w:p>
        </w:tc>
      </w:tr>
      <w:tr>
        <w:trPr>
          <w:cantSplit/>
        </w:trPr>
        <w:tc>
          <w:tcPr/>
          <w:p>
            <w:pPr>
              <w:pStyle w:val="Compact"/>
              <w:jc w:val="left"/>
              <w:suppressAutoHyphens/>
            </w:pPr>
            <w:r>
              <w:rPr>
                <w:bCs/>
                <w:b/>
                <w:color w:val="B08625"/>
                <w:sz w:val="22"/>
                <w:caps/>
                <w:spacing w:val="18"/>
              </w:rPr>
              <w:t xml:space="preserve">List of Diagrams</w:t>
            </w:r>
          </w:p>
        </w:tc>
        <w:tc>
          <w:tcPr/>
          <w:p>
            <w:pPr>
              <w:pStyle w:val="Compact"/>
              <w:jc w:val="right"/>
              <w:suppressAutoHyphens/>
            </w:pPr>
            <w:r>
              <w:rPr>
                <w:bCs/>
                <w:b/>
                <w:color w:val="B08625"/>
                <w:sz w:val="22"/>
                <w:caps/>
                <w:spacing w:val="18"/>
              </w:rPr>
              <w:t xml:space="preserve">24</w:t>
            </w:r>
          </w:p>
        </w:tc>
      </w:tr>
      <w:tr>
        <w:trPr>
          <w:cantSplit/>
        </w:trPr>
        <w:tc>
          <w:tcPr/>
          <w:p>
            <w:pPr>
              <w:pStyle w:val="Compact"/>
              <w:jc w:val="left"/>
              <w:suppressAutoHyphens/>
            </w:pPr>
            <w:r>
              <w:rPr>
                <w:bCs/>
                <w:b/>
                <w:color w:val="B08625"/>
                <w:sz w:val="22"/>
                <w:caps/>
                <w:spacing w:val="18"/>
              </w:rPr>
              <w:t xml:space="preserve">List of Flowcharts</w:t>
            </w:r>
          </w:p>
        </w:tc>
        <w:tc>
          <w:tcPr/>
          <w:p>
            <w:pPr>
              <w:pStyle w:val="Compact"/>
              <w:jc w:val="right"/>
              <w:suppressAutoHyphens/>
            </w:pPr>
            <w:r>
              <w:rPr>
                <w:bCs/>
                <w:b/>
                <w:color w:val="B08625"/>
                <w:sz w:val="22"/>
                <w:caps/>
                <w:spacing w:val="18"/>
              </w:rPr>
              <w:t xml:space="preserve">25</w:t>
            </w:r>
          </w:p>
        </w:tc>
      </w:tr>
      <w:tr>
        <w:trPr>
          <w:cantSplit/>
        </w:trPr>
        <w:tc>
          <w:tcPr/>
          <w:p>
            <w:pPr>
              <w:pStyle w:val="Compact"/>
              <w:jc w:val="left"/>
              <w:suppressAutoHyphens/>
            </w:pPr>
            <w:r>
              <w:rPr>
                <w:bCs/>
                <w:b/>
                <w:color w:val="B08625"/>
                <w:sz w:val="22"/>
                <w:caps/>
                <w:spacing w:val="18"/>
              </w:rPr>
              <w:t xml:space="preserve">List of Tables</w:t>
            </w:r>
          </w:p>
        </w:tc>
        <w:tc>
          <w:tcPr/>
          <w:p>
            <w:pPr>
              <w:pStyle w:val="Compact"/>
              <w:jc w:val="right"/>
              <w:suppressAutoHyphens/>
            </w:pPr>
            <w:r>
              <w:rPr>
                <w:bCs/>
                <w:b/>
                <w:color w:val="B08625"/>
                <w:sz w:val="22"/>
                <w:caps/>
                <w:spacing w:val="18"/>
              </w:rPr>
              <w:t xml:space="preserve">25</w:t>
            </w:r>
          </w:p>
        </w:tc>
      </w:tr>
      <w:tr>
        <w:trPr>
          <w:cantSplit/>
        </w:trPr>
        <w:tc>
          <w:tcPr/>
          <w:p>
            <w:pPr>
              <w:pStyle w:val="Compact"/>
              <w:jc w:val="left"/>
              <w:suppressAutoHyphens/>
            </w:pPr>
            <w:r>
              <w:rPr>
                <w:bCs/>
                <w:b/>
                <w:color w:val="B08625"/>
                <w:sz w:val="22"/>
                <w:caps/>
                <w:spacing w:val="18"/>
              </w:rPr>
              <w:t xml:space="preserve">List of Abbreviations</w:t>
            </w:r>
          </w:p>
        </w:tc>
        <w:tc>
          <w:tcPr/>
          <w:p>
            <w:pPr>
              <w:pStyle w:val="Compact"/>
              <w:jc w:val="right"/>
              <w:suppressAutoHyphens/>
            </w:pPr>
            <w:r>
              <w:rPr>
                <w:bCs/>
                <w:b/>
                <w:color w:val="B08625"/>
                <w:sz w:val="22"/>
                <w:caps/>
                <w:spacing w:val="18"/>
              </w:rPr>
              <w:t xml:space="preserve">29</w:t>
            </w:r>
          </w:p>
        </w:tc>
      </w:tr>
      <w:tr>
        <w:trPr>
          <w:cantSplit/>
        </w:trPr>
        <w:tc>
          <w:tcPr/>
          <w:p>
            <w:pPr>
              <w:pStyle w:val="Compact"/>
              <w:jc w:val="left"/>
              <w:suppressAutoHyphens/>
            </w:pPr>
            <w:r>
              <w:rPr>
                <w:bCs/>
                <w:b/>
                <w:color w:val="B08625"/>
                <w:sz w:val="22"/>
                <w:caps/>
                <w:spacing w:val="18"/>
              </w:rPr>
              <w:t xml:space="preserve">Glossary</w:t>
            </w:r>
          </w:p>
        </w:tc>
        <w:tc>
          <w:tcPr/>
          <w:p>
            <w:pPr>
              <w:pStyle w:val="Compact"/>
              <w:jc w:val="right"/>
              <w:suppressAutoHyphens/>
            </w:pPr>
            <w:r>
              <w:rPr>
                <w:bCs/>
                <w:b/>
                <w:color w:val="B08625"/>
                <w:sz w:val="22"/>
                <w:caps/>
                <w:spacing w:val="18"/>
              </w:rPr>
              <w:t xml:space="preserve">33</w:t>
            </w:r>
          </w:p>
        </w:tc>
      </w:tr>
      <w:tr>
        <w:trPr>
          <w:cantSplit/>
        </w:trPr>
        <w:tc>
          <w:tcPr/>
          <w:p>
            <w:pPr>
              <w:pStyle w:val="Compact"/>
              <w:jc w:val="left"/>
              <w:suppressAutoHyphens/>
            </w:pPr>
            <w:r>
              <w:rPr>
                <w:bCs/>
                <w:b/>
                <w:color w:val="B08625"/>
                <w:sz w:val="22"/>
                <w:caps/>
                <w:spacing w:val="18"/>
              </w:rPr>
              <w:t xml:space="preserve">Part I — Governance &amp; Institutional Foundations</w:t>
            </w:r>
          </w:p>
        </w:tc>
        <w:tc>
          <w:tcPr/>
          <w:p>
            <w:pPr>
              <w:pStyle w:val="Compact"/>
              <w:jc w:val="right"/>
              <w:suppressAutoHyphens/>
            </w:pPr>
            <w:r>
              <w:rPr>
                <w:bCs/>
                <w:b/>
                <w:color w:val="B08625"/>
                <w:sz w:val="22"/>
                <w:caps/>
                <w:spacing w:val="18"/>
              </w:rPr>
              <w:t xml:space="preserve">38</w:t>
            </w:r>
          </w:p>
        </w:tc>
      </w:tr>
      <w:tr>
        <w:trPr>
          <w:cantSplit/>
        </w:trPr>
        <w:tc>
          <w:tcPr/>
          <w:p>
            <w:pPr>
              <w:pStyle w:val="Compact"/>
              <w:jc w:val="left"/>
              <w:suppressAutoHyphens/>
            </w:pPr>
            <w:r>
              <w:t xml:space="preserve">    Section 1: Institutional Vision</w:t>
            </w:r>
          </w:p>
        </w:tc>
        <w:tc>
          <w:tcPr/>
          <w:p>
            <w:pPr>
              <w:pStyle w:val="Compact"/>
              <w:jc w:val="right"/>
              <w:suppressAutoHyphens/>
            </w:pPr>
            <w:r>
              <w:t xml:space="preserve">39</w:t>
            </w:r>
          </w:p>
        </w:tc>
      </w:tr>
      <w:tr>
        <w:trPr>
          <w:cantSplit/>
        </w:trPr>
        <w:tc>
          <w:tcPr/>
          <w:p>
            <w:pPr>
              <w:pStyle w:val="Compact"/>
              <w:jc w:val="left"/>
              <w:suppressAutoHyphens/>
            </w:pPr>
            <w:r>
              <w:t xml:space="preserve">    Section 2: Mission, Values, and Identity</w:t>
            </w:r>
          </w:p>
        </w:tc>
        <w:tc>
          <w:tcPr/>
          <w:p>
            <w:pPr>
              <w:pStyle w:val="Compact"/>
              <w:jc w:val="right"/>
              <w:suppressAutoHyphens/>
            </w:pPr>
            <w:r>
              <w:t xml:space="preserve">43</w:t>
            </w:r>
          </w:p>
        </w:tc>
      </w:tr>
      <w:tr>
        <w:trPr>
          <w:cantSplit/>
        </w:trPr>
        <w:tc>
          <w:tcPr/>
          <w:p>
            <w:pPr>
              <w:pStyle w:val="Compact"/>
              <w:jc w:val="left"/>
              <w:suppressAutoHyphens/>
            </w:pPr>
            <w:r>
              <w:t xml:space="preserve">    Section 3: Governance Framework</w:t>
            </w:r>
          </w:p>
        </w:tc>
        <w:tc>
          <w:tcPr/>
          <w:p>
            <w:pPr>
              <w:pStyle w:val="Compact"/>
              <w:jc w:val="right"/>
              <w:suppressAutoHyphens/>
            </w:pPr>
            <w:r>
              <w:t xml:space="preserve">46</w:t>
            </w:r>
          </w:p>
        </w:tc>
      </w:tr>
      <w:tr>
        <w:trPr>
          <w:cantSplit/>
        </w:trPr>
        <w:tc>
          <w:tcPr/>
          <w:p>
            <w:pPr>
              <w:pStyle w:val="Compact"/>
              <w:jc w:val="left"/>
              <w:suppressAutoHyphens/>
            </w:pPr>
            <w:r>
              <w:t xml:space="preserve">    Section 4: Senate Structure</w:t>
            </w:r>
          </w:p>
        </w:tc>
        <w:tc>
          <w:tcPr/>
          <w:p>
            <w:pPr>
              <w:pStyle w:val="Compact"/>
              <w:jc w:val="right"/>
              <w:suppressAutoHyphens/>
            </w:pPr>
            <w:r>
              <w:t xml:space="preserve">49</w:t>
            </w:r>
          </w:p>
        </w:tc>
      </w:tr>
      <w:tr>
        <w:trPr>
          <w:cantSplit/>
        </w:trPr>
        <w:tc>
          <w:tcPr/>
          <w:p>
            <w:pPr>
              <w:pStyle w:val="Compact"/>
              <w:jc w:val="left"/>
              <w:suppressAutoHyphens/>
            </w:pPr>
            <w:r>
              <w:t xml:space="preserve">    Section 5: Board Structure</w:t>
            </w:r>
          </w:p>
        </w:tc>
        <w:tc>
          <w:tcPr/>
          <w:p>
            <w:pPr>
              <w:pStyle w:val="Compact"/>
              <w:jc w:val="right"/>
              <w:suppressAutoHyphens/>
            </w:pPr>
            <w:r>
              <w:t xml:space="preserve">53</w:t>
            </w:r>
          </w:p>
        </w:tc>
      </w:tr>
      <w:tr>
        <w:trPr>
          <w:cantSplit/>
        </w:trPr>
        <w:tc>
          <w:tcPr/>
          <w:p>
            <w:pPr>
              <w:pStyle w:val="Compact"/>
              <w:jc w:val="left"/>
              <w:suppressAutoHyphens/>
            </w:pPr>
            <w:r>
              <w:rPr>
                <w:bCs/>
                <w:b/>
                <w:color w:val="B08625"/>
                <w:sz w:val="22"/>
                <w:caps/>
                <w:spacing w:val="18"/>
              </w:rPr>
              <w:t xml:space="preserve">Part II — Organizational &amp; Academic Structure</w:t>
            </w:r>
          </w:p>
        </w:tc>
        <w:tc>
          <w:tcPr/>
          <w:p>
            <w:pPr>
              <w:pStyle w:val="Compact"/>
              <w:jc w:val="right"/>
              <w:suppressAutoHyphens/>
            </w:pPr>
            <w:r>
              <w:rPr>
                <w:bCs/>
                <w:b/>
                <w:color w:val="B08625"/>
                <w:sz w:val="22"/>
                <w:caps/>
                <w:spacing w:val="18"/>
              </w:rPr>
              <w:t xml:space="preserve">58</w:t>
            </w:r>
          </w:p>
        </w:tc>
      </w:tr>
      <w:tr>
        <w:trPr>
          <w:cantSplit/>
        </w:trPr>
        <w:tc>
          <w:tcPr/>
          <w:p>
            <w:pPr>
              <w:pStyle w:val="Compact"/>
              <w:jc w:val="left"/>
              <w:suppressAutoHyphens/>
            </w:pPr>
            <w:r>
              <w:t xml:space="preserve">    Section 6: Organizational Chart</w:t>
            </w:r>
          </w:p>
        </w:tc>
        <w:tc>
          <w:tcPr/>
          <w:p>
            <w:pPr>
              <w:pStyle w:val="Compact"/>
              <w:jc w:val="right"/>
              <w:suppressAutoHyphens/>
            </w:pPr>
            <w:r>
              <w:t xml:space="preserve">59</w:t>
            </w:r>
          </w:p>
        </w:tc>
      </w:tr>
      <w:tr>
        <w:trPr>
          <w:cantSplit/>
        </w:trPr>
        <w:tc>
          <w:tcPr/>
          <w:p>
            <w:pPr>
              <w:pStyle w:val="Compact"/>
              <w:jc w:val="left"/>
              <w:suppressAutoHyphens/>
            </w:pPr>
            <w:r>
              <w:t xml:space="preserve">    Section 7: Academic Master Plan</w:t>
            </w:r>
          </w:p>
        </w:tc>
        <w:tc>
          <w:tcPr/>
          <w:p>
            <w:pPr>
              <w:pStyle w:val="Compact"/>
              <w:jc w:val="right"/>
              <w:suppressAutoHyphens/>
            </w:pPr>
            <w:r>
              <w:t xml:space="preserve">63</w:t>
            </w:r>
          </w:p>
        </w:tc>
      </w:tr>
      <w:tr>
        <w:trPr>
          <w:cantSplit/>
        </w:trPr>
        <w:tc>
          <w:tcPr/>
          <w:p>
            <w:pPr>
              <w:pStyle w:val="Compact"/>
              <w:jc w:val="left"/>
              <w:suppressAutoHyphens/>
            </w:pPr>
            <w:r>
              <w:t xml:space="preserve">    Section 8: College Structure</w:t>
            </w:r>
          </w:p>
        </w:tc>
        <w:tc>
          <w:tcPr/>
          <w:p>
            <w:pPr>
              <w:pStyle w:val="Compact"/>
              <w:jc w:val="right"/>
              <w:suppressAutoHyphens/>
            </w:pPr>
            <w:r>
              <w:t xml:space="preserve">67</w:t>
            </w:r>
          </w:p>
        </w:tc>
      </w:tr>
      <w:tr>
        <w:trPr>
          <w:cantSplit/>
        </w:trPr>
        <w:tc>
          <w:tcPr/>
          <w:p>
            <w:pPr>
              <w:pStyle w:val="Compact"/>
              <w:jc w:val="left"/>
              <w:suppressAutoHyphens/>
            </w:pPr>
            <w:r>
              <w:t xml:space="preserve">    Section 9: Faculty Structure</w:t>
            </w:r>
          </w:p>
        </w:tc>
        <w:tc>
          <w:tcPr/>
          <w:p>
            <w:pPr>
              <w:pStyle w:val="Compact"/>
              <w:jc w:val="right"/>
              <w:suppressAutoHyphens/>
            </w:pPr>
            <w:r>
              <w:t xml:space="preserve">70</w:t>
            </w:r>
          </w:p>
        </w:tc>
      </w:tr>
      <w:tr>
        <w:trPr>
          <w:cantSplit/>
        </w:trPr>
        <w:tc>
          <w:tcPr/>
          <w:p>
            <w:pPr>
              <w:pStyle w:val="Compact"/>
              <w:jc w:val="left"/>
              <w:suppressAutoHyphens/>
            </w:pPr>
            <w:r>
              <w:t xml:space="preserve">    Section 10: Department Structure</w:t>
            </w:r>
          </w:p>
        </w:tc>
        <w:tc>
          <w:tcPr/>
          <w:p>
            <w:pPr>
              <w:pStyle w:val="Compact"/>
              <w:jc w:val="right"/>
              <w:suppressAutoHyphens/>
            </w:pPr>
            <w:r>
              <w:t xml:space="preserve">73</w:t>
            </w:r>
          </w:p>
        </w:tc>
      </w:tr>
      <w:tr>
        <w:trPr>
          <w:cantSplit/>
        </w:trPr>
        <w:tc>
          <w:tcPr/>
          <w:p>
            <w:pPr>
              <w:pStyle w:val="Compact"/>
              <w:jc w:val="left"/>
              <w:suppressAutoHyphens/>
            </w:pPr>
            <w:r>
              <w:rPr>
                <w:bCs/>
                <w:b/>
                <w:color w:val="B08625"/>
                <w:sz w:val="22"/>
                <w:caps/>
                <w:spacing w:val="18"/>
              </w:rPr>
              <w:t xml:space="preserve">Part III — Curriculum &amp; Student Journey</w:t>
            </w:r>
          </w:p>
        </w:tc>
        <w:tc>
          <w:tcPr/>
          <w:p>
            <w:pPr>
              <w:pStyle w:val="Compact"/>
              <w:jc w:val="right"/>
              <w:suppressAutoHyphens/>
            </w:pPr>
            <w:r>
              <w:rPr>
                <w:bCs/>
                <w:b/>
                <w:color w:val="B08625"/>
                <w:sz w:val="22"/>
                <w:caps/>
                <w:spacing w:val="18"/>
              </w:rPr>
              <w:t xml:space="preserve">77</w:t>
            </w:r>
          </w:p>
        </w:tc>
      </w:tr>
      <w:tr>
        <w:trPr>
          <w:cantSplit/>
        </w:trPr>
        <w:tc>
          <w:tcPr/>
          <w:p>
            <w:pPr>
              <w:pStyle w:val="Compact"/>
              <w:jc w:val="left"/>
              <w:suppressAutoHyphens/>
            </w:pPr>
            <w:r>
              <w:t xml:space="preserve">    Section 11: Program Portfolio</w:t>
            </w:r>
          </w:p>
        </w:tc>
        <w:tc>
          <w:tcPr/>
          <w:p>
            <w:pPr>
              <w:pStyle w:val="Compact"/>
              <w:jc w:val="right"/>
              <w:suppressAutoHyphens/>
            </w:pPr>
            <w:r>
              <w:t xml:space="preserve">78</w:t>
            </w:r>
          </w:p>
        </w:tc>
      </w:tr>
      <w:tr>
        <w:trPr>
          <w:cantSplit/>
        </w:trPr>
        <w:tc>
          <w:tcPr/>
          <w:p>
            <w:pPr>
              <w:pStyle w:val="Compact"/>
              <w:jc w:val="left"/>
              <w:suppressAutoHyphens/>
            </w:pPr>
            <w:r>
              <w:t xml:space="preserve">    Section 12: Curriculum Architecture</w:t>
            </w:r>
          </w:p>
        </w:tc>
        <w:tc>
          <w:tcPr/>
          <w:p>
            <w:pPr>
              <w:pStyle w:val="Compact"/>
              <w:jc w:val="right"/>
              <w:suppressAutoHyphens/>
            </w:pPr>
            <w:r>
              <w:t xml:space="preserve">81</w:t>
            </w:r>
          </w:p>
        </w:tc>
      </w:tr>
      <w:tr>
        <w:trPr>
          <w:cantSplit/>
        </w:trPr>
        <w:tc>
          <w:tcPr/>
          <w:p>
            <w:pPr>
              <w:pStyle w:val="Compact"/>
              <w:jc w:val="left"/>
              <w:suppressAutoHyphens/>
            </w:pPr>
            <w:r>
              <w:t xml:space="preserve">    Section 13: Student Journey Map</w:t>
            </w:r>
          </w:p>
        </w:tc>
        <w:tc>
          <w:tcPr/>
          <w:p>
            <w:pPr>
              <w:pStyle w:val="Compact"/>
              <w:jc w:val="right"/>
              <w:suppressAutoHyphens/>
            </w:pPr>
            <w:r>
              <w:t xml:space="preserve">85</w:t>
            </w:r>
          </w:p>
        </w:tc>
      </w:tr>
      <w:tr>
        <w:trPr>
          <w:cantSplit/>
        </w:trPr>
        <w:tc>
          <w:tcPr/>
          <w:p>
            <w:pPr>
              <w:pStyle w:val="Compact"/>
              <w:jc w:val="left"/>
              <w:suppressAutoHyphens/>
            </w:pPr>
            <w:r>
              <w:t xml:space="preserve">    Section 14: Admission Policies</w:t>
            </w:r>
          </w:p>
        </w:tc>
        <w:tc>
          <w:tcPr/>
          <w:p>
            <w:pPr>
              <w:pStyle w:val="Compact"/>
              <w:jc w:val="right"/>
              <w:suppressAutoHyphens/>
            </w:pPr>
            <w:r>
              <w:t xml:space="preserve">89</w:t>
            </w:r>
          </w:p>
        </w:tc>
      </w:tr>
      <w:tr>
        <w:trPr>
          <w:cantSplit/>
        </w:trPr>
        <w:tc>
          <w:tcPr/>
          <w:p>
            <w:pPr>
              <w:pStyle w:val="Compact"/>
              <w:jc w:val="left"/>
              <w:suppressAutoHyphens/>
            </w:pPr>
            <w:r>
              <w:t xml:space="preserve">    Section 15: Faculty Recruitment Strategy</w:t>
            </w:r>
          </w:p>
        </w:tc>
        <w:tc>
          <w:tcPr/>
          <w:p>
            <w:pPr>
              <w:pStyle w:val="Compact"/>
              <w:jc w:val="right"/>
              <w:suppressAutoHyphens/>
            </w:pPr>
            <w:r>
              <w:t xml:space="preserve">92</w:t>
            </w:r>
          </w:p>
        </w:tc>
      </w:tr>
      <w:tr>
        <w:trPr>
          <w:cantSplit/>
        </w:trPr>
        <w:tc>
          <w:tcPr/>
          <w:p>
            <w:pPr>
              <w:pStyle w:val="Compact"/>
              <w:jc w:val="left"/>
              <w:suppressAutoHyphens/>
            </w:pPr>
            <w:r>
              <w:rPr>
                <w:bCs/>
                <w:b/>
              </w:rPr>
              <w:t xml:space="preserve">Part IV — Research, Publishing, Partnerships &amp; Accreditation</w:t>
            </w:r>
          </w:p>
        </w:tc>
        <w:tc>
          <w:tcPr/>
          <w:p>
            <w:pPr>
              <w:pStyle w:val="Compact"/>
              <w:jc w:val="right"/>
              <w:suppressAutoHyphens/>
            </w:pPr>
            <w:r>
              <w:rPr>
                <w:bCs/>
                <w:b/>
                <w:color w:val="B08625"/>
                <w:sz w:val="22"/>
                <w:caps/>
                <w:spacing w:val="18"/>
              </w:rPr>
              <w:t xml:space="preserve">97</w:t>
            </w:r>
          </w:p>
        </w:tc>
      </w:tr>
      <w:tr>
        <w:trPr>
          <w:cantSplit/>
        </w:trPr>
        <w:tc>
          <w:tcPr/>
          <w:p>
            <w:pPr>
              <w:pStyle w:val="Compact"/>
              <w:jc w:val="left"/>
              <w:suppressAutoHyphens/>
            </w:pPr>
            <w:r>
              <w:t xml:space="preserve">    Section 16: Research Strategy</w:t>
            </w:r>
          </w:p>
        </w:tc>
        <w:tc>
          <w:tcPr/>
          <w:p>
            <w:pPr>
              <w:pStyle w:val="Compact"/>
              <w:jc w:val="right"/>
              <w:suppressAutoHyphens/>
            </w:pPr>
            <w:r>
              <w:t xml:space="preserve">98</w:t>
            </w:r>
          </w:p>
        </w:tc>
      </w:tr>
      <w:tr>
        <w:trPr>
          <w:cantSplit/>
        </w:trPr>
        <w:tc>
          <w:tcPr/>
          <w:p>
            <w:pPr>
              <w:pStyle w:val="Compact"/>
              <w:jc w:val="left"/>
              <w:suppressAutoHyphens/>
            </w:pPr>
            <w:r>
              <w:t xml:space="preserve">    Section 17: Publishing Strategy</w:t>
            </w:r>
          </w:p>
        </w:tc>
        <w:tc>
          <w:tcPr/>
          <w:p>
            <w:pPr>
              <w:pStyle w:val="Compact"/>
              <w:jc w:val="right"/>
              <w:suppressAutoHyphens/>
            </w:pPr>
            <w:r>
              <w:t xml:space="preserve">101</w:t>
            </w:r>
          </w:p>
        </w:tc>
      </w:tr>
      <w:tr>
        <w:trPr>
          <w:cantSplit/>
        </w:trPr>
        <w:tc>
          <w:tcPr/>
          <w:p>
            <w:pPr>
              <w:pStyle w:val="Compact"/>
              <w:jc w:val="left"/>
              <w:suppressAutoHyphens/>
            </w:pPr>
            <w:r>
              <w:t xml:space="preserve">    Section 18: Global Partnerships Strategy</w:t>
            </w:r>
          </w:p>
        </w:tc>
        <w:tc>
          <w:tcPr/>
          <w:p>
            <w:pPr>
              <w:pStyle w:val="Compact"/>
              <w:jc w:val="right"/>
              <w:suppressAutoHyphens/>
            </w:pPr>
            <w:r>
              <w:t xml:space="preserve">104</w:t>
            </w:r>
          </w:p>
        </w:tc>
      </w:tr>
      <w:tr>
        <w:trPr>
          <w:cantSplit/>
        </w:trPr>
        <w:tc>
          <w:tcPr/>
          <w:p>
            <w:pPr>
              <w:pStyle w:val="Compact"/>
              <w:jc w:val="left"/>
              <w:suppressAutoHyphens/>
            </w:pPr>
            <w:r>
              <w:t xml:space="preserve">    Section 19: Accreditation Roadmap</w:t>
            </w:r>
          </w:p>
        </w:tc>
        <w:tc>
          <w:tcPr/>
          <w:p>
            <w:pPr>
              <w:pStyle w:val="Compact"/>
              <w:jc w:val="right"/>
              <w:suppressAutoHyphens/>
            </w:pPr>
            <w:r>
              <w:t xml:space="preserve">107</w:t>
            </w:r>
          </w:p>
        </w:tc>
      </w:tr>
      <w:tr>
        <w:trPr>
          <w:cantSplit/>
        </w:trPr>
        <w:tc>
          <w:tcPr/>
          <w:p>
            <w:pPr>
              <w:pStyle w:val="Compact"/>
              <w:jc w:val="left"/>
              <w:suppressAutoHyphens/>
            </w:pPr>
            <w:r>
              <w:t xml:space="preserve">    Section 20: ISO 21001 Roadmap</w:t>
            </w:r>
          </w:p>
        </w:tc>
        <w:tc>
          <w:tcPr/>
          <w:p>
            <w:pPr>
              <w:pStyle w:val="Compact"/>
              <w:jc w:val="right"/>
              <w:suppressAutoHyphens/>
            </w:pPr>
            <w:r>
              <w:t xml:space="preserve">110</w:t>
            </w:r>
          </w:p>
        </w:tc>
      </w:tr>
      <w:tr>
        <w:trPr>
          <w:cantSplit/>
        </w:trPr>
        <w:tc>
          <w:tcPr/>
          <w:p>
            <w:pPr>
              <w:pStyle w:val="Compact"/>
              <w:jc w:val="left"/>
              <w:suppressAutoHyphens/>
            </w:pPr>
            <w:r>
              <w:rPr>
                <w:bCs/>
                <w:b/>
                <w:color w:val="B08625"/>
                <w:sz w:val="22"/>
                <w:caps/>
                <w:spacing w:val="18"/>
              </w:rPr>
              <w:t xml:space="preserve">Part V — Digital Infrastructure, AI &amp; Waqf Development</w:t>
            </w:r>
          </w:p>
        </w:tc>
        <w:tc>
          <w:tcPr/>
          <w:p>
            <w:pPr>
              <w:pStyle w:val="Compact"/>
              <w:jc w:val="right"/>
              <w:suppressAutoHyphens/>
            </w:pPr>
            <w:r>
              <w:rPr>
                <w:bCs/>
                <w:b/>
                <w:color w:val="B08625"/>
                <w:sz w:val="22"/>
                <w:caps/>
                <w:spacing w:val="18"/>
              </w:rPr>
              <w:t xml:space="preserve">116</w:t>
            </w:r>
          </w:p>
        </w:tc>
      </w:tr>
      <w:tr>
        <w:trPr>
          <w:cantSplit/>
        </w:trPr>
        <w:tc>
          <w:tcPr/>
          <w:p>
            <w:pPr>
              <w:pStyle w:val="Compact"/>
              <w:jc w:val="left"/>
              <w:suppressAutoHyphens/>
            </w:pPr>
            <w:r>
              <w:t xml:space="preserve">    Section 21: LMS Ecosystem</w:t>
            </w:r>
          </w:p>
        </w:tc>
        <w:tc>
          <w:tcPr/>
          <w:p>
            <w:pPr>
              <w:pStyle w:val="Compact"/>
              <w:jc w:val="right"/>
              <w:suppressAutoHyphens/>
            </w:pPr>
            <w:r>
              <w:t xml:space="preserve">117</w:t>
            </w:r>
          </w:p>
        </w:tc>
      </w:tr>
      <w:tr>
        <w:trPr>
          <w:cantSplit/>
        </w:trPr>
        <w:tc>
          <w:tcPr/>
          <w:p>
            <w:pPr>
              <w:pStyle w:val="Compact"/>
              <w:jc w:val="left"/>
              <w:suppressAutoHyphens/>
            </w:pPr>
            <w:r>
              <w:t xml:space="preserve">    Section 22: AI Strategy</w:t>
            </w:r>
          </w:p>
        </w:tc>
        <w:tc>
          <w:tcPr/>
          <w:p>
            <w:pPr>
              <w:pStyle w:val="Compact"/>
              <w:jc w:val="right"/>
              <w:suppressAutoHyphens/>
            </w:pPr>
            <w:r>
              <w:t xml:space="preserve">120</w:t>
            </w:r>
          </w:p>
        </w:tc>
      </w:tr>
      <w:tr>
        <w:trPr>
          <w:cantSplit/>
        </w:trPr>
        <w:tc>
          <w:tcPr/>
          <w:p>
            <w:pPr>
              <w:pStyle w:val="Compact"/>
              <w:jc w:val="left"/>
              <w:suppressAutoHyphens/>
            </w:pPr>
            <w:r>
              <w:t xml:space="preserve">    Section 23: Digital Transformation Strategy</w:t>
            </w:r>
          </w:p>
        </w:tc>
        <w:tc>
          <w:tcPr/>
          <w:p>
            <w:pPr>
              <w:pStyle w:val="Compact"/>
              <w:jc w:val="right"/>
              <w:suppressAutoHyphens/>
            </w:pPr>
            <w:r>
              <w:t xml:space="preserve">123</w:t>
            </w:r>
          </w:p>
        </w:tc>
      </w:tr>
      <w:tr>
        <w:trPr>
          <w:cantSplit/>
        </w:trPr>
        <w:tc>
          <w:tcPr/>
          <w:p>
            <w:pPr>
              <w:pStyle w:val="Compact"/>
              <w:jc w:val="left"/>
              <w:suppressAutoHyphens/>
            </w:pPr>
            <w:r>
              <w:t xml:space="preserve">    Section 24: Library Strategy</w:t>
            </w:r>
          </w:p>
        </w:tc>
        <w:tc>
          <w:tcPr/>
          <w:p>
            <w:pPr>
              <w:pStyle w:val="Compact"/>
              <w:jc w:val="right"/>
              <w:suppressAutoHyphens/>
            </w:pPr>
            <w:r>
              <w:t xml:space="preserve">126</w:t>
            </w:r>
          </w:p>
        </w:tc>
      </w:tr>
      <w:tr>
        <w:trPr>
          <w:cantSplit/>
        </w:trPr>
        <w:tc>
          <w:tcPr/>
          <w:p>
            <w:pPr>
              <w:pStyle w:val="Compact"/>
              <w:jc w:val="left"/>
              <w:suppressAutoHyphens/>
            </w:pPr>
            <w:r>
              <w:t xml:space="preserve">    Section 25: Waqf Development Strategy</w:t>
            </w:r>
          </w:p>
        </w:tc>
        <w:tc>
          <w:tcPr/>
          <w:p>
            <w:pPr>
              <w:pStyle w:val="Compact"/>
              <w:jc w:val="right"/>
              <w:suppressAutoHyphens/>
            </w:pPr>
            <w:r>
              <w:t xml:space="preserve">129</w:t>
            </w:r>
          </w:p>
        </w:tc>
      </w:tr>
      <w:tr>
        <w:trPr>
          <w:cantSplit/>
        </w:trPr>
        <w:tc>
          <w:tcPr/>
          <w:p>
            <w:pPr>
              <w:pStyle w:val="Compact"/>
              <w:jc w:val="left"/>
              <w:suppressAutoHyphens/>
            </w:pPr>
            <w:r>
              <w:rPr>
                <w:bCs/>
                <w:b/>
                <w:color w:val="B08625"/>
                <w:sz w:val="22"/>
                <w:caps/>
                <w:spacing w:val="18"/>
              </w:rPr>
              <w:t xml:space="preserve">Part VI — Financial Growth, Marketing &amp; Branding</w:t>
            </w:r>
          </w:p>
        </w:tc>
        <w:tc>
          <w:tcPr/>
          <w:p>
            <w:pPr>
              <w:pStyle w:val="Compact"/>
              <w:jc w:val="right"/>
              <w:suppressAutoHyphens/>
            </w:pPr>
            <w:r>
              <w:rPr>
                <w:bCs/>
                <w:b/>
                <w:color w:val="B08625"/>
                <w:sz w:val="22"/>
                <w:caps/>
                <w:spacing w:val="18"/>
              </w:rPr>
              <w:t xml:space="preserve">135</w:t>
            </w:r>
          </w:p>
        </w:tc>
      </w:tr>
      <w:tr>
        <w:trPr>
          <w:cantSplit/>
        </w:trPr>
        <w:tc>
          <w:tcPr/>
          <w:p>
            <w:pPr>
              <w:pStyle w:val="Compact"/>
              <w:jc w:val="left"/>
              <w:suppressAutoHyphens/>
            </w:pPr>
            <w:r>
              <w:t xml:space="preserve">    Section 26: Scholarship Strategy</w:t>
            </w:r>
          </w:p>
        </w:tc>
        <w:tc>
          <w:tcPr/>
          <w:p>
            <w:pPr>
              <w:pStyle w:val="Compact"/>
              <w:jc w:val="right"/>
              <w:suppressAutoHyphens/>
            </w:pPr>
            <w:r>
              <w:t xml:space="preserve">136</w:t>
            </w:r>
          </w:p>
        </w:tc>
      </w:tr>
      <w:tr>
        <w:trPr>
          <w:cantSplit/>
        </w:trPr>
        <w:tc>
          <w:tcPr/>
          <w:p>
            <w:pPr>
              <w:pStyle w:val="Compact"/>
              <w:jc w:val="left"/>
              <w:suppressAutoHyphens/>
            </w:pPr>
            <w:r>
              <w:t xml:space="preserve">    Section 27: Revenue Diversification Strategy</w:t>
            </w:r>
          </w:p>
        </w:tc>
        <w:tc>
          <w:tcPr/>
          <w:p>
            <w:pPr>
              <w:pStyle w:val="Compact"/>
              <w:jc w:val="right"/>
              <w:suppressAutoHyphens/>
            </w:pPr>
            <w:r>
              <w:t xml:space="preserve">139</w:t>
            </w:r>
          </w:p>
        </w:tc>
      </w:tr>
      <w:tr>
        <w:trPr>
          <w:cantSplit/>
        </w:trPr>
        <w:tc>
          <w:tcPr/>
          <w:p>
            <w:pPr>
              <w:pStyle w:val="Compact"/>
              <w:jc w:val="left"/>
              <w:suppressAutoHyphens/>
            </w:pPr>
            <w:r>
              <w:t xml:space="preserve">    Section 28: Marketing Strategy</w:t>
            </w:r>
          </w:p>
        </w:tc>
        <w:tc>
          <w:tcPr/>
          <w:p>
            <w:pPr>
              <w:pStyle w:val="Compact"/>
              <w:jc w:val="right"/>
              <w:suppressAutoHyphens/>
            </w:pPr>
            <w:r>
              <w:t xml:space="preserve">142</w:t>
            </w:r>
          </w:p>
        </w:tc>
      </w:tr>
      <w:tr>
        <w:trPr>
          <w:cantSplit/>
        </w:trPr>
        <w:tc>
          <w:tcPr/>
          <w:p>
            <w:pPr>
              <w:pStyle w:val="Compact"/>
              <w:jc w:val="left"/>
              <w:suppressAutoHyphens/>
            </w:pPr>
            <w:r>
              <w:t xml:space="preserve">    Section 29: Branding Strategy</w:t>
            </w:r>
          </w:p>
        </w:tc>
        <w:tc>
          <w:tcPr/>
          <w:p>
            <w:pPr>
              <w:pStyle w:val="Compact"/>
              <w:jc w:val="right"/>
              <w:suppressAutoHyphens/>
            </w:pPr>
            <w:r>
              <w:t xml:space="preserve">144</w:t>
            </w:r>
          </w:p>
        </w:tc>
      </w:tr>
      <w:tr>
        <w:trPr>
          <w:cantSplit/>
        </w:trPr>
        <w:tc>
          <w:tcPr/>
          <w:p>
            <w:pPr>
              <w:pStyle w:val="Compact"/>
              <w:jc w:val="left"/>
              <w:suppressAutoHyphens/>
            </w:pPr>
            <w:r>
              <w:t xml:space="preserve">    Section 30: International Expansion Strategy</w:t>
            </w:r>
          </w:p>
        </w:tc>
        <w:tc>
          <w:tcPr/>
          <w:p>
            <w:pPr>
              <w:pStyle w:val="Compact"/>
              <w:jc w:val="right"/>
              <w:suppressAutoHyphens/>
            </w:pPr>
            <w:r>
              <w:t xml:space="preserve">147</w:t>
            </w:r>
          </w:p>
        </w:tc>
      </w:tr>
      <w:tr>
        <w:trPr>
          <w:cantSplit/>
        </w:trPr>
        <w:tc>
          <w:tcPr/>
          <w:p>
            <w:pPr>
              <w:pStyle w:val="Compact"/>
              <w:jc w:val="left"/>
              <w:suppressAutoHyphens/>
            </w:pPr>
            <w:r>
              <w:rPr>
                <w:bCs/>
                <w:b/>
                <w:color w:val="B08625"/>
                <w:sz w:val="22"/>
                <w:caps/>
                <w:spacing w:val="18"/>
              </w:rPr>
              <w:t xml:space="preserve">Part VII — Regional Campuses &amp; Student Lifecycle</w:t>
            </w:r>
          </w:p>
        </w:tc>
        <w:tc>
          <w:tcPr/>
          <w:p>
            <w:pPr>
              <w:pStyle w:val="Compact"/>
              <w:jc w:val="right"/>
              <w:suppressAutoHyphens/>
            </w:pPr>
            <w:r>
              <w:rPr>
                <w:bCs/>
                <w:b/>
                <w:color w:val="B08625"/>
                <w:sz w:val="22"/>
                <w:caps/>
                <w:spacing w:val="18"/>
              </w:rPr>
              <w:t xml:space="preserve">151</w:t>
            </w:r>
          </w:p>
        </w:tc>
      </w:tr>
      <w:tr>
        <w:trPr>
          <w:cantSplit/>
        </w:trPr>
        <w:tc>
          <w:tcPr/>
          <w:p>
            <w:pPr>
              <w:pStyle w:val="Compact"/>
              <w:jc w:val="left"/>
              <w:suppressAutoHyphens/>
            </w:pPr>
            <w:r>
              <w:t xml:space="preserve">    Section 31: Nigeria Campus Strategy</w:t>
            </w:r>
          </w:p>
        </w:tc>
        <w:tc>
          <w:tcPr/>
          <w:p>
            <w:pPr>
              <w:pStyle w:val="Compact"/>
              <w:jc w:val="right"/>
              <w:suppressAutoHyphens/>
            </w:pPr>
            <w:r>
              <w:t xml:space="preserve">152</w:t>
            </w:r>
          </w:p>
        </w:tc>
      </w:tr>
      <w:tr>
        <w:trPr>
          <w:cantSplit/>
        </w:trPr>
        <w:tc>
          <w:tcPr/>
          <w:p>
            <w:pPr>
              <w:pStyle w:val="Compact"/>
              <w:jc w:val="left"/>
              <w:suppressAutoHyphens/>
            </w:pPr>
            <w:r>
              <w:t xml:space="preserve">    Section 32: Gulf Cooperation Strategy</w:t>
            </w:r>
          </w:p>
        </w:tc>
        <w:tc>
          <w:tcPr/>
          <w:p>
            <w:pPr>
              <w:pStyle w:val="Compact"/>
              <w:jc w:val="right"/>
              <w:suppressAutoHyphens/>
            </w:pPr>
            <w:r>
              <w:t xml:space="preserve">155</w:t>
            </w:r>
          </w:p>
        </w:tc>
      </w:tr>
      <w:tr>
        <w:trPr>
          <w:cantSplit/>
        </w:trPr>
        <w:tc>
          <w:tcPr/>
          <w:p>
            <w:pPr>
              <w:pStyle w:val="Compact"/>
              <w:jc w:val="left"/>
              <w:suppressAutoHyphens/>
            </w:pPr>
            <w:r>
              <w:t xml:space="preserve">    Section 33: Student Support Framework</w:t>
            </w:r>
          </w:p>
        </w:tc>
        <w:tc>
          <w:tcPr/>
          <w:p>
            <w:pPr>
              <w:pStyle w:val="Compact"/>
              <w:jc w:val="right"/>
              <w:suppressAutoHyphens/>
            </w:pPr>
            <w:r>
              <w:t xml:space="preserve">158</w:t>
            </w:r>
          </w:p>
        </w:tc>
      </w:tr>
      <w:tr>
        <w:trPr>
          <w:cantSplit/>
        </w:trPr>
        <w:tc>
          <w:tcPr/>
          <w:p>
            <w:pPr>
              <w:pStyle w:val="Compact"/>
              <w:jc w:val="left"/>
              <w:suppressAutoHyphens/>
            </w:pPr>
            <w:r>
              <w:t xml:space="preserve">    Section 34: Alumni Framework</w:t>
            </w:r>
          </w:p>
        </w:tc>
        <w:tc>
          <w:tcPr/>
          <w:p>
            <w:pPr>
              <w:pStyle w:val="Compact"/>
              <w:jc w:val="right"/>
              <w:suppressAutoHyphens/>
            </w:pPr>
            <w:r>
              <w:t xml:space="preserve">161</w:t>
            </w:r>
          </w:p>
        </w:tc>
      </w:tr>
      <w:tr>
        <w:trPr>
          <w:cantSplit/>
        </w:trPr>
        <w:tc>
          <w:tcPr/>
          <w:p>
            <w:pPr>
              <w:pStyle w:val="Compact"/>
              <w:jc w:val="left"/>
              <w:suppressAutoHyphens/>
            </w:pPr>
            <w:r>
              <w:t xml:space="preserve">    Section 35: Career Development Framework</w:t>
            </w:r>
          </w:p>
        </w:tc>
        <w:tc>
          <w:tcPr/>
          <w:p>
            <w:pPr>
              <w:pStyle w:val="Compact"/>
              <w:jc w:val="right"/>
              <w:suppressAutoHyphens/>
            </w:pPr>
            <w:r>
              <w:t xml:space="preserve">164</w:t>
            </w:r>
          </w:p>
        </w:tc>
      </w:tr>
      <w:tr>
        <w:trPr>
          <w:cantSplit/>
        </w:trPr>
        <w:tc>
          <w:tcPr/>
          <w:p>
            <w:pPr>
              <w:pStyle w:val="Compact"/>
              <w:jc w:val="left"/>
              <w:suppressAutoHyphens/>
            </w:pPr>
            <w:r>
              <w:rPr>
                <w:bCs/>
                <w:b/>
              </w:rPr>
              <w:t xml:space="preserve">Part VIII — Risk, Compliance, Sustainability &amp; the 20-Year Roadmap</w:t>
            </w:r>
          </w:p>
        </w:tc>
        <w:tc>
          <w:tcPr/>
          <w:p>
            <w:pPr>
              <w:pStyle w:val="Compact"/>
              <w:jc w:val="right"/>
              <w:suppressAutoHyphens/>
            </w:pPr>
            <w:r>
              <w:rPr>
                <w:bCs/>
                <w:b/>
                <w:color w:val="B08625"/>
                <w:sz w:val="22"/>
                <w:caps/>
                <w:spacing w:val="18"/>
              </w:rPr>
              <w:t xml:space="preserve">167</w:t>
            </w:r>
          </w:p>
        </w:tc>
      </w:tr>
      <w:tr>
        <w:trPr>
          <w:cantSplit/>
        </w:trPr>
        <w:tc>
          <w:tcPr/>
          <w:p>
            <w:pPr>
              <w:pStyle w:val="Compact"/>
              <w:jc w:val="left"/>
              <w:suppressAutoHyphens/>
            </w:pPr>
            <w:r>
              <w:t xml:space="preserve">    Section 36: Risk Management Framework</w:t>
            </w:r>
          </w:p>
        </w:tc>
        <w:tc>
          <w:tcPr/>
          <w:p>
            <w:pPr>
              <w:pStyle w:val="Compact"/>
              <w:jc w:val="right"/>
              <w:suppressAutoHyphens/>
            </w:pPr>
            <w:r>
              <w:t xml:space="preserve">168</w:t>
            </w:r>
          </w:p>
        </w:tc>
      </w:tr>
      <w:tr>
        <w:trPr>
          <w:cantSplit/>
        </w:trPr>
        <w:tc>
          <w:tcPr/>
          <w:p>
            <w:pPr>
              <w:pStyle w:val="Compact"/>
              <w:jc w:val="left"/>
              <w:suppressAutoHyphens/>
            </w:pPr>
            <w:r>
              <w:t xml:space="preserve">    Section 37: Compliance Framework</w:t>
            </w:r>
          </w:p>
        </w:tc>
        <w:tc>
          <w:tcPr/>
          <w:p>
            <w:pPr>
              <w:pStyle w:val="Compact"/>
              <w:jc w:val="right"/>
              <w:suppressAutoHyphens/>
            </w:pPr>
            <w:r>
              <w:t xml:space="preserve">174</w:t>
            </w:r>
          </w:p>
        </w:tc>
      </w:tr>
      <w:tr>
        <w:trPr>
          <w:cantSplit/>
        </w:trPr>
        <w:tc>
          <w:tcPr/>
          <w:p>
            <w:pPr>
              <w:pStyle w:val="Compact"/>
              <w:jc w:val="left"/>
              <w:suppressAutoHyphens/>
            </w:pPr>
            <w:r>
              <w:t xml:space="preserve">    Section 38: Financial Sustainability Framework</w:t>
            </w:r>
          </w:p>
        </w:tc>
        <w:tc>
          <w:tcPr/>
          <w:p>
            <w:pPr>
              <w:pStyle w:val="Compact"/>
              <w:jc w:val="right"/>
              <w:suppressAutoHyphens/>
            </w:pPr>
            <w:r>
              <w:t xml:space="preserve">179</w:t>
            </w:r>
          </w:p>
        </w:tc>
      </w:tr>
      <w:tr>
        <w:trPr>
          <w:cantSplit/>
        </w:trPr>
        <w:tc>
          <w:tcPr/>
          <w:p>
            <w:pPr>
              <w:pStyle w:val="Compact"/>
              <w:jc w:val="left"/>
              <w:suppressAutoHyphens/>
            </w:pPr>
            <w:r>
              <w:t xml:space="preserve">    Section 39: Capital Development Framework</w:t>
            </w:r>
          </w:p>
        </w:tc>
        <w:tc>
          <w:tcPr/>
          <w:p>
            <w:pPr>
              <w:pStyle w:val="Compact"/>
              <w:jc w:val="right"/>
              <w:suppressAutoHyphens/>
            </w:pPr>
            <w:r>
              <w:t xml:space="preserve">184</w:t>
            </w:r>
          </w:p>
        </w:tc>
      </w:tr>
      <w:tr>
        <w:trPr>
          <w:cantSplit/>
        </w:trPr>
        <w:tc>
          <w:tcPr/>
          <w:p>
            <w:pPr>
              <w:pStyle w:val="Compact"/>
              <w:jc w:val="left"/>
              <w:suppressAutoHyphens/>
            </w:pPr>
            <w:r>
              <w:t xml:space="preserve">    Section 40: Twenty-Year Strategic Roadmap</w:t>
            </w:r>
          </w:p>
        </w:tc>
        <w:tc>
          <w:tcPr/>
          <w:p>
            <w:pPr>
              <w:pStyle w:val="Compact"/>
              <w:jc w:val="right"/>
              <w:suppressAutoHyphens/>
            </w:pPr>
            <w:r>
              <w:t xml:space="preserve">190</w:t>
            </w:r>
          </w:p>
        </w:tc>
      </w:tr>
      <w:tr>
        <w:trPr>
          <w:cantSplit/>
        </w:trPr>
        <w:tc>
          <w:tcPr/>
          <w:p>
            <w:pPr>
              <w:pStyle w:val="Compact"/>
              <w:jc w:val="left"/>
              <w:suppressAutoHyphens/>
            </w:pPr>
            <w:r>
              <w:t xml:space="preserve">    Section 41: Founding Access &amp; Waqf-First Strategy</w:t>
            </w:r>
          </w:p>
        </w:tc>
        <w:tc>
          <w:tcPr/>
          <w:p>
            <w:pPr>
              <w:pStyle w:val="Compact"/>
              <w:jc w:val="right"/>
              <w:suppressAutoHyphens/>
            </w:pPr>
            <w:r>
              <w:t xml:space="preserve">196</w:t>
            </w:r>
          </w:p>
        </w:tc>
      </w:tr>
      <w:tr>
        <w:trPr>
          <w:cantSplit/>
        </w:trPr>
        <w:tc>
          <w:tcPr/>
          <w:p>
            <w:pPr>
              <w:pStyle w:val="Compact"/>
              <w:jc w:val="left"/>
              <w:suppressAutoHyphens/>
            </w:pPr>
            <w:r>
              <w:rPr>
                <w:bCs/>
                <w:b/>
              </w:rPr>
              <w:t xml:space="preserve">Appendix A — Cross-Reference to the Ten-Year Master Plan (AMIU-MP-001)</w:t>
            </w:r>
          </w:p>
        </w:tc>
        <w:tc>
          <w:tcPr/>
          <w:p>
            <w:pPr>
              <w:pStyle w:val="Compact"/>
              <w:jc w:val="right"/>
              <w:suppressAutoHyphens/>
            </w:pPr>
            <w:r>
              <w:rPr>
                <w:bCs/>
                <w:b/>
                <w:color w:val="B08625"/>
                <w:sz w:val="22"/>
                <w:caps/>
                <w:spacing w:val="18"/>
              </w:rPr>
              <w:t xml:space="preserve">207</w:t>
            </w:r>
          </w:p>
        </w:tc>
      </w:tr>
      <w:tr>
        <w:trPr>
          <w:cantSplit/>
        </w:trPr>
        <w:tc>
          <w:tcPr/>
          <w:p>
            <w:pPr>
              <w:pStyle w:val="Compact"/>
              <w:jc w:val="left"/>
              <w:suppressAutoHyphens/>
            </w:pPr>
            <w:r>
              <w:rPr>
                <w:bCs/>
                <w:b/>
                <w:color w:val="B08625"/>
                <w:sz w:val="22"/>
                <w:caps/>
                <w:spacing w:val="18"/>
              </w:rPr>
              <w:t xml:space="preserve">Appendix B — Master Plan Exhibit Checklist</w:t>
            </w:r>
          </w:p>
        </w:tc>
        <w:tc>
          <w:tcPr/>
          <w:p>
            <w:pPr>
              <w:pStyle w:val="Compact"/>
              <w:jc w:val="right"/>
              <w:suppressAutoHyphens/>
            </w:pPr>
            <w:r>
              <w:rPr>
                <w:bCs/>
                <w:b/>
                <w:color w:val="B08625"/>
                <w:sz w:val="22"/>
                <w:caps/>
                <w:spacing w:val="18"/>
              </w:rPr>
              <w:t xml:space="preserve">208</w:t>
            </w:r>
          </w:p>
        </w:tc>
      </w:tr>
      <w:tr>
        <w:trPr>
          <w:cantSplit/>
        </w:trPr>
        <w:tc>
          <w:tcPr/>
          <w:p>
            <w:pPr>
              <w:pStyle w:val="Compact"/>
              <w:jc w:val="left"/>
              <w:suppressAutoHyphens/>
            </w:pPr>
            <w:r>
              <w:rPr>
                <w:bCs/>
                <w:b/>
              </w:rPr>
              <w:t xml:space="preserve">Appendix C — Fixed Revenue Allocation Framework: Quick Reference</w:t>
            </w:r>
          </w:p>
        </w:tc>
        <w:tc>
          <w:tcPr/>
          <w:p>
            <w:pPr>
              <w:pStyle w:val="Compact"/>
              <w:jc w:val="right"/>
              <w:suppressAutoHyphens/>
            </w:pPr>
            <w:r>
              <w:rPr>
                <w:bCs/>
                <w:b/>
                <w:color w:val="B08625"/>
                <w:sz w:val="22"/>
                <w:caps/>
                <w:spacing w:val="18"/>
              </w:rPr>
              <w:t xml:space="preserve">210</w:t>
            </w:r>
          </w:p>
        </w:tc>
      </w:tr>
      <w:tr>
        <w:trPr>
          <w:cantSplit/>
        </w:trPr>
        <w:tc>
          <w:tcPr/>
          <w:p>
            <w:pPr>
              <w:pStyle w:val="Compact"/>
              <w:jc w:val="left"/>
              <w:suppressAutoHyphens/>
            </w:pPr>
            <w:r>
              <w:rPr>
                <w:bCs/>
                <w:b/>
                <w:color w:val="B08625"/>
                <w:sz w:val="22"/>
                <w:caps/>
                <w:spacing w:val="18"/>
              </w:rPr>
              <w:t xml:space="preserve">Appendix D — Program Catalog Reference</w:t>
            </w:r>
          </w:p>
        </w:tc>
        <w:tc>
          <w:tcPr/>
          <w:p>
            <w:pPr>
              <w:pStyle w:val="Compact"/>
              <w:jc w:val="right"/>
              <w:suppressAutoHyphens/>
            </w:pPr>
            <w:r>
              <w:rPr>
                <w:bCs/>
                <w:b/>
                <w:color w:val="B08625"/>
                <w:sz w:val="22"/>
                <w:caps/>
                <w:spacing w:val="18"/>
              </w:rPr>
              <w:t xml:space="preserve">211</w:t>
            </w:r>
          </w:p>
        </w:tc>
      </w:tr>
      <w:tr>
        <w:trPr>
          <w:cantSplit/>
        </w:trPr>
        <w:tc>
          <w:tcPr/>
          <w:p>
            <w:pPr>
              <w:pStyle w:val="Compact"/>
              <w:jc w:val="left"/>
              <w:suppressAutoHyphens/>
            </w:pPr>
            <w:r>
              <w:rPr>
                <w:bCs/>
                <w:b/>
                <w:color w:val="B08625"/>
                <w:sz w:val="22"/>
                <w:caps/>
                <w:spacing w:val="18"/>
              </w:rPr>
              <w:t xml:space="preserve">References</w:t>
            </w:r>
          </w:p>
        </w:tc>
        <w:tc>
          <w:tcPr/>
          <w:p>
            <w:pPr>
              <w:pStyle w:val="Compact"/>
              <w:jc w:val="right"/>
              <w:suppressAutoHyphens/>
            </w:pPr>
            <w:r>
              <w:rPr>
                <w:bCs/>
                <w:b/>
                <w:color w:val="B08625"/>
                <w:sz w:val="22"/>
                <w:caps/>
                <w:spacing w:val="18"/>
              </w:rPr>
              <w:t xml:space="preserve">212</w:t>
            </w:r>
          </w:p>
        </w:tc>
      </w:tr>
      <w:tr>
        <w:trPr>
          <w:cantSplit/>
        </w:trPr>
        <w:tc>
          <w:tcPr/>
          <w:p>
            <w:pPr>
              <w:pStyle w:val="Compact"/>
              <w:jc w:val="left"/>
              <w:suppressAutoHyphens/>
            </w:pPr>
            <w:r>
              <w:rPr>
                <w:bCs/>
                <w:b/>
                <w:color w:val="B08625"/>
                <w:sz w:val="22"/>
                <w:caps/>
                <w:spacing w:val="18"/>
              </w:rPr>
              <w:t xml:space="preserve">Index</w:t>
            </w:r>
          </w:p>
        </w:tc>
        <w:tc>
          <w:tcPr/>
          <w:p>
            <w:pPr>
              <w:pStyle w:val="Compact"/>
              <w:jc w:val="right"/>
              <w:suppressAutoHyphens/>
            </w:pPr>
            <w:r>
              <w:rPr>
                <w:bCs/>
                <w:b/>
                <w:color w:val="B08625"/>
                <w:sz w:val="22"/>
                <w:caps/>
                <w:spacing w:val="18"/>
              </w:rPr>
              <w:t xml:space="preserve">214</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1</w:t>
            </w:r>
          </w:p>
        </w:tc>
        <w:tc>
          <w:tcPr/>
          <w:p>
            <w:pPr>
              <w:pStyle w:val="Compact"/>
              <w:jc w:val="left"/>
              <w:suppressAutoHyphens/>
            </w:pPr>
            <w:r>
              <w:t xml:space="preserve">Ten-Year Enrollment Growth, Founding Decade (Adopted Growth Scenario)</w:t>
            </w:r>
          </w:p>
        </w:tc>
        <w:tc>
          <w:tcPr/>
          <w:p>
            <w:pPr>
              <w:pStyle w:val="Compact"/>
              <w:jc w:val="left"/>
              <w:suppressAutoHyphens/>
            </w:pPr>
            <w:r>
              <w:t xml:space="preserve">Section 1</w:t>
            </w:r>
          </w:p>
        </w:tc>
      </w:tr>
      <w:tr>
        <w:trPr>
          <w:cantSplit/>
        </w:trPr>
        <w:tc>
          <w:tcPr/>
          <w:p>
            <w:pPr>
              <w:pStyle w:val="Compact"/>
              <w:jc w:val="left"/>
              <w:suppressAutoHyphens/>
            </w:pPr>
            <w:r>
              <w:t xml:space="preserve">Figure 2</w:t>
            </w:r>
          </w:p>
        </w:tc>
        <w:tc>
          <w:tcPr/>
          <w:p>
            <w:pPr>
              <w:pStyle w:val="Compact"/>
              <w:jc w:val="left"/>
              <w:suppressAutoHyphens/>
            </w:pPr>
            <w:r>
              <w:t xml:space="preserve">Ten-Year Gross Revenue Trajectory, Founding Decade (2028–2037)</w:t>
            </w:r>
          </w:p>
        </w:tc>
        <w:tc>
          <w:tcPr/>
          <w:p>
            <w:pPr>
              <w:pStyle w:val="Compact"/>
              <w:jc w:val="left"/>
              <w:suppressAutoHyphens/>
            </w:pPr>
            <w:r>
              <w:t xml:space="preserve">Section 1</w:t>
            </w:r>
          </w:p>
        </w:tc>
      </w:tr>
      <w:tr>
        <w:trPr>
          <w:cantSplit/>
        </w:trPr>
        <w:tc>
          <w:tcPr/>
          <w:p>
            <w:pPr>
              <w:pStyle w:val="Compact"/>
              <w:jc w:val="left"/>
              <w:suppressAutoHyphens/>
            </w:pPr>
            <w:r>
              <w:t xml:space="preserve">Figure 3</w:t>
            </w:r>
          </w:p>
        </w:tc>
        <w:tc>
          <w:tcPr/>
          <w:p>
            <w:pPr>
              <w:pStyle w:val="Compact"/>
              <w:jc w:val="left"/>
              <w:suppressAutoHyphens/>
            </w:pPr>
            <w:r>
              <w:t xml:space="preserve">AMIU Governance &amp; Organizational Structure</w:t>
            </w:r>
          </w:p>
        </w:tc>
        <w:tc>
          <w:tcPr/>
          <w:p>
            <w:pPr>
              <w:pStyle w:val="Compact"/>
              <w:jc w:val="left"/>
              <w:suppressAutoHyphens/>
            </w:pPr>
            <w:r>
              <w:t xml:space="preserve">Section 6</w:t>
            </w:r>
          </w:p>
        </w:tc>
      </w:tr>
      <w:tr>
        <w:trPr>
          <w:cantSplit/>
        </w:trPr>
        <w:tc>
          <w:tcPr/>
          <w:p>
            <w:pPr>
              <w:pStyle w:val="Compact"/>
              <w:jc w:val="left"/>
              <w:suppressAutoHyphens/>
            </w:pPr>
            <w:r>
              <w:t xml:space="preserve">Figure 4</w:t>
            </w:r>
          </w:p>
        </w:tc>
        <w:tc>
          <w:tcPr/>
          <w:p>
            <w:pPr>
              <w:pStyle w:val="Compact"/>
              <w:jc w:val="left"/>
              <w:suppressAutoHyphens/>
            </w:pPr>
            <w:r>
              <w:t xml:space="preserve">The Seven-Tier Stackable Academic Ladder</w:t>
            </w:r>
          </w:p>
        </w:tc>
        <w:tc>
          <w:tcPr/>
          <w:p>
            <w:pPr>
              <w:pStyle w:val="Compact"/>
              <w:jc w:val="left"/>
              <w:suppressAutoHyphens/>
            </w:pPr>
            <w:r>
              <w:t xml:space="preserve">Section 7</w:t>
            </w:r>
          </w:p>
        </w:tc>
      </w:tr>
      <w:tr>
        <w:trPr>
          <w:cantSplit/>
        </w:trPr>
        <w:tc>
          <w:tcPr/>
          <w:p>
            <w:pPr>
              <w:pStyle w:val="Compact"/>
              <w:jc w:val="left"/>
              <w:suppressAutoHyphens/>
            </w:pPr>
            <w:r>
              <w:t xml:space="preserve">Figure 5</w:t>
            </w:r>
          </w:p>
        </w:tc>
        <w:tc>
          <w:tcPr/>
          <w:p>
            <w:pPr>
              <w:pStyle w:val="Compact"/>
              <w:jc w:val="left"/>
              <w:suppressAutoHyphens/>
            </w:pPr>
            <w:r>
              <w:t xml:space="preserve">Student Journey Map: Inquiry to Alumni</w:t>
            </w:r>
          </w:p>
        </w:tc>
        <w:tc>
          <w:tcPr/>
          <w:p>
            <w:pPr>
              <w:pStyle w:val="Compact"/>
              <w:jc w:val="left"/>
              <w:suppressAutoHyphens/>
            </w:pPr>
            <w:r>
              <w:t xml:space="preserve">Section 13</w:t>
            </w:r>
          </w:p>
        </w:tc>
      </w:tr>
      <w:tr>
        <w:trPr>
          <w:cantSplit/>
        </w:trPr>
        <w:tc>
          <w:tcPr/>
          <w:p>
            <w:pPr>
              <w:pStyle w:val="Compact"/>
              <w:jc w:val="left"/>
              <w:suppressAutoHyphens/>
            </w:pPr>
            <w:r>
              <w:t xml:space="preserve">Figure 6</w:t>
            </w:r>
          </w:p>
        </w:tc>
        <w:tc>
          <w:tcPr/>
          <w:p>
            <w:pPr>
              <w:pStyle w:val="Compact"/>
              <w:jc w:val="left"/>
              <w:suppressAutoHyphens/>
            </w:pPr>
            <w:r>
              <w:t xml:space="preserve">Accreditation &amp; International Expansion Roadmap, 2028–2047</w:t>
            </w:r>
          </w:p>
        </w:tc>
        <w:tc>
          <w:tcPr/>
          <w:p>
            <w:pPr>
              <w:pStyle w:val="Compact"/>
              <w:jc w:val="left"/>
              <w:suppressAutoHyphens/>
            </w:pPr>
            <w:r>
              <w:t xml:space="preserve">Section 19</w:t>
            </w:r>
          </w:p>
        </w:tc>
      </w:tr>
      <w:tr>
        <w:trPr>
          <w:cantSplit/>
        </w:trPr>
        <w:tc>
          <w:tcPr/>
          <w:p>
            <w:pPr>
              <w:pStyle w:val="Compact"/>
              <w:jc w:val="left"/>
              <w:suppressAutoHyphens/>
            </w:pPr>
            <w:r>
              <w:t xml:space="preserve">Figure 7</w:t>
            </w:r>
          </w:p>
        </w:tc>
        <w:tc>
          <w:tcPr/>
          <w:p>
            <w:pPr>
              <w:pStyle w:val="Compact"/>
              <w:jc w:val="left"/>
              <w:suppressAutoHyphens/>
            </w:pPr>
            <w:r>
              <w:t xml:space="preserve">Waqf &amp; Stakeholder Reserve: Distributed-Fund Allocation</w:t>
            </w:r>
          </w:p>
        </w:tc>
        <w:tc>
          <w:tcPr/>
          <w:p>
            <w:pPr>
              <w:pStyle w:val="Compact"/>
              <w:jc w:val="left"/>
              <w:suppressAutoHyphens/>
            </w:pPr>
            <w:r>
              <w:t xml:space="preserve">Section 25</w:t>
            </w:r>
          </w:p>
        </w:tc>
      </w:tr>
      <w:tr>
        <w:trPr>
          <w:cantSplit/>
        </w:trPr>
        <w:tc>
          <w:tcPr/>
          <w:p>
            <w:pPr>
              <w:pStyle w:val="Compact"/>
              <w:jc w:val="left"/>
              <w:suppressAutoHyphens/>
            </w:pPr>
            <w:r>
              <w:t xml:space="preserve">Figure 8</w:t>
            </w:r>
          </w:p>
        </w:tc>
        <w:tc>
          <w:tcPr/>
          <w:p>
            <w:pPr>
              <w:pStyle w:val="Compact"/>
              <w:jc w:val="left"/>
              <w:suppressAutoHyphens/>
            </w:pPr>
            <w:r>
              <w:t xml:space="preserve">Revenue Allocation Framework — Fixed Annual Percentage of Gross Revenue</w:t>
            </w:r>
          </w:p>
        </w:tc>
        <w:tc>
          <w:tcPr/>
          <w:p>
            <w:pPr>
              <w:pStyle w:val="Compact"/>
              <w:jc w:val="left"/>
              <w:suppressAutoHyphens/>
            </w:pPr>
            <w:r>
              <w:t xml:space="preserve">Section 38</w:t>
            </w:r>
          </w:p>
        </w:tc>
      </w:tr>
      <w:tr>
        <w:trPr>
          <w:cantSplit/>
        </w:trPr>
        <w:tc>
          <w:tcPr/>
          <w:p>
            <w:pPr>
              <w:pStyle w:val="Compact"/>
              <w:jc w:val="left"/>
              <w:suppressAutoHyphens/>
            </w:pPr>
            <w:r>
              <w:t xml:space="preserve">Figure 9</w:t>
            </w:r>
          </w:p>
        </w:tc>
        <w:tc>
          <w:tcPr/>
          <w:p>
            <w:pPr>
              <w:pStyle w:val="Compact"/>
              <w:jc w:val="left"/>
              <w:suppressAutoHyphens/>
            </w:pPr>
            <w:r>
              <w:t xml:space="preserve">Capital Architecture: The Tuition Firewall</w:t>
            </w:r>
          </w:p>
        </w:tc>
        <w:tc>
          <w:tcPr/>
          <w:p>
            <w:pPr>
              <w:pStyle w:val="Compact"/>
              <w:jc w:val="left"/>
              <w:suppressAutoHyphens/>
            </w:pPr>
            <w:r>
              <w:t xml:space="preserve">Section 39</w:t>
            </w:r>
          </w:p>
        </w:tc>
      </w:tr>
      <w:tr>
        <w:trPr>
          <w:cantSplit/>
        </w:trPr>
        <w:tc>
          <w:tcPr/>
          <w:p>
            <w:pPr>
              <w:pStyle w:val="Compact"/>
              <w:jc w:val="left"/>
              <w:suppressAutoHyphens/>
            </w:pPr>
            <w:r>
              <w:t xml:space="preserve">Figure 10</w:t>
            </w:r>
          </w:p>
        </w:tc>
        <w:tc>
          <w:tcPr/>
          <w:p>
            <w:pPr>
              <w:pStyle w:val="Compact"/>
              <w:jc w:val="left"/>
              <w:suppressAutoHyphens/>
            </w:pPr>
            <w:r>
              <w:t xml:space="preserve">Twenty-Year Illustrative Revenue Trajectory, 2028–2047</w:t>
            </w:r>
          </w:p>
        </w:tc>
        <w:tc>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1</w:t>
            </w:r>
          </w:p>
        </w:tc>
        <w:tc>
          <w:tcPr/>
          <w:p>
            <w:pPr>
              <w:pStyle w:val="Compact"/>
              <w:jc w:val="left"/>
              <w:suppressAutoHyphens/>
            </w:pPr>
            <w:r>
              <w:t xml:space="preserve">Ten-Year Enrollment Growth, Founding Decade (Adopted Growth Scenario)</w:t>
            </w:r>
          </w:p>
        </w:tc>
        <w:tc>
          <w:tcPr/>
          <w:p>
            <w:pPr>
              <w:pStyle w:val="Compact"/>
              <w:jc w:val="left"/>
              <w:suppressAutoHyphens/>
            </w:pPr>
            <w:r>
              <w:t xml:space="preserve">Section 1</w:t>
            </w:r>
          </w:p>
        </w:tc>
      </w:tr>
      <w:tr>
        <w:trPr>
          <w:cantSplit/>
        </w:trPr>
        <w:tc>
          <w:tcPr/>
          <w:p>
            <w:pPr>
              <w:pStyle w:val="Compact"/>
              <w:jc w:val="left"/>
              <w:suppressAutoHyphens/>
            </w:pPr>
            <w:r>
              <w:t xml:space="preserve">Figure 2</w:t>
            </w:r>
          </w:p>
        </w:tc>
        <w:tc>
          <w:tcPr/>
          <w:p>
            <w:pPr>
              <w:pStyle w:val="Compact"/>
              <w:jc w:val="left"/>
              <w:suppressAutoHyphens/>
            </w:pPr>
            <w:r>
              <w:t xml:space="preserve">Ten-Year Gross Revenue Trajectory, Founding Decade (2028–2037)</w:t>
            </w:r>
          </w:p>
        </w:tc>
        <w:tc>
          <w:tcPr/>
          <w:p>
            <w:pPr>
              <w:pStyle w:val="Compact"/>
              <w:jc w:val="left"/>
              <w:suppressAutoHyphens/>
            </w:pPr>
            <w:r>
              <w:t xml:space="preserve">Section 1</w:t>
            </w:r>
          </w:p>
        </w:tc>
      </w:tr>
      <w:tr>
        <w:trPr>
          <w:cantSplit/>
        </w:trPr>
        <w:tc>
          <w:tcPr/>
          <w:p>
            <w:pPr>
              <w:pStyle w:val="Compact"/>
              <w:jc w:val="left"/>
              <w:suppressAutoHyphens/>
            </w:pPr>
            <w:r>
              <w:t xml:space="preserve">Figure 7</w:t>
            </w:r>
          </w:p>
        </w:tc>
        <w:tc>
          <w:tcPr/>
          <w:p>
            <w:pPr>
              <w:pStyle w:val="Compact"/>
              <w:jc w:val="left"/>
              <w:suppressAutoHyphens/>
            </w:pPr>
            <w:r>
              <w:t xml:space="preserve">Waqf &amp; Stakeholder Reserve: Distributed-Fund Allocation</w:t>
            </w:r>
          </w:p>
        </w:tc>
        <w:tc>
          <w:tcPr/>
          <w:p>
            <w:pPr>
              <w:pStyle w:val="Compact"/>
              <w:jc w:val="left"/>
              <w:suppressAutoHyphens/>
            </w:pPr>
            <w:r>
              <w:t xml:space="preserve">Section 25</w:t>
            </w:r>
          </w:p>
        </w:tc>
      </w:tr>
      <w:tr>
        <w:trPr>
          <w:cantSplit/>
        </w:trPr>
        <w:tc>
          <w:tcPr/>
          <w:p>
            <w:pPr>
              <w:pStyle w:val="Compact"/>
              <w:jc w:val="left"/>
              <w:suppressAutoHyphens/>
            </w:pPr>
            <w:r>
              <w:t xml:space="preserve">Figure 8</w:t>
            </w:r>
          </w:p>
        </w:tc>
        <w:tc>
          <w:tcPr/>
          <w:p>
            <w:pPr>
              <w:pStyle w:val="Compact"/>
              <w:jc w:val="left"/>
              <w:suppressAutoHyphens/>
            </w:pPr>
            <w:r>
              <w:t xml:space="preserve">Revenue Allocation Framework — Fixed Annual Percentage of Gross Revenue</w:t>
            </w:r>
          </w:p>
        </w:tc>
        <w:tc>
          <w:tcPr/>
          <w:p>
            <w:pPr>
              <w:pStyle w:val="Compact"/>
              <w:jc w:val="left"/>
              <w:suppressAutoHyphens/>
            </w:pPr>
            <w:r>
              <w:t xml:space="preserve">Section 38</w:t>
            </w:r>
          </w:p>
        </w:tc>
      </w:tr>
      <w:tr>
        <w:trPr>
          <w:cantSplit/>
        </w:trPr>
        <w:tc>
          <w:tcPr/>
          <w:p>
            <w:pPr>
              <w:pStyle w:val="Compact"/>
              <w:jc w:val="left"/>
              <w:suppressAutoHyphens/>
            </w:pPr>
            <w:r>
              <w:t xml:space="preserve">Figure 10</w:t>
            </w:r>
          </w:p>
        </w:tc>
        <w:tc>
          <w:tcPr/>
          <w:p>
            <w:pPr>
              <w:pStyle w:val="Compact"/>
              <w:jc w:val="left"/>
              <w:suppressAutoHyphens/>
            </w:pPr>
            <w:r>
              <w:t xml:space="preserve">Twenty-Year Illustrative Revenue Trajectory, 2028–2047</w:t>
            </w:r>
          </w:p>
        </w:tc>
        <w:tc>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3</w:t>
            </w:r>
          </w:p>
        </w:tc>
        <w:tc>
          <w:tcPr/>
          <w:p>
            <w:pPr>
              <w:pStyle w:val="Compact"/>
              <w:jc w:val="left"/>
              <w:suppressAutoHyphens/>
            </w:pPr>
            <w:r>
              <w:t xml:space="preserve">AMIU Governance &amp; Organizational Structure</w:t>
            </w:r>
          </w:p>
        </w:tc>
        <w:tc>
          <w:tcPr/>
          <w:p>
            <w:pPr>
              <w:pStyle w:val="Compact"/>
              <w:jc w:val="left"/>
              <w:suppressAutoHyphens/>
            </w:pPr>
            <w:r>
              <w:t xml:space="preserve">Section 6</w:t>
            </w:r>
          </w:p>
        </w:tc>
      </w:tr>
      <w:tr>
        <w:trPr>
          <w:cantSplit/>
        </w:trPr>
        <w:tc>
          <w:tcPr/>
          <w:p>
            <w:pPr>
              <w:pStyle w:val="Compact"/>
              <w:jc w:val="left"/>
              <w:suppressAutoHyphens/>
            </w:pPr>
            <w:r>
              <w:t xml:space="preserve">Figure 4</w:t>
            </w:r>
          </w:p>
        </w:tc>
        <w:tc>
          <w:tcPr/>
          <w:p>
            <w:pPr>
              <w:pStyle w:val="Compact"/>
              <w:jc w:val="left"/>
              <w:suppressAutoHyphens/>
            </w:pPr>
            <w:r>
              <w:t xml:space="preserve">The Seven-Tier Stackable Academic Ladder</w:t>
            </w:r>
          </w:p>
        </w:tc>
        <w:tc>
          <w:tcPr/>
          <w:p>
            <w:pPr>
              <w:pStyle w:val="Compact"/>
              <w:jc w:val="left"/>
              <w:suppressAutoHyphens/>
            </w:pPr>
            <w:r>
              <w:t xml:space="preserve">Section 7</w:t>
            </w:r>
          </w:p>
        </w:tc>
      </w:tr>
      <w:tr>
        <w:trPr>
          <w:cantSplit/>
        </w:trPr>
        <w:tc>
          <w:tcPr/>
          <w:p>
            <w:pPr>
              <w:pStyle w:val="Compact"/>
              <w:jc w:val="left"/>
              <w:suppressAutoHyphens/>
            </w:pPr>
            <w:r>
              <w:t xml:space="preserve">Figure 9</w:t>
            </w:r>
          </w:p>
        </w:tc>
        <w:tc>
          <w:tcPr/>
          <w:p>
            <w:pPr>
              <w:pStyle w:val="Compact"/>
              <w:jc w:val="left"/>
              <w:suppressAutoHyphens/>
            </w:pPr>
            <w:r>
              <w:t xml:space="preserve">Capital Architecture: The Tuition Firewall</w:t>
            </w:r>
          </w:p>
        </w:tc>
        <w:tc>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5</w:t>
            </w:r>
          </w:p>
        </w:tc>
        <w:tc>
          <w:tcPr/>
          <w:p>
            <w:pPr>
              <w:pStyle w:val="Compact"/>
              <w:jc w:val="left"/>
              <w:suppressAutoHyphens/>
            </w:pPr>
            <w:r>
              <w:t xml:space="preserve">Student Journey Map: Inquiry to Alumni</w:t>
            </w:r>
          </w:p>
        </w:tc>
        <w:tc>
          <w:tcPr/>
          <w:p>
            <w:pPr>
              <w:pStyle w:val="Compact"/>
              <w:jc w:val="left"/>
              <w:suppressAutoHyphens/>
            </w:pPr>
            <w:r>
              <w:t xml:space="preserve">Section 13</w:t>
            </w:r>
          </w:p>
        </w:tc>
      </w:tr>
      <w:tr>
        <w:trPr>
          <w:cantSplit/>
        </w:trPr>
        <w:tc>
          <w:tcPr/>
          <w:p>
            <w:pPr>
              <w:pStyle w:val="Compact"/>
              <w:jc w:val="left"/>
              <w:suppressAutoHyphens/>
            </w:pPr>
            <w:r>
              <w:t xml:space="preserve">Figure 6</w:t>
            </w:r>
          </w:p>
        </w:tc>
        <w:tc>
          <w:tcPr/>
          <w:p>
            <w:pPr>
              <w:pStyle w:val="Compact"/>
              <w:jc w:val="left"/>
              <w:suppressAutoHyphens/>
            </w:pPr>
            <w:r>
              <w:t xml:space="preserve">Accreditation &amp; International Expansion Roadmap, 2028–2047</w:t>
            </w:r>
          </w:p>
        </w:tc>
        <w:tc>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Table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Table 1</w:t>
            </w:r>
          </w:p>
        </w:tc>
        <w:tc>
          <w:tcPr/>
          <w:p>
            <w:pPr>
              <w:pStyle w:val="Compact"/>
              <w:jc w:val="left"/>
              <w:suppressAutoHyphens/>
            </w:pPr>
            <w:r>
              <w:t xml:space="preserve">Values-to-Practice Mapping</w:t>
            </w:r>
          </w:p>
        </w:tc>
        <w:tc>
          <w:tcPr/>
          <w:p>
            <w:pPr>
              <w:pStyle w:val="Compact"/>
              <w:jc w:val="left"/>
              <w:suppressAutoHyphens/>
            </w:pPr>
            <w:r>
              <w:t xml:space="preserve">Section 2</w:t>
            </w:r>
          </w:p>
        </w:tc>
      </w:tr>
      <w:tr>
        <w:trPr>
          <w:cantSplit/>
        </w:trPr>
        <w:tc>
          <w:tcPr/>
          <w:p>
            <w:pPr>
              <w:pStyle w:val="Compact"/>
              <w:jc w:val="left"/>
              <w:suppressAutoHyphens/>
            </w:pPr>
            <w:r>
              <w:t xml:space="preserve">Table 2</w:t>
            </w:r>
          </w:p>
        </w:tc>
        <w:tc>
          <w:tcPr/>
          <w:p>
            <w:pPr>
              <w:pStyle w:val="Compact"/>
              <w:jc w:val="left"/>
              <w:suppressAutoHyphens/>
            </w:pPr>
            <w:r>
              <w:t xml:space="preserve">Committee Structure Beneath the Two Chambers</w:t>
            </w:r>
          </w:p>
        </w:tc>
        <w:tc>
          <w:tcPr/>
          <w:p>
            <w:pPr>
              <w:pStyle w:val="Compact"/>
              <w:jc w:val="left"/>
              <w:suppressAutoHyphens/>
            </w:pPr>
            <w:r>
              <w:t xml:space="preserve">Section 3</w:t>
            </w:r>
          </w:p>
        </w:tc>
      </w:tr>
      <w:tr>
        <w:trPr>
          <w:cantSplit/>
        </w:trPr>
        <w:tc>
          <w:tcPr/>
          <w:p>
            <w:pPr>
              <w:pStyle w:val="Compact"/>
              <w:jc w:val="left"/>
              <w:suppressAutoHyphens/>
            </w:pPr>
            <w:r>
              <w:t xml:space="preserve">Table 3</w:t>
            </w:r>
          </w:p>
        </w:tc>
        <w:tc>
          <w:tcPr/>
          <w:p>
            <w:pPr>
              <w:pStyle w:val="Compact"/>
              <w:jc w:val="left"/>
              <w:suppressAutoHyphens/>
            </w:pPr>
            <w:r>
              <w:t xml:space="preserve">Annual Governance Calendar</w:t>
            </w:r>
          </w:p>
        </w:tc>
        <w:tc>
          <w:tcPr/>
          <w:p>
            <w:pPr>
              <w:pStyle w:val="Compact"/>
              <w:jc w:val="left"/>
              <w:suppressAutoHyphens/>
            </w:pPr>
            <w:r>
              <w:t xml:space="preserve">Section 3</w:t>
            </w:r>
          </w:p>
        </w:tc>
      </w:tr>
      <w:tr>
        <w:trPr>
          <w:cantSplit/>
        </w:trPr>
        <w:tc>
          <w:tcPr/>
          <w:p>
            <w:pPr>
              <w:pStyle w:val="Compact"/>
              <w:jc w:val="left"/>
              <w:suppressAutoHyphens/>
            </w:pPr>
            <w:r>
              <w:t xml:space="preserve">Table 4</w:t>
            </w:r>
          </w:p>
        </w:tc>
        <w:tc>
          <w:tcPr/>
          <w:p>
            <w:pPr>
              <w:pStyle w:val="Compact"/>
              <w:jc w:val="left"/>
              <w:suppressAutoHyphens/>
            </w:pPr>
            <w:r>
              <w:t xml:space="preserve">The 18-Seat Structure (Canon, Unaltered)</w:t>
            </w:r>
          </w:p>
        </w:tc>
        <w:tc>
          <w:tcPr/>
          <w:p>
            <w:pPr>
              <w:pStyle w:val="Compact"/>
              <w:jc w:val="left"/>
              <w:suppressAutoHyphens/>
            </w:pPr>
            <w:r>
              <w:t xml:space="preserve">Section 4</w:t>
            </w:r>
          </w:p>
        </w:tc>
      </w:tr>
      <w:tr>
        <w:trPr>
          <w:cantSplit/>
        </w:trPr>
        <w:tc>
          <w:tcPr/>
          <w:p>
            <w:pPr>
              <w:pStyle w:val="Compact"/>
              <w:jc w:val="left"/>
              <w:suppressAutoHyphens/>
            </w:pPr>
            <w:r>
              <w:t xml:space="preserve">Table 5</w:t>
            </w:r>
          </w:p>
        </w:tc>
        <w:tc>
          <w:tcPr/>
          <w:p>
            <w:pPr>
              <w:pStyle w:val="Compact"/>
              <w:jc w:val="left"/>
              <w:suppressAutoHyphens/>
            </w:pPr>
            <w:r>
              <w:t xml:space="preserve">Quorum and Voting Thresholds</w:t>
            </w:r>
          </w:p>
        </w:tc>
        <w:tc>
          <w:tcPr/>
          <w:p>
            <w:pPr>
              <w:pStyle w:val="Compact"/>
              <w:jc w:val="left"/>
              <w:suppressAutoHyphens/>
            </w:pPr>
            <w:r>
              <w:t xml:space="preserve">Section 4</w:t>
            </w:r>
          </w:p>
        </w:tc>
      </w:tr>
      <w:tr>
        <w:trPr>
          <w:cantSplit/>
        </w:trPr>
        <w:tc>
          <w:tcPr/>
          <w:p>
            <w:pPr>
              <w:pStyle w:val="Compact"/>
              <w:jc w:val="left"/>
              <w:suppressAutoHyphens/>
            </w:pPr>
            <w:r>
              <w:t xml:space="preserve">Table 6</w:t>
            </w:r>
          </w:p>
        </w:tc>
        <w:tc>
          <w:tcPr/>
          <w:p>
            <w:pPr>
              <w:pStyle w:val="Compact"/>
              <w:jc w:val="left"/>
              <w:suppressAutoHyphens/>
            </w:pPr>
            <w:r>
              <w:t xml:space="preserve">Board Composition (Advisory/Committee Roles Under the Board)</w:t>
            </w:r>
          </w:p>
        </w:tc>
        <w:tc>
          <w:tcPr/>
          <w:p>
            <w:pPr>
              <w:pStyle w:val="Compact"/>
              <w:jc w:val="left"/>
              <w:suppressAutoHyphens/>
            </w:pPr>
            <w:r>
              <w:t xml:space="preserve">Section 5</w:t>
            </w:r>
          </w:p>
        </w:tc>
      </w:tr>
      <w:tr>
        <w:trPr>
          <w:cantSplit/>
        </w:trPr>
        <w:tc>
          <w:tcPr/>
          <w:p>
            <w:pPr>
              <w:pStyle w:val="Compact"/>
              <w:jc w:val="left"/>
              <w:suppressAutoHyphens/>
            </w:pPr>
            <w:r>
              <w:t xml:space="preserve">Table 7</w:t>
            </w:r>
          </w:p>
        </w:tc>
        <w:tc>
          <w:tcPr/>
          <w:p>
            <w:pPr>
              <w:pStyle w:val="Compact"/>
              <w:jc w:val="left"/>
              <w:suppressAutoHyphens/>
            </w:pPr>
            <w:r>
              <w:t xml:space="preserve">Staffing, Budget, KPIs</w:t>
            </w:r>
          </w:p>
        </w:tc>
        <w:tc>
          <w:tcPr/>
          <w:p>
            <w:pPr>
              <w:pStyle w:val="Compact"/>
              <w:jc w:val="left"/>
              <w:suppressAutoHyphens/>
            </w:pPr>
            <w:r>
              <w:t xml:space="preserve">Section 6</w:t>
            </w:r>
          </w:p>
        </w:tc>
      </w:tr>
      <w:tr>
        <w:trPr>
          <w:cantSplit/>
        </w:trPr>
        <w:tc>
          <w:tcPr/>
          <w:p>
            <w:pPr>
              <w:pStyle w:val="Compact"/>
              <w:jc w:val="left"/>
              <w:suppressAutoHyphens/>
            </w:pPr>
            <w:r>
              <w:t xml:space="preserve">Table 8</w:t>
            </w:r>
          </w:p>
        </w:tc>
        <w:tc>
          <w:tcPr/>
          <w:p>
            <w:pPr>
              <w:pStyle w:val="Compact"/>
              <w:jc w:val="left"/>
              <w:suppressAutoHyphens/>
            </w:pPr>
            <w:r>
              <w:t xml:space="preserve">Rollout Phases (Target Years)</w:t>
            </w:r>
          </w:p>
        </w:tc>
        <w:tc>
          <w:tcPr/>
          <w:p>
            <w:pPr>
              <w:pStyle w:val="Compact"/>
              <w:jc w:val="left"/>
              <w:suppressAutoHyphens/>
            </w:pPr>
            <w:r>
              <w:t xml:space="preserve">Section 7</w:t>
            </w:r>
          </w:p>
        </w:tc>
      </w:tr>
      <w:tr>
        <w:trPr>
          <w:cantSplit/>
        </w:trPr>
        <w:tc>
          <w:tcPr/>
          <w:p>
            <w:pPr>
              <w:pStyle w:val="Compact"/>
              <w:jc w:val="left"/>
              <w:suppressAutoHyphens/>
            </w:pPr>
            <w:r>
              <w:t xml:space="preserve">Table 9</w:t>
            </w:r>
          </w:p>
        </w:tc>
        <w:tc>
          <w:tcPr/>
          <w:p>
            <w:pPr>
              <w:pStyle w:val="Compact"/>
              <w:jc w:val="left"/>
              <w:suppressAutoHyphens/>
            </w:pPr>
            <w:r>
              <w:t xml:space="preserve">The Six Founding Colleges (Year 1 Leadership, per Senate Group II)</w:t>
            </w:r>
          </w:p>
        </w:tc>
        <w:tc>
          <w:tcPr/>
          <w:p>
            <w:pPr>
              <w:pStyle w:val="Compact"/>
              <w:jc w:val="left"/>
              <w:suppressAutoHyphens/>
            </w:pPr>
            <w:r>
              <w:t xml:space="preserve">Section 8</w:t>
            </w:r>
          </w:p>
        </w:tc>
      </w:tr>
      <w:tr>
        <w:trPr>
          <w:cantSplit/>
        </w:trPr>
        <w:tc>
          <w:tcPr/>
          <w:p>
            <w:pPr>
              <w:pStyle w:val="Compact"/>
              <w:jc w:val="left"/>
              <w:suppressAutoHyphens/>
            </w:pPr>
            <w:r>
              <w:t xml:space="preserve">Table 10</w:t>
            </w:r>
          </w:p>
        </w:tc>
        <w:tc>
          <w:tcPr/>
          <w:p>
            <w:pPr>
              <w:pStyle w:val="Compact"/>
              <w:jc w:val="left"/>
              <w:suppressAutoHyphens/>
            </w:pPr>
            <w:r>
              <w:t xml:space="preserve">Year-11+ Secular Schools</w:t>
            </w:r>
          </w:p>
        </w:tc>
        <w:tc>
          <w:tcPr/>
          <w:p>
            <w:pPr>
              <w:pStyle w:val="Compact"/>
              <w:jc w:val="left"/>
              <w:suppressAutoHyphens/>
            </w:pPr>
            <w:r>
              <w:t xml:space="preserve">Section 8</w:t>
            </w:r>
          </w:p>
        </w:tc>
      </w:tr>
      <w:tr>
        <w:trPr>
          <w:cantSplit/>
        </w:trPr>
        <w:tc>
          <w:tcPr/>
          <w:p>
            <w:pPr>
              <w:pStyle w:val="Compact"/>
              <w:jc w:val="left"/>
              <w:suppressAutoHyphens/>
            </w:pPr>
            <w:r>
              <w:t xml:space="preserve">Table 11</w:t>
            </w:r>
          </w:p>
        </w:tc>
        <w:tc>
          <w:tcPr/>
          <w:p>
            <w:pPr>
              <w:pStyle w:val="Compact"/>
              <w:jc w:val="left"/>
              <w:suppressAutoHyphens/>
            </w:pPr>
            <w:r>
              <w:t xml:space="preserve">Ranks &amp; Titles</w:t>
            </w:r>
          </w:p>
        </w:tc>
        <w:tc>
          <w:tcPr/>
          <w:p>
            <w:pPr>
              <w:pStyle w:val="Compact"/>
              <w:jc w:val="left"/>
              <w:suppressAutoHyphens/>
            </w:pPr>
            <w:r>
              <w:t xml:space="preserve">Section 9</w:t>
            </w:r>
          </w:p>
        </w:tc>
      </w:tr>
      <w:tr>
        <w:trPr>
          <w:cantSplit/>
        </w:trPr>
        <w:tc>
          <w:tcPr/>
          <w:p>
            <w:pPr>
              <w:pStyle w:val="Compact"/>
              <w:jc w:val="left"/>
              <w:suppressAutoHyphens/>
            </w:pPr>
            <w:r>
              <w:t xml:space="preserve">Table 12</w:t>
            </w:r>
          </w:p>
        </w:tc>
        <w:tc>
          <w:tcPr/>
          <w:p>
            <w:pPr>
              <w:pStyle w:val="Compact"/>
              <w:jc w:val="left"/>
              <w:suppressAutoHyphens/>
            </w:pPr>
            <w:r>
              <w:t xml:space="preserve">The Six Founding Departments (Group III, Year 1)</w:t>
            </w:r>
          </w:p>
        </w:tc>
        <w:tc>
          <w:tcPr/>
          <w:p>
            <w:pPr>
              <w:pStyle w:val="Compact"/>
              <w:jc w:val="left"/>
              <w:suppressAutoHyphens/>
            </w:pPr>
            <w:r>
              <w:t xml:space="preserve">Section 10</w:t>
            </w:r>
          </w:p>
        </w:tc>
      </w:tr>
      <w:tr>
        <w:trPr>
          <w:cantSplit/>
        </w:trPr>
        <w:tc>
          <w:tcPr/>
          <w:p>
            <w:pPr>
              <w:pStyle w:val="Compact"/>
              <w:jc w:val="left"/>
              <w:suppressAutoHyphens/>
            </w:pPr>
            <w:r>
              <w:t xml:space="preserve">Table 13</w:t>
            </w:r>
          </w:p>
        </w:tc>
        <w:tc>
          <w:tcPr/>
          <w:p>
            <w:pPr>
              <w:pStyle w:val="Compact"/>
              <w:jc w:val="left"/>
              <w:suppressAutoHyphens/>
            </w:pPr>
            <w:r>
              <w:t xml:space="preserve">Department-Level Budget &amp; Staffing by Phase</w:t>
            </w:r>
          </w:p>
        </w:tc>
        <w:tc>
          <w:tcPr/>
          <w:p>
            <w:pPr>
              <w:pStyle w:val="Compact"/>
              <w:jc w:val="left"/>
              <w:suppressAutoHyphens/>
            </w:pPr>
            <w:r>
              <w:t xml:space="preserve">Section 10</w:t>
            </w:r>
          </w:p>
        </w:tc>
      </w:tr>
      <w:tr>
        <w:trPr>
          <w:cantSplit/>
        </w:trPr>
        <w:tc>
          <w:tcPr/>
          <w:p>
            <w:pPr>
              <w:pStyle w:val="Compact"/>
              <w:jc w:val="left"/>
              <w:suppressAutoHyphens/>
            </w:pPr>
            <w:r>
              <w:t xml:space="preserve">Table 14</w:t>
            </w:r>
          </w:p>
        </w:tc>
        <w:tc>
          <w:tcPr/>
          <w:p>
            <w:pPr>
              <w:pStyle w:val="Compact"/>
              <w:jc w:val="left"/>
              <w:suppressAutoHyphens/>
            </w:pPr>
            <w:r>
              <w:t xml:space="preserve">Curriculum Composition by Tier</w:t>
            </w:r>
          </w:p>
        </w:tc>
        <w:tc>
          <w:tcPr/>
          <w:p>
            <w:pPr>
              <w:pStyle w:val="Compact"/>
              <w:jc w:val="left"/>
              <w:suppressAutoHyphens/>
            </w:pPr>
            <w:r>
              <w:t xml:space="preserve">Section 12</w:t>
            </w:r>
          </w:p>
        </w:tc>
      </w:tr>
      <w:tr>
        <w:trPr>
          <w:cantSplit/>
        </w:trPr>
        <w:tc>
          <w:tcPr/>
          <w:p>
            <w:pPr>
              <w:pStyle w:val="Compact"/>
              <w:jc w:val="left"/>
              <w:suppressAutoHyphens/>
            </w:pPr>
            <w:r>
              <w:t xml:space="preserve">Table 15</w:t>
            </w:r>
          </w:p>
        </w:tc>
        <w:tc>
          <w:tcPr/>
          <w:p>
            <w:pPr>
              <w:pStyle w:val="Compact"/>
              <w:jc w:val="left"/>
              <w:suppressAutoHyphens/>
            </w:pPr>
            <w:r>
              <w:t xml:space="preserve">Journey Stages &amp; Touchpoints</w:t>
            </w:r>
          </w:p>
        </w:tc>
        <w:tc>
          <w:tcPr/>
          <w:p>
            <w:pPr>
              <w:pStyle w:val="Compact"/>
              <w:jc w:val="left"/>
              <w:suppressAutoHyphens/>
            </w:pPr>
            <w:r>
              <w:t xml:space="preserve">Section 13</w:t>
            </w:r>
          </w:p>
        </w:tc>
      </w:tr>
      <w:tr>
        <w:trPr>
          <w:cantSplit/>
        </w:trPr>
        <w:tc>
          <w:tcPr/>
          <w:p>
            <w:pPr>
              <w:pStyle w:val="Compact"/>
              <w:jc w:val="left"/>
              <w:suppressAutoHyphens/>
            </w:pPr>
            <w:r>
              <w:t xml:space="preserve">Table 16</w:t>
            </w:r>
          </w:p>
        </w:tc>
        <w:tc>
          <w:tcPr/>
          <w:p>
            <w:pPr>
              <w:pStyle w:val="Compact"/>
              <w:jc w:val="left"/>
              <w:suppressAutoHyphens/>
            </w:pPr>
            <w:r>
              <w:t xml:space="preserve">Eligibility by Tier</w:t>
            </w:r>
          </w:p>
        </w:tc>
        <w:tc>
          <w:tcPr/>
          <w:p>
            <w:pPr>
              <w:pStyle w:val="Compact"/>
              <w:jc w:val="left"/>
              <w:suppressAutoHyphens/>
            </w:pPr>
            <w:r>
              <w:t xml:space="preserve">Section 14</w:t>
            </w:r>
          </w:p>
        </w:tc>
      </w:tr>
      <w:tr>
        <w:trPr>
          <w:cantSplit/>
        </w:trPr>
        <w:tc>
          <w:tcPr/>
          <w:p>
            <w:pPr>
              <w:pStyle w:val="Compact"/>
              <w:jc w:val="left"/>
              <w:suppressAutoHyphens/>
            </w:pPr>
            <w:r>
              <w:t xml:space="preserve">Table 17</w:t>
            </w:r>
          </w:p>
        </w:tc>
        <w:tc>
          <w:tcPr/>
          <w:p>
            <w:pPr>
              <w:pStyle w:val="Compact"/>
              <w:jc w:val="left"/>
              <w:suppressAutoHyphens/>
            </w:pPr>
            <w:r>
              <w:t xml:space="preserve">Admission Cycles</w:t>
            </w:r>
          </w:p>
        </w:tc>
        <w:tc>
          <w:tcPr/>
          <w:p>
            <w:pPr>
              <w:pStyle w:val="Compact"/>
              <w:jc w:val="left"/>
              <w:suppressAutoHyphens/>
            </w:pPr>
            <w:r>
              <w:t xml:space="preserve">Section 14</w:t>
            </w:r>
          </w:p>
        </w:tc>
      </w:tr>
      <w:tr>
        <w:trPr>
          <w:cantSplit/>
        </w:trPr>
        <w:tc>
          <w:tcPr/>
          <w:p>
            <w:pPr>
              <w:pStyle w:val="Compact"/>
              <w:jc w:val="left"/>
              <w:suppressAutoHyphens/>
            </w:pPr>
            <w:r>
              <w:t xml:space="preserve">Table 18</w:t>
            </w:r>
          </w:p>
        </w:tc>
        <w:tc>
          <w:tcPr/>
          <w:p>
            <w:pPr>
              <w:pStyle w:val="Compact"/>
              <w:jc w:val="left"/>
              <w:suppressAutoHyphens/>
            </w:pPr>
            <w:r>
              <w:t xml:space="preserve">Sourcing (Faculty Recruitment Channels)</w:t>
            </w:r>
          </w:p>
        </w:tc>
        <w:tc>
          <w:tcPr/>
          <w:p>
            <w:pPr>
              <w:pStyle w:val="Compact"/>
              <w:jc w:val="left"/>
              <w:suppressAutoHyphens/>
            </w:pPr>
            <w:r>
              <w:t xml:space="preserve">Section 15</w:t>
            </w:r>
          </w:p>
        </w:tc>
      </w:tr>
      <w:tr>
        <w:trPr>
          <w:cantSplit/>
        </w:trPr>
        <w:tc>
          <w:tcPr/>
          <w:p>
            <w:pPr>
              <w:pStyle w:val="Compact"/>
              <w:jc w:val="left"/>
              <w:suppressAutoHyphens/>
            </w:pPr>
            <w:r>
              <w:t xml:space="preserve">Table 19</w:t>
            </w:r>
          </w:p>
        </w:tc>
        <w:tc>
          <w:tcPr/>
          <w:p>
            <w:pPr>
              <w:pStyle w:val="Compact"/>
              <w:jc w:val="left"/>
              <w:suppressAutoHyphens/>
            </w:pPr>
            <w:r>
              <w:t xml:space="preserve">Full Accreditation Timeline</w:t>
            </w:r>
          </w:p>
        </w:tc>
        <w:tc>
          <w:tcPr/>
          <w:p>
            <w:pPr>
              <w:pStyle w:val="Compact"/>
              <w:jc w:val="left"/>
              <w:suppressAutoHyphens/>
            </w:pPr>
            <w:r>
              <w:t xml:space="preserve">Section 19</w:t>
            </w:r>
          </w:p>
        </w:tc>
      </w:tr>
      <w:tr>
        <w:trPr>
          <w:cantSplit/>
        </w:trPr>
        <w:tc>
          <w:tcPr/>
          <w:p>
            <w:pPr>
              <w:pStyle w:val="Compact"/>
              <w:jc w:val="left"/>
              <w:suppressAutoHyphens/>
            </w:pPr>
            <w:r>
              <w:t xml:space="preserve">Table 20</w:t>
            </w:r>
          </w:p>
        </w:tc>
        <w:tc>
          <w:tcPr/>
          <w:p>
            <w:pPr>
              <w:pStyle w:val="Compact"/>
              <w:jc w:val="left"/>
              <w:suppressAutoHyphens/>
            </w:pPr>
            <w:r>
              <w:t xml:space="preserve">AI Use Cases &amp; Sharī’ah Gate</w:t>
            </w:r>
          </w:p>
        </w:tc>
        <w:tc>
          <w:tcPr/>
          <w:p>
            <w:pPr>
              <w:pStyle w:val="Compact"/>
              <w:jc w:val="left"/>
              <w:suppressAutoHyphens/>
            </w:pPr>
            <w:r>
              <w:t xml:space="preserve">Section 22</w:t>
            </w:r>
          </w:p>
        </w:tc>
      </w:tr>
      <w:tr>
        <w:trPr>
          <w:cantSplit/>
        </w:trPr>
        <w:tc>
          <w:tcPr/>
          <w:p>
            <w:pPr>
              <w:pStyle w:val="Compact"/>
              <w:jc w:val="left"/>
              <w:suppressAutoHyphens/>
            </w:pPr>
            <w:r>
              <w:t xml:space="preserve">Table 21</w:t>
            </w:r>
          </w:p>
        </w:tc>
        <w:tc>
          <w:tcPr/>
          <w:p>
            <w:pPr>
              <w:pStyle w:val="Compact"/>
              <w:jc w:val="left"/>
              <w:suppressAutoHyphens/>
            </w:pPr>
            <w:r>
              <w:t xml:space="preserve">Core Digital Stack Components &amp; Phasing</w:t>
            </w:r>
          </w:p>
        </w:tc>
        <w:tc>
          <w:tcPr/>
          <w:p>
            <w:pPr>
              <w:pStyle w:val="Compact"/>
              <w:jc w:val="left"/>
              <w:suppressAutoHyphens/>
            </w:pPr>
            <w:r>
              <w:t xml:space="preserve">Section 23</w:t>
            </w:r>
          </w:p>
        </w:tc>
      </w:tr>
      <w:tr>
        <w:trPr>
          <w:cantSplit/>
        </w:trPr>
        <w:tc>
          <w:tcPr/>
          <w:p>
            <w:pPr>
              <w:pStyle w:val="Compact"/>
              <w:jc w:val="left"/>
              <w:suppressAutoHyphens/>
            </w:pPr>
            <w:r>
              <w:t xml:space="preserve">Table 22</w:t>
            </w:r>
          </w:p>
        </w:tc>
        <w:tc>
          <w:tcPr/>
          <w:p>
            <w:pPr>
              <w:pStyle w:val="Compact"/>
              <w:jc w:val="left"/>
              <w:suppressAutoHyphens/>
            </w:pPr>
            <w:r>
              <w:t xml:space="preserve">Waqf &amp; Stakeholder Reserve — Fixed Mechanics</w:t>
            </w:r>
          </w:p>
        </w:tc>
        <w:tc>
          <w:tcPr/>
          <w:p>
            <w:pPr>
              <w:pStyle w:val="Compact"/>
              <w:jc w:val="left"/>
              <w:suppressAutoHyphens/>
            </w:pPr>
            <w:r>
              <w:t xml:space="preserve">Section 25</w:t>
            </w:r>
          </w:p>
        </w:tc>
      </w:tr>
      <w:tr>
        <w:trPr>
          <w:cantSplit/>
        </w:trPr>
        <w:tc>
          <w:tcPr/>
          <w:p>
            <w:pPr>
              <w:pStyle w:val="Compact"/>
              <w:jc w:val="left"/>
              <w:suppressAutoHyphens/>
            </w:pPr>
            <w:r>
              <w:t xml:space="preserve">Table 23</w:t>
            </w:r>
          </w:p>
        </w:tc>
        <w:tc>
          <w:tcPr/>
          <w:p>
            <w:pPr>
              <w:pStyle w:val="Compact"/>
              <w:jc w:val="left"/>
              <w:suppressAutoHyphens/>
            </w:pPr>
            <w:r>
              <w:t xml:space="preserve">Scholarship Architecture (Five Standing Instruments)</w:t>
            </w:r>
          </w:p>
        </w:tc>
        <w:tc>
          <w:tcPr/>
          <w:p>
            <w:pPr>
              <w:pStyle w:val="Compact"/>
              <w:jc w:val="left"/>
              <w:suppressAutoHyphens/>
            </w:pPr>
            <w:r>
              <w:t xml:space="preserve">Section 26</w:t>
            </w:r>
          </w:p>
        </w:tc>
      </w:tr>
      <w:tr>
        <w:trPr>
          <w:cantSplit/>
        </w:trPr>
        <w:tc>
          <w:tcPr/>
          <w:p>
            <w:pPr>
              <w:pStyle w:val="Compact"/>
              <w:jc w:val="left"/>
              <w:suppressAutoHyphens/>
            </w:pPr>
            <w:r>
              <w:t xml:space="preserve">Table 24</w:t>
            </w:r>
          </w:p>
        </w:tc>
        <w:tc>
          <w:tcPr/>
          <w:p>
            <w:pPr>
              <w:pStyle w:val="Compact"/>
              <w:jc w:val="left"/>
              <w:suppressAutoHyphens/>
            </w:pPr>
            <w:r>
              <w:t xml:space="preserve">Legitimate Revenue Diversification Avenues</w:t>
            </w:r>
          </w:p>
        </w:tc>
        <w:tc>
          <w:tcPr/>
          <w:p>
            <w:pPr>
              <w:pStyle w:val="Compact"/>
              <w:jc w:val="left"/>
              <w:suppressAutoHyphens/>
            </w:pPr>
            <w:r>
              <w:t xml:space="preserve">Section 27</w:t>
            </w:r>
          </w:p>
        </w:tc>
      </w:tr>
      <w:tr>
        <w:trPr>
          <w:cantSplit/>
        </w:trPr>
        <w:tc>
          <w:tcPr/>
          <w:p>
            <w:pPr>
              <w:pStyle w:val="Compact"/>
              <w:jc w:val="left"/>
              <w:suppressAutoHyphens/>
            </w:pPr>
            <w:r>
              <w:t xml:space="preserve">Table 25</w:t>
            </w:r>
          </w:p>
        </w:tc>
        <w:tc>
          <w:tcPr/>
          <w:p>
            <w:pPr>
              <w:pStyle w:val="Compact"/>
              <w:jc w:val="left"/>
              <w:suppressAutoHyphens/>
            </w:pPr>
            <w:r>
              <w:t xml:space="preserve">Country-Tier Messaging &amp; Channels</w:t>
            </w:r>
          </w:p>
        </w:tc>
        <w:tc>
          <w:tcPr/>
          <w:p>
            <w:pPr>
              <w:pStyle w:val="Compact"/>
              <w:jc w:val="left"/>
              <w:suppressAutoHyphens/>
            </w:pPr>
            <w:r>
              <w:t xml:space="preserve">Section 28</w:t>
            </w:r>
          </w:p>
        </w:tc>
      </w:tr>
      <w:tr>
        <w:trPr>
          <w:cantSplit/>
        </w:trPr>
        <w:tc>
          <w:tcPr/>
          <w:p>
            <w:pPr>
              <w:pStyle w:val="Compact"/>
              <w:jc w:val="left"/>
              <w:suppressAutoHyphens/>
            </w:pPr>
            <w:r>
              <w:t xml:space="preserve">Table 26</w:t>
            </w:r>
          </w:p>
        </w:tc>
        <w:tc>
          <w:tcPr/>
          <w:p>
            <w:pPr>
              <w:pStyle w:val="Compact"/>
              <w:jc w:val="left"/>
              <w:suppressAutoHyphens/>
            </w:pPr>
            <w:r>
              <w:t xml:space="preserve">Sequenced Geography (Exact Canon Sequence)</w:t>
            </w:r>
          </w:p>
        </w:tc>
        <w:tc>
          <w:tcPr/>
          <w:p>
            <w:pPr>
              <w:pStyle w:val="Compact"/>
              <w:jc w:val="left"/>
              <w:suppressAutoHyphens/>
            </w:pPr>
            <w:r>
              <w:t xml:space="preserve">Section 30</w:t>
            </w:r>
          </w:p>
        </w:tc>
      </w:tr>
      <w:tr>
        <w:trPr>
          <w:cantSplit/>
        </w:trPr>
        <w:tc>
          <w:tcPr/>
          <w:p>
            <w:pPr>
              <w:pStyle w:val="Compact"/>
              <w:jc w:val="left"/>
              <w:suppressAutoHyphens/>
            </w:pPr>
            <w:r>
              <w:t xml:space="preserve">Table 27</w:t>
            </w:r>
          </w:p>
        </w:tc>
        <w:tc>
          <w:tcPr/>
          <w:p>
            <w:pPr>
              <w:pStyle w:val="Compact"/>
              <w:jc w:val="left"/>
              <w:suppressAutoHyphens/>
            </w:pPr>
            <w:r>
              <w:t xml:space="preserve">Risk Register — 14 Adopted Risks (from AMIU-MP-001)</w:t>
            </w:r>
          </w:p>
        </w:tc>
        <w:tc>
          <w:tcPr/>
          <w:p>
            <w:pPr>
              <w:pStyle w:val="Compact"/>
              <w:jc w:val="left"/>
              <w:suppressAutoHyphens/>
            </w:pPr>
            <w:r>
              <w:t xml:space="preserve">Section 36</w:t>
            </w:r>
          </w:p>
        </w:tc>
      </w:tr>
      <w:tr>
        <w:trPr>
          <w:cantSplit/>
        </w:trPr>
        <w:tc>
          <w:tcPr/>
          <w:p>
            <w:pPr>
              <w:pStyle w:val="Compact"/>
              <w:jc w:val="left"/>
              <w:suppressAutoHyphens/>
            </w:pPr>
            <w:r>
              <w:t xml:space="preserve">Table 28</w:t>
            </w:r>
          </w:p>
        </w:tc>
        <w:tc>
          <w:tcPr/>
          <w:p>
            <w:pPr>
              <w:pStyle w:val="Compact"/>
              <w:jc w:val="left"/>
              <w:suppressAutoHyphens/>
            </w:pPr>
            <w:r>
              <w:t xml:space="preserve">Annual Compliance Calendar (Steady-State, Recurring)</w:t>
            </w:r>
          </w:p>
        </w:tc>
        <w:tc>
          <w:tcPr/>
          <w:p>
            <w:pPr>
              <w:pStyle w:val="Compact"/>
              <w:jc w:val="left"/>
              <w:suppressAutoHyphens/>
            </w:pPr>
            <w:r>
              <w:t xml:space="preserve">Section 37</w:t>
            </w:r>
          </w:p>
        </w:tc>
      </w:tr>
      <w:tr>
        <w:trPr>
          <w:cantSplit/>
        </w:trPr>
        <w:tc>
          <w:tcPr/>
          <w:p>
            <w:pPr>
              <w:pStyle w:val="Compact"/>
              <w:jc w:val="left"/>
              <w:suppressAutoHyphens/>
            </w:pPr>
            <w:r>
              <w:t xml:space="preserve">Table 29</w:t>
            </w:r>
          </w:p>
        </w:tc>
        <w:tc>
          <w:tcPr/>
          <w:p>
            <w:pPr>
              <w:pStyle w:val="Compact"/>
              <w:jc w:val="left"/>
              <w:suppressAutoHyphens/>
            </w:pPr>
            <w:r>
              <w:t xml:space="preserve">Capital Projects and Their Funding Sources</w:t>
            </w:r>
          </w:p>
        </w:tc>
        <w:tc>
          <w:tcPr/>
          <w:p>
            <w:pPr>
              <w:pStyle w:val="Compact"/>
              <w:jc w:val="left"/>
              <w:suppressAutoHyphens/>
            </w:pPr>
            <w:r>
              <w:t xml:space="preserve">Section 39</w:t>
            </w:r>
          </w:p>
        </w:tc>
      </w:tr>
      <w:tr>
        <w:trPr>
          <w:cantSplit/>
        </w:trPr>
        <w:tc>
          <w:tcPr/>
          <w:p>
            <w:pPr>
              <w:pStyle w:val="Compact"/>
              <w:jc w:val="left"/>
              <w:suppressAutoHyphens/>
            </w:pPr>
            <w:r>
              <w:t xml:space="preserve">Table 30</w:t>
            </w:r>
          </w:p>
        </w:tc>
        <w:tc>
          <w:tcPr/>
          <w:p>
            <w:pPr>
              <w:pStyle w:val="Compact"/>
              <w:jc w:val="left"/>
              <w:suppressAutoHyphens/>
            </w:pPr>
            <w:r>
              <w:t xml:space="preserve">Consolidated Milestone Table, 2028–2050</w:t>
            </w:r>
          </w:p>
        </w:tc>
        <w:tc>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Abbreviation</w:t>
            </w:r>
          </w:p>
        </w:tc>
        <w:tc>
          <w:tcPr/>
          <w:p>
            <w:pPr>
              <w:pStyle w:val="Compact"/>
              <w:jc w:val="left"/>
              <w:suppressAutoHyphens/>
            </w:pPr>
            <w:r>
              <w:t xml:space="preserve">Meaning</w:t>
            </w:r>
          </w:p>
        </w:tc>
      </w:tr>
      <w:tr>
        <w:trPr>
          <w:cantSplit/>
        </w:trPr>
        <w:tc>
          <w:tcPr/>
          <w:p>
            <w:pPr>
              <w:pStyle w:val="Compact"/>
              <w:jc w:val="left"/>
              <w:suppressAutoHyphens/>
            </w:pPr>
            <w:r>
              <w:t xml:space="preserve">AMIU</w:t>
            </w:r>
          </w:p>
        </w:tc>
        <w:tc>
          <w:tcPr/>
          <w:p>
            <w:pPr>
              <w:pStyle w:val="Compact"/>
              <w:jc w:val="left"/>
              <w:suppressAutoHyphens/>
            </w:pPr>
            <w:r>
              <w:t xml:space="preserve">Al-Mulk International University</w:t>
            </w:r>
          </w:p>
        </w:tc>
      </w:tr>
      <w:tr>
        <w:trPr>
          <w:cantSplit/>
        </w:trPr>
        <w:tc>
          <w:tcPr/>
          <w:p>
            <w:pPr>
              <w:pStyle w:val="Compact"/>
              <w:jc w:val="left"/>
              <w:suppressAutoHyphens/>
            </w:pPr>
            <w:r>
              <w:t xml:space="preserve">AGB</w:t>
            </w:r>
          </w:p>
        </w:tc>
        <w:tc>
          <w:tcPr/>
          <w:p>
            <w:pPr>
              <w:pStyle w:val="Compact"/>
              <w:jc w:val="left"/>
              <w:suppressAutoHyphens/>
            </w:pPr>
            <w:r>
              <w:t xml:space="preserve">Association of Governing Boards (nonprofit/university governance standards)</w:t>
            </w:r>
          </w:p>
        </w:tc>
      </w:tr>
      <w:tr>
        <w:trPr>
          <w:cantSplit/>
        </w:trPr>
        <w:tc>
          <w:tcPr/>
          <w:p>
            <w:pPr>
              <w:pStyle w:val="Compact"/>
              <w:jc w:val="left"/>
              <w:suppressAutoHyphens/>
            </w:pPr>
            <w:r>
              <w:t xml:space="preserve">AI</w:t>
            </w:r>
          </w:p>
        </w:tc>
        <w:tc>
          <w:tcPr/>
          <w:p>
            <w:pPr>
              <w:pStyle w:val="Compact"/>
              <w:jc w:val="left"/>
              <w:suppressAutoHyphens/>
            </w:pPr>
            <w:r>
              <w:t xml:space="preserve">Artificial Intelligence</w:t>
            </w:r>
          </w:p>
        </w:tc>
      </w:tr>
      <w:tr>
        <w:trPr>
          <w:cantSplit/>
        </w:trPr>
        <w:tc>
          <w:tcPr/>
          <w:p>
            <w:pPr>
              <w:pStyle w:val="Compact"/>
              <w:jc w:val="left"/>
              <w:suppressAutoHyphens/>
            </w:pPr>
            <w:r>
              <w:t xml:space="preserve">API</w:t>
            </w:r>
          </w:p>
        </w:tc>
        <w:tc>
          <w:tcPr/>
          <w:p>
            <w:pPr>
              <w:pStyle w:val="Compact"/>
              <w:jc w:val="left"/>
              <w:suppressAutoHyphens/>
            </w:pPr>
            <w:r>
              <w:t xml:space="preserve">Application Programming Interface</w:t>
            </w:r>
          </w:p>
        </w:tc>
      </w:tr>
      <w:tr>
        <w:trPr>
          <w:cantSplit/>
        </w:trPr>
        <w:tc>
          <w:tcPr/>
          <w:p>
            <w:pPr>
              <w:pStyle w:val="Compact"/>
              <w:jc w:val="left"/>
              <w:suppressAutoHyphens/>
            </w:pPr>
            <w:r>
              <w:t xml:space="preserve">ASSC</w:t>
            </w:r>
          </w:p>
        </w:tc>
        <w:tc>
          <w:tcPr/>
          <w:p>
            <w:pPr>
              <w:pStyle w:val="Compact"/>
              <w:jc w:val="left"/>
              <w:suppressAutoHyphens/>
            </w:pPr>
            <w:r>
              <w:t xml:space="preserve">Admissions &amp; Student Success Committee</w:t>
            </w:r>
          </w:p>
        </w:tc>
      </w:tr>
      <w:tr>
        <w:trPr>
          <w:cantSplit/>
        </w:trPr>
        <w:tc>
          <w:tcPr/>
          <w:p>
            <w:pPr>
              <w:pStyle w:val="Compact"/>
              <w:jc w:val="left"/>
              <w:suppressAutoHyphens/>
            </w:pPr>
            <w:r>
              <w:t xml:space="preserve">BA</w:t>
            </w:r>
          </w:p>
        </w:tc>
        <w:tc>
          <w:tcPr/>
          <w:p>
            <w:pPr>
              <w:pStyle w:val="Compact"/>
              <w:jc w:val="left"/>
              <w:suppressAutoHyphens/>
            </w:pPr>
            <w:r>
              <w:t xml:space="preserve">Bachelor of Arts</w:t>
            </w:r>
          </w:p>
        </w:tc>
      </w:tr>
      <w:tr>
        <w:trPr>
          <w:cantSplit/>
        </w:trPr>
        <w:tc>
          <w:tcPr/>
          <w:p>
            <w:pPr>
              <w:pStyle w:val="Compact"/>
              <w:jc w:val="left"/>
              <w:suppressAutoHyphens/>
            </w:pPr>
            <w:r>
              <w:t xml:space="preserve">CAC</w:t>
            </w:r>
          </w:p>
        </w:tc>
        <w:tc>
          <w:tcPr/>
          <w:p>
            <w:pPr>
              <w:pStyle w:val="Compact"/>
              <w:jc w:val="left"/>
              <w:suppressAutoHyphens/>
            </w:pPr>
            <w:r>
              <w:t xml:space="preserve">Curriculum &amp; Assessment Committee (AMIU); also Corporate Affairs Commission (Nigeria, Section 31 context)</w:t>
            </w:r>
          </w:p>
        </w:tc>
      </w:tr>
      <w:tr>
        <w:trPr>
          <w:cantSplit/>
        </w:trPr>
        <w:tc>
          <w:tcPr/>
          <w:p>
            <w:pPr>
              <w:pStyle w:val="Compact"/>
              <w:jc w:val="left"/>
              <w:suppressAutoHyphens/>
            </w:pPr>
            <w:r>
              <w:t xml:space="preserve">CEFR</w:t>
            </w:r>
          </w:p>
        </w:tc>
        <w:tc>
          <w:tcPr/>
          <w:p>
            <w:pPr>
              <w:pStyle w:val="Compact"/>
              <w:jc w:val="left"/>
              <w:suppressAutoHyphens/>
            </w:pPr>
            <w:r>
              <w:t xml:space="preserve">Common European Framework of Reference for Languages</w:t>
            </w:r>
          </w:p>
        </w:tc>
      </w:tr>
      <w:tr>
        <w:trPr>
          <w:cantSplit/>
        </w:trPr>
        <w:tc>
          <w:tcPr/>
          <w:p>
            <w:pPr>
              <w:pStyle w:val="Compact"/>
              <w:jc w:val="left"/>
              <w:suppressAutoHyphens/>
            </w:pPr>
            <w:r>
              <w:t xml:space="preserve">CH</w:t>
            </w:r>
          </w:p>
        </w:tc>
        <w:tc>
          <w:tcPr/>
          <w:p>
            <w:pPr>
              <w:pStyle w:val="Compact"/>
              <w:jc w:val="left"/>
              <w:suppressAutoHyphens/>
            </w:pPr>
            <w:r>
              <w:t xml:space="preserve">Credit Hour(s)</w:t>
            </w:r>
          </w:p>
        </w:tc>
      </w:tr>
      <w:tr>
        <w:trPr>
          <w:cantSplit/>
        </w:trPr>
        <w:tc>
          <w:tcPr/>
          <w:p>
            <w:pPr>
              <w:pStyle w:val="Compact"/>
              <w:jc w:val="left"/>
              <w:suppressAutoHyphens/>
            </w:pPr>
            <w:r>
              <w:t xml:space="preserve">COSO</w:t>
            </w:r>
          </w:p>
        </w:tc>
        <w:tc>
          <w:tcPr/>
          <w:p>
            <w:pPr>
              <w:pStyle w:val="Compact"/>
              <w:jc w:val="left"/>
              <w:suppressAutoHyphens/>
            </w:pPr>
            <w:r>
              <w:t xml:space="preserve">Committee of Sponsoring Organizations of the Treadway Commission (Enterprise Risk Management framework)</w:t>
            </w:r>
          </w:p>
        </w:tc>
      </w:tr>
      <w:tr>
        <w:trPr>
          <w:cantSplit/>
        </w:trPr>
        <w:tc>
          <w:tcPr/>
          <w:p>
            <w:pPr>
              <w:pStyle w:val="Compact"/>
              <w:jc w:val="left"/>
              <w:suppressAutoHyphens/>
            </w:pPr>
            <w:r>
              <w:t xml:space="preserve">CPD</w:t>
            </w:r>
          </w:p>
        </w:tc>
        <w:tc>
          <w:tcPr/>
          <w:p>
            <w:pPr>
              <w:pStyle w:val="Compact"/>
              <w:jc w:val="left"/>
              <w:suppressAutoHyphens/>
            </w:pPr>
            <w:r>
              <w:t xml:space="preserve">Continuing Professional Development (accreditation)</w:t>
            </w:r>
          </w:p>
        </w:tc>
      </w:tr>
      <w:tr>
        <w:trPr>
          <w:cantSplit/>
        </w:trPr>
        <w:tc>
          <w:tcPr/>
          <w:p>
            <w:pPr>
              <w:pStyle w:val="Compact"/>
              <w:jc w:val="left"/>
              <w:suppressAutoHyphens/>
            </w:pPr>
            <w:r>
              <w:t xml:space="preserve">CRM</w:t>
            </w:r>
          </w:p>
        </w:tc>
        <w:tc>
          <w:tcPr/>
          <w:p>
            <w:pPr>
              <w:pStyle w:val="Compact"/>
              <w:jc w:val="left"/>
              <w:suppressAutoHyphens/>
            </w:pPr>
            <w:r>
              <w:t xml:space="preserve">Customer/Constituent Relationship Management</w:t>
            </w:r>
          </w:p>
        </w:tc>
      </w:tr>
      <w:tr>
        <w:trPr>
          <w:cantSplit/>
        </w:trPr>
        <w:tc>
          <w:tcPr/>
          <w:p>
            <w:pPr>
              <w:pStyle w:val="Compact"/>
              <w:jc w:val="left"/>
              <w:suppressAutoHyphens/>
            </w:pPr>
            <w:r>
              <w:t xml:space="preserve">DOAJ</w:t>
            </w:r>
          </w:p>
        </w:tc>
        <w:tc>
          <w:tcPr/>
          <w:p>
            <w:pPr>
              <w:pStyle w:val="Compact"/>
              <w:jc w:val="left"/>
              <w:suppressAutoHyphens/>
            </w:pPr>
            <w:r>
              <w:t xml:space="preserve">Directory of Open Access Journals</w:t>
            </w:r>
          </w:p>
        </w:tc>
      </w:tr>
      <w:tr>
        <w:trPr>
          <w:cantSplit/>
        </w:trPr>
        <w:tc>
          <w:tcPr/>
          <w:p>
            <w:pPr>
              <w:pStyle w:val="Compact"/>
              <w:jc w:val="left"/>
              <w:suppressAutoHyphens/>
            </w:pPr>
            <w:r>
              <w:t xml:space="preserve">DOI</w:t>
            </w:r>
          </w:p>
        </w:tc>
        <w:tc>
          <w:tcPr/>
          <w:p>
            <w:pPr>
              <w:pStyle w:val="Compact"/>
              <w:jc w:val="left"/>
              <w:suppressAutoHyphens/>
            </w:pPr>
            <w:r>
              <w:t xml:space="preserve">Digital Object Identifier</w:t>
            </w:r>
          </w:p>
        </w:tc>
      </w:tr>
      <w:tr>
        <w:trPr>
          <w:cantSplit/>
        </w:trPr>
        <w:tc>
          <w:tcPr/>
          <w:p>
            <w:pPr>
              <w:pStyle w:val="Compact"/>
              <w:jc w:val="left"/>
              <w:suppressAutoHyphens/>
            </w:pPr>
            <w:r>
              <w:t xml:space="preserve">DVC</w:t>
            </w:r>
          </w:p>
        </w:tc>
        <w:tc>
          <w:tcPr/>
          <w:p>
            <w:pPr>
              <w:pStyle w:val="Compact"/>
              <w:jc w:val="left"/>
              <w:suppressAutoHyphens/>
            </w:pPr>
            <w:r>
              <w:t xml:space="preserve">Deputy Vice-Chancellor</w:t>
            </w:r>
          </w:p>
        </w:tc>
      </w:tr>
      <w:tr>
        <w:trPr>
          <w:cantSplit/>
        </w:trPr>
        <w:tc>
          <w:tcPr/>
          <w:p>
            <w:pPr>
              <w:pStyle w:val="Compact"/>
              <w:jc w:val="left"/>
              <w:suppressAutoHyphens/>
            </w:pPr>
            <w:r>
              <w:t xml:space="preserve">EIN</w:t>
            </w:r>
          </w:p>
        </w:tc>
        <w:tc>
          <w:tcPr/>
          <w:p>
            <w:pPr>
              <w:pStyle w:val="Compact"/>
              <w:jc w:val="left"/>
              <w:suppressAutoHyphens/>
            </w:pPr>
            <w:r>
              <w:t xml:space="preserve">Employer Identification Number (US)</w:t>
            </w:r>
          </w:p>
        </w:tc>
      </w:tr>
      <w:tr>
        <w:trPr>
          <w:cantSplit/>
        </w:trPr>
        <w:tc>
          <w:tcPr/>
          <w:p>
            <w:pPr>
              <w:pStyle w:val="Compact"/>
              <w:jc w:val="left"/>
              <w:suppressAutoHyphens/>
            </w:pPr>
            <w:r>
              <w:t xml:space="preserve">EMI</w:t>
            </w:r>
          </w:p>
        </w:tc>
        <w:tc>
          <w:tcPr/>
          <w:p>
            <w:pPr>
              <w:pStyle w:val="Compact"/>
              <w:jc w:val="left"/>
              <w:suppressAutoHyphens/>
            </w:pPr>
            <w:r>
              <w:t xml:space="preserve">English-Medium Instruction</w:t>
            </w:r>
          </w:p>
        </w:tc>
      </w:tr>
      <w:tr>
        <w:trPr>
          <w:cantSplit/>
        </w:trPr>
        <w:tc>
          <w:tcPr/>
          <w:p>
            <w:pPr>
              <w:pStyle w:val="Compact"/>
              <w:jc w:val="left"/>
              <w:suppressAutoHyphens/>
            </w:pPr>
            <w:r>
              <w:t xml:space="preserve">EOMS</w:t>
            </w:r>
          </w:p>
        </w:tc>
        <w:tc>
          <w:tcPr/>
          <w:p>
            <w:pPr>
              <w:pStyle w:val="Compact"/>
              <w:jc w:val="left"/>
              <w:suppressAutoHyphens/>
            </w:pPr>
            <w:r>
              <w:t xml:space="preserve">Educational Organizations Management System(s) (ISO 21001 scope)</w:t>
            </w:r>
          </w:p>
        </w:tc>
      </w:tr>
      <w:tr>
        <w:trPr>
          <w:cantSplit/>
        </w:trPr>
        <w:tc>
          <w:tcPr/>
          <w:p>
            <w:pPr>
              <w:pStyle w:val="Compact"/>
              <w:jc w:val="left"/>
              <w:suppressAutoHyphens/>
            </w:pPr>
            <w:r>
              <w:t xml:space="preserve">ERM</w:t>
            </w:r>
          </w:p>
        </w:tc>
        <w:tc>
          <w:tcPr/>
          <w:p>
            <w:pPr>
              <w:pStyle w:val="Compact"/>
              <w:jc w:val="left"/>
              <w:suppressAutoHyphens/>
            </w:pPr>
            <w:r>
              <w:t xml:space="preserve">Enterprise Risk Management</w:t>
            </w:r>
          </w:p>
        </w:tc>
      </w:tr>
      <w:tr>
        <w:trPr>
          <w:cantSplit/>
        </w:trPr>
        <w:tc>
          <w:tcPr/>
          <w:p>
            <w:pPr>
              <w:pStyle w:val="Compact"/>
              <w:jc w:val="left"/>
              <w:suppressAutoHyphens/>
            </w:pPr>
            <w:r>
              <w:t xml:space="preserve">FACC</w:t>
            </w:r>
          </w:p>
        </w:tc>
        <w:tc>
          <w:tcPr/>
          <w:p>
            <w:pPr>
              <w:pStyle w:val="Compact"/>
              <w:jc w:val="left"/>
              <w:suppressAutoHyphens/>
            </w:pPr>
            <w:r>
              <w:t xml:space="preserve">Faculty Affairs &amp; Credentialing Committee</w:t>
            </w:r>
          </w:p>
        </w:tc>
      </w:tr>
      <w:tr>
        <w:trPr>
          <w:cantSplit/>
        </w:trPr>
        <w:tc>
          <w:tcPr/>
          <w:p>
            <w:pPr>
              <w:pStyle w:val="Compact"/>
              <w:jc w:val="left"/>
              <w:suppressAutoHyphens/>
            </w:pPr>
            <w:r>
              <w:t xml:space="preserve">FTE</w:t>
            </w:r>
          </w:p>
        </w:tc>
        <w:tc>
          <w:tcPr/>
          <w:p>
            <w:pPr>
              <w:pStyle w:val="Compact"/>
              <w:jc w:val="left"/>
              <w:suppressAutoHyphens/>
            </w:pPr>
            <w:r>
              <w:t xml:space="preserve">Full-Time Equivalent (staffing measure)</w:t>
            </w:r>
          </w:p>
        </w:tc>
      </w:tr>
      <w:tr>
        <w:trPr>
          <w:cantSplit/>
        </w:trPr>
        <w:tc>
          <w:tcPr/>
          <w:p>
            <w:pPr>
              <w:pStyle w:val="Compact"/>
              <w:jc w:val="left"/>
              <w:suppressAutoHyphens/>
            </w:pPr>
            <w:r>
              <w:t xml:space="preserve">FX</w:t>
            </w:r>
          </w:p>
        </w:tc>
        <w:tc>
          <w:tcPr/>
          <w:p>
            <w:pPr>
              <w:pStyle w:val="Compact"/>
              <w:jc w:val="left"/>
              <w:suppressAutoHyphens/>
            </w:pPr>
            <w:r>
              <w:t xml:space="preserve">Foreign Exchange (currency)</w:t>
            </w:r>
          </w:p>
        </w:tc>
      </w:tr>
      <w:tr>
        <w:trPr>
          <w:cantSplit/>
        </w:trPr>
        <w:tc>
          <w:tcPr/>
          <w:p>
            <w:pPr>
              <w:pStyle w:val="Compact"/>
              <w:jc w:val="left"/>
              <w:suppressAutoHyphens/>
            </w:pPr>
            <w:r>
              <w:t xml:space="preserve">GCC</w:t>
            </w:r>
          </w:p>
        </w:tc>
        <w:tc>
          <w:tcPr/>
          <w:p>
            <w:pPr>
              <w:pStyle w:val="Compact"/>
              <w:jc w:val="left"/>
              <w:suppressAutoHyphens/>
            </w:pPr>
            <w:r>
              <w:t xml:space="preserve">Gulf Cooperation Council</w:t>
            </w:r>
          </w:p>
        </w:tc>
      </w:tr>
      <w:tr>
        <w:trPr>
          <w:cantSplit/>
        </w:trPr>
        <w:tc>
          <w:tcPr/>
          <w:p>
            <w:pPr>
              <w:pStyle w:val="Compact"/>
              <w:jc w:val="left"/>
              <w:suppressAutoHyphens/>
            </w:pPr>
            <w:r>
              <w:t xml:space="preserve">GDPR</w:t>
            </w:r>
          </w:p>
        </w:tc>
        <w:tc>
          <w:tcPr/>
          <w:p>
            <w:pPr>
              <w:pStyle w:val="Compact"/>
              <w:jc w:val="left"/>
              <w:suppressAutoHyphens/>
            </w:pPr>
            <w:r>
              <w:t xml:space="preserve">General Data Protection Regulation (EU; used here as a compliance benchmark)</w:t>
            </w:r>
          </w:p>
        </w:tc>
      </w:tr>
      <w:tr>
        <w:trPr>
          <w:cantSplit/>
        </w:trPr>
        <w:tc>
          <w:tcPr/>
          <w:p>
            <w:pPr>
              <w:pStyle w:val="Compact"/>
              <w:jc w:val="left"/>
              <w:suppressAutoHyphens/>
            </w:pPr>
            <w:r>
              <w:t xml:space="preserve">HoD</w:t>
            </w:r>
          </w:p>
        </w:tc>
        <w:tc>
          <w:tcPr/>
          <w:p>
            <w:pPr>
              <w:pStyle w:val="Compact"/>
              <w:jc w:val="left"/>
              <w:suppressAutoHyphens/>
            </w:pPr>
            <w:r>
              <w:t xml:space="preserve">Head of Department</w:t>
            </w:r>
          </w:p>
        </w:tc>
      </w:tr>
      <w:tr>
        <w:trPr>
          <w:cantSplit/>
        </w:trPr>
        <w:tc>
          <w:tcPr/>
          <w:p>
            <w:pPr>
              <w:pStyle w:val="Compact"/>
              <w:jc w:val="left"/>
              <w:suppressAutoHyphens/>
            </w:pPr>
            <w:r>
              <w:t xml:space="preserve">IAF</w:t>
            </w:r>
          </w:p>
        </w:tc>
        <w:tc>
          <w:tcPr/>
          <w:p>
            <w:pPr>
              <w:pStyle w:val="Compact"/>
              <w:jc w:val="left"/>
              <w:suppressAutoHyphens/>
            </w:pPr>
            <w:r>
              <w:t xml:space="preserve">International Accreditation Forum</w:t>
            </w:r>
          </w:p>
        </w:tc>
      </w:tr>
      <w:tr>
        <w:trPr>
          <w:cantSplit/>
        </w:trPr>
        <w:tc>
          <w:tcPr/>
          <w:p>
            <w:pPr>
              <w:pStyle w:val="Compact"/>
              <w:jc w:val="left"/>
              <w:suppressAutoHyphens/>
            </w:pPr>
            <w:r>
              <w:t xml:space="preserve">ILO</w:t>
            </w:r>
          </w:p>
        </w:tc>
        <w:tc>
          <w:tcPr/>
          <w:p>
            <w:pPr>
              <w:pStyle w:val="Compact"/>
              <w:jc w:val="left"/>
              <w:suppressAutoHyphens/>
            </w:pPr>
            <w:r>
              <w:t xml:space="preserve">Institutional Learning Outcome</w:t>
            </w:r>
          </w:p>
        </w:tc>
      </w:tr>
      <w:tr>
        <w:trPr>
          <w:cantSplit/>
        </w:trPr>
        <w:tc>
          <w:tcPr/>
          <w:p>
            <w:pPr>
              <w:pStyle w:val="Compact"/>
              <w:jc w:val="left"/>
              <w:suppressAutoHyphens/>
            </w:pPr>
            <w:r>
              <w:t xml:space="preserve">INQAAHE</w:t>
            </w:r>
          </w:p>
        </w:tc>
        <w:tc>
          <w:tcPr/>
          <w:p>
            <w:pPr>
              <w:pStyle w:val="Compact"/>
              <w:jc w:val="left"/>
              <w:suppressAutoHyphens/>
            </w:pPr>
            <w:r>
              <w:t xml:space="preserve">International Network for Quality Assurance Agencies in Higher Education</w:t>
            </w:r>
          </w:p>
        </w:tc>
      </w:tr>
      <w:tr>
        <w:trPr>
          <w:cantSplit/>
        </w:trPr>
        <w:tc>
          <w:tcPr/>
          <w:p>
            <w:pPr>
              <w:pStyle w:val="Compact"/>
              <w:jc w:val="left"/>
              <w:suppressAutoHyphens/>
            </w:pPr>
            <w:r>
              <w:t xml:space="preserve">IRS</w:t>
            </w:r>
          </w:p>
        </w:tc>
        <w:tc>
          <w:tcPr/>
          <w:p>
            <w:pPr>
              <w:pStyle w:val="Compact"/>
              <w:jc w:val="left"/>
              <w:suppressAutoHyphens/>
            </w:pPr>
            <w:r>
              <w:t xml:space="preserve">Internal Revenue Service (United States)</w:t>
            </w:r>
          </w:p>
        </w:tc>
      </w:tr>
      <w:tr>
        <w:trPr>
          <w:cantSplit/>
        </w:trPr>
        <w:tc>
          <w:tcPr/>
          <w:p>
            <w:pPr>
              <w:pStyle w:val="Compact"/>
              <w:jc w:val="left"/>
              <w:suppressAutoHyphens/>
            </w:pPr>
            <w:r>
              <w:t xml:space="preserve">ISO</w:t>
            </w:r>
          </w:p>
        </w:tc>
        <w:tc>
          <w:tcPr/>
          <w:p>
            <w:pPr>
              <w:pStyle w:val="Compact"/>
              <w:jc w:val="left"/>
              <w:suppressAutoHyphens/>
            </w:pPr>
            <w:r>
              <w:t xml:space="preserve">International Organization for Standardization</w:t>
            </w:r>
          </w:p>
        </w:tc>
      </w:tr>
      <w:tr>
        <w:trPr>
          <w:cantSplit/>
        </w:trPr>
        <w:tc>
          <w:tcPr/>
          <w:p>
            <w:pPr>
              <w:pStyle w:val="Compact"/>
              <w:jc w:val="left"/>
              <w:suppressAutoHyphens/>
            </w:pPr>
            <w:r>
              <w:t xml:space="preserve">KOR</w:t>
            </w:r>
          </w:p>
        </w:tc>
        <w:tc>
          <w:tcPr/>
          <w:p>
            <w:pPr>
              <w:pStyle w:val="Compact"/>
              <w:jc w:val="left"/>
              <w:suppressAutoHyphens/>
            </w:pPr>
            <w:r>
              <w:t xml:space="preserve">Kernel Outturn Ratio (cashew-export quality metric, Commercial Engine Gate A)</w:t>
            </w:r>
          </w:p>
        </w:tc>
      </w:tr>
      <w:tr>
        <w:trPr>
          <w:cantSplit/>
        </w:trPr>
        <w:tc>
          <w:tcPr/>
          <w:p>
            <w:pPr>
              <w:pStyle w:val="Compact"/>
              <w:jc w:val="left"/>
              <w:suppressAutoHyphens/>
            </w:pPr>
            <w:r>
              <w:t xml:space="preserve">KPI</w:t>
            </w:r>
          </w:p>
        </w:tc>
        <w:tc>
          <w:tcPr/>
          <w:p>
            <w:pPr>
              <w:pStyle w:val="Compact"/>
              <w:jc w:val="left"/>
              <w:suppressAutoHyphens/>
            </w:pPr>
            <w:r>
              <w:t xml:space="preserve">Key Performance Indicator</w:t>
            </w:r>
          </w:p>
        </w:tc>
      </w:tr>
      <w:tr>
        <w:trPr>
          <w:cantSplit/>
        </w:trPr>
        <w:tc>
          <w:tcPr/>
          <w:p>
            <w:pPr>
              <w:pStyle w:val="Compact"/>
              <w:jc w:val="left"/>
              <w:suppressAutoHyphens/>
            </w:pPr>
            <w:r>
              <w:t xml:space="preserve">LLB</w:t>
            </w:r>
          </w:p>
        </w:tc>
        <w:tc>
          <w:tcPr/>
          <w:p>
            <w:pPr>
              <w:pStyle w:val="Compact"/>
              <w:jc w:val="left"/>
              <w:suppressAutoHyphens/>
            </w:pPr>
            <w:r>
              <w:t xml:space="preserve">Bachelor of Laws</w:t>
            </w:r>
          </w:p>
        </w:tc>
      </w:tr>
      <w:tr>
        <w:trPr>
          <w:cantSplit/>
        </w:trPr>
        <w:tc>
          <w:tcPr/>
          <w:p>
            <w:pPr>
              <w:pStyle w:val="Compact"/>
              <w:jc w:val="left"/>
              <w:suppressAutoHyphens/>
            </w:pPr>
            <w:r>
              <w:t xml:space="preserve">LLC</w:t>
            </w:r>
          </w:p>
        </w:tc>
        <w:tc>
          <w:tcPr/>
          <w:p>
            <w:pPr>
              <w:pStyle w:val="Compact"/>
              <w:jc w:val="left"/>
              <w:suppressAutoHyphens/>
            </w:pPr>
            <w:r>
              <w:t xml:space="preserve">Limited Liability Company</w:t>
            </w:r>
          </w:p>
        </w:tc>
      </w:tr>
      <w:tr>
        <w:trPr>
          <w:cantSplit/>
        </w:trPr>
        <w:tc>
          <w:tcPr/>
          <w:p>
            <w:pPr>
              <w:pStyle w:val="Compact"/>
              <w:jc w:val="left"/>
              <w:suppressAutoHyphens/>
            </w:pPr>
            <w:r>
              <w:t xml:space="preserve">LLM</w:t>
            </w:r>
          </w:p>
        </w:tc>
        <w:tc>
          <w:tcPr/>
          <w:p>
            <w:pPr>
              <w:pStyle w:val="Compact"/>
              <w:jc w:val="left"/>
              <w:suppressAutoHyphens/>
            </w:pPr>
            <w:r>
              <w:t xml:space="preserve">Master of Laws</w:t>
            </w:r>
          </w:p>
        </w:tc>
      </w:tr>
      <w:tr>
        <w:trPr>
          <w:cantSplit/>
        </w:trPr>
        <w:tc>
          <w:tcPr/>
          <w:p>
            <w:pPr>
              <w:pStyle w:val="Compact"/>
              <w:jc w:val="left"/>
              <w:suppressAutoHyphens/>
            </w:pPr>
            <w:r>
              <w:t xml:space="preserve">LMS</w:t>
            </w:r>
          </w:p>
        </w:tc>
        <w:tc>
          <w:tcPr/>
          <w:p>
            <w:pPr>
              <w:pStyle w:val="Compact"/>
              <w:jc w:val="left"/>
              <w:suppressAutoHyphens/>
            </w:pPr>
            <w:r>
              <w:t xml:space="preserve">Learning Management System</w:t>
            </w:r>
          </w:p>
        </w:tc>
      </w:tr>
      <w:tr>
        <w:trPr>
          <w:cantSplit/>
        </w:trPr>
        <w:tc>
          <w:tcPr/>
          <w:p>
            <w:pPr>
              <w:pStyle w:val="Compact"/>
              <w:jc w:val="left"/>
              <w:suppressAutoHyphens/>
            </w:pPr>
            <w:r>
              <w:t xml:space="preserve">LTI</w:t>
            </w:r>
          </w:p>
        </w:tc>
        <w:tc>
          <w:tcPr/>
          <w:p>
            <w:pPr>
              <w:pStyle w:val="Compact"/>
              <w:jc w:val="left"/>
              <w:suppressAutoHyphens/>
            </w:pPr>
            <w:r>
              <w:t xml:space="preserve">Learning Tools Interoperability (LMS integration standard)</w:t>
            </w:r>
          </w:p>
        </w:tc>
      </w:tr>
      <w:tr>
        <w:trPr>
          <w:cantSplit/>
        </w:trPr>
        <w:tc>
          <w:tcPr/>
          <w:p>
            <w:pPr>
              <w:pStyle w:val="Compact"/>
              <w:jc w:val="left"/>
              <w:suppressAutoHyphens/>
            </w:pPr>
            <w:r>
              <w:t xml:space="preserve">MA</w:t>
            </w:r>
          </w:p>
        </w:tc>
        <w:tc>
          <w:tcPr/>
          <w:p>
            <w:pPr>
              <w:pStyle w:val="Compact"/>
              <w:jc w:val="left"/>
              <w:suppressAutoHyphens/>
            </w:pPr>
            <w:r>
              <w:t xml:space="preserve">Master of Arts</w:t>
            </w:r>
          </w:p>
        </w:tc>
      </w:tr>
      <w:tr>
        <w:trPr>
          <w:cantSplit/>
        </w:trPr>
        <w:tc>
          <w:tcPr/>
          <w:p>
            <w:pPr>
              <w:pStyle w:val="Compact"/>
              <w:jc w:val="left"/>
              <w:suppressAutoHyphens/>
            </w:pPr>
            <w:r>
              <w:t xml:space="preserve">MBA</w:t>
            </w:r>
          </w:p>
        </w:tc>
        <w:tc>
          <w:tcPr/>
          <w:p>
            <w:pPr>
              <w:pStyle w:val="Compact"/>
              <w:jc w:val="left"/>
              <w:suppressAutoHyphens/>
            </w:pPr>
            <w:r>
              <w:t xml:space="preserve">Master of Business Administration</w:t>
            </w:r>
          </w:p>
        </w:tc>
      </w:tr>
      <w:tr>
        <w:trPr>
          <w:cantSplit/>
        </w:trPr>
        <w:tc>
          <w:tcPr/>
          <w:p>
            <w:pPr>
              <w:pStyle w:val="Compact"/>
              <w:jc w:val="left"/>
              <w:suppressAutoHyphens/>
            </w:pPr>
            <w:r>
              <w:t xml:space="preserve">MFA</w:t>
            </w:r>
          </w:p>
        </w:tc>
        <w:tc>
          <w:tcPr/>
          <w:p>
            <w:pPr>
              <w:pStyle w:val="Compact"/>
              <w:jc w:val="left"/>
              <w:suppressAutoHyphens/>
            </w:pPr>
            <w:r>
              <w:t xml:space="preserve">Multi-Factor Authentication</w:t>
            </w:r>
          </w:p>
        </w:tc>
      </w:tr>
      <w:tr>
        <w:trPr>
          <w:cantSplit/>
        </w:trPr>
        <w:tc>
          <w:tcPr/>
          <w:p>
            <w:pPr>
              <w:pStyle w:val="Compact"/>
              <w:jc w:val="left"/>
              <w:suppressAutoHyphens/>
            </w:pPr>
            <w:r>
              <w:t xml:space="preserve">MOU</w:t>
            </w:r>
          </w:p>
        </w:tc>
        <w:tc>
          <w:tcPr/>
          <w:p>
            <w:pPr>
              <w:pStyle w:val="Compact"/>
              <w:jc w:val="left"/>
              <w:suppressAutoHyphens/>
            </w:pPr>
            <w:r>
              <w:t xml:space="preserve">Memorandum of Understanding</w:t>
            </w:r>
          </w:p>
        </w:tc>
      </w:tr>
      <w:tr>
        <w:trPr>
          <w:cantSplit/>
        </w:trPr>
        <w:tc>
          <w:tcPr/>
          <w:p>
            <w:pPr>
              <w:pStyle w:val="Compact"/>
              <w:jc w:val="left"/>
              <w:suppressAutoHyphens/>
            </w:pPr>
            <w:r>
              <w:t xml:space="preserve">MPH</w:t>
            </w:r>
          </w:p>
        </w:tc>
        <w:tc>
          <w:tcPr/>
          <w:p>
            <w:pPr>
              <w:pStyle w:val="Compact"/>
              <w:jc w:val="left"/>
              <w:suppressAutoHyphens/>
            </w:pPr>
            <w:r>
              <w:t xml:space="preserve">Master of Public Health</w:t>
            </w:r>
          </w:p>
        </w:tc>
      </w:tr>
      <w:tr>
        <w:trPr>
          <w:cantSplit/>
        </w:trPr>
        <w:tc>
          <w:tcPr/>
          <w:p>
            <w:pPr>
              <w:pStyle w:val="Compact"/>
              <w:jc w:val="left"/>
              <w:suppressAutoHyphens/>
            </w:pPr>
            <w:r>
              <w:t xml:space="preserve">NAQAA</w:t>
            </w:r>
          </w:p>
        </w:tc>
        <w:tc>
          <w:tcPr/>
          <w:p>
            <w:pPr>
              <w:pStyle w:val="Compact"/>
              <w:jc w:val="left"/>
              <w:suppressAutoHyphens/>
            </w:pPr>
            <w:r>
              <w:t xml:space="preserve">National Accreditation and Quality Assurance Authority (The Gambia)</w:t>
            </w:r>
          </w:p>
        </w:tc>
      </w:tr>
      <w:tr>
        <w:trPr>
          <w:cantSplit/>
        </w:trPr>
        <w:tc>
          <w:tcPr/>
          <w:p>
            <w:pPr>
              <w:pStyle w:val="Compact"/>
              <w:jc w:val="left"/>
              <w:suppressAutoHyphens/>
            </w:pPr>
            <w:r>
              <w:t xml:space="preserve">NUC</w:t>
            </w:r>
          </w:p>
        </w:tc>
        <w:tc>
          <w:tcPr/>
          <w:p>
            <w:pPr>
              <w:pStyle w:val="Compact"/>
              <w:jc w:val="left"/>
              <w:suppressAutoHyphens/>
            </w:pPr>
            <w:r>
              <w:t xml:space="preserve">National Universities Commission (Nigeria)</w:t>
            </w:r>
          </w:p>
        </w:tc>
      </w:tr>
      <w:tr>
        <w:trPr>
          <w:cantSplit/>
        </w:trPr>
        <w:tc>
          <w:tcPr/>
          <w:p>
            <w:pPr>
              <w:pStyle w:val="Compact"/>
              <w:jc w:val="left"/>
              <w:suppressAutoHyphens/>
            </w:pPr>
            <w:r>
              <w:t xml:space="preserve">OCR</w:t>
            </w:r>
          </w:p>
        </w:tc>
        <w:tc>
          <w:tcPr/>
          <w:p>
            <w:pPr>
              <w:pStyle w:val="Compact"/>
              <w:jc w:val="left"/>
              <w:suppressAutoHyphens/>
            </w:pPr>
            <w:r>
              <w:t xml:space="preserve">Optical Character Recognition</w:t>
            </w:r>
          </w:p>
        </w:tc>
      </w:tr>
      <w:tr>
        <w:trPr>
          <w:cantSplit/>
        </w:trPr>
        <w:tc>
          <w:tcPr/>
          <w:p>
            <w:pPr>
              <w:pStyle w:val="Compact"/>
              <w:jc w:val="left"/>
              <w:suppressAutoHyphens/>
            </w:pPr>
            <w:r>
              <w:t xml:space="preserve">OJS</w:t>
            </w:r>
          </w:p>
        </w:tc>
        <w:tc>
          <w:tcPr/>
          <w:p>
            <w:pPr>
              <w:pStyle w:val="Compact"/>
              <w:jc w:val="left"/>
              <w:suppressAutoHyphens/>
            </w:pPr>
            <w:r>
              <w:t xml:space="preserve">Open Journal Systems (open-access publishing platform)</w:t>
            </w:r>
          </w:p>
        </w:tc>
      </w:tr>
      <w:tr>
        <w:trPr>
          <w:cantSplit/>
        </w:trPr>
        <w:tc>
          <w:tcPr/>
          <w:p>
            <w:pPr>
              <w:pStyle w:val="Compact"/>
              <w:jc w:val="left"/>
              <w:suppressAutoHyphens/>
            </w:pPr>
            <w:r>
              <w:t xml:space="preserve">OpEx</w:t>
            </w:r>
          </w:p>
        </w:tc>
        <w:tc>
          <w:tcPr/>
          <w:p>
            <w:pPr>
              <w:pStyle w:val="Compact"/>
              <w:jc w:val="left"/>
              <w:suppressAutoHyphens/>
            </w:pPr>
            <w:r>
              <w:t xml:space="preserve">Operating Expenses</w:t>
            </w:r>
          </w:p>
        </w:tc>
      </w:tr>
      <w:tr>
        <w:trPr>
          <w:cantSplit/>
        </w:trPr>
        <w:tc>
          <w:tcPr/>
          <w:p>
            <w:pPr>
              <w:pStyle w:val="Compact"/>
              <w:jc w:val="left"/>
              <w:suppressAutoHyphens/>
            </w:pPr>
            <w:r>
              <w:t xml:space="preserve">PCI-DSS</w:t>
            </w:r>
          </w:p>
        </w:tc>
        <w:tc>
          <w:tcPr/>
          <w:p>
            <w:pPr>
              <w:pStyle w:val="Compact"/>
              <w:jc w:val="left"/>
              <w:suppressAutoHyphens/>
            </w:pPr>
            <w:r>
              <w:t xml:space="preserve">Payment Card Industry Data Security Standard</w:t>
            </w:r>
          </w:p>
        </w:tc>
      </w:tr>
      <w:tr>
        <w:trPr>
          <w:cantSplit/>
        </w:trPr>
        <w:tc>
          <w:tcPr/>
          <w:p>
            <w:pPr>
              <w:pStyle w:val="Compact"/>
              <w:jc w:val="left"/>
              <w:suppressAutoHyphens/>
            </w:pPr>
            <w:r>
              <w:t xml:space="preserve">Ph.D.</w:t>
            </w:r>
          </w:p>
        </w:tc>
        <w:tc>
          <w:tcPr/>
          <w:p>
            <w:pPr>
              <w:pStyle w:val="Compact"/>
              <w:jc w:val="left"/>
              <w:suppressAutoHyphens/>
            </w:pPr>
            <w:r>
              <w:t xml:space="preserve">Doctor of Philosophy</w:t>
            </w:r>
          </w:p>
        </w:tc>
      </w:tr>
      <w:tr>
        <w:trPr>
          <w:cantSplit/>
        </w:trPr>
        <w:tc>
          <w:tcPr/>
          <w:p>
            <w:pPr>
              <w:pStyle w:val="Compact"/>
              <w:jc w:val="left"/>
              <w:suppressAutoHyphens/>
            </w:pPr>
            <w:r>
              <w:t xml:space="preserve">PGD</w:t>
            </w:r>
          </w:p>
        </w:tc>
        <w:tc>
          <w:tcPr/>
          <w:p>
            <w:pPr>
              <w:pStyle w:val="Compact"/>
              <w:jc w:val="left"/>
              <w:suppressAutoHyphens/>
            </w:pPr>
            <w:r>
              <w:t xml:space="preserve">Postgraduate Diploma</w:t>
            </w:r>
          </w:p>
        </w:tc>
      </w:tr>
      <w:tr>
        <w:trPr>
          <w:cantSplit/>
        </w:trPr>
        <w:tc>
          <w:tcPr/>
          <w:p>
            <w:pPr>
              <w:pStyle w:val="Compact"/>
              <w:jc w:val="left"/>
              <w:suppressAutoHyphens/>
            </w:pPr>
            <w:r>
              <w:t xml:space="preserve">PLO</w:t>
            </w:r>
          </w:p>
        </w:tc>
        <w:tc>
          <w:tcPr/>
          <w:p>
            <w:pPr>
              <w:pStyle w:val="Compact"/>
              <w:jc w:val="left"/>
              <w:suppressAutoHyphens/>
            </w:pPr>
            <w:r>
              <w:t xml:space="preserve">Program Learning Outcome</w:t>
            </w:r>
          </w:p>
        </w:tc>
      </w:tr>
      <w:tr>
        <w:trPr>
          <w:cantSplit/>
        </w:trPr>
        <w:tc>
          <w:tcPr/>
          <w:p>
            <w:pPr>
              <w:pStyle w:val="Compact"/>
              <w:jc w:val="left"/>
              <w:suppressAutoHyphens/>
            </w:pPr>
            <w:r>
              <w:t xml:space="preserve">PPC</w:t>
            </w:r>
          </w:p>
        </w:tc>
        <w:tc>
          <w:tcPr/>
          <w:p>
            <w:pPr>
              <w:pStyle w:val="Compact"/>
              <w:jc w:val="left"/>
              <w:suppressAutoHyphens/>
            </w:pPr>
            <w:r>
              <w:t xml:space="preserve">Program Portfolio Committee</w:t>
            </w:r>
          </w:p>
        </w:tc>
      </w:tr>
      <w:tr>
        <w:trPr>
          <w:cantSplit/>
        </w:trPr>
        <w:tc>
          <w:tcPr/>
          <w:p>
            <w:pPr>
              <w:pStyle w:val="Compact"/>
              <w:jc w:val="left"/>
              <w:suppressAutoHyphens/>
            </w:pPr>
            <w:r>
              <w:t xml:space="preserve">PWA</w:t>
            </w:r>
          </w:p>
        </w:tc>
        <w:tc>
          <w:tcPr/>
          <w:p>
            <w:pPr>
              <w:pStyle w:val="Compact"/>
              <w:jc w:val="left"/>
              <w:suppressAutoHyphens/>
            </w:pPr>
            <w:r>
              <w:t xml:space="preserve">Progressive Web Application</w:t>
            </w:r>
          </w:p>
        </w:tc>
      </w:tr>
      <w:tr>
        <w:trPr>
          <w:cantSplit/>
        </w:trPr>
        <w:tc>
          <w:tcPr/>
          <w:p>
            <w:pPr>
              <w:pStyle w:val="Compact"/>
              <w:jc w:val="left"/>
              <w:suppressAutoHyphens/>
            </w:pPr>
            <w:r>
              <w:t xml:space="preserve">RAG</w:t>
            </w:r>
          </w:p>
        </w:tc>
        <w:tc>
          <w:tcPr/>
          <w:p>
            <w:pPr>
              <w:pStyle w:val="Compact"/>
              <w:jc w:val="left"/>
              <w:suppressAutoHyphens/>
            </w:pPr>
            <w:r>
              <w:t xml:space="preserve">Retrieval-Augmented Generation (AI architecture)</w:t>
            </w:r>
          </w:p>
        </w:tc>
      </w:tr>
      <w:tr>
        <w:trPr>
          <w:cantSplit/>
        </w:trPr>
        <w:tc>
          <w:tcPr/>
          <w:p>
            <w:pPr>
              <w:pStyle w:val="Compact"/>
              <w:jc w:val="left"/>
              <w:suppressAutoHyphens/>
            </w:pPr>
            <w:r>
              <w:t xml:space="preserve">SACSCOC</w:t>
            </w:r>
          </w:p>
        </w:tc>
        <w:tc>
          <w:tcPr/>
          <w:p>
            <w:pPr>
              <w:pStyle w:val="Compact"/>
              <w:jc w:val="left"/>
              <w:suppressAutoHyphens/>
            </w:pPr>
            <w:r>
              <w:t xml:space="preserve">Southern Association of Colleges and Schools Commission on Colleges (illustrative US regional accreditor reference)</w:t>
            </w:r>
          </w:p>
        </w:tc>
      </w:tr>
      <w:tr>
        <w:trPr>
          <w:cantSplit/>
        </w:trPr>
        <w:tc>
          <w:tcPr/>
          <w:p>
            <w:pPr>
              <w:pStyle w:val="Compact"/>
              <w:jc w:val="left"/>
              <w:suppressAutoHyphens/>
            </w:pPr>
            <w:r>
              <w:t xml:space="preserve">SCORM</w:t>
            </w:r>
          </w:p>
        </w:tc>
        <w:tc>
          <w:tcPr/>
          <w:p>
            <w:pPr>
              <w:pStyle w:val="Compact"/>
              <w:jc w:val="left"/>
              <w:suppressAutoHyphens/>
            </w:pPr>
            <w:r>
              <w:t xml:space="preserve">Sharable Content Object Reference Model (e-learning content standard)</w:t>
            </w:r>
          </w:p>
        </w:tc>
      </w:tr>
      <w:tr>
        <w:trPr>
          <w:cantSplit/>
        </w:trPr>
        <w:tc>
          <w:tcPr/>
          <w:p>
            <w:pPr>
              <w:pStyle w:val="Compact"/>
              <w:jc w:val="left"/>
              <w:suppressAutoHyphens/>
            </w:pPr>
            <w:r>
              <w:t xml:space="preserve">SIS</w:t>
            </w:r>
          </w:p>
        </w:tc>
        <w:tc>
          <w:tcPr/>
          <w:p>
            <w:pPr>
              <w:pStyle w:val="Compact"/>
              <w:jc w:val="left"/>
              <w:suppressAutoHyphens/>
            </w:pPr>
            <w:r>
              <w:t xml:space="preserve">Student Information System</w:t>
            </w:r>
          </w:p>
        </w:tc>
      </w:tr>
      <w:tr>
        <w:trPr>
          <w:cantSplit/>
        </w:trPr>
        <w:tc>
          <w:tcPr/>
          <w:p>
            <w:pPr>
              <w:pStyle w:val="Compact"/>
              <w:jc w:val="left"/>
              <w:suppressAutoHyphens/>
            </w:pPr>
            <w:r>
              <w:t xml:space="preserve">SOP</w:t>
            </w:r>
          </w:p>
        </w:tc>
        <w:tc>
          <w:tcPr/>
          <w:p>
            <w:pPr>
              <w:pStyle w:val="Compact"/>
              <w:jc w:val="left"/>
              <w:suppressAutoHyphens/>
            </w:pPr>
            <w:r>
              <w:t xml:space="preserve">Standard Operating Procedure</w:t>
            </w:r>
          </w:p>
        </w:tc>
      </w:tr>
      <w:tr>
        <w:trPr>
          <w:cantSplit/>
        </w:trPr>
        <w:tc>
          <w:tcPr/>
          <w:p>
            <w:pPr>
              <w:pStyle w:val="Compact"/>
              <w:jc w:val="left"/>
              <w:suppressAutoHyphens/>
            </w:pPr>
            <w:r>
              <w:t xml:space="preserve">SSL</w:t>
            </w:r>
          </w:p>
        </w:tc>
        <w:tc>
          <w:tcPr/>
          <w:p>
            <w:pPr>
              <w:pStyle w:val="Compact"/>
              <w:jc w:val="left"/>
              <w:suppressAutoHyphens/>
            </w:pPr>
            <w:r>
              <w:t xml:space="preserve">Secure Sockets Layer</w:t>
            </w:r>
          </w:p>
        </w:tc>
      </w:tr>
      <w:tr>
        <w:trPr>
          <w:cantSplit/>
        </w:trPr>
        <w:tc>
          <w:tcPr/>
          <w:p>
            <w:pPr>
              <w:pStyle w:val="Compact"/>
              <w:jc w:val="left"/>
              <w:suppressAutoHyphens/>
            </w:pPr>
            <w:r>
              <w:t xml:space="preserve">TOC</w:t>
            </w:r>
          </w:p>
        </w:tc>
        <w:tc>
          <w:tcPr/>
          <w:p>
            <w:pPr>
              <w:pStyle w:val="Compact"/>
              <w:jc w:val="left"/>
              <w:suppressAutoHyphens/>
            </w:pPr>
            <w:r>
              <w:t xml:space="preserve">Table of Contents</w:t>
            </w:r>
          </w:p>
        </w:tc>
      </w:tr>
      <w:tr>
        <w:trPr>
          <w:cantSplit/>
        </w:trPr>
        <w:tc>
          <w:tcPr/>
          <w:p>
            <w:pPr>
              <w:pStyle w:val="Compact"/>
              <w:jc w:val="left"/>
              <w:suppressAutoHyphens/>
            </w:pPr>
            <w:r>
              <w:t xml:space="preserve">TWC</w:t>
            </w:r>
          </w:p>
        </w:tc>
        <w:tc>
          <w:tcPr/>
          <w:p>
            <w:pPr>
              <w:pStyle w:val="Compact"/>
              <w:jc w:val="left"/>
              <w:suppressAutoHyphens/>
            </w:pPr>
            <w:r>
              <w:t xml:space="preserve">Texas Workforce Commission</w:t>
            </w:r>
          </w:p>
        </w:tc>
      </w:tr>
      <w:tr>
        <w:trPr>
          <w:cantSplit/>
        </w:trPr>
        <w:tc>
          <w:tcPr/>
          <w:p>
            <w:pPr>
              <w:pStyle w:val="Compact"/>
              <w:jc w:val="left"/>
              <w:suppressAutoHyphens/>
            </w:pPr>
            <w:r>
              <w:t xml:space="preserve">USPTO</w:t>
            </w:r>
          </w:p>
        </w:tc>
        <w:tc>
          <w:tcPr/>
          <w:p>
            <w:pPr>
              <w:pStyle w:val="Compact"/>
              <w:jc w:val="left"/>
              <w:suppressAutoHyphens/>
            </w:pPr>
            <w:r>
              <w:t xml:space="preserve">United States Patent and Trademark Office</w:t>
            </w:r>
          </w:p>
        </w:tc>
      </w:tr>
      <w:tr>
        <w:trPr>
          <w:cantSplit/>
        </w:trPr>
        <w:tc>
          <w:tcPr/>
          <w:p>
            <w:pPr>
              <w:pStyle w:val="Compact"/>
              <w:jc w:val="left"/>
              <w:suppressAutoHyphens/>
            </w:pPr>
            <w:r>
              <w:t xml:space="preserve">xAPI</w:t>
            </w:r>
          </w:p>
        </w:tc>
        <w:tc>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Term</w:t>
            </w:r>
          </w:p>
        </w:tc>
        <w:tc>
          <w:tcPr/>
          <w:p>
            <w:pPr>
              <w:pStyle w:val="Compact"/>
              <w:jc w:val="left"/>
              <w:suppressAutoHyphens/>
            </w:pPr>
            <w:r>
              <w:t xml:space="preserve">Definition</w:t>
            </w:r>
          </w:p>
        </w:tc>
      </w:tr>
      <w:tr>
        <w:trPr>
          <w:cantSplit/>
        </w:trPr>
        <w:tc>
          <w:tcPr/>
          <w:p>
            <w:pPr>
              <w:pStyle w:val="Compact"/>
              <w:jc w:val="left"/>
              <w:suppressAutoHyphens/>
            </w:pPr>
            <w:r>
              <w:t xml:space="preserve">Aqeedah</w:t>
            </w:r>
          </w:p>
        </w:tc>
        <w:tc>
          <w:tcPr/>
          <w:p>
            <w:pPr>
              <w:pStyle w:val="Compact"/>
              <w:jc w:val="left"/>
              <w:suppressAutoHyphens/>
            </w:pPr>
            <w:r>
              <w:t xml:space="preserve">Islamic theology and creed; the study of foundational Islamic belief.</w:t>
            </w:r>
          </w:p>
        </w:tc>
      </w:tr>
      <w:tr>
        <w:trPr>
          <w:cantSplit/>
        </w:trPr>
        <w:tc>
          <w:tcPr/>
          <w:p>
            <w:pPr>
              <w:pStyle w:val="Compact"/>
              <w:jc w:val="left"/>
              <w:suppressAutoHyphens/>
            </w:pPr>
            <w:r>
              <w:t xml:space="preserve">Waqf</w:t>
            </w:r>
          </w:p>
        </w:tc>
        <w:tc>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suppressAutoHyphens/>
            </w:pPr>
            <w:r>
              <w:t xml:space="preserve">Sadaqah Jāriyah</w:t>
            </w:r>
          </w:p>
        </w:tc>
        <w:tc>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suppressAutoHyphens/>
            </w:pPr>
            <w:r>
              <w:t xml:space="preserve">Isnād</w:t>
            </w:r>
          </w:p>
        </w:tc>
        <w:tc>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suppressAutoHyphens/>
            </w:pPr>
            <w:r>
              <w:t xml:space="preserve">Ijāza</w:t>
            </w:r>
          </w:p>
        </w:tc>
        <w:tc>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suppressAutoHyphens/>
            </w:pPr>
            <w:r>
              <w:t xml:space="preserve">Sanad</w:t>
            </w:r>
          </w:p>
        </w:tc>
        <w:tc>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suppressAutoHyphens/>
            </w:pPr>
            <w:r>
              <w:t xml:space="preserve">Fiqh</w:t>
            </w:r>
          </w:p>
        </w:tc>
        <w:tc>
          <w:tcPr/>
          <w:p>
            <w:pPr>
              <w:pStyle w:val="Compact"/>
              <w:jc w:val="left"/>
              <w:suppressAutoHyphens/>
            </w:pPr>
            <w:r>
              <w:t xml:space="preserve">Islamic jurisprudence — the human scholarly effort to derive practical legal rulings from the Qur’ān and Sunnah.</w:t>
            </w:r>
          </w:p>
        </w:tc>
      </w:tr>
      <w:tr>
        <w:trPr>
          <w:cantSplit/>
        </w:trPr>
        <w:tc>
          <w:tcPr/>
          <w:p>
            <w:pPr>
              <w:pStyle w:val="Compact"/>
              <w:jc w:val="left"/>
              <w:suppressAutoHyphens/>
            </w:pPr>
            <w:r>
              <w:t xml:space="preserve">Uṣūl al-Fiqh</w:t>
            </w:r>
          </w:p>
        </w:tc>
        <w:tc>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suppressAutoHyphens/>
            </w:pPr>
            <w:r>
              <w:t xml:space="preserve">Sharī’ah</w:t>
            </w:r>
          </w:p>
        </w:tc>
        <w:tc>
          <w:tcPr/>
          <w:p>
            <w:pPr>
              <w:pStyle w:val="Compact"/>
              <w:jc w:val="left"/>
              <w:suppressAutoHyphens/>
            </w:pPr>
            <w:r>
              <w:t xml:space="preserve">The body of Islamic religious law derived from the Qur’ān and the Sunnah (Prophetic tradition).</w:t>
            </w:r>
          </w:p>
        </w:tc>
      </w:tr>
      <w:tr>
        <w:trPr>
          <w:cantSplit/>
        </w:trPr>
        <w:tc>
          <w:tcPr/>
          <w:p>
            <w:pPr>
              <w:pStyle w:val="Compact"/>
              <w:jc w:val="left"/>
              <w:suppressAutoHyphens/>
            </w:pPr>
            <w:r>
              <w:t xml:space="preserve">Tafsīr</w:t>
            </w:r>
          </w:p>
        </w:tc>
        <w:tc>
          <w:tcPr/>
          <w:p>
            <w:pPr>
              <w:pStyle w:val="Compact"/>
              <w:jc w:val="left"/>
              <w:suppressAutoHyphens/>
            </w:pPr>
            <w:r>
              <w:t xml:space="preserve">The scholarly discipline of Qur’ānic exegesis and interpretation.</w:t>
            </w:r>
          </w:p>
        </w:tc>
      </w:tr>
      <w:tr>
        <w:trPr>
          <w:cantSplit/>
        </w:trPr>
        <w:tc>
          <w:tcPr/>
          <w:p>
            <w:pPr>
              <w:pStyle w:val="Compact"/>
              <w:jc w:val="left"/>
              <w:suppressAutoHyphens/>
            </w:pPr>
            <w:r>
              <w:t xml:space="preserve">Tajweed</w:t>
            </w:r>
          </w:p>
        </w:tc>
        <w:tc>
          <w:tcPr/>
          <w:p>
            <w:pPr>
              <w:pStyle w:val="Compact"/>
              <w:jc w:val="left"/>
              <w:suppressAutoHyphens/>
            </w:pPr>
            <w:r>
              <w:t xml:space="preserve">The set of rules governing the correct phonetic pronunciation and recitation of the Qur’ān.</w:t>
            </w:r>
          </w:p>
        </w:tc>
      </w:tr>
      <w:tr>
        <w:trPr>
          <w:cantSplit/>
        </w:trPr>
        <w:tc>
          <w:tcPr/>
          <w:p>
            <w:pPr>
              <w:pStyle w:val="Compact"/>
              <w:jc w:val="left"/>
              <w:suppressAutoHyphens/>
            </w:pPr>
            <w:r>
              <w:t xml:space="preserve">Qirā’āt</w:t>
            </w:r>
          </w:p>
        </w:tc>
        <w:tc>
          <w:tcPr/>
          <w:p>
            <w:pPr>
              <w:pStyle w:val="Compact"/>
              <w:jc w:val="left"/>
              <w:suppressAutoHyphens/>
            </w:pPr>
            <w:r>
              <w:t xml:space="preserve">The canonical variant modes/readings of Qur’ānic recitation.</w:t>
            </w:r>
          </w:p>
        </w:tc>
      </w:tr>
      <w:tr>
        <w:trPr>
          <w:cantSplit/>
        </w:trPr>
        <w:tc>
          <w:tcPr/>
          <w:p>
            <w:pPr>
              <w:pStyle w:val="Compact"/>
              <w:jc w:val="left"/>
              <w:suppressAutoHyphens/>
            </w:pPr>
            <w:r>
              <w:t xml:space="preserve">Hifz</w:t>
            </w:r>
          </w:p>
        </w:tc>
        <w:tc>
          <w:tcPr/>
          <w:p>
            <w:pPr>
              <w:pStyle w:val="Compact"/>
              <w:jc w:val="left"/>
              <w:suppressAutoHyphens/>
            </w:pPr>
            <w:r>
              <w:t xml:space="preserve">The memorization of the Qur’ān in its entirety.</w:t>
            </w:r>
          </w:p>
        </w:tc>
      </w:tr>
      <w:tr>
        <w:trPr>
          <w:cantSplit/>
        </w:trPr>
        <w:tc>
          <w:tcPr/>
          <w:p>
            <w:pPr>
              <w:pStyle w:val="Compact"/>
              <w:jc w:val="left"/>
              <w:suppressAutoHyphens/>
            </w:pPr>
            <w:r>
              <w:t xml:space="preserve">Hadith</w:t>
            </w:r>
          </w:p>
        </w:tc>
        <w:tc>
          <w:tcPr/>
          <w:p>
            <w:pPr>
              <w:pStyle w:val="Compact"/>
              <w:jc w:val="left"/>
              <w:suppressAutoHyphens/>
            </w:pPr>
            <w:r>
              <w:t xml:space="preserve">A recorded saying, action, or approval attributed to the Prophet Muhammad ﷺ, transmitted via an isnād.</w:t>
            </w:r>
          </w:p>
        </w:tc>
      </w:tr>
      <w:tr>
        <w:trPr>
          <w:cantSplit/>
        </w:trPr>
        <w:tc>
          <w:tcPr/>
          <w:p>
            <w:pPr>
              <w:pStyle w:val="Compact"/>
              <w:jc w:val="left"/>
              <w:suppressAutoHyphens/>
            </w:pPr>
            <w:r>
              <w:t xml:space="preserve">Da’wah</w:t>
            </w:r>
          </w:p>
        </w:tc>
        <w:tc>
          <w:tcPr/>
          <w:p>
            <w:pPr>
              <w:pStyle w:val="Compact"/>
              <w:jc w:val="left"/>
              <w:suppressAutoHyphens/>
            </w:pPr>
            <w:r>
              <w:t xml:space="preserve">The act of inviting or calling others to Islam, or to a deeper practice of it, through education, communication, and example.</w:t>
            </w:r>
          </w:p>
        </w:tc>
      </w:tr>
      <w:tr>
        <w:trPr>
          <w:cantSplit/>
        </w:trPr>
        <w:tc>
          <w:tcPr/>
          <w:p>
            <w:pPr>
              <w:pStyle w:val="Compact"/>
              <w:jc w:val="left"/>
              <w:suppressAutoHyphens/>
            </w:pPr>
            <w:r>
              <w:t xml:space="preserve">Madhhab (pl. madhāhib)</w:t>
            </w:r>
          </w:p>
        </w:tc>
        <w:tc>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p>
            <w:pPr>
              <w:pStyle w:val="Compact"/>
              <w:jc w:val="left"/>
              <w:suppressAutoHyphens/>
            </w:pPr>
            <w:r>
              <w:t xml:space="preserve">Zakāt</w:t>
            </w:r>
          </w:p>
        </w:tc>
        <w:tc>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p>
            <w:pPr>
              <w:pStyle w:val="Compact"/>
              <w:jc w:val="left"/>
              <w:suppressAutoHyphens/>
            </w:pPr>
            <w:r>
              <w:t xml:space="preserve">Seerah</w:t>
            </w:r>
          </w:p>
        </w:tc>
        <w:tc>
          <w:tcPr/>
          <w:p>
            <w:pPr>
              <w:pStyle w:val="Compact"/>
              <w:jc w:val="left"/>
              <w:suppressAutoHyphens/>
            </w:pPr>
            <w:r>
              <w:t xml:space="preserve">The biographical study of the life of the Prophet Muhammad ﷺ.</w:t>
            </w:r>
          </w:p>
        </w:tc>
      </w:tr>
      <w:tr>
        <w:trPr>
          <w:cantSplit/>
        </w:trPr>
        <w:tc>
          <w:tcPr/>
          <w:p>
            <w:pPr>
              <w:pStyle w:val="Compact"/>
              <w:jc w:val="left"/>
              <w:suppressAutoHyphens/>
            </w:pPr>
            <w:r>
              <w:t xml:space="preserve">Akhlāq</w:t>
            </w:r>
          </w:p>
        </w:tc>
        <w:tc>
          <w:tcPr/>
          <w:p>
            <w:pPr>
              <w:pStyle w:val="Compact"/>
              <w:jc w:val="left"/>
              <w:suppressAutoHyphens/>
            </w:pPr>
            <w:r>
              <w:t xml:space="preserve">Islamic ethics; the study and cultivation of moral character.</w:t>
            </w:r>
          </w:p>
        </w:tc>
      </w:tr>
      <w:tr>
        <w:trPr>
          <w:cantSplit/>
        </w:trPr>
        <w:tc>
          <w:tcPr/>
          <w:p>
            <w:pPr>
              <w:pStyle w:val="Compact"/>
              <w:jc w:val="left"/>
              <w:suppressAutoHyphens/>
            </w:pPr>
            <w:r>
              <w:t xml:space="preserve">ISLAMIC Framework</w:t>
            </w:r>
          </w:p>
        </w:tc>
        <w:tc>
          <w:tcPr/>
          <w:p>
            <w:pPr>
              <w:pStyle w:val="Compact"/>
              <w:jc w:val="left"/>
              <w:suppressAutoHyphens/>
            </w:pPr>
            <w:r>
              <w:t xml:space="preserve">AMIU’s seven-value institutional framework: Illumination, Sanad, Love, Access, Morality, Inquiry, Calling — see Section 2.</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suppressAutoHyphens/>
            </w:pPr>
            <w:r>
              <w:t xml:space="preserve">Liquidity Reserve</w:t>
            </w:r>
          </w:p>
        </w:tc>
        <w:tc>
          <w:tcPr/>
          <w:p>
            <w:pPr>
              <w:pStyle w:val="Compact"/>
              <w:jc w:val="left"/>
              <w:suppressAutoHyphens/>
            </w:pPr>
            <w:r>
              <w:t xml:space="preserve">The fixed 35%-of-Gross-Revenue allocation category funding institutional resilience, expansion, and accreditation costs (AMIU-MP-001 §5.7).</w:t>
            </w:r>
          </w:p>
        </w:tc>
      </w:tr>
      <w:tr>
        <w:trPr>
          <w:cantSplit/>
        </w:trPr>
        <w:tc>
          <w:tcPr/>
          <w:p>
            <w:pPr>
              <w:pStyle w:val="Compact"/>
              <w:jc w:val="left"/>
              <w:suppressAutoHyphens/>
            </w:pPr>
            <w:r>
              <w:t xml:space="preserve">AMIU Strategic Business Reserve</w:t>
            </w:r>
          </w:p>
        </w:tc>
        <w:tc>
          <w:tcPr/>
          <w:p>
            <w:pPr>
              <w:pStyle w:val="Compact"/>
              <w:jc w:val="left"/>
              <w:suppressAutoHyphens/>
            </w:pPr>
            <w:r>
              <w:t xml:space="preserve">The retained (non-distributed) half of the Waqf &amp; Stakeholder Reserve, held in Sharī’ah-compliant investment instruments only.</w:t>
            </w:r>
          </w:p>
        </w:tc>
      </w:tr>
      <w:tr>
        <w:trPr>
          <w:cantSplit/>
        </w:trPr>
        <w:tc>
          <w:tcPr/>
          <w:p>
            <w:pPr>
              <w:pStyle w:val="Compact"/>
              <w:jc w:val="left"/>
              <w:suppressAutoHyphens/>
            </w:pPr>
            <w:r>
              <w:t xml:space="preserve">Capital Firewall</w:t>
            </w:r>
          </w:p>
        </w:tc>
        <w:tc>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suppressAutoHyphens/>
            </w:pPr>
            <w:r>
              <w:t xml:space="preserve">Commercial Engine</w:t>
            </w:r>
          </w:p>
        </w:tc>
        <w:tc>
          <w:tcPr/>
          <w:p>
            <w:pPr>
              <w:pStyle w:val="Compact"/>
              <w:jc w:val="left"/>
              <w:suppressAutoHyphens/>
            </w:pPr>
            <w:r>
              <w:t xml:space="preserve">AMIU Global Services LLC — the University’s legally and financially separate, investor-capitalized commercial affiliate.</w:t>
            </w:r>
          </w:p>
        </w:tc>
      </w:tr>
      <w:tr>
        <w:trPr>
          <w:cantSplit/>
        </w:trPr>
        <w:tc>
          <w:tcPr/>
          <w:p>
            <w:pPr>
              <w:pStyle w:val="Compact"/>
              <w:jc w:val="left"/>
              <w:suppressAutoHyphens/>
            </w:pPr>
            <w:r>
              <w:t xml:space="preserve">Fast-Track</w:t>
            </w:r>
          </w:p>
        </w:tc>
        <w:tc>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p>
            <w:pPr>
              <w:pStyle w:val="Compact"/>
              <w:jc w:val="left"/>
              <w:suppressAutoHyphens/>
            </w:pPr>
            <w:r>
              <w:t xml:space="preserve">Tier 1–4 (Tuition Tiers)</w:t>
            </w:r>
          </w:p>
        </w:tc>
        <w:tc>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suppressAutoHyphens/>
            </w:pPr>
            <w:r>
              <w:t xml:space="preserve">Stackable Credential</w:t>
            </w:r>
          </w:p>
        </w:tc>
        <w:tc>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ONE OF EIGHT</w:t>
            </w:r>
          </w:p>
          <w:p>
            <w:pPr>
              <w:spacing w:before="0" w:after="60"/>
              <w:suppressAutoHyphens/>
            </w:pPr>
            <w:r>
              <w:rPr>
                <w:rFonts w:ascii="Cinzel" w:hAnsi="Cinzel"/>
                <w:color w:val="B08625"/>
                <w:b/>
                <w:sz w:val="108"/>
              </w:rPr>
              <w:t>I</w:t>
            </w:r>
          </w:p>
          <w:p>
            <w:pPr>
              <w:spacing w:before="120" w:after="80"/>
              <w:suppressAutoHyphens/>
            </w:pPr>
            <w:r>
              <w:rPr>
                <w:rFonts w:ascii="Cormorant Garamond" w:hAnsi="Cormorant Garamond"/>
                <w:b/>
                <w:color w:val="B08625"/>
                <w:sz w:val="22"/>
                <w:caps/>
                <w:spacing w:val="18"/>
              </w:rPr>
              <w:t>Governance &amp; Institutional Foundations</w:t>
            </w:r>
          </w:p>
          <w:p>
            <w:pPr>
              <w:spacing w:before="0" w:after="260"/>
              <w:pBdr>
                <w:bottom w:val="single" w:sz="10" w:space="8" w:color="B08625"/>
              </w:pBdr>
              <w:suppressAutoHyphens/>
            </w:pPr>
            <w:r>
              <w:rPr>
                <w:rFonts w:ascii="Liberation Sans" w:hAnsi="Liberation Sans"/>
                <w:color w:val="8C97AB"/>
                <w:sz w:val="17"/>
                <w:spacing w:val="14"/>
              </w:rPr>
              <w:t>SECTIONS 1–5</w:t>
            </w:r>
          </w:p>
          <w:p>
            <w:pPr>
              <w:spacing w:before="0" w:after="360"/>
              <w:ind w:right="700"/>
              <w:suppressAutoHyphens/>
            </w:pPr>
            <w:r>
              <w:rPr>
                <w:rFonts w:ascii="Cormorant Garamond" w:hAnsi="Cormorant Garamond"/>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01 </w:t>
            </w:r>
            <w:r>
              <w:rPr>
                <w:rFonts w:ascii="Liberation Sans" w:hAnsi="Liberation Sans"/>
                <w:color w:val="FFFFFF"/>
                <w:sz w:val="20"/>
              </w:rPr>
              <w:t>Institutional Vision 2028–2050</w:t>
            </w:r>
          </w:p>
          <w:p>
            <w:pPr>
              <w:spacing w:before="0" w:after="130"/>
              <w:suppressAutoHyphens/>
            </w:pPr>
            <w:r>
              <w:rPr>
                <w:rFonts w:ascii="Cinzel" w:hAnsi="Cinzel"/>
                <w:b/>
                <w:color w:val="B08625"/>
                <w:sz w:val="22"/>
                <w:caps/>
                <w:spacing w:val="18"/>
              </w:rPr>
              <w:t>02 </w:t>
            </w:r>
            <w:r>
              <w:rPr>
                <w:rFonts w:ascii="Liberation Sans" w:hAnsi="Liberation Sans"/>
                <w:color w:val="FFFFFF"/>
                <w:sz w:val="20"/>
              </w:rPr>
              <w:t>Mission, Values, and Identity</w:t>
            </w:r>
          </w:p>
          <w:p>
            <w:pPr>
              <w:spacing w:before="0" w:after="130"/>
              <w:suppressAutoHyphens/>
            </w:pPr>
            <w:r>
              <w:rPr>
                <w:rFonts w:ascii="Cinzel" w:hAnsi="Cinzel"/>
                <w:b/>
                <w:color w:val="B08625"/>
                <w:sz w:val="22"/>
                <w:caps/>
                <w:spacing w:val="18"/>
              </w:rPr>
              <w:t>03 </w:t>
            </w:r>
            <w:r>
              <w:rPr>
                <w:rFonts w:ascii="Liberation Sans" w:hAnsi="Liberation Sans"/>
                <w:color w:val="FFFFFF"/>
                <w:sz w:val="20"/>
              </w:rPr>
              <w:t>Governance Framework</w:t>
            </w:r>
          </w:p>
          <w:p>
            <w:pPr>
              <w:spacing w:before="0" w:after="130"/>
              <w:suppressAutoHyphens/>
            </w:pPr>
            <w:r>
              <w:rPr>
                <w:rFonts w:ascii="Cinzel" w:hAnsi="Cinzel"/>
                <w:b/>
                <w:color w:val="B08625"/>
                <w:sz w:val="22"/>
                <w:caps/>
                <w:spacing w:val="18"/>
              </w:rPr>
              <w:t>04 </w:t>
            </w:r>
            <w:r>
              <w:rPr>
                <w:rFonts w:ascii="Liberation Sans" w:hAnsi="Liberation Sans"/>
                <w:color w:val="FFFFFF"/>
                <w:sz w:val="20"/>
              </w:rPr>
              <w:t>Senate Structure</w:t>
            </w:r>
          </w:p>
          <w:p>
            <w:pPr>
              <w:spacing w:before="0" w:after="130"/>
              <w:suppressAutoHyphens/>
            </w:pPr>
            <w:r>
              <w:rPr>
                <w:rFonts w:ascii="Cinzel" w:hAnsi="Cinzel"/>
                <w:b/>
                <w:color w:val="B08625"/>
                <w:sz w:val="22"/>
                <w:caps/>
                <w:spacing w:val="18"/>
              </w:rPr>
              <w:t>05 </w:t>
            </w:r>
            <w:r>
              <w:rPr>
                <w:rFonts w:ascii="Liberation Sans" w:hAnsi="Liberation Sans"/>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085199"/>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08519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8168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8168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Core Thrust</w:t>
            </w:r>
          </w:p>
        </w:tc>
      </w:tr>
      <w:tr>
        <w:trPr>
          <w:cantSplit/>
        </w:trPr>
        <w:tc>
          <w:tcPr/>
          <w:p>
            <w:pPr>
              <w:pStyle w:val="Compact"/>
              <w:jc w:val="left"/>
              <w:suppressAutoHyphens/>
            </w:pPr>
            <w:r>
              <w:t xml:space="preserve">I — Founding Decade</w:t>
            </w:r>
          </w:p>
        </w:tc>
        <w:tc>
          <w:tcPr/>
          <w:p>
            <w:pPr>
              <w:pStyle w:val="Compact"/>
              <w:jc w:val="left"/>
              <w:suppressAutoHyphens/>
            </w:pPr>
            <w:r>
              <w:t xml:space="preserve">2028–2037</w:t>
            </w:r>
          </w:p>
        </w:tc>
        <w:tc>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p>
            <w:pPr>
              <w:pStyle w:val="Compact"/>
              <w:jc w:val="left"/>
              <w:suppressAutoHyphens/>
            </w:pPr>
            <w:r>
              <w:t xml:space="preserve">II — Secular Expansion &amp; Global Accreditation</w:t>
            </w:r>
          </w:p>
        </w:tc>
        <w:tc>
          <w:tcPr/>
          <w:p>
            <w:pPr>
              <w:pStyle w:val="Compact"/>
              <w:jc w:val="left"/>
              <w:suppressAutoHyphens/>
            </w:pPr>
            <w:r>
              <w:t xml:space="preserve">2038–2047</w:t>
            </w:r>
          </w:p>
        </w:tc>
        <w:tc>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suppressAutoHyphens/>
            </w:pPr>
            <w:r>
              <w:t xml:space="preserve">III — Global Maturity &amp; Legacy</w:t>
            </w:r>
          </w:p>
        </w:tc>
        <w:tc>
          <w:tcPr/>
          <w:p>
            <w:pPr>
              <w:pStyle w:val="Compact"/>
              <w:jc w:val="left"/>
              <w:suppressAutoHyphens/>
            </w:pPr>
            <w:r>
              <w:t xml:space="preserve">2048–2050</w:t>
            </w:r>
          </w:p>
        </w:tc>
        <w:tc>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2"/>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2"/>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2"/>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2"/>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Value</w:t>
            </w:r>
          </w:p>
        </w:tc>
        <w:tc>
          <w:tcPr/>
          <w:p>
            <w:pPr>
              <w:pStyle w:val="Compact"/>
              <w:jc w:val="left"/>
              <w:suppressAutoHyphens/>
            </w:pPr>
            <w:r>
              <w:t xml:space="preserve">Operational Home</w:t>
            </w:r>
          </w:p>
        </w:tc>
        <w:tc>
          <w:tcPr/>
          <w:p>
            <w:pPr>
              <w:pStyle w:val="Compact"/>
              <w:jc w:val="left"/>
              <w:suppressAutoHyphens/>
            </w:pPr>
            <w:r>
              <w:t xml:space="preserve">Audit Mechanism</w:t>
            </w:r>
          </w:p>
        </w:tc>
      </w:tr>
      <w:tr>
        <w:trPr>
          <w:cantSplit/>
        </w:trPr>
        <w:tc>
          <w:tcPr/>
          <w:p>
            <w:pPr>
              <w:pStyle w:val="Compact"/>
              <w:jc w:val="left"/>
              <w:suppressAutoHyphens/>
            </w:pPr>
            <w:r>
              <w:t xml:space="preserve">Illumination</w:t>
            </w:r>
          </w:p>
        </w:tc>
        <w:tc>
          <w:tcPr/>
          <w:p>
            <w:pPr>
              <w:pStyle w:val="Compact"/>
              <w:jc w:val="left"/>
              <w:suppressAutoHyphens/>
            </w:pPr>
            <w:r>
              <w:t xml:space="preserve">Curriculum design, DVC Academic Affairs</w:t>
            </w:r>
          </w:p>
        </w:tc>
        <w:tc>
          <w:tcPr/>
          <w:p>
            <w:pPr>
              <w:pStyle w:val="Compact"/>
              <w:jc w:val="left"/>
              <w:suppressAutoHyphens/>
            </w:pPr>
            <w:r>
              <w:t xml:space="preserve">Senate Group II annual curriculum review</w:t>
            </w:r>
          </w:p>
        </w:tc>
      </w:tr>
      <w:tr>
        <w:trPr>
          <w:cantSplit/>
        </w:trPr>
        <w:tc>
          <w:tcPr/>
          <w:p>
            <w:pPr>
              <w:pStyle w:val="Compact"/>
              <w:jc w:val="left"/>
              <w:suppressAutoHyphens/>
            </w:pPr>
            <w:r>
              <w:t xml:space="preserve">Sanad</w:t>
            </w:r>
          </w:p>
        </w:tc>
        <w:tc>
          <w:tcPr/>
          <w:p>
            <w:pPr>
              <w:pStyle w:val="Compact"/>
              <w:jc w:val="left"/>
              <w:suppressAutoHyphens/>
            </w:pPr>
            <w:r>
              <w:t xml:space="preserve">Faculty credentialing, ijāzah/chain verification</w:t>
            </w:r>
          </w:p>
        </w:tc>
        <w:tc>
          <w:tcPr/>
          <w:p>
            <w:pPr>
              <w:pStyle w:val="Compact"/>
              <w:jc w:val="left"/>
              <w:suppressAutoHyphens/>
            </w:pPr>
            <w:r>
              <w:t xml:space="preserve">Independent Sharī’ah Advisory Board sign-off before program approval</w:t>
            </w:r>
          </w:p>
        </w:tc>
      </w:tr>
      <w:tr>
        <w:trPr>
          <w:cantSplit/>
        </w:trPr>
        <w:tc>
          <w:tcPr/>
          <w:p>
            <w:pPr>
              <w:pStyle w:val="Compact"/>
              <w:jc w:val="left"/>
              <w:suppressAutoHyphens/>
            </w:pPr>
            <w:r>
              <w:t xml:space="preserve">Love</w:t>
            </w:r>
          </w:p>
        </w:tc>
        <w:tc>
          <w:tcPr/>
          <w:p>
            <w:pPr>
              <w:pStyle w:val="Compact"/>
              <w:jc w:val="left"/>
              <w:suppressAutoHyphens/>
            </w:pPr>
            <w:r>
              <w:t xml:space="preserve">Waqf Scholarship Block, community outreach</w:t>
            </w:r>
          </w:p>
        </w:tc>
        <w:tc>
          <w:tcPr/>
          <w:p>
            <w:pPr>
              <w:pStyle w:val="Compact"/>
              <w:jc w:val="left"/>
              <w:suppressAutoHyphens/>
            </w:pPr>
            <w:r>
              <w:t xml:space="preserve">Waqf &amp; Endowment Board quarterly disbursement report</w:t>
            </w:r>
          </w:p>
        </w:tc>
      </w:tr>
      <w:tr>
        <w:trPr>
          <w:cantSplit/>
        </w:trPr>
        <w:tc>
          <w:tcPr/>
          <w:p>
            <w:pPr>
              <w:pStyle w:val="Compact"/>
              <w:jc w:val="left"/>
              <w:suppressAutoHyphens/>
            </w:pPr>
            <w:r>
              <w:t xml:space="preserve">Access</w:t>
            </w:r>
          </w:p>
        </w:tc>
        <w:tc>
          <w:tcPr/>
          <w:p>
            <w:pPr>
              <w:pStyle w:val="Compact"/>
              <w:jc w:val="left"/>
              <w:suppressAutoHyphens/>
            </w:pPr>
            <w:r>
              <w:t xml:space="preserve">Four-tier tuition, 15% upfront discount, Tier-4 built-in waivers</w:t>
            </w:r>
          </w:p>
        </w:tc>
        <w:tc>
          <w:tcPr/>
          <w:p>
            <w:pPr>
              <w:pStyle w:val="Compact"/>
              <w:jc w:val="left"/>
              <w:suppressAutoHyphens/>
            </w:pPr>
            <w:r>
              <w:t xml:space="preserve">Board of Trustees tuition-tier review (exclusive authority)</w:t>
            </w:r>
          </w:p>
        </w:tc>
      </w:tr>
      <w:tr>
        <w:trPr>
          <w:cantSplit/>
        </w:trPr>
        <w:tc>
          <w:tcPr/>
          <w:p>
            <w:pPr>
              <w:pStyle w:val="Compact"/>
              <w:jc w:val="left"/>
              <w:suppressAutoHyphens/>
            </w:pPr>
            <w:r>
              <w:t xml:space="preserve">Morality</w:t>
            </w:r>
          </w:p>
        </w:tc>
        <w:tc>
          <w:tcPr/>
          <w:p>
            <w:pPr>
              <w:pStyle w:val="Compact"/>
              <w:jc w:val="left"/>
              <w:suppressAutoHyphens/>
            </w:pPr>
            <w:r>
              <w:t xml:space="preserve">Sharī’ah-compliance screening of all revenue/investment activity</w:t>
            </w:r>
          </w:p>
        </w:tc>
        <w:tc>
          <w:tcPr/>
          <w:p>
            <w:pPr>
              <w:pStyle w:val="Compact"/>
              <w:jc w:val="left"/>
              <w:suppressAutoHyphens/>
            </w:pPr>
            <w:r>
              <w:t xml:space="preserve">Independent Sharī’ah Advisory Board + Audit &amp; Risk Committee joint review</w:t>
            </w:r>
          </w:p>
        </w:tc>
      </w:tr>
      <w:tr>
        <w:trPr>
          <w:cantSplit/>
        </w:trPr>
        <w:tc>
          <w:tcPr/>
          <w:p>
            <w:pPr>
              <w:pStyle w:val="Compact"/>
              <w:jc w:val="left"/>
              <w:suppressAutoHyphens/>
            </w:pPr>
            <w:r>
              <w:t xml:space="preserve">Inquiry</w:t>
            </w:r>
          </w:p>
        </w:tc>
        <w:tc>
          <w:tcPr/>
          <w:p>
            <w:pPr>
              <w:pStyle w:val="Compact"/>
              <w:jc w:val="left"/>
              <w:suppressAutoHyphens/>
            </w:pPr>
            <w:r>
              <w:t xml:space="preserve">Research tracks, Post-Doctoral Fellowship (Tier VII, Year 6)</w:t>
            </w:r>
          </w:p>
        </w:tc>
        <w:tc>
          <w:tcPr/>
          <w:p>
            <w:pPr>
              <w:pStyle w:val="Compact"/>
              <w:jc w:val="left"/>
              <w:suppressAutoHyphens/>
            </w:pPr>
            <w:r>
              <w:t xml:space="preserve">Senate degree-conferral and academic-standards process</w:t>
            </w:r>
          </w:p>
        </w:tc>
      </w:tr>
      <w:tr>
        <w:trPr>
          <w:cantSplit/>
        </w:trPr>
        <w:tc>
          <w:tcPr/>
          <w:p>
            <w:pPr>
              <w:pStyle w:val="Compact"/>
              <w:jc w:val="left"/>
              <w:suppressAutoHyphens/>
            </w:pPr>
            <w:r>
              <w:t xml:space="preserve">Calling</w:t>
            </w:r>
          </w:p>
        </w:tc>
        <w:tc>
          <w:tcPr/>
          <w:p>
            <w:pPr>
              <w:pStyle w:val="Compact"/>
              <w:jc w:val="left"/>
              <w:suppressAutoHyphens/>
            </w:pPr>
            <w:r>
              <w:t xml:space="preserve">Financial self-sufficiency discipline, $0-deficit rule</w:t>
            </w:r>
          </w:p>
        </w:tc>
        <w:tc>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Committee</w:t>
            </w:r>
          </w:p>
        </w:tc>
        <w:tc>
          <w:tcPr/>
          <w:p>
            <w:pPr>
              <w:pStyle w:val="Compact"/>
              <w:jc w:val="left"/>
              <w:suppressAutoHyphens/>
            </w:pPr>
            <w:r>
              <w:t xml:space="preserve">Reports To</w:t>
            </w:r>
          </w:p>
        </w:tc>
        <w:tc>
          <w:tcPr/>
          <w:p>
            <w:pPr>
              <w:pStyle w:val="Compact"/>
              <w:jc w:val="left"/>
              <w:suppressAutoHyphens/>
            </w:pPr>
            <w:r>
              <w:t xml:space="preserve">Core Mandate</w:t>
            </w:r>
          </w:p>
        </w:tc>
      </w:tr>
      <w:tr>
        <w:trPr>
          <w:cantSplit/>
        </w:trPr>
        <w:tc>
          <w:tcPr/>
          <w:p>
            <w:pPr>
              <w:pStyle w:val="Compact"/>
              <w:jc w:val="left"/>
              <w:suppressAutoHyphens/>
            </w:pPr>
            <w:r>
              <w:t xml:space="preserve">Audit &amp; Risk Committee</w:t>
            </w:r>
          </w:p>
        </w:tc>
        <w:tc>
          <w:tcPr/>
          <w:p>
            <w:pPr>
              <w:pStyle w:val="Compact"/>
              <w:jc w:val="left"/>
              <w:suppressAutoHyphens/>
            </w:pPr>
            <w:r>
              <w:t xml:space="preserve">Board of Trustees</w:t>
            </w:r>
          </w:p>
        </w:tc>
        <w:tc>
          <w:tcPr/>
          <w:p>
            <w:pPr>
              <w:pStyle w:val="Compact"/>
              <w:jc w:val="left"/>
              <w:suppressAutoHyphens/>
            </w:pPr>
            <w:r>
              <w:t xml:space="preserve">Internal Audit oversight, Risk Register (14 items) monitoring, IRS nonprofit-compliance review</w:t>
            </w:r>
          </w:p>
        </w:tc>
      </w:tr>
      <w:tr>
        <w:trPr>
          <w:cantSplit/>
        </w:trPr>
        <w:tc>
          <w:tcPr/>
          <w:p>
            <w:pPr>
              <w:pStyle w:val="Compact"/>
              <w:jc w:val="left"/>
              <w:suppressAutoHyphens/>
            </w:pPr>
            <w:r>
              <w:t xml:space="preserve">Waqf &amp; Endowment Board</w:t>
            </w:r>
          </w:p>
        </w:tc>
        <w:tc>
          <w:tcPr/>
          <w:p>
            <w:pPr>
              <w:pStyle w:val="Compact"/>
              <w:jc w:val="left"/>
              <w:suppressAutoHyphens/>
            </w:pPr>
            <w:r>
              <w:t xml:space="preserve">Board (fiduciary) + Senate (2/3+2-independent vote on &gt;$250k/yr deployment)</w:t>
            </w:r>
          </w:p>
        </w:tc>
        <w:tc>
          <w:tcPr/>
          <w:p>
            <w:pPr>
              <w:pStyle w:val="Compact"/>
              <w:jc w:val="left"/>
              <w:suppressAutoHyphens/>
            </w:pPr>
            <w:r>
              <w:t xml:space="preserve">Administers 20% Waqf allocation and five sub-categories; 14-day adjudication on Scholarship Block awards</w:t>
            </w:r>
          </w:p>
        </w:tc>
      </w:tr>
      <w:tr>
        <w:trPr>
          <w:cantSplit/>
        </w:trPr>
        <w:tc>
          <w:tcPr/>
          <w:p>
            <w:pPr>
              <w:pStyle w:val="Compact"/>
              <w:jc w:val="left"/>
              <w:suppressAutoHyphens/>
            </w:pPr>
            <w:r>
              <w:t xml:space="preserve">Independent Sharī’ah Advisory Board</w:t>
            </w:r>
          </w:p>
        </w:tc>
        <w:tc>
          <w:tcPr/>
          <w:p>
            <w:pPr>
              <w:pStyle w:val="Compact"/>
              <w:jc w:val="left"/>
              <w:suppressAutoHyphens/>
            </w:pPr>
            <w:r>
              <w:t xml:space="preserve">Senate (academic) with Board notification rights</w:t>
            </w:r>
          </w:p>
        </w:tc>
        <w:tc>
          <w:tcPr/>
          <w:p>
            <w:pPr>
              <w:pStyle w:val="Compact"/>
              <w:jc w:val="left"/>
              <w:suppressAutoHyphens/>
            </w:pPr>
            <w:r>
              <w:t xml:space="preserve">Sharī’ah-compliance sign-off on curriculum, finance products, Commercial Engine ventures</w:t>
            </w:r>
          </w:p>
        </w:tc>
      </w:tr>
      <w:tr>
        <w:trPr>
          <w:cantSplit/>
        </w:trPr>
        <w:tc>
          <w:tcPr/>
          <w:p>
            <w:pPr>
              <w:pStyle w:val="Compact"/>
              <w:jc w:val="left"/>
              <w:suppressAutoHyphens/>
            </w:pPr>
            <w:r>
              <w:t xml:space="preserve">Faculty Affairs Committee</w:t>
            </w:r>
          </w:p>
        </w:tc>
        <w:tc>
          <w:tcPr/>
          <w:p>
            <w:pPr>
              <w:pStyle w:val="Compact"/>
              <w:jc w:val="left"/>
              <w:suppressAutoHyphens/>
            </w:pPr>
            <w:r>
              <w:t xml:space="preserve">Senate Group III (Heads of Department)</w:t>
            </w:r>
          </w:p>
        </w:tc>
        <w:tc>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Quarter</w:t>
            </w:r>
          </w:p>
        </w:tc>
        <w:tc>
          <w:tcPr/>
          <w:p>
            <w:pPr>
              <w:pStyle w:val="Compact"/>
              <w:jc w:val="left"/>
              <w:suppressAutoHyphens/>
            </w:pPr>
            <w:r>
              <w:t xml:space="preserve">Board Activity</w:t>
            </w:r>
          </w:p>
        </w:tc>
        <w:tc>
          <w:tcPr/>
          <w:p>
            <w:pPr>
              <w:pStyle w:val="Compact"/>
              <w:jc w:val="left"/>
              <w:suppressAutoHyphens/>
            </w:pPr>
            <w:r>
              <w:t xml:space="preserve">Senate/Committee Activity</w:t>
            </w:r>
          </w:p>
        </w:tc>
      </w:tr>
      <w:tr>
        <w:trPr>
          <w:cantSplit/>
        </w:trPr>
        <w:tc>
          <w:tcPr/>
          <w:p>
            <w:pPr>
              <w:pStyle w:val="Compact"/>
              <w:jc w:val="left"/>
              <w:suppressAutoHyphens/>
            </w:pPr>
            <w:r>
              <w:t xml:space="preserve">Q1</w:t>
            </w:r>
          </w:p>
        </w:tc>
        <w:tc>
          <w:tcPr/>
          <w:p>
            <w:pPr>
              <w:pStyle w:val="Compact"/>
              <w:jc w:val="left"/>
              <w:suppressAutoHyphens/>
            </w:pPr>
            <w:r>
              <w:t xml:space="preserve">Prior-year audited financials review</w:t>
            </w:r>
          </w:p>
        </w:tc>
        <w:tc>
          <w:tcPr/>
          <w:p>
            <w:pPr>
              <w:pStyle w:val="Compact"/>
              <w:jc w:val="left"/>
              <w:suppressAutoHyphens/>
            </w:pPr>
            <w:r>
              <w:t xml:space="preserve">Waqf &amp; Endowment Board annual disbursement report</w:t>
            </w:r>
          </w:p>
        </w:tc>
      </w:tr>
      <w:tr>
        <w:trPr>
          <w:cantSplit/>
        </w:trPr>
        <w:tc>
          <w:tcPr/>
          <w:p>
            <w:pPr>
              <w:pStyle w:val="Compact"/>
              <w:jc w:val="left"/>
              <w:suppressAutoHyphens/>
            </w:pPr>
            <w:r>
              <w:t xml:space="preserve">Q2</w:t>
            </w:r>
          </w:p>
        </w:tc>
        <w:tc>
          <w:tcPr/>
          <w:p>
            <w:pPr>
              <w:pStyle w:val="Compact"/>
              <w:jc w:val="left"/>
              <w:suppressAutoHyphens/>
            </w:pPr>
            <w:r>
              <w:t xml:space="preserve">Tuition-tier review (exclusive authority)</w:t>
            </w:r>
          </w:p>
        </w:tc>
        <w:tc>
          <w:tcPr/>
          <w:p>
            <w:pPr>
              <w:pStyle w:val="Compact"/>
              <w:jc w:val="left"/>
              <w:suppressAutoHyphens/>
            </w:pPr>
            <w:r>
              <w:t xml:space="preserve">Faculty Affairs annual review; Sharī’ah Advisory curriculum sign-off</w:t>
            </w:r>
          </w:p>
        </w:tc>
      </w:tr>
      <w:tr>
        <w:trPr>
          <w:cantSplit/>
        </w:trPr>
        <w:tc>
          <w:tcPr/>
          <w:p>
            <w:pPr>
              <w:pStyle w:val="Compact"/>
              <w:jc w:val="left"/>
              <w:suppressAutoHyphens/>
            </w:pPr>
            <w:r>
              <w:t xml:space="preserve">Q3</w:t>
            </w:r>
          </w:p>
        </w:tc>
        <w:tc>
          <w:tcPr/>
          <w:p>
            <w:pPr>
              <w:pStyle w:val="Compact"/>
              <w:jc w:val="left"/>
              <w:suppressAutoHyphens/>
            </w:pPr>
            <w:r>
              <w:t xml:space="preserve">Commercial Engine oversight review (firewall compliance)</w:t>
            </w:r>
          </w:p>
        </w:tc>
        <w:tc>
          <w:tcPr/>
          <w:p>
            <w:pPr>
              <w:pStyle w:val="Compact"/>
              <w:jc w:val="left"/>
              <w:suppressAutoHyphens/>
            </w:pPr>
            <w:r>
              <w:t xml:space="preserve">Academic program review, degree-conferral cycle</w:t>
            </w:r>
          </w:p>
        </w:tc>
      </w:tr>
      <w:tr>
        <w:trPr>
          <w:cantSplit/>
        </w:trPr>
        <w:tc>
          <w:tcPr/>
          <w:p>
            <w:pPr>
              <w:pStyle w:val="Compact"/>
              <w:jc w:val="left"/>
              <w:suppressAutoHyphens/>
            </w:pPr>
            <w:r>
              <w:t xml:space="preserve">Q4</w:t>
            </w:r>
          </w:p>
        </w:tc>
        <w:tc>
          <w:tcPr/>
          <w:p>
            <w:pPr>
              <w:pStyle w:val="Compact"/>
              <w:jc w:val="left"/>
              <w:suppressAutoHyphens/>
            </w:pPr>
            <w:r>
              <w:t xml:space="preserve">Annual budget approval for coming fiscal year</w:t>
            </w:r>
          </w:p>
        </w:tc>
        <w:tc>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Group</w:t>
            </w:r>
          </w:p>
        </w:tc>
        <w:tc>
          <w:tcPr/>
          <w:p>
            <w:pPr>
              <w:pStyle w:val="Compact"/>
              <w:jc w:val="left"/>
              <w:suppressAutoHyphens/>
            </w:pPr>
            <w:r>
              <w:t xml:space="preserve">Seats</w:t>
            </w:r>
          </w:p>
        </w:tc>
        <w:tc>
          <w:tcPr/>
          <w:p>
            <w:pPr>
              <w:pStyle w:val="Compact"/>
              <w:jc w:val="left"/>
              <w:suppressAutoHyphens/>
            </w:pPr>
            <w:r>
              <w:t xml:space="preserve">Composition</w:t>
            </w:r>
          </w:p>
        </w:tc>
      </w:tr>
      <w:tr>
        <w:trPr>
          <w:cantSplit/>
        </w:trPr>
        <w:tc>
          <w:tcPr/>
          <w:p>
            <w:pPr>
              <w:pStyle w:val="Compact"/>
              <w:jc w:val="left"/>
              <w:suppressAutoHyphens/>
            </w:pPr>
            <w:r>
              <w:t xml:space="preserve">I — Executive Leadership</w:t>
            </w:r>
          </w:p>
        </w:tc>
        <w:tc>
          <w:tcPr/>
          <w:p>
            <w:pPr>
              <w:pStyle w:val="Compact"/>
              <w:jc w:val="left"/>
              <w:suppressAutoHyphens/>
            </w:pPr>
            <w:r>
              <w:t xml:space="preserve">3</w:t>
            </w:r>
          </w:p>
        </w:tc>
        <w:tc>
          <w:tcPr/>
          <w:p>
            <w:pPr>
              <w:pStyle w:val="Compact"/>
              <w:jc w:val="left"/>
              <w:suppressAutoHyphens/>
            </w:pPr>
            <w:r>
              <w:t xml:space="preserve">President &amp; VC (Chair); DVC Academic Affairs, Muhammad Al-Qumash PhD (Vice-Chair); DVC Admin &amp; Finance, Abdullah Turki PhD (Secretary)</w:t>
            </w:r>
          </w:p>
        </w:tc>
      </w:tr>
      <w:tr>
        <w:trPr>
          <w:cantSplit/>
        </w:trPr>
        <w:tc>
          <w:tcPr/>
          <w:p>
            <w:pPr>
              <w:pStyle w:val="Compact"/>
              <w:jc w:val="left"/>
              <w:suppressAutoHyphens/>
            </w:pPr>
            <w:r>
              <w:t xml:space="preserve">II — Academic Operations</w:t>
            </w:r>
          </w:p>
        </w:tc>
        <w:tc>
          <w:tcPr/>
          <w:p>
            <w:pPr>
              <w:pStyle w:val="Compact"/>
              <w:jc w:val="left"/>
              <w:suppressAutoHyphens/>
            </w:pPr>
            <w:r>
              <w:t xml:space="preserve">5</w:t>
            </w:r>
          </w:p>
        </w:tc>
        <w:tc>
          <w:tcPr/>
          <w:p>
            <w:pPr>
              <w:pStyle w:val="Compact"/>
              <w:jc w:val="left"/>
              <w:suppressAutoHyphens/>
            </w:pPr>
            <w:r>
              <w:t xml:space="preserve">4 College Deans (covering 6 colleges in paired/single assignments) + University Librarian (independent seat)</w:t>
            </w:r>
          </w:p>
        </w:tc>
      </w:tr>
      <w:tr>
        <w:trPr>
          <w:cantSplit/>
        </w:trPr>
        <w:tc>
          <w:tcPr/>
          <w:p>
            <w:pPr>
              <w:pStyle w:val="Compact"/>
              <w:jc w:val="left"/>
              <w:suppressAutoHyphens/>
            </w:pPr>
            <w:r>
              <w:t xml:space="preserve">III — Frontline Instructional Management</w:t>
            </w:r>
          </w:p>
        </w:tc>
        <w:tc>
          <w:tcPr/>
          <w:p>
            <w:pPr>
              <w:pStyle w:val="Compact"/>
              <w:jc w:val="left"/>
              <w:suppressAutoHyphens/>
            </w:pPr>
            <w:r>
              <w:t xml:space="preserve">6</w:t>
            </w:r>
          </w:p>
        </w:tc>
        <w:tc>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suppressAutoHyphens/>
            </w:pPr>
            <w:r>
              <w:t xml:space="preserve">IV — Institutional &amp; Digital Strategy</w:t>
            </w:r>
          </w:p>
        </w:tc>
        <w:tc>
          <w:tcPr/>
          <w:p>
            <w:pPr>
              <w:pStyle w:val="Compact"/>
              <w:jc w:val="left"/>
              <w:suppressAutoHyphens/>
            </w:pPr>
            <w:r>
              <w:t xml:space="preserve">4</w:t>
            </w:r>
          </w:p>
        </w:tc>
        <w:tc>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Decision Type</w:t>
            </w:r>
          </w:p>
        </w:tc>
        <w:tc>
          <w:tcPr/>
          <w:p>
            <w:pPr>
              <w:pStyle w:val="Compact"/>
              <w:jc w:val="left"/>
              <w:suppressAutoHyphens/>
            </w:pPr>
            <w:r>
              <w:t xml:space="preserve">Threshold</w:t>
            </w:r>
          </w:p>
        </w:tc>
      </w:tr>
      <w:tr>
        <w:trPr>
          <w:cantSplit/>
        </w:trPr>
        <w:tc>
          <w:tcPr/>
          <w:p>
            <w:pPr>
              <w:pStyle w:val="Compact"/>
              <w:jc w:val="left"/>
              <w:suppressAutoHyphens/>
            </w:pPr>
            <w:r>
              <w:t xml:space="preserve">Ordinary business (curriculum, standard academic matters)</w:t>
            </w:r>
          </w:p>
        </w:tc>
        <w:tc>
          <w:tcPr/>
          <w:p>
            <w:pPr>
              <w:pStyle w:val="Compact"/>
              <w:jc w:val="left"/>
              <w:suppressAutoHyphens/>
            </w:pPr>
            <w:r>
              <w:t xml:space="preserve">Simple majority of seated members, quorum = 10 of 18</w:t>
            </w:r>
          </w:p>
        </w:tc>
      </w:tr>
      <w:tr>
        <w:trPr>
          <w:cantSplit/>
        </w:trPr>
        <w:tc>
          <w:tcPr/>
          <w:p>
            <w:pPr>
              <w:pStyle w:val="Compact"/>
              <w:jc w:val="left"/>
              <w:suppressAutoHyphens/>
            </w:pPr>
            <w:r>
              <w:t xml:space="preserve">Waqf deployment above $250,000/yr</w:t>
            </w:r>
          </w:p>
        </w:tc>
        <w:tc>
          <w:tcPr/>
          <w:p>
            <w:pPr>
              <w:pStyle w:val="Compact"/>
              <w:jc w:val="left"/>
              <w:suppressAutoHyphens/>
            </w:pPr>
            <w:r>
              <w:t xml:space="preserve">2/3 Senate vote (12 of 18) including ≥2 of the 4 independent seats</w:t>
            </w:r>
          </w:p>
        </w:tc>
      </w:tr>
      <w:tr>
        <w:trPr>
          <w:cantSplit/>
        </w:trPr>
        <w:tc>
          <w:tcPr/>
          <w:p>
            <w:pPr>
              <w:pStyle w:val="Compact"/>
              <w:jc w:val="left"/>
              <w:suppressAutoHyphens/>
            </w:pPr>
            <w:r>
              <w:t xml:space="preserve">Founders’ compensation</w:t>
            </w:r>
          </w:p>
        </w:tc>
        <w:tc>
          <w:tcPr/>
          <w:p>
            <w:pPr>
              <w:pStyle w:val="Compact"/>
              <w:jc w:val="left"/>
              <w:suppressAutoHyphens/>
            </w:pPr>
            <w:r>
              <w:t xml:space="preserve">Unanimous affirmative approval from all 4 independent seats (8, 16, 17, 18) — no exceptions, no proxy override</w:t>
            </w:r>
          </w:p>
        </w:tc>
      </w:tr>
      <w:tr>
        <w:trPr>
          <w:cantSplit/>
        </w:trPr>
        <w:tc>
          <w:tcPr/>
          <w:p>
            <w:pPr>
              <w:pStyle w:val="Compact"/>
              <w:jc w:val="left"/>
              <w:suppressAutoHyphens/>
            </w:pPr>
            <w:r>
              <w:t xml:space="preserve">Degree conferral / new program approval</w:t>
            </w:r>
          </w:p>
        </w:tc>
        <w:tc>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Role</w:t>
            </w:r>
          </w:p>
        </w:tc>
        <w:tc>
          <w:tcPr/>
          <w:p>
            <w:pPr>
              <w:pStyle w:val="Compact"/>
              <w:jc w:val="left"/>
              <w:suppressAutoHyphens/>
            </w:pPr>
            <w:r>
              <w:t xml:space="preserve">Function</w:t>
            </w:r>
          </w:p>
        </w:tc>
      </w:tr>
      <w:tr>
        <w:trPr>
          <w:cantSplit/>
        </w:trPr>
        <w:tc>
          <w:tcPr/>
          <w:p>
            <w:pPr>
              <w:pStyle w:val="Compact"/>
              <w:jc w:val="left"/>
              <w:suppressAutoHyphens/>
            </w:pPr>
            <w:r>
              <w:t xml:space="preserve">Chairman</w:t>
            </w:r>
          </w:p>
        </w:tc>
        <w:tc>
          <w:tcPr/>
          <w:p>
            <w:pPr>
              <w:pStyle w:val="Compact"/>
              <w:jc w:val="left"/>
              <w:suppressAutoHyphens/>
            </w:pPr>
            <w:r>
              <w:t xml:space="preserve">Presides over Board meetings, tie-breaking authority, primary liaison to the Senate Chair (President &amp; VC)</w:t>
            </w:r>
          </w:p>
        </w:tc>
      </w:tr>
      <w:tr>
        <w:trPr>
          <w:cantSplit/>
        </w:trPr>
        <w:tc>
          <w:tcPr/>
          <w:p>
            <w:pPr>
              <w:pStyle w:val="Compact"/>
              <w:jc w:val="left"/>
              <w:suppressAutoHyphens/>
            </w:pPr>
            <w:r>
              <w:t xml:space="preserve">Vision Architect / Founder</w:t>
            </w:r>
          </w:p>
        </w:tc>
        <w:tc>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suppressAutoHyphens/>
            </w:pPr>
            <w:r>
              <w:t xml:space="preserve">Governance Specialist</w:t>
            </w:r>
          </w:p>
        </w:tc>
        <w:tc>
          <w:tcPr/>
          <w:p>
            <w:pPr>
              <w:pStyle w:val="Compact"/>
              <w:jc w:val="left"/>
              <w:suppressAutoHyphens/>
            </w:pPr>
            <w:r>
              <w:t xml:space="preserve">Board policy, bylaws maintenance, committee-charter oversight</w:t>
            </w:r>
          </w:p>
        </w:tc>
      </w:tr>
      <w:tr>
        <w:trPr>
          <w:cantSplit/>
        </w:trPr>
        <w:tc>
          <w:tcPr/>
          <w:p>
            <w:pPr>
              <w:pStyle w:val="Compact"/>
              <w:jc w:val="left"/>
              <w:suppressAutoHyphens/>
            </w:pPr>
            <w:r>
              <w:t xml:space="preserve">Accreditation Consultant</w:t>
            </w:r>
          </w:p>
        </w:tc>
        <w:tc>
          <w:tcPr/>
          <w:p>
            <w:pPr>
              <w:pStyle w:val="Compact"/>
              <w:jc w:val="left"/>
              <w:suppressAutoHyphens/>
            </w:pPr>
            <w:r>
              <w:t xml:space="preserve">Guides the multi-jurisdiction accreditation pipeline (Texas → Gambia/NAQAA → ISO 21001 → CPD → future Gulf/Nigeria)</w:t>
            </w:r>
          </w:p>
        </w:tc>
      </w:tr>
      <w:tr>
        <w:trPr>
          <w:cantSplit/>
        </w:trPr>
        <w:tc>
          <w:tcPr/>
          <w:p>
            <w:pPr>
              <w:pStyle w:val="Compact"/>
              <w:jc w:val="left"/>
              <w:suppressAutoHyphens/>
            </w:pPr>
            <w:r>
              <w:t xml:space="preserve">Legal Affairs Director</w:t>
            </w:r>
          </w:p>
        </w:tc>
        <w:tc>
          <w:tcPr/>
          <w:p>
            <w:pPr>
              <w:pStyle w:val="Compact"/>
              <w:jc w:val="left"/>
              <w:suppressAutoHyphens/>
            </w:pPr>
            <w:r>
              <w:t xml:space="preserve">Texas nonprofit compliance, IRS 501(c)(3) religious-exemption maintenance, Commercial Engine firewall legal enforcement</w:t>
            </w:r>
          </w:p>
        </w:tc>
      </w:tr>
      <w:tr>
        <w:trPr>
          <w:cantSplit/>
        </w:trPr>
        <w:tc>
          <w:tcPr/>
          <w:p>
            <w:pPr>
              <w:pStyle w:val="Compact"/>
              <w:jc w:val="left"/>
              <w:suppressAutoHyphens/>
            </w:pPr>
            <w:r>
              <w:t xml:space="preserve">Nonprofit/Endowment Governance Expert</w:t>
            </w:r>
          </w:p>
        </w:tc>
        <w:tc>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TWO OF EIGHT</w:t>
            </w:r>
          </w:p>
          <w:p>
            <w:pPr>
              <w:spacing w:before="0" w:after="60"/>
              <w:suppressAutoHyphens/>
            </w:pPr>
            <w:r>
              <w:rPr>
                <w:rFonts w:ascii="Cinzel" w:hAnsi="Cinzel"/>
                <w:b/>
                <w:color w:val="B08625"/>
                <w:sz w:val="22"/>
                <w:caps/>
                <w:spacing w:val="18"/>
              </w:rPr>
              <w:t>II</w:t>
            </w:r>
          </w:p>
          <w:p>
            <w:pPr>
              <w:spacing w:before="120" w:after="80"/>
              <w:suppressAutoHyphens/>
            </w:pPr>
            <w:r>
              <w:rPr>
                <w:rFonts w:ascii="Cormorant Garamond" w:hAnsi="Cormorant Garamond"/>
                <w:b/>
                <w:color w:val="B08625"/>
                <w:sz w:val="22"/>
                <w:caps/>
                <w:spacing w:val="18"/>
              </w:rPr>
              <w:t>Organizational &amp; Academic Structure</w:t>
            </w:r>
          </w:p>
          <w:p>
            <w:pPr>
              <w:spacing w:before="0" w:after="260"/>
              <w:pBdr>
                <w:bottom w:val="single" w:sz="10" w:space="8" w:color="B08625"/>
              </w:pBdr>
              <w:suppressAutoHyphens/>
            </w:pPr>
            <w:r>
              <w:rPr>
                <w:rFonts w:ascii="Liberation Sans" w:hAnsi="Liberation Sans"/>
                <w:color w:val="8C97AB"/>
                <w:sz w:val="17"/>
                <w:spacing w:val="14"/>
              </w:rPr>
              <w:t>SECTIONS 6–10</w:t>
            </w:r>
          </w:p>
          <w:p>
            <w:pPr>
              <w:spacing w:before="0" w:after="360"/>
              <w:ind w:right="700"/>
              <w:suppressAutoHyphens/>
            </w:pPr>
            <w:r>
              <w:rPr>
                <w:rFonts w:ascii="Cormorant Garamond" w:hAnsi="Cormorant Garamond"/>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06 </w:t>
            </w:r>
            <w:r>
              <w:rPr>
                <w:rFonts w:ascii="Liberation Sans" w:hAnsi="Liberation Sans"/>
                <w:color w:val="FFFFFF"/>
                <w:sz w:val="20"/>
              </w:rPr>
              <w:t>Organizational Chart</w:t>
            </w:r>
          </w:p>
          <w:p>
            <w:pPr>
              <w:spacing w:before="0" w:after="130"/>
              <w:suppressAutoHyphens/>
            </w:pPr>
            <w:r>
              <w:rPr>
                <w:rFonts w:ascii="Cinzel" w:hAnsi="Cinzel"/>
                <w:b/>
                <w:color w:val="B08625"/>
                <w:sz w:val="22"/>
                <w:caps/>
                <w:spacing w:val="18"/>
              </w:rPr>
              <w:t>07 </w:t>
            </w:r>
            <w:r>
              <w:rPr>
                <w:rFonts w:ascii="Liberation Sans" w:hAnsi="Liberation Sans"/>
                <w:color w:val="FFFFFF"/>
                <w:sz w:val="20"/>
              </w:rPr>
              <w:t>Academic Master Plan</w:t>
            </w:r>
          </w:p>
          <w:p>
            <w:pPr>
              <w:spacing w:before="0" w:after="130"/>
              <w:suppressAutoHyphens/>
            </w:pPr>
            <w:r>
              <w:rPr>
                <w:rFonts w:ascii="Cinzel" w:hAnsi="Cinzel"/>
                <w:b/>
                <w:color w:val="B08625"/>
                <w:sz w:val="22"/>
                <w:caps/>
                <w:spacing w:val="18"/>
              </w:rPr>
              <w:t>08 </w:t>
            </w:r>
            <w:r>
              <w:rPr>
                <w:rFonts w:ascii="Liberation Sans" w:hAnsi="Liberation Sans"/>
                <w:color w:val="FFFFFF"/>
                <w:sz w:val="20"/>
              </w:rPr>
              <w:t>College Structure</w:t>
            </w:r>
          </w:p>
          <w:p>
            <w:pPr>
              <w:spacing w:before="0" w:after="130"/>
              <w:suppressAutoHyphens/>
            </w:pPr>
            <w:r>
              <w:rPr>
                <w:rFonts w:ascii="Cinzel" w:hAnsi="Cinzel"/>
                <w:b/>
                <w:color w:val="B08625"/>
                <w:sz w:val="22"/>
                <w:caps/>
                <w:spacing w:val="18"/>
              </w:rPr>
              <w:t>09 </w:t>
            </w:r>
            <w:r>
              <w:rPr>
                <w:rFonts w:ascii="Liberation Sans" w:hAnsi="Liberation Sans"/>
                <w:color w:val="FFFFFF"/>
                <w:sz w:val="20"/>
              </w:rPr>
              <w:t>Faculty Structure</w:t>
            </w:r>
          </w:p>
          <w:p>
            <w:pPr>
              <w:spacing w:before="0" w:after="130"/>
              <w:suppressAutoHyphens/>
            </w:pPr>
            <w:r>
              <w:rPr>
                <w:rFonts w:ascii="Cinzel" w:hAnsi="Cinzel"/>
                <w:b/>
                <w:color w:val="B08625"/>
                <w:sz w:val="22"/>
                <w:caps/>
                <w:spacing w:val="18"/>
              </w:rPr>
              <w:t>10 </w:t>
            </w:r>
            <w:r>
              <w:rPr>
                <w:rFonts w:ascii="Liberation Sans" w:hAnsi="Liberation Sans"/>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49279"/>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4927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Phase</w:t>
            </w:r>
          </w:p>
        </w:tc>
        <w:tc>
          <w:tcPr/>
          <w:p>
            <w:pPr>
              <w:pStyle w:val="Compact"/>
              <w:jc w:val="left"/>
              <w:suppressAutoHyphens/>
            </w:pPr>
            <w:r>
              <w:t xml:space="preserve">Payroll (20% of Gross Rev)</w:t>
            </w:r>
          </w:p>
        </w:tc>
        <w:tc>
          <w:tcPr/>
          <w:p>
            <w:pPr>
              <w:pStyle w:val="Compact"/>
              <w:jc w:val="left"/>
              <w:suppressAutoHyphens/>
            </w:pPr>
            <w:r>
              <w:t xml:space="preserve">Admin/Ops FTE</w:t>
            </w:r>
          </w:p>
        </w:tc>
        <w:tc>
          <w:tcPr/>
          <w:p>
            <w:pPr>
              <w:pStyle w:val="Compact"/>
              <w:jc w:val="left"/>
              <w:suppressAutoHyphens/>
            </w:pPr>
            <w:r>
              <w:t xml:space="preserve">Registrar staff</w:t>
            </w:r>
          </w:p>
        </w:tc>
        <w:tc>
          <w:tcPr/>
          <w:p>
            <w:pPr>
              <w:pStyle w:val="Compact"/>
              <w:jc w:val="left"/>
              <w:suppressAutoHyphens/>
            </w:pPr>
            <w:r>
              <w:t xml:space="preserve">Key cost driver</w:t>
            </w:r>
          </w:p>
        </w:tc>
      </w:tr>
      <w:tr>
        <w:trPr>
          <w:cantSplit/>
        </w:trPr>
        <w:tc>
          <w:tcPr/>
          <w:p>
            <w:pPr>
              <w:pStyle w:val="Compact"/>
              <w:jc w:val="left"/>
              <w:suppressAutoHyphens/>
            </w:pPr>
            <w:r>
              <w:t xml:space="preserve">Yr1</w:t>
            </w:r>
          </w:p>
        </w:tc>
        <w:tc>
          <w:tcPr/>
          <w:p>
            <w:pPr>
              <w:pStyle w:val="Compact"/>
              <w:jc w:val="left"/>
              <w:suppressAutoHyphens/>
            </w:pPr>
            <w:r>
              <w:t xml:space="preserve">$44,949</w:t>
            </w:r>
          </w:p>
        </w:tc>
        <w:tc>
          <w:tcPr/>
          <w:p>
            <w:pPr>
              <w:pStyle w:val="Compact"/>
              <w:jc w:val="left"/>
              <w:suppressAutoHyphens/>
            </w:pPr>
            <w:r>
              <w:t xml:space="preserve">1 (shared)</w:t>
            </w:r>
          </w:p>
        </w:tc>
        <w:tc>
          <w:tcPr/>
          <w:p>
            <w:pPr>
              <w:pStyle w:val="Compact"/>
              <w:jc w:val="left"/>
              <w:suppressAutoHyphens/>
            </w:pPr>
            <w:r>
              <w:t xml:space="preserve">1</w:t>
            </w:r>
          </w:p>
        </w:tc>
        <w:tc>
          <w:tcPr/>
          <w:p>
            <w:pPr>
              <w:pStyle w:val="Compact"/>
              <w:jc w:val="left"/>
              <w:suppressAutoHyphens/>
            </w:pPr>
            <w:r>
              <w:t xml:space="preserve">Core Admin sub-split 18% = $8,091</w:t>
            </w:r>
          </w:p>
        </w:tc>
      </w:tr>
      <w:tr>
        <w:trPr>
          <w:cantSplit/>
        </w:trPr>
        <w:tc>
          <w:tcPr/>
          <w:p>
            <w:pPr>
              <w:pStyle w:val="Compact"/>
              <w:jc w:val="left"/>
              <w:suppressAutoHyphens/>
            </w:pPr>
            <w:r>
              <w:t xml:space="preserve">Yr5</w:t>
            </w:r>
          </w:p>
        </w:tc>
        <w:tc>
          <w:tcPr/>
          <w:p>
            <w:pPr>
              <w:pStyle w:val="Compact"/>
              <w:jc w:val="left"/>
              <w:suppressAutoHyphens/>
            </w:pPr>
            <w:r>
              <w:t xml:space="preserve">$258,157</w:t>
            </w:r>
          </w:p>
        </w:tc>
        <w:tc>
          <w:tcPr/>
          <w:p>
            <w:pPr>
              <w:pStyle w:val="Compact"/>
              <w:jc w:val="left"/>
              <w:suppressAutoHyphens/>
            </w:pPr>
            <w:r>
              <w:t xml:space="preserve">3–4</w:t>
            </w:r>
          </w:p>
        </w:tc>
        <w:tc>
          <w:tcPr/>
          <w:p>
            <w:pPr>
              <w:pStyle w:val="Compact"/>
              <w:jc w:val="left"/>
              <w:suppressAutoHyphens/>
            </w:pPr>
            <w:r>
              <w:t xml:space="preserve">2–3</w:t>
            </w:r>
          </w:p>
        </w:tc>
        <w:tc>
          <w:tcPr/>
          <w:p>
            <w:pPr>
              <w:pStyle w:val="Compact"/>
              <w:jc w:val="left"/>
              <w:suppressAutoHyphens/>
            </w:pPr>
            <w:r>
              <w:t xml:space="preserve">Core Admin = $46,468</w:t>
            </w:r>
          </w:p>
        </w:tc>
      </w:tr>
      <w:tr>
        <w:trPr>
          <w:cantSplit/>
        </w:trPr>
        <w:tc>
          <w:tcPr/>
          <w:p>
            <w:pPr>
              <w:pStyle w:val="Compact"/>
              <w:jc w:val="left"/>
              <w:suppressAutoHyphens/>
            </w:pPr>
            <w:r>
              <w:t xml:space="preserve">Yr15 (illustrative)</w:t>
            </w:r>
          </w:p>
        </w:tc>
        <w:tc>
          <w:tcPr/>
          <w:p>
            <w:pPr>
              <w:pStyle w:val="Compact"/>
              <w:jc w:val="left"/>
              <w:suppressAutoHyphens/>
            </w:pPr>
            <w:r>
              <w:t xml:space="preserve">≈$8.62M</w:t>
            </w:r>
          </w:p>
        </w:tc>
        <w:tc>
          <w:tcPr/>
          <w:p>
            <w:pPr>
              <w:pStyle w:val="Compact"/>
              <w:jc w:val="left"/>
              <w:suppressAutoHyphens/>
            </w:pPr>
            <w:r>
              <w:t xml:space="preserve">20–30</w:t>
            </w:r>
          </w:p>
        </w:tc>
        <w:tc>
          <w:tcPr/>
          <w:p>
            <w:pPr>
              <w:pStyle w:val="Compact"/>
              <w:jc w:val="left"/>
              <w:suppressAutoHyphens/>
            </w:pPr>
            <w:r>
              <w:t xml:space="preserve">6–8</w:t>
            </w:r>
          </w:p>
        </w:tc>
        <w:tc>
          <w:tcPr/>
          <w:p>
            <w:pPr>
              <w:pStyle w:val="Compact"/>
              <w:jc w:val="left"/>
              <w:suppressAutoHyphens/>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3"/>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3"/>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5028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5028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Tier(s) launched</w:t>
            </w:r>
          </w:p>
        </w:tc>
        <w:tc>
          <w:tcPr/>
          <w:p>
            <w:pPr>
              <w:pStyle w:val="Compact"/>
              <w:jc w:val="left"/>
              <w:suppressAutoHyphens/>
            </w:pPr>
            <w:r>
              <w:t xml:space="preserve">Programs</w:t>
            </w:r>
          </w:p>
        </w:tc>
      </w:tr>
      <w:tr>
        <w:trPr>
          <w:cantSplit/>
        </w:trPr>
        <w:tc>
          <w:tcPr/>
          <w:p>
            <w:pPr>
              <w:pStyle w:val="Compact"/>
              <w:jc w:val="left"/>
              <w:suppressAutoHyphens/>
            </w:pPr>
            <w:r>
              <w:t xml:space="preserve">1</w:t>
            </w:r>
          </w:p>
        </w:tc>
        <w:tc>
          <w:tcPr/>
          <w:p>
            <w:pPr>
              <w:pStyle w:val="Compact"/>
              <w:jc w:val="left"/>
              <w:suppressAutoHyphens/>
            </w:pPr>
            <w:r>
              <w:t xml:space="preserve">Yr1 (2028)</w:t>
            </w:r>
          </w:p>
        </w:tc>
        <w:tc>
          <w:tcPr/>
          <w:p>
            <w:pPr>
              <w:pStyle w:val="Compact"/>
              <w:jc w:val="left"/>
              <w:suppressAutoHyphens/>
            </w:pPr>
            <w:r>
              <w:t xml:space="preserve">I Diploma, II Associate, III BA</w:t>
            </w:r>
          </w:p>
        </w:tc>
        <w:tc>
          <w:tcPr/>
          <w:p>
            <w:pPr>
              <w:pStyle w:val="Compact"/>
              <w:jc w:val="left"/>
              <w:suppressAutoHyphens/>
            </w:pPr>
            <w:r>
              <w:t xml:space="preserve">#1–47 (47 programs)</w:t>
            </w:r>
          </w:p>
        </w:tc>
      </w:tr>
      <w:tr>
        <w:trPr>
          <w:cantSplit/>
        </w:trPr>
        <w:tc>
          <w:tcPr/>
          <w:p>
            <w:pPr>
              <w:pStyle w:val="Compact"/>
              <w:jc w:val="left"/>
              <w:suppressAutoHyphens/>
            </w:pPr>
            <w:r>
              <w:t xml:space="preserve">2</w:t>
            </w:r>
          </w:p>
        </w:tc>
        <w:tc>
          <w:tcPr/>
          <w:p>
            <w:pPr>
              <w:pStyle w:val="Compact"/>
              <w:jc w:val="left"/>
              <w:suppressAutoHyphens/>
            </w:pPr>
            <w:r>
              <w:t xml:space="preserve">Yr2 (2029)</w:t>
            </w:r>
          </w:p>
        </w:tc>
        <w:tc>
          <w:tcPr/>
          <w:p>
            <w:pPr>
              <w:pStyle w:val="Compact"/>
              <w:jc w:val="left"/>
              <w:suppressAutoHyphens/>
            </w:pPr>
            <w:r>
              <w:t xml:space="preserve">IV Higher PG Diploma, V MA</w:t>
            </w:r>
          </w:p>
        </w:tc>
        <w:tc>
          <w:tcPr/>
          <w:p>
            <w:pPr>
              <w:pStyle w:val="Compact"/>
              <w:jc w:val="left"/>
              <w:suppressAutoHyphens/>
            </w:pPr>
            <w:r>
              <w:t xml:space="preserve">#48–61 (14 programs)</w:t>
            </w:r>
          </w:p>
        </w:tc>
      </w:tr>
      <w:tr>
        <w:trPr>
          <w:cantSplit/>
        </w:trPr>
        <w:tc>
          <w:tcPr/>
          <w:p>
            <w:pPr>
              <w:pStyle w:val="Compact"/>
              <w:jc w:val="left"/>
              <w:suppressAutoHyphens/>
            </w:pPr>
            <w:r>
              <w:t xml:space="preserve">3</w:t>
            </w:r>
          </w:p>
        </w:tc>
        <w:tc>
          <w:tcPr/>
          <w:p>
            <w:pPr>
              <w:pStyle w:val="Compact"/>
              <w:jc w:val="left"/>
              <w:suppressAutoHyphens/>
            </w:pPr>
            <w:r>
              <w:t xml:space="preserve">Yr3 (2030)</w:t>
            </w:r>
          </w:p>
        </w:tc>
        <w:tc>
          <w:tcPr/>
          <w:p>
            <w:pPr>
              <w:pStyle w:val="Compact"/>
              <w:jc w:val="left"/>
              <w:suppressAutoHyphens/>
            </w:pPr>
            <w:r>
              <w:t xml:space="preserve">VI PhD</w:t>
            </w:r>
          </w:p>
        </w:tc>
        <w:tc>
          <w:tcPr/>
          <w:p>
            <w:pPr>
              <w:pStyle w:val="Compact"/>
              <w:jc w:val="left"/>
              <w:suppressAutoHyphens/>
            </w:pPr>
            <w:r>
              <w:t xml:space="preserve">#62–67 (6 programs)</w:t>
            </w:r>
          </w:p>
        </w:tc>
      </w:tr>
      <w:tr>
        <w:trPr>
          <w:cantSplit/>
        </w:trPr>
        <w:tc>
          <w:tcPr/>
          <w:p>
            <w:pPr>
              <w:pStyle w:val="Compact"/>
              <w:jc w:val="left"/>
              <w:suppressAutoHyphens/>
            </w:pPr>
            <w:r>
              <w:t xml:space="preserve">4</w:t>
            </w:r>
          </w:p>
        </w:tc>
        <w:tc>
          <w:tcPr/>
          <w:p>
            <w:pPr>
              <w:pStyle w:val="Compact"/>
              <w:jc w:val="left"/>
              <w:suppressAutoHyphens/>
            </w:pPr>
            <w:r>
              <w:t xml:space="preserve">Yr6 (2033)</w:t>
            </w:r>
          </w:p>
        </w:tc>
        <w:tc>
          <w:tcPr/>
          <w:p>
            <w:pPr>
              <w:pStyle w:val="Compact"/>
              <w:jc w:val="left"/>
              <w:suppressAutoHyphens/>
            </w:pPr>
            <w:r>
              <w:t xml:space="preserve">VII Post-Doctoral Fellowship (non-credit)</w:t>
            </w:r>
          </w:p>
        </w:tc>
        <w:tc>
          <w:tcPr/>
          <w:p>
            <w:pPr>
              <w:pStyle w:val="Compact"/>
              <w:jc w:val="left"/>
              <w:suppressAutoHyphens/>
            </w:pPr>
            <w:r>
              <w:t xml:space="preserve">#68–71 (4 tracks)</w:t>
            </w:r>
          </w:p>
        </w:tc>
      </w:tr>
      <w:tr>
        <w:trPr>
          <w:cantSplit/>
        </w:trPr>
        <w:tc>
          <w:tcPr/>
          <w:p>
            <w:pPr>
              <w:pStyle w:val="Compact"/>
              <w:jc w:val="left"/>
              <w:suppressAutoHyphens/>
            </w:pPr>
            <w:r>
              <w:t xml:space="preserve">5</w:t>
            </w:r>
          </w:p>
        </w:tc>
        <w:tc>
          <w:tcPr/>
          <w:p>
            <w:pPr>
              <w:pStyle w:val="Compact"/>
              <w:jc w:val="left"/>
              <w:suppressAutoHyphens/>
            </w:pPr>
            <w:r>
              <w:t xml:space="preserve">Yr11 (2038)</w:t>
            </w:r>
          </w:p>
        </w:tc>
        <w:tc>
          <w:tcPr/>
          <w:p>
            <w:pPr>
              <w:pStyle w:val="Compact"/>
              <w:jc w:val="left"/>
              <w:suppressAutoHyphens/>
            </w:pPr>
            <w:r>
              <w:t xml:space="preserve">7 Secular Schools</w:t>
            </w:r>
          </w:p>
        </w:tc>
        <w:tc>
          <w:tcPr/>
          <w:p>
            <w:pPr>
              <w:pStyle w:val="Compact"/>
              <w:jc w:val="left"/>
              <w:suppressAutoHyphens/>
            </w:pPr>
            <w:r>
              <w:t xml:space="preserve">#72–99 (28 programs)</w:t>
            </w:r>
          </w:p>
        </w:tc>
      </w:tr>
      <w:tr>
        <w:trPr>
          <w:cantSplit/>
        </w:trPr>
        <w:tc>
          <w:tcPr/>
          <w:p>
            <w:pPr>
              <w:pStyle w:val="Compact"/>
              <w:jc w:val="left"/>
              <w:suppressAutoHyphens/>
            </w:pPr>
            <w:r>
              <w:t xml:space="preserve">6</w:t>
            </w:r>
          </w:p>
        </w:tc>
        <w:tc>
          <w:tcPr/>
          <w:p>
            <w:pPr>
              <w:pStyle w:val="Compact"/>
              <w:jc w:val="left"/>
              <w:suppressAutoHyphens/>
            </w:pPr>
            <w:r>
              <w:t xml:space="preserve">Yr12–20 (2039–2047)</w:t>
            </w:r>
          </w:p>
        </w:tc>
        <w:tc>
          <w:tcPr/>
          <w:p>
            <w:pPr>
              <w:pStyle w:val="Compact"/>
              <w:jc w:val="left"/>
              <w:suppressAutoHyphens/>
            </w:pPr>
            <w:r>
              <w:t xml:space="preserve">Maturation, dual Islamic/secular gen-ed bridges</w:t>
            </w:r>
          </w:p>
        </w:tc>
        <w:tc>
          <w:tcPr/>
          <w:p>
            <w:pPr>
              <w:pStyle w:val="Compact"/>
              <w:jc w:val="left"/>
              <w:suppressAutoHyphens/>
            </w:pPr>
            <w:r>
              <w:t xml:space="preserve">no new numbered programs w/o Senate</w:t>
            </w:r>
          </w:p>
        </w:tc>
      </w:tr>
      <w:tr>
        <w:trPr>
          <w:cantSplit/>
        </w:trPr>
        <w:tc>
          <w:tcPr/>
          <w:p>
            <w:pPr>
              <w:pStyle w:val="Compact"/>
              <w:jc w:val="left"/>
              <w:suppressAutoHyphens/>
            </w:pPr>
            <w:r>
              <w:t xml:space="preserve">7</w:t>
            </w:r>
          </w:p>
        </w:tc>
        <w:tc>
          <w:tcPr/>
          <w:p>
            <w:pPr>
              <w:pStyle w:val="Compact"/>
              <w:jc w:val="left"/>
              <w:suppressAutoHyphens/>
            </w:pPr>
            <w:r>
              <w:t xml:space="preserve">Yr21–23 (2048–2050)</w:t>
            </w:r>
          </w:p>
        </w:tc>
        <w:tc>
          <w:tcPr/>
          <w:p>
            <w:pPr>
              <w:pStyle w:val="Compact"/>
              <w:jc w:val="left"/>
              <w:suppressAutoHyphens/>
            </w:pPr>
            <w:r>
              <w:t xml:space="preserve">Steady-state consolidation &amp; accreditation deepening</w:t>
            </w:r>
          </w:p>
        </w:tc>
        <w:tc>
          <w:tcPr/>
          <w:p>
            <w:pPr>
              <w:pStyle w:val="Compact"/>
              <w:jc w:val="left"/>
              <w:suppressAutoHyphens/>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Faculty Honoraria pool</w:t>
            </w:r>
          </w:p>
        </w:tc>
        <w:tc>
          <w:tcPr/>
          <w:p>
            <w:pPr>
              <w:pStyle w:val="Compact"/>
              <w:jc w:val="left"/>
              <w:suppressAutoHyphens/>
            </w:pPr>
            <w:r>
              <w:t xml:space="preserve">Approx. teaching scholars</w:t>
            </w:r>
          </w:p>
        </w:tc>
        <w:tc>
          <w:tcPr/>
          <w:p>
            <w:pPr>
              <w:pStyle w:val="Compact"/>
              <w:jc w:val="left"/>
              <w:suppressAutoHyphens/>
            </w:pPr>
            <w:r>
              <w:t xml:space="preserve">Notes</w:t>
            </w:r>
          </w:p>
        </w:tc>
      </w:tr>
      <w:tr>
        <w:trPr>
          <w:cantSplit/>
        </w:trPr>
        <w:tc>
          <w:tcPr/>
          <w:p>
            <w:pPr>
              <w:pStyle w:val="Compact"/>
              <w:jc w:val="left"/>
              <w:suppressAutoHyphens/>
            </w:pPr>
            <w:r>
              <w:t xml:space="preserve">Yr1</w:t>
            </w:r>
          </w:p>
        </w:tc>
        <w:tc>
          <w:tcPr/>
          <w:p>
            <w:pPr>
              <w:pStyle w:val="Compact"/>
              <w:jc w:val="left"/>
              <w:suppressAutoHyphens/>
            </w:pPr>
            <w:r>
              <w:t xml:space="preserve">$17,980</w:t>
            </w:r>
          </w:p>
        </w:tc>
        <w:tc>
          <w:tcPr/>
          <w:p>
            <w:pPr>
              <w:pStyle w:val="Compact"/>
              <w:jc w:val="left"/>
              <w:suppressAutoHyphens/>
            </w:pPr>
            <w:r>
              <w:t xml:space="preserve">8–12</w:t>
            </w:r>
          </w:p>
        </w:tc>
        <w:tc>
          <w:tcPr/>
          <w:p>
            <w:pPr>
              <w:pStyle w:val="Compact"/>
              <w:jc w:val="left"/>
              <w:suppressAutoHyphens/>
            </w:pPr>
            <w:r>
              <w:t xml:space="preserve">multi-hat, cover Diploma–BA of one spine each</w:t>
            </w:r>
          </w:p>
        </w:tc>
      </w:tr>
      <w:tr>
        <w:trPr>
          <w:cantSplit/>
        </w:trPr>
        <w:tc>
          <w:tcPr/>
          <w:p>
            <w:pPr>
              <w:pStyle w:val="Compact"/>
              <w:jc w:val="left"/>
              <w:suppressAutoHyphens/>
            </w:pPr>
            <w:r>
              <w:t xml:space="preserve">Yr5</w:t>
            </w:r>
          </w:p>
        </w:tc>
        <w:tc>
          <w:tcPr/>
          <w:p>
            <w:pPr>
              <w:pStyle w:val="Compact"/>
              <w:jc w:val="left"/>
              <w:suppressAutoHyphens/>
            </w:pPr>
            <w:r>
              <w:t xml:space="preserve">$103,263</w:t>
            </w:r>
          </w:p>
        </w:tc>
        <w:tc>
          <w:tcPr/>
          <w:p>
            <w:pPr>
              <w:pStyle w:val="Compact"/>
              <w:jc w:val="left"/>
              <w:suppressAutoHyphens/>
            </w:pPr>
            <w:r>
              <w:t xml:space="preserve">30–35</w:t>
            </w:r>
          </w:p>
        </w:tc>
        <w:tc>
          <w:tcPr/>
          <w:p>
            <w:pPr>
              <w:pStyle w:val="Compact"/>
              <w:jc w:val="left"/>
              <w:suppressAutoHyphens/>
            </w:pPr>
            <w:r>
              <w:t xml:space="preserve">now cover through early PhD</w:t>
            </w:r>
          </w:p>
        </w:tc>
      </w:tr>
      <w:tr>
        <w:trPr>
          <w:cantSplit/>
        </w:trPr>
        <w:tc>
          <w:tcPr/>
          <w:p>
            <w:pPr>
              <w:pStyle w:val="Compact"/>
              <w:jc w:val="left"/>
              <w:suppressAutoHyphens/>
            </w:pPr>
            <w:r>
              <w:t xml:space="preserve">Yr10</w:t>
            </w:r>
          </w:p>
        </w:tc>
        <w:tc>
          <w:tcPr/>
          <w:p>
            <w:pPr>
              <w:pStyle w:val="Compact"/>
              <w:jc w:val="left"/>
              <w:suppressAutoHyphens/>
            </w:pPr>
            <w:r>
              <w:t xml:space="preserve">$306,444</w:t>
            </w:r>
          </w:p>
        </w:tc>
        <w:tc>
          <w:tcPr/>
          <w:p>
            <w:pPr>
              <w:pStyle w:val="Compact"/>
              <w:jc w:val="left"/>
              <w:suppressAutoHyphens/>
            </w:pPr>
            <w:r>
              <w:t xml:space="preserve">60–90</w:t>
            </w:r>
          </w:p>
        </w:tc>
        <w:tc>
          <w:tcPr/>
          <w:p>
            <w:pPr>
              <w:pStyle w:val="Compact"/>
              <w:jc w:val="left"/>
              <w:suppressAutoHyphens/>
            </w:pPr>
            <w:r>
              <w:t xml:space="preserve">full ladder + first Post-Doc fellows as mentors</w:t>
            </w:r>
          </w:p>
        </w:tc>
      </w:tr>
      <w:tr>
        <w:trPr>
          <w:cantSplit/>
        </w:trPr>
        <w:tc>
          <w:tcPr/>
          <w:p>
            <w:pPr>
              <w:pStyle w:val="Compact"/>
              <w:jc w:val="left"/>
              <w:suppressAutoHyphens/>
            </w:pPr>
            <w:r>
              <w:t xml:space="preserve">Yr11+</w:t>
            </w:r>
          </w:p>
        </w:tc>
        <w:tc>
          <w:tcPr/>
          <w:p>
            <w:pPr>
              <w:pStyle w:val="Compact"/>
              <w:jc w:val="left"/>
              <w:suppressAutoHyphens/>
            </w:pPr>
            <w:r>
              <w:t xml:space="preserve">scales with secular Payroll</w:t>
            </w:r>
          </w:p>
        </w:tc>
        <w:tc>
          <w:tcPr/>
          <w:p>
            <w:pPr>
              <w:pStyle w:val="Compact"/>
              <w:jc w:val="left"/>
              <w:suppressAutoHyphens/>
            </w:pPr>
            <w:r>
              <w:t xml:space="preserve">+40–60 secular faculty by Yr12</w:t>
            </w:r>
          </w:p>
        </w:tc>
        <w:tc>
          <w:tcPr/>
          <w:p>
            <w:pPr>
              <w:pStyle w:val="Compact"/>
              <w:jc w:val="left"/>
              <w:suppressAutoHyphens/>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4"/>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4"/>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4"/>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College</w:t>
            </w:r>
          </w:p>
        </w:tc>
        <w:tc>
          <w:tcPr/>
          <w:p>
            <w:pPr>
              <w:pStyle w:val="Compact"/>
              <w:jc w:val="left"/>
              <w:suppressAutoHyphens/>
            </w:pPr>
            <w:r>
              <w:t xml:space="preserve">Dean (Senate seat)</w:t>
            </w:r>
          </w:p>
        </w:tc>
        <w:tc>
          <w:tcPr/>
          <w:p>
            <w:pPr>
              <w:pStyle w:val="Compact"/>
              <w:jc w:val="left"/>
              <w:suppressAutoHyphens/>
            </w:pPr>
            <w:r>
              <w:t xml:space="preserve">Programs</w:t>
            </w:r>
          </w:p>
        </w:tc>
        <w:tc>
          <w:tcPr/>
          <w:p>
            <w:pPr>
              <w:pStyle w:val="Compact"/>
              <w:jc w:val="left"/>
              <w:suppressAutoHyphens/>
            </w:pPr>
            <w:r>
              <w:t xml:space="preserve">Core spine</w:t>
            </w:r>
          </w:p>
        </w:tc>
      </w:tr>
      <w:tr>
        <w:trPr>
          <w:cantSplit/>
        </w:trPr>
        <w:tc>
          <w:tcPr/>
          <w:p>
            <w:pPr>
              <w:pStyle w:val="Compact"/>
              <w:jc w:val="left"/>
              <w:suppressAutoHyphens/>
            </w:pPr>
            <w:r>
              <w:t xml:space="preserve">I. Qur’ānic &amp; Hadith Sciences</w:t>
            </w:r>
          </w:p>
        </w:tc>
        <w:tc>
          <w:tcPr/>
          <w:p>
            <w:pPr>
              <w:pStyle w:val="Compact"/>
              <w:jc w:val="left"/>
              <w:suppressAutoHyphens/>
            </w:pPr>
            <w:r>
              <w:t xml:space="preserve">paired Dean (with II)</w:t>
            </w:r>
          </w:p>
        </w:tc>
        <w:tc>
          <w:tcPr/>
          <w:p>
            <w:pPr>
              <w:pStyle w:val="Compact"/>
              <w:jc w:val="left"/>
              <w:suppressAutoHyphens/>
            </w:pPr>
            <w:r>
              <w:t xml:space="preserve">Tafsīr, Qirā’āt, Hadith</w:t>
            </w:r>
          </w:p>
        </w:tc>
        <w:tc>
          <w:tcPr/>
          <w:p>
            <w:pPr>
              <w:pStyle w:val="Compact"/>
              <w:jc w:val="left"/>
              <w:suppressAutoHyphens/>
            </w:pPr>
            <w:r>
              <w:t xml:space="preserve">shares HoDs w/ Group II</w:t>
            </w:r>
          </w:p>
        </w:tc>
      </w:tr>
      <w:tr>
        <w:trPr>
          <w:cantSplit/>
        </w:trPr>
        <w:tc>
          <w:tcPr/>
          <w:p>
            <w:pPr>
              <w:pStyle w:val="Compact"/>
              <w:jc w:val="left"/>
              <w:suppressAutoHyphens/>
            </w:pPr>
            <w:r>
              <w:t xml:space="preserve">II. Sharī’ah &amp; Islamic Law</w:t>
            </w:r>
          </w:p>
        </w:tc>
        <w:tc>
          <w:tcPr/>
          <w:p>
            <w:pPr>
              <w:pStyle w:val="Compact"/>
              <w:jc w:val="left"/>
              <w:suppressAutoHyphens/>
            </w:pPr>
            <w:r>
              <w:t xml:space="preserve">paired Dean (with I)</w:t>
            </w:r>
          </w:p>
        </w:tc>
        <w:tc>
          <w:tcPr/>
          <w:p>
            <w:pPr>
              <w:pStyle w:val="Compact"/>
              <w:jc w:val="left"/>
              <w:suppressAutoHyphens/>
            </w:pPr>
            <w:r>
              <w:t xml:space="preserve">Fiqh, Uṣūl al-Fiqh</w:t>
            </w:r>
          </w:p>
        </w:tc>
        <w:tc>
          <w:tcPr/>
          <w:p>
            <w:pPr>
              <w:pStyle w:val="Compact"/>
              <w:suppressAutoHyphens/>
            </w:pPr>
          </w:p>
        </w:tc>
      </w:tr>
      <w:tr>
        <w:trPr>
          <w:cantSplit/>
        </w:trPr>
        <w:tc>
          <w:tcPr/>
          <w:p>
            <w:pPr>
              <w:pStyle w:val="Compact"/>
              <w:jc w:val="left"/>
              <w:suppressAutoHyphens/>
            </w:pPr>
            <w:r>
              <w:t xml:space="preserve">III. Islamic Theology &amp; Philosophy</w:t>
            </w:r>
          </w:p>
        </w:tc>
        <w:tc>
          <w:tcPr/>
          <w:p>
            <w:pPr>
              <w:pStyle w:val="Compact"/>
              <w:jc w:val="left"/>
              <w:suppressAutoHyphens/>
            </w:pPr>
            <w:r>
              <w:t xml:space="preserve">paired Dean (with V)</w:t>
            </w:r>
          </w:p>
        </w:tc>
        <w:tc>
          <w:tcPr/>
          <w:p>
            <w:pPr>
              <w:pStyle w:val="Compact"/>
              <w:jc w:val="left"/>
              <w:suppressAutoHyphens/>
            </w:pPr>
            <w:r>
              <w:t xml:space="preserve">Aqeedah</w:t>
            </w:r>
          </w:p>
        </w:tc>
        <w:tc>
          <w:tcPr/>
          <w:p>
            <w:pPr>
              <w:pStyle w:val="Compact"/>
              <w:suppressAutoHyphens/>
            </w:pPr>
          </w:p>
        </w:tc>
      </w:tr>
      <w:tr>
        <w:trPr>
          <w:cantSplit/>
        </w:trPr>
        <w:tc>
          <w:tcPr/>
          <w:p>
            <w:pPr>
              <w:pStyle w:val="Compact"/>
              <w:jc w:val="left"/>
              <w:suppressAutoHyphens/>
            </w:pPr>
            <w:r>
              <w:t xml:space="preserve">V. Da’wah, Communication &amp; Chaplaincy</w:t>
            </w:r>
          </w:p>
        </w:tc>
        <w:tc>
          <w:tcPr/>
          <w:p>
            <w:pPr>
              <w:pStyle w:val="Compact"/>
              <w:jc w:val="left"/>
              <w:suppressAutoHyphens/>
            </w:pPr>
            <w:r>
              <w:t xml:space="preserve">paired Dean (with III)</w:t>
            </w:r>
          </w:p>
        </w:tc>
        <w:tc>
          <w:tcPr/>
          <w:p>
            <w:pPr>
              <w:pStyle w:val="Compact"/>
              <w:jc w:val="left"/>
              <w:suppressAutoHyphens/>
            </w:pPr>
            <w:r>
              <w:t xml:space="preserve">Chaplaincy, Communication</w:t>
            </w:r>
          </w:p>
        </w:tc>
        <w:tc>
          <w:tcPr/>
          <w:p>
            <w:pPr>
              <w:pStyle w:val="Compact"/>
              <w:suppressAutoHyphens/>
            </w:pPr>
          </w:p>
        </w:tc>
      </w:tr>
      <w:tr>
        <w:trPr>
          <w:cantSplit/>
        </w:trPr>
        <w:tc>
          <w:tcPr/>
          <w:p>
            <w:pPr>
              <w:pStyle w:val="Compact"/>
              <w:jc w:val="left"/>
              <w:suppressAutoHyphens/>
            </w:pPr>
            <w:r>
              <w:t xml:space="preserve">IV. Arabic Language &amp; Linguistics</w:t>
            </w:r>
          </w:p>
        </w:tc>
        <w:tc>
          <w:tcPr/>
          <w:p>
            <w:pPr>
              <w:pStyle w:val="Compact"/>
              <w:jc w:val="left"/>
              <w:suppressAutoHyphens/>
            </w:pPr>
            <w:r>
              <w:t xml:space="preserve">solo Dean</w:t>
            </w:r>
          </w:p>
        </w:tc>
        <w:tc>
          <w:tcPr/>
          <w:p>
            <w:pPr>
              <w:pStyle w:val="Compact"/>
              <w:jc w:val="left"/>
              <w:suppressAutoHyphens/>
            </w:pPr>
            <w:r>
              <w:t xml:space="preserve">services all colleges</w:t>
            </w:r>
          </w:p>
        </w:tc>
        <w:tc>
          <w:tcPr/>
          <w:p>
            <w:pPr>
              <w:pStyle w:val="Compact"/>
              <w:jc w:val="left"/>
              <w:suppressAutoHyphens/>
            </w:pPr>
            <w:r>
              <w:t xml:space="preserve">shared core</w:t>
            </w:r>
          </w:p>
        </w:tc>
      </w:tr>
      <w:tr>
        <w:trPr>
          <w:cantSplit/>
        </w:trPr>
        <w:tc>
          <w:tcPr/>
          <w:p>
            <w:pPr>
              <w:pStyle w:val="Compact"/>
              <w:jc w:val="left"/>
              <w:suppressAutoHyphens/>
            </w:pPr>
            <w:r>
              <w:t xml:space="preserve">VI. Islamic Finance, Economics &amp; Waqf</w:t>
            </w:r>
          </w:p>
        </w:tc>
        <w:tc>
          <w:tcPr/>
          <w:p>
            <w:pPr>
              <w:pStyle w:val="Compact"/>
              <w:jc w:val="left"/>
              <w:suppressAutoHyphens/>
            </w:pPr>
            <w:r>
              <w:t xml:space="preserve">solo Dean</w:t>
            </w:r>
          </w:p>
        </w:tc>
        <w:tc>
          <w:tcPr/>
          <w:p>
            <w:pPr>
              <w:pStyle w:val="Compact"/>
              <w:jc w:val="left"/>
              <w:suppressAutoHyphens/>
            </w:pPr>
            <w:r>
              <w:t xml:space="preserve">Zakāt/Waqf admin</w:t>
            </w:r>
          </w:p>
        </w:tc>
        <w:tc>
          <w:tcPr/>
          <w:p>
            <w:pPr>
              <w:pStyle w:val="Compact"/>
              <w:suppressAutoHyphens/>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5"/>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5"/>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School</w:t>
            </w:r>
          </w:p>
        </w:tc>
        <w:tc>
          <w:tcPr/>
          <w:p>
            <w:pPr>
              <w:pStyle w:val="Compact"/>
              <w:jc w:val="left"/>
              <w:suppressAutoHyphens/>
            </w:pPr>
            <w:r>
              <w:t xml:space="preserve">Programs</w:t>
            </w:r>
          </w:p>
        </w:tc>
        <w:tc>
          <w:tcPr/>
          <w:p>
            <w:pPr>
              <w:pStyle w:val="Compact"/>
              <w:jc w:val="left"/>
              <w:suppressAutoHyphens/>
            </w:pPr>
            <w:r>
              <w:t xml:space="preserve">Launch</w:t>
            </w:r>
          </w:p>
        </w:tc>
      </w:tr>
      <w:tr>
        <w:trPr>
          <w:cantSplit/>
        </w:trPr>
        <w:tc>
          <w:tcPr/>
          <w:p>
            <w:pPr>
              <w:pStyle w:val="Compact"/>
              <w:jc w:val="left"/>
              <w:suppressAutoHyphens/>
            </w:pPr>
            <w:r>
              <w:t xml:space="preserve">Business &amp; Economics</w:t>
            </w:r>
          </w:p>
        </w:tc>
        <w:tc>
          <w:tcPr/>
          <w:p>
            <w:pPr>
              <w:pStyle w:val="Compact"/>
              <w:jc w:val="left"/>
              <w:suppressAutoHyphens/>
            </w:pPr>
            <w:r>
              <w:t xml:space="preserve">BBA, BSc Acct&amp;Fin, BSc Econ, MBA, MSc Finance</w:t>
            </w:r>
          </w:p>
        </w:tc>
        <w:tc>
          <w:tcPr/>
          <w:p>
            <w:pPr>
              <w:pStyle w:val="Compact"/>
              <w:jc w:val="left"/>
              <w:suppressAutoHyphens/>
            </w:pPr>
            <w:r>
              <w:t xml:space="preserve">2038</w:t>
            </w:r>
          </w:p>
        </w:tc>
      </w:tr>
      <w:tr>
        <w:trPr>
          <w:cantSplit/>
        </w:trPr>
        <w:tc>
          <w:tcPr/>
          <w:p>
            <w:pPr>
              <w:pStyle w:val="Compact"/>
              <w:jc w:val="left"/>
              <w:suppressAutoHyphens/>
            </w:pPr>
            <w:r>
              <w:t xml:space="preserve">Computer Science &amp; Technology</w:t>
            </w:r>
          </w:p>
        </w:tc>
        <w:tc>
          <w:tcPr/>
          <w:p>
            <w:pPr>
              <w:pStyle w:val="Compact"/>
              <w:jc w:val="left"/>
              <w:suppressAutoHyphens/>
            </w:pPr>
            <w:r>
              <w:t xml:space="preserve">BSc CS, Data Science, Cybersecurity, IS, MSc AI/ML</w:t>
            </w:r>
          </w:p>
        </w:tc>
        <w:tc>
          <w:tcPr/>
          <w:p>
            <w:pPr>
              <w:pStyle w:val="Compact"/>
              <w:jc w:val="left"/>
              <w:suppressAutoHyphens/>
            </w:pPr>
            <w:r>
              <w:t xml:space="preserve">2038</w:t>
            </w:r>
          </w:p>
        </w:tc>
      </w:tr>
      <w:tr>
        <w:trPr>
          <w:cantSplit/>
        </w:trPr>
        <w:tc>
          <w:tcPr/>
          <w:p>
            <w:pPr>
              <w:pStyle w:val="Compact"/>
              <w:jc w:val="left"/>
              <w:suppressAutoHyphens/>
            </w:pPr>
            <w:r>
              <w:t xml:space="preserve">Law</w:t>
            </w:r>
          </w:p>
        </w:tc>
        <w:tc>
          <w:tcPr/>
          <w:p>
            <w:pPr>
              <w:pStyle w:val="Compact"/>
              <w:jc w:val="left"/>
              <w:suppressAutoHyphens/>
            </w:pPr>
            <w:r>
              <w:t xml:space="preserve">LLB, LLM Int’l Law, LLM Comparative &amp; Islamic-Civil Law</w:t>
            </w:r>
          </w:p>
        </w:tc>
        <w:tc>
          <w:tcPr/>
          <w:p>
            <w:pPr>
              <w:pStyle w:val="Compact"/>
              <w:jc w:val="left"/>
              <w:suppressAutoHyphens/>
            </w:pPr>
            <w:r>
              <w:t xml:space="preserve">2038</w:t>
            </w:r>
          </w:p>
        </w:tc>
      </w:tr>
      <w:tr>
        <w:trPr>
          <w:cantSplit/>
        </w:trPr>
        <w:tc>
          <w:tcPr/>
          <w:p>
            <w:pPr>
              <w:pStyle w:val="Compact"/>
              <w:jc w:val="left"/>
              <w:suppressAutoHyphens/>
            </w:pPr>
            <w:r>
              <w:t xml:space="preserve">Health Sciences</w:t>
            </w:r>
          </w:p>
        </w:tc>
        <w:tc>
          <w:tcPr/>
          <w:p>
            <w:pPr>
              <w:pStyle w:val="Compact"/>
              <w:jc w:val="left"/>
              <w:suppressAutoHyphens/>
            </w:pPr>
            <w:r>
              <w:t xml:space="preserve">BSc Public Health, Nursing, Health Admin, MPH</w:t>
            </w:r>
          </w:p>
        </w:tc>
        <w:tc>
          <w:tcPr/>
          <w:p>
            <w:pPr>
              <w:pStyle w:val="Compact"/>
              <w:jc w:val="left"/>
              <w:suppressAutoHyphens/>
            </w:pPr>
            <w:r>
              <w:t xml:space="preserve">2038</w:t>
            </w:r>
          </w:p>
        </w:tc>
      </w:tr>
      <w:tr>
        <w:trPr>
          <w:cantSplit/>
        </w:trPr>
        <w:tc>
          <w:tcPr/>
          <w:p>
            <w:pPr>
              <w:pStyle w:val="Compact"/>
              <w:jc w:val="left"/>
              <w:suppressAutoHyphens/>
            </w:pPr>
            <w:r>
              <w:t xml:space="preserve">Engineering</w:t>
            </w:r>
          </w:p>
        </w:tc>
        <w:tc>
          <w:tcPr/>
          <w:p>
            <w:pPr>
              <w:pStyle w:val="Compact"/>
              <w:jc w:val="left"/>
              <w:suppressAutoHyphens/>
            </w:pPr>
            <w:r>
              <w:t xml:space="preserve">BEng Civil, EE, Computer, Mechanical</w:t>
            </w:r>
          </w:p>
        </w:tc>
        <w:tc>
          <w:tcPr/>
          <w:p>
            <w:pPr>
              <w:pStyle w:val="Compact"/>
              <w:jc w:val="left"/>
              <w:suppressAutoHyphens/>
            </w:pPr>
            <w:r>
              <w:t xml:space="preserve">2038</w:t>
            </w:r>
          </w:p>
        </w:tc>
      </w:tr>
      <w:tr>
        <w:trPr>
          <w:cantSplit/>
        </w:trPr>
        <w:tc>
          <w:tcPr/>
          <w:p>
            <w:pPr>
              <w:pStyle w:val="Compact"/>
              <w:jc w:val="left"/>
              <w:suppressAutoHyphens/>
            </w:pPr>
            <w:r>
              <w:t xml:space="preserve">Education</w:t>
            </w:r>
          </w:p>
        </w:tc>
        <w:tc>
          <w:tcPr/>
          <w:p>
            <w:pPr>
              <w:pStyle w:val="Compact"/>
              <w:jc w:val="left"/>
              <w:suppressAutoHyphens/>
            </w:pPr>
            <w:r>
              <w:t xml:space="preserve">BEd, MEd, PhD Ed Leadership</w:t>
            </w:r>
          </w:p>
        </w:tc>
        <w:tc>
          <w:tcPr/>
          <w:p>
            <w:pPr>
              <w:pStyle w:val="Compact"/>
              <w:jc w:val="left"/>
              <w:suppressAutoHyphens/>
            </w:pPr>
            <w:r>
              <w:t xml:space="preserve">2038</w:t>
            </w:r>
          </w:p>
        </w:tc>
      </w:tr>
      <w:tr>
        <w:trPr>
          <w:cantSplit/>
        </w:trPr>
        <w:tc>
          <w:tcPr/>
          <w:p>
            <w:pPr>
              <w:pStyle w:val="Compact"/>
              <w:jc w:val="left"/>
              <w:suppressAutoHyphens/>
            </w:pPr>
            <w:r>
              <w:t xml:space="preserve">Social &amp; Political Sciences</w:t>
            </w:r>
          </w:p>
        </w:tc>
        <w:tc>
          <w:tcPr/>
          <w:p>
            <w:pPr>
              <w:pStyle w:val="Compact"/>
              <w:jc w:val="left"/>
              <w:suppressAutoHyphens/>
            </w:pPr>
            <w:r>
              <w:t xml:space="preserve">Pol Sci, IR &amp; Diplomacy, Psych, Sociology</w:t>
            </w:r>
          </w:p>
        </w:tc>
        <w:tc>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6"/>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6"/>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Rank</w:t>
            </w:r>
          </w:p>
        </w:tc>
        <w:tc>
          <w:tcPr/>
          <w:p>
            <w:pPr>
              <w:pStyle w:val="Compact"/>
              <w:jc w:val="left"/>
              <w:suppressAutoHyphens/>
            </w:pPr>
            <w:r>
              <w:t xml:space="preserve">Compensation basis</w:t>
            </w:r>
          </w:p>
        </w:tc>
        <w:tc>
          <w:tcPr/>
          <w:p>
            <w:pPr>
              <w:pStyle w:val="Compact"/>
              <w:jc w:val="left"/>
              <w:suppressAutoHyphens/>
            </w:pPr>
            <w:r>
              <w:t xml:space="preserve">Typical phase</w:t>
            </w:r>
          </w:p>
        </w:tc>
      </w:tr>
      <w:tr>
        <w:trPr>
          <w:cantSplit/>
        </w:trPr>
        <w:tc>
          <w:tcPr/>
          <w:p>
            <w:pPr>
              <w:pStyle w:val="Compact"/>
              <w:jc w:val="left"/>
              <w:suppressAutoHyphens/>
            </w:pPr>
            <w:r>
              <w:t xml:space="preserve">Honorary/Visiting Scholar</w:t>
            </w:r>
          </w:p>
        </w:tc>
        <w:tc>
          <w:tcPr/>
          <w:p>
            <w:pPr>
              <w:pStyle w:val="Compact"/>
              <w:jc w:val="left"/>
              <w:suppressAutoHyphens/>
            </w:pPr>
            <w:r>
              <w:t xml:space="preserve">Token/unpaid, guest lectures</w:t>
            </w:r>
          </w:p>
        </w:tc>
        <w:tc>
          <w:tcPr/>
          <w:p>
            <w:pPr>
              <w:pStyle w:val="Compact"/>
              <w:jc w:val="left"/>
              <w:suppressAutoHyphens/>
            </w:pPr>
            <w:r>
              <w:t xml:space="preserve">Yr1+</w:t>
            </w:r>
          </w:p>
        </w:tc>
      </w:tr>
      <w:tr>
        <w:trPr>
          <w:cantSplit/>
        </w:trPr>
        <w:tc>
          <w:tcPr/>
          <w:p>
            <w:pPr>
              <w:pStyle w:val="Compact"/>
              <w:jc w:val="left"/>
              <w:suppressAutoHyphens/>
            </w:pPr>
            <w:r>
              <w:t xml:space="preserve">Adjunct Instructor</w:t>
            </w:r>
          </w:p>
        </w:tc>
        <w:tc>
          <w:tcPr/>
          <w:p>
            <w:pPr>
              <w:pStyle w:val="Compact"/>
              <w:jc w:val="left"/>
              <w:suppressAutoHyphens/>
            </w:pPr>
            <w:r>
              <w:t xml:space="preserve">Per-CH honorarium (Faculty Honoraria pool)</w:t>
            </w:r>
          </w:p>
        </w:tc>
        <w:tc>
          <w:tcPr/>
          <w:p>
            <w:pPr>
              <w:pStyle w:val="Compact"/>
              <w:jc w:val="left"/>
              <w:suppressAutoHyphens/>
            </w:pPr>
            <w:r>
              <w:t xml:space="preserve">Yr1+ — dominant Yr1–10</w:t>
            </w:r>
          </w:p>
        </w:tc>
      </w:tr>
      <w:tr>
        <w:trPr>
          <w:cantSplit/>
        </w:trPr>
        <w:tc>
          <w:tcPr/>
          <w:p>
            <w:pPr>
              <w:pStyle w:val="Compact"/>
              <w:jc w:val="left"/>
              <w:suppressAutoHyphens/>
            </w:pPr>
            <w:r>
              <w:t xml:space="preserve">Assistant Professor</w:t>
            </w:r>
          </w:p>
        </w:tc>
        <w:tc>
          <w:tcPr/>
          <w:p>
            <w:pPr>
              <w:pStyle w:val="Compact"/>
              <w:jc w:val="left"/>
              <w:suppressAutoHyphens/>
            </w:pPr>
            <w:r>
              <w:t xml:space="preserve">Small fixed honorarium premium over adjunct rate</w:t>
            </w:r>
          </w:p>
        </w:tc>
        <w:tc>
          <w:tcPr/>
          <w:p>
            <w:pPr>
              <w:pStyle w:val="Compact"/>
              <w:jc w:val="left"/>
              <w:suppressAutoHyphens/>
            </w:pPr>
            <w:r>
              <w:t xml:space="preserve">emerges Yr5+ as pool grows</w:t>
            </w:r>
          </w:p>
        </w:tc>
      </w:tr>
      <w:tr>
        <w:trPr>
          <w:cantSplit/>
        </w:trPr>
        <w:tc>
          <w:tcPr/>
          <w:p>
            <w:pPr>
              <w:pStyle w:val="Compact"/>
              <w:jc w:val="left"/>
              <w:suppressAutoHyphens/>
            </w:pPr>
            <w:r>
              <w:t xml:space="preserve">Associate Professor</w:t>
            </w:r>
          </w:p>
        </w:tc>
        <w:tc>
          <w:tcPr/>
          <w:p>
            <w:pPr>
              <w:pStyle w:val="Compact"/>
              <w:jc w:val="left"/>
              <w:suppressAutoHyphens/>
            </w:pPr>
            <w:r>
              <w:t xml:space="preserve">Higher fixed premium, tenure-track service recognized</w:t>
            </w:r>
          </w:p>
        </w:tc>
        <w:tc>
          <w:tcPr/>
          <w:p>
            <w:pPr>
              <w:pStyle w:val="Compact"/>
              <w:jc w:val="left"/>
              <w:suppressAutoHyphens/>
            </w:pPr>
            <w:r>
              <w:t xml:space="preserve">emerges Yr8–10</w:t>
            </w:r>
          </w:p>
        </w:tc>
      </w:tr>
      <w:tr>
        <w:trPr>
          <w:cantSplit/>
        </w:trPr>
        <w:tc>
          <w:tcPr/>
          <w:p>
            <w:pPr>
              <w:pStyle w:val="Compact"/>
              <w:jc w:val="left"/>
              <w:suppressAutoHyphens/>
            </w:pPr>
            <w:r>
              <w:t xml:space="preserve">Full Professor</w:t>
            </w:r>
          </w:p>
        </w:tc>
        <w:tc>
          <w:tcPr/>
          <w:p>
            <w:pPr>
              <w:pStyle w:val="Compact"/>
              <w:jc w:val="left"/>
              <w:suppressAutoHyphens/>
            </w:pPr>
            <w:r>
              <w:t xml:space="preserve">Top honorarium/salary band</w:t>
            </w:r>
          </w:p>
        </w:tc>
        <w:tc>
          <w:tcPr/>
          <w:p>
            <w:pPr>
              <w:pStyle w:val="Compact"/>
              <w:jc w:val="left"/>
              <w:suppressAutoHyphens/>
            </w:pPr>
            <w:r>
              <w:t xml:space="preserve">emerges Yr10+ (secular hires largely salaried Yr11+)</w:t>
            </w:r>
          </w:p>
        </w:tc>
      </w:tr>
      <w:tr>
        <w:trPr>
          <w:cantSplit/>
        </w:trPr>
        <w:tc>
          <w:tcPr/>
          <w:p>
            <w:pPr>
              <w:pStyle w:val="Compact"/>
              <w:jc w:val="left"/>
              <w:suppressAutoHyphens/>
            </w:pPr>
            <w:r>
              <w:t xml:space="preserve">Senate-Seat Professor</w:t>
            </w:r>
          </w:p>
        </w:tc>
        <w:tc>
          <w:tcPr/>
          <w:p>
            <w:pPr>
              <w:pStyle w:val="Compact"/>
              <w:jc w:val="left"/>
              <w:suppressAutoHyphens/>
            </w:pPr>
            <w:r>
              <w:t xml:space="preserve">Ex officio via Group II/III seat (Dean/HoD), Senate Stipend sub-split</w:t>
            </w:r>
          </w:p>
        </w:tc>
        <w:tc>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7"/>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7"/>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7"/>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7"/>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Faculty Honoraria pool</w:t>
            </w:r>
          </w:p>
        </w:tc>
        <w:tc>
          <w:tcPr/>
          <w:p>
            <w:pPr>
              <w:pStyle w:val="Compact"/>
              <w:jc w:val="left"/>
              <w:suppressAutoHyphens/>
            </w:pPr>
            <w:r>
              <w:t xml:space="preserve">Avg. per-scholar honorarium</w:t>
            </w:r>
          </w:p>
        </w:tc>
        <w:tc>
          <w:tcPr/>
          <w:p>
            <w:pPr>
              <w:pStyle w:val="Compact"/>
              <w:jc w:val="left"/>
              <w:suppressAutoHyphens/>
            </w:pPr>
            <w:r>
              <w:t xml:space="preserve">Rank mix</w:t>
            </w:r>
          </w:p>
        </w:tc>
      </w:tr>
      <w:tr>
        <w:trPr>
          <w:cantSplit/>
        </w:trPr>
        <w:tc>
          <w:tcPr/>
          <w:p>
            <w:pPr>
              <w:pStyle w:val="Compact"/>
              <w:jc w:val="left"/>
              <w:suppressAutoHyphens/>
            </w:pPr>
            <w:r>
              <w:t xml:space="preserve">Yr1</w:t>
            </w:r>
          </w:p>
        </w:tc>
        <w:tc>
          <w:tcPr/>
          <w:p>
            <w:pPr>
              <w:pStyle w:val="Compact"/>
              <w:jc w:val="left"/>
              <w:suppressAutoHyphens/>
            </w:pPr>
            <w:r>
              <w:t xml:space="preserve">$17,980</w:t>
            </w:r>
          </w:p>
        </w:tc>
        <w:tc>
          <w:tcPr/>
          <w:p>
            <w:pPr>
              <w:pStyle w:val="Compact"/>
              <w:jc w:val="left"/>
              <w:suppressAutoHyphens/>
            </w:pPr>
            <w:r>
              <w:t xml:space="preserve">~$1,500–2,200 (8–12 scholars)</w:t>
            </w:r>
          </w:p>
        </w:tc>
        <w:tc>
          <w:tcPr/>
          <w:p>
            <w:pPr>
              <w:pStyle w:val="Compact"/>
              <w:jc w:val="left"/>
              <w:suppressAutoHyphens/>
            </w:pPr>
            <w:r>
              <w:t xml:space="preserve">~100% Adjunct/Honorary</w:t>
            </w:r>
          </w:p>
        </w:tc>
      </w:tr>
      <w:tr>
        <w:trPr>
          <w:cantSplit/>
        </w:trPr>
        <w:tc>
          <w:tcPr/>
          <w:p>
            <w:pPr>
              <w:pStyle w:val="Compact"/>
              <w:jc w:val="left"/>
              <w:suppressAutoHyphens/>
            </w:pPr>
            <w:r>
              <w:t xml:space="preserve">Yr5</w:t>
            </w:r>
          </w:p>
        </w:tc>
        <w:tc>
          <w:tcPr/>
          <w:p>
            <w:pPr>
              <w:pStyle w:val="Compact"/>
              <w:jc w:val="left"/>
              <w:suppressAutoHyphens/>
            </w:pPr>
            <w:r>
              <w:t xml:space="preserve">$103,263</w:t>
            </w:r>
          </w:p>
        </w:tc>
        <w:tc>
          <w:tcPr/>
          <w:p>
            <w:pPr>
              <w:pStyle w:val="Compact"/>
              <w:jc w:val="left"/>
              <w:suppressAutoHyphens/>
            </w:pPr>
            <w:r>
              <w:t xml:space="preserve">~$2,900–3,400 (30–35 scholars)</w:t>
            </w:r>
          </w:p>
        </w:tc>
        <w:tc>
          <w:tcPr/>
          <w:p>
            <w:pPr>
              <w:pStyle w:val="Compact"/>
              <w:jc w:val="left"/>
              <w:suppressAutoHyphens/>
            </w:pPr>
            <w:r>
              <w:t xml:space="preserve">mostly Adjunct, first Assistant Professors</w:t>
            </w:r>
          </w:p>
        </w:tc>
      </w:tr>
      <w:tr>
        <w:trPr>
          <w:cantSplit/>
        </w:trPr>
        <w:tc>
          <w:tcPr/>
          <w:p>
            <w:pPr>
              <w:pStyle w:val="Compact"/>
              <w:jc w:val="left"/>
              <w:suppressAutoHyphens/>
            </w:pPr>
            <w:r>
              <w:t xml:space="preserve">Yr10</w:t>
            </w:r>
          </w:p>
        </w:tc>
        <w:tc>
          <w:tcPr/>
          <w:p>
            <w:pPr>
              <w:pStyle w:val="Compact"/>
              <w:jc w:val="left"/>
              <w:suppressAutoHyphens/>
            </w:pPr>
            <w:r>
              <w:t xml:space="preserve">$306,444</w:t>
            </w:r>
          </w:p>
        </w:tc>
        <w:tc>
          <w:tcPr/>
          <w:p>
            <w:pPr>
              <w:pStyle w:val="Compact"/>
              <w:jc w:val="left"/>
              <w:suppressAutoHyphens/>
            </w:pPr>
            <w:r>
              <w:t xml:space="preserve">~$3,400–5,100 (60–90 scholars)</w:t>
            </w:r>
          </w:p>
        </w:tc>
        <w:tc>
          <w:tcPr/>
          <w:p>
            <w:pPr>
              <w:pStyle w:val="Compact"/>
              <w:jc w:val="left"/>
              <w:suppressAutoHyphens/>
            </w:pPr>
            <w:r>
              <w:t xml:space="preserve">Adjunct–Full Professor spread</w:t>
            </w:r>
          </w:p>
        </w:tc>
      </w:tr>
      <w:tr>
        <w:trPr>
          <w:cantSplit/>
        </w:trPr>
        <w:tc>
          <w:tcPr/>
          <w:p>
            <w:pPr>
              <w:pStyle w:val="Compact"/>
              <w:jc w:val="left"/>
              <w:suppressAutoHyphens/>
            </w:pPr>
            <w:r>
              <w:t xml:space="preserve">Yr11+ (secular)</w:t>
            </w:r>
          </w:p>
        </w:tc>
        <w:tc>
          <w:tcPr/>
          <w:p>
            <w:pPr>
              <w:pStyle w:val="Compact"/>
              <w:jc w:val="left"/>
              <w:suppressAutoHyphens/>
            </w:pPr>
            <w:r>
              <w:t xml:space="preserve">scales with new-school Payroll</w:t>
            </w:r>
          </w:p>
        </w:tc>
        <w:tc>
          <w:tcPr/>
          <w:p>
            <w:pPr>
              <w:pStyle w:val="Compact"/>
              <w:jc w:val="left"/>
              <w:suppressAutoHyphens/>
            </w:pPr>
            <w:r>
              <w:t xml:space="preserve">salaried terminal-degree hires</w:t>
            </w:r>
          </w:p>
        </w:tc>
        <w:tc>
          <w:tcPr/>
          <w:p>
            <w:pPr>
              <w:pStyle w:val="Compact"/>
              <w:jc w:val="left"/>
              <w:suppressAutoHyphens/>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8"/>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8"/>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Department (HoD)</w:t>
            </w:r>
          </w:p>
        </w:tc>
        <w:tc>
          <w:tcPr/>
          <w:p>
            <w:pPr>
              <w:pStyle w:val="Compact"/>
              <w:jc w:val="left"/>
              <w:suppressAutoHyphens/>
            </w:pPr>
            <w:r>
              <w:t xml:space="preserve">Colleges served</w:t>
            </w:r>
          </w:p>
        </w:tc>
        <w:tc>
          <w:tcPr/>
          <w:p>
            <w:pPr>
              <w:pStyle w:val="Compact"/>
              <w:jc w:val="left"/>
              <w:suppressAutoHyphens/>
            </w:pPr>
            <w:r>
              <w:t xml:space="preserve">Founding-phase staffing</w:t>
            </w:r>
          </w:p>
        </w:tc>
      </w:tr>
      <w:tr>
        <w:trPr>
          <w:cantSplit/>
        </w:trPr>
        <w:tc>
          <w:tcPr/>
          <w:p>
            <w:pPr>
              <w:pStyle w:val="Compact"/>
              <w:jc w:val="left"/>
              <w:suppressAutoHyphens/>
            </w:pPr>
            <w:r>
              <w:t xml:space="preserve">Qur’ānic Studies &amp; Tafsīr</w:t>
            </w:r>
          </w:p>
        </w:tc>
        <w:tc>
          <w:tcPr/>
          <w:p>
            <w:pPr>
              <w:pStyle w:val="Compact"/>
              <w:jc w:val="left"/>
              <w:suppressAutoHyphens/>
            </w:pPr>
            <w:r>
              <w:t xml:space="preserve">College I</w:t>
            </w:r>
          </w:p>
        </w:tc>
        <w:tc>
          <w:tcPr/>
          <w:p>
            <w:pPr>
              <w:pStyle w:val="Compact"/>
              <w:jc w:val="left"/>
              <w:suppressAutoHyphens/>
            </w:pPr>
            <w:r>
              <w:t xml:space="preserve">HoD + 2–3 adjunct scholars</w:t>
            </w:r>
          </w:p>
        </w:tc>
      </w:tr>
      <w:tr>
        <w:trPr>
          <w:cantSplit/>
        </w:trPr>
        <w:tc>
          <w:tcPr/>
          <w:p>
            <w:pPr>
              <w:pStyle w:val="Compact"/>
              <w:jc w:val="left"/>
              <w:suppressAutoHyphens/>
            </w:pPr>
            <w:r>
              <w:t xml:space="preserve">Hadith Sciences</w:t>
            </w:r>
          </w:p>
        </w:tc>
        <w:tc>
          <w:tcPr/>
          <w:p>
            <w:pPr>
              <w:pStyle w:val="Compact"/>
              <w:jc w:val="left"/>
              <w:suppressAutoHyphens/>
            </w:pPr>
            <w:r>
              <w:t xml:space="preserve">College I</w:t>
            </w:r>
          </w:p>
        </w:tc>
        <w:tc>
          <w:tcPr/>
          <w:p>
            <w:pPr>
              <w:pStyle w:val="Compact"/>
              <w:jc w:val="left"/>
              <w:suppressAutoHyphens/>
            </w:pPr>
            <w:r>
              <w:t xml:space="preserve">HoD + 1–2 adjunct scholars</w:t>
            </w:r>
          </w:p>
        </w:tc>
      </w:tr>
      <w:tr>
        <w:trPr>
          <w:cantSplit/>
        </w:trPr>
        <w:tc>
          <w:tcPr/>
          <w:p>
            <w:pPr>
              <w:pStyle w:val="Compact"/>
              <w:jc w:val="left"/>
              <w:suppressAutoHyphens/>
            </w:pPr>
            <w:r>
              <w:t xml:space="preserve">Sharī’ah &amp; Fiqh</w:t>
            </w:r>
          </w:p>
        </w:tc>
        <w:tc>
          <w:tcPr/>
          <w:p>
            <w:pPr>
              <w:pStyle w:val="Compact"/>
              <w:jc w:val="left"/>
              <w:suppressAutoHyphens/>
            </w:pPr>
            <w:r>
              <w:t xml:space="preserve">College II</w:t>
            </w:r>
          </w:p>
        </w:tc>
        <w:tc>
          <w:tcPr/>
          <w:p>
            <w:pPr>
              <w:pStyle w:val="Compact"/>
              <w:jc w:val="left"/>
              <w:suppressAutoHyphens/>
            </w:pPr>
            <w:r>
              <w:t xml:space="preserve">HoD + 2–3 adjunct scholars</w:t>
            </w:r>
          </w:p>
        </w:tc>
      </w:tr>
      <w:tr>
        <w:trPr>
          <w:cantSplit/>
        </w:trPr>
        <w:tc>
          <w:tcPr/>
          <w:p>
            <w:pPr>
              <w:pStyle w:val="Compact"/>
              <w:jc w:val="left"/>
              <w:suppressAutoHyphens/>
            </w:pPr>
            <w:r>
              <w:t xml:space="preserve">Aqeedah &amp; Islamic Philosophy</w:t>
            </w:r>
          </w:p>
        </w:tc>
        <w:tc>
          <w:tcPr/>
          <w:p>
            <w:pPr>
              <w:pStyle w:val="Compact"/>
              <w:jc w:val="left"/>
              <w:suppressAutoHyphens/>
            </w:pPr>
            <w:r>
              <w:t xml:space="preserve">College III</w:t>
            </w:r>
          </w:p>
        </w:tc>
        <w:tc>
          <w:tcPr/>
          <w:p>
            <w:pPr>
              <w:pStyle w:val="Compact"/>
              <w:jc w:val="left"/>
              <w:suppressAutoHyphens/>
            </w:pPr>
            <w:r>
              <w:t xml:space="preserve">HoD + 1–2 adjunct scholars</w:t>
            </w:r>
          </w:p>
        </w:tc>
      </w:tr>
      <w:tr>
        <w:trPr>
          <w:cantSplit/>
        </w:trPr>
        <w:tc>
          <w:tcPr/>
          <w:p>
            <w:pPr>
              <w:pStyle w:val="Compact"/>
              <w:jc w:val="left"/>
              <w:suppressAutoHyphens/>
            </w:pPr>
            <w:r>
              <w:t xml:space="preserve">Arabic Language &amp; Linguistics</w:t>
            </w:r>
          </w:p>
        </w:tc>
        <w:tc>
          <w:tcPr/>
          <w:p>
            <w:pPr>
              <w:pStyle w:val="Compact"/>
              <w:jc w:val="left"/>
              <w:suppressAutoHyphens/>
            </w:pPr>
            <w:r>
              <w:t xml:space="preserve">College IV (+ shared core)</w:t>
            </w:r>
          </w:p>
        </w:tc>
        <w:tc>
          <w:tcPr/>
          <w:p>
            <w:pPr>
              <w:pStyle w:val="Compact"/>
              <w:jc w:val="left"/>
              <w:suppressAutoHyphens/>
            </w:pPr>
            <w:r>
              <w:t xml:space="preserve">HoD + 2–3 adjunct scholars</w:t>
            </w:r>
          </w:p>
        </w:tc>
      </w:tr>
      <w:tr>
        <w:trPr>
          <w:cantSplit/>
        </w:trPr>
        <w:tc>
          <w:tcPr/>
          <w:p>
            <w:pPr>
              <w:pStyle w:val="Compact"/>
              <w:jc w:val="left"/>
              <w:suppressAutoHyphens/>
            </w:pPr>
            <w:r>
              <w:t xml:space="preserve">Da’wah &amp; Islamic Communication</w:t>
            </w:r>
          </w:p>
        </w:tc>
        <w:tc>
          <w:tcPr/>
          <w:p>
            <w:pPr>
              <w:pStyle w:val="Compact"/>
              <w:jc w:val="left"/>
              <w:suppressAutoHyphens/>
            </w:pPr>
            <w:r>
              <w:t xml:space="preserve">College V</w:t>
            </w:r>
          </w:p>
        </w:tc>
        <w:tc>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Total dept. staffing budget source</w:t>
            </w:r>
          </w:p>
        </w:tc>
        <w:tc>
          <w:tcPr/>
          <w:p>
            <w:pPr>
              <w:pStyle w:val="Compact"/>
              <w:jc w:val="left"/>
              <w:suppressAutoHyphens/>
            </w:pPr>
            <w:r>
              <w:t xml:space="preserve">Approx. per-department honoraria pool (Yr1/Yr5/Yr10, 6 depts sharing $17,980/$103,263/$306,444)</w:t>
            </w:r>
          </w:p>
        </w:tc>
      </w:tr>
      <w:tr>
        <w:trPr>
          <w:cantSplit/>
        </w:trPr>
        <w:tc>
          <w:tcPr/>
          <w:p>
            <w:pPr>
              <w:pStyle w:val="Compact"/>
              <w:jc w:val="left"/>
              <w:suppressAutoHyphens/>
            </w:pPr>
            <w:r>
              <w:t xml:space="preserve">Yr1</w:t>
            </w:r>
          </w:p>
        </w:tc>
        <w:tc>
          <w:tcPr/>
          <w:p>
            <w:pPr>
              <w:pStyle w:val="Compact"/>
              <w:jc w:val="left"/>
              <w:suppressAutoHyphens/>
            </w:pPr>
            <w:r>
              <w:t xml:space="preserve">Faculty Honoraria (40% of $44,949 Payroll)</w:t>
            </w:r>
          </w:p>
        </w:tc>
        <w:tc>
          <w:tcPr/>
          <w:p>
            <w:pPr>
              <w:pStyle w:val="Compact"/>
              <w:jc w:val="left"/>
              <w:suppressAutoHyphens/>
            </w:pPr>
            <w:r>
              <w:t xml:space="preserve">≈$3,000 avg/dept</w:t>
            </w:r>
          </w:p>
        </w:tc>
      </w:tr>
      <w:tr>
        <w:trPr>
          <w:cantSplit/>
        </w:trPr>
        <w:tc>
          <w:tcPr/>
          <w:p>
            <w:pPr>
              <w:pStyle w:val="Compact"/>
              <w:jc w:val="left"/>
              <w:suppressAutoHyphens/>
            </w:pPr>
            <w:r>
              <w:t xml:space="preserve">Yr5</w:t>
            </w:r>
          </w:p>
        </w:tc>
        <w:tc>
          <w:tcPr/>
          <w:p>
            <w:pPr>
              <w:pStyle w:val="Compact"/>
              <w:jc w:val="left"/>
              <w:suppressAutoHyphens/>
            </w:pPr>
            <w:r>
              <w:t xml:space="preserve">Faculty Honoraria (40% of $258,157 Payroll)</w:t>
            </w:r>
          </w:p>
        </w:tc>
        <w:tc>
          <w:tcPr/>
          <w:p>
            <w:pPr>
              <w:pStyle w:val="Compact"/>
              <w:jc w:val="left"/>
              <w:suppressAutoHyphens/>
            </w:pPr>
            <w:r>
              <w:t xml:space="preserve">≈$17,200 avg/dept</w:t>
            </w:r>
          </w:p>
        </w:tc>
      </w:tr>
      <w:tr>
        <w:trPr>
          <w:cantSplit/>
        </w:trPr>
        <w:tc>
          <w:tcPr/>
          <w:p>
            <w:pPr>
              <w:pStyle w:val="Compact"/>
              <w:jc w:val="left"/>
              <w:suppressAutoHyphens/>
            </w:pPr>
            <w:r>
              <w:t xml:space="preserve">Yr10</w:t>
            </w:r>
          </w:p>
        </w:tc>
        <w:tc>
          <w:tcPr/>
          <w:p>
            <w:pPr>
              <w:pStyle w:val="Compact"/>
              <w:jc w:val="left"/>
              <w:suppressAutoHyphens/>
            </w:pPr>
            <w:r>
              <w:t xml:space="preserve">Faculty Honoraria (40% of $766,110 Payroll)</w:t>
            </w:r>
          </w:p>
        </w:tc>
        <w:tc>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9"/>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9"/>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9"/>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THREE OF EIGHT</w:t>
            </w:r>
          </w:p>
          <w:p>
            <w:pPr>
              <w:spacing w:before="0" w:after="60"/>
              <w:suppressAutoHyphens/>
            </w:pPr>
            <w:r>
              <w:rPr>
                <w:rFonts w:ascii="Cinzel" w:hAnsi="Cinzel"/>
                <w:b/>
                <w:color w:val="B08625"/>
                <w:sz w:val="22"/>
                <w:caps/>
                <w:spacing w:val="18"/>
              </w:rPr>
              <w:t>III</w:t>
            </w:r>
          </w:p>
          <w:p>
            <w:pPr>
              <w:spacing w:before="120" w:after="80"/>
              <w:suppressAutoHyphens/>
            </w:pPr>
            <w:r>
              <w:rPr>
                <w:rFonts w:ascii="Cormorant Garamond" w:hAnsi="Cormorant Garamond"/>
                <w:b/>
                <w:color w:val="B08625"/>
                <w:sz w:val="22"/>
                <w:caps/>
                <w:spacing w:val="18"/>
              </w:rPr>
              <w:t>Curriculum &amp; Student Journey</w:t>
            </w:r>
          </w:p>
          <w:p>
            <w:pPr>
              <w:spacing w:before="0" w:after="260"/>
              <w:pBdr>
                <w:bottom w:val="single" w:sz="10" w:space="8" w:color="B08625"/>
              </w:pBdr>
              <w:suppressAutoHyphens/>
            </w:pPr>
            <w:r>
              <w:rPr>
                <w:rFonts w:ascii="Liberation Sans" w:hAnsi="Liberation Sans"/>
                <w:color w:val="8C97AB"/>
                <w:sz w:val="17"/>
                <w:spacing w:val="14"/>
              </w:rPr>
              <w:t>SECTIONS 11–15</w:t>
            </w:r>
          </w:p>
          <w:p>
            <w:pPr>
              <w:spacing w:before="0" w:after="360"/>
              <w:ind w:right="700"/>
              <w:suppressAutoHyphens/>
            </w:pPr>
            <w:r>
              <w:rPr>
                <w:rFonts w:ascii="Cormorant Garamond" w:hAnsi="Cormorant Garamond"/>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11 </w:t>
            </w:r>
            <w:r>
              <w:rPr>
                <w:rFonts w:ascii="Liberation Sans" w:hAnsi="Liberation Sans"/>
                <w:color w:val="FFFFFF"/>
                <w:sz w:val="20"/>
              </w:rPr>
              <w:t>Program Portfolio</w:t>
            </w:r>
          </w:p>
          <w:p>
            <w:pPr>
              <w:spacing w:before="0" w:after="130"/>
              <w:suppressAutoHyphens/>
            </w:pPr>
            <w:r>
              <w:rPr>
                <w:rFonts w:ascii="Cinzel" w:hAnsi="Cinzel"/>
                <w:b/>
                <w:color w:val="B08625"/>
                <w:sz w:val="22"/>
                <w:caps/>
                <w:spacing w:val="18"/>
              </w:rPr>
              <w:t>12 </w:t>
            </w:r>
            <w:r>
              <w:rPr>
                <w:rFonts w:ascii="Liberation Sans" w:hAnsi="Liberation Sans"/>
                <w:color w:val="FFFFFF"/>
                <w:sz w:val="20"/>
              </w:rPr>
              <w:t>Curriculum Architecture</w:t>
            </w:r>
          </w:p>
          <w:p>
            <w:pPr>
              <w:spacing w:before="0" w:after="130"/>
              <w:suppressAutoHyphens/>
            </w:pPr>
            <w:r>
              <w:rPr>
                <w:rFonts w:ascii="Cinzel" w:hAnsi="Cinzel"/>
                <w:b/>
                <w:color w:val="B08625"/>
                <w:sz w:val="22"/>
                <w:caps/>
                <w:spacing w:val="18"/>
              </w:rPr>
              <w:t>13 </w:t>
            </w:r>
            <w:r>
              <w:rPr>
                <w:rFonts w:ascii="Liberation Sans" w:hAnsi="Liberation Sans"/>
                <w:color w:val="FFFFFF"/>
                <w:sz w:val="20"/>
              </w:rPr>
              <w:t>Student Journey Map</w:t>
            </w:r>
          </w:p>
          <w:p>
            <w:pPr>
              <w:spacing w:before="0" w:after="130"/>
              <w:suppressAutoHyphens/>
            </w:pPr>
            <w:r>
              <w:rPr>
                <w:rFonts w:ascii="Cinzel" w:hAnsi="Cinzel"/>
                <w:b/>
                <w:color w:val="B08625"/>
                <w:sz w:val="22"/>
                <w:caps/>
                <w:spacing w:val="18"/>
              </w:rPr>
              <w:t>14 </w:t>
            </w:r>
            <w:r>
              <w:rPr>
                <w:rFonts w:ascii="Liberation Sans" w:hAnsi="Liberation Sans"/>
                <w:color w:val="FFFFFF"/>
                <w:sz w:val="20"/>
              </w:rPr>
              <w:t>Admission Policies</w:t>
            </w:r>
          </w:p>
          <w:p>
            <w:pPr>
              <w:spacing w:before="0" w:after="130"/>
              <w:suppressAutoHyphens/>
            </w:pPr>
            <w:r>
              <w:rPr>
                <w:rFonts w:ascii="Cinzel" w:hAnsi="Cinzel"/>
                <w:b/>
                <w:color w:val="B08625"/>
                <w:sz w:val="22"/>
                <w:caps/>
                <w:spacing w:val="18"/>
              </w:rPr>
              <w:t>15 </w:t>
            </w:r>
            <w:r>
              <w:rPr>
                <w:rFonts w:ascii="Liberation Sans" w:hAnsi="Liberation Sans"/>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Founding</w:t>
            </w:r>
          </w:p>
        </w:tc>
        <w:tc>
          <w:tcPr/>
          <w:p>
            <w:pPr>
              <w:pStyle w:val="Compact"/>
              <w:jc w:val="left"/>
              <w:suppressAutoHyphens/>
            </w:pPr>
            <w:r>
              <w:t xml:space="preserve">2027</w:t>
            </w:r>
          </w:p>
        </w:tc>
        <w:tc>
          <w:tcPr/>
          <w:p>
            <w:pPr>
              <w:pStyle w:val="Compact"/>
              <w:jc w:val="left"/>
              <w:suppressAutoHyphens/>
            </w:pPr>
            <w:r>
              <w:t xml:space="preserve">Senate ratifies the 71-program catalog and permanent numbering (1–71)</w:t>
            </w:r>
          </w:p>
        </w:tc>
      </w:tr>
      <w:tr>
        <w:trPr>
          <w:cantSplit/>
        </w:trPr>
        <w:tc>
          <w:tcPr/>
          <w:p>
            <w:pPr>
              <w:pStyle w:val="Compact"/>
              <w:jc w:val="left"/>
              <w:suppressAutoHyphens/>
            </w:pPr>
            <w:r>
              <w:t xml:space="preserve">1 – Stabilization</w:t>
            </w:r>
          </w:p>
        </w:tc>
        <w:tc>
          <w:tcPr/>
          <w:p>
            <w:pPr>
              <w:pStyle w:val="Compact"/>
              <w:jc w:val="left"/>
              <w:suppressAutoHyphens/>
            </w:pPr>
            <w:r>
              <w:t xml:space="preserve">2028–2030</w:t>
            </w:r>
          </w:p>
        </w:tc>
        <w:tc>
          <w:tcPr/>
          <w:p>
            <w:pPr>
              <w:pStyle w:val="Compact"/>
              <w:jc w:val="left"/>
              <w:suppressAutoHyphens/>
            </w:pPr>
            <w:r>
              <w:t xml:space="preserve">Launch monitoring; no new programs; fix early-cohort defects</w:t>
            </w:r>
          </w:p>
        </w:tc>
      </w:tr>
      <w:tr>
        <w:trPr>
          <w:cantSplit/>
        </w:trPr>
        <w:tc>
          <w:tcPr/>
          <w:p>
            <w:pPr>
              <w:pStyle w:val="Compact"/>
              <w:jc w:val="left"/>
              <w:suppressAutoHyphens/>
            </w:pPr>
            <w:r>
              <w:t xml:space="preserve">2 – Consolidation</w:t>
            </w:r>
          </w:p>
        </w:tc>
        <w:tc>
          <w:tcPr/>
          <w:p>
            <w:pPr>
              <w:pStyle w:val="Compact"/>
              <w:jc w:val="left"/>
              <w:suppressAutoHyphens/>
            </w:pPr>
            <w:r>
              <w:t xml:space="preserve">2031–2034</w:t>
            </w:r>
          </w:p>
        </w:tc>
        <w:tc>
          <w:tcPr/>
          <w:p>
            <w:pPr>
              <w:pStyle w:val="Compact"/>
              <w:jc w:val="left"/>
              <w:suppressAutoHyphens/>
            </w:pPr>
            <w:r>
              <w:t xml:space="preserve">First 3-year reviews; balance checks across tiers/colleges</w:t>
            </w:r>
          </w:p>
        </w:tc>
      </w:tr>
      <w:tr>
        <w:trPr>
          <w:cantSplit/>
        </w:trPr>
        <w:tc>
          <w:tcPr/>
          <w:p>
            <w:pPr>
              <w:pStyle w:val="Compact"/>
              <w:jc w:val="left"/>
              <w:suppressAutoHyphens/>
            </w:pPr>
            <w:r>
              <w:t xml:space="preserve">3 – Pre-Expansion</w:t>
            </w:r>
          </w:p>
        </w:tc>
        <w:tc>
          <w:tcPr/>
          <w:p>
            <w:pPr>
              <w:pStyle w:val="Compact"/>
              <w:jc w:val="left"/>
              <w:suppressAutoHyphens/>
            </w:pPr>
            <w:r>
              <w:t xml:space="preserve">2035–2037</w:t>
            </w:r>
          </w:p>
        </w:tc>
        <w:tc>
          <w:tcPr/>
          <w:p>
            <w:pPr>
              <w:pStyle w:val="Compact"/>
              <w:jc w:val="left"/>
              <w:suppressAutoHyphens/>
            </w:pPr>
            <w:r>
              <w:t xml:space="preserve">Readiness audit for secular expansion; capacity planning</w:t>
            </w:r>
          </w:p>
        </w:tc>
      </w:tr>
      <w:tr>
        <w:trPr>
          <w:cantSplit/>
        </w:trPr>
        <w:tc>
          <w:tcPr/>
          <w:p>
            <w:pPr>
              <w:pStyle w:val="Compact"/>
              <w:jc w:val="left"/>
              <w:suppressAutoHyphens/>
            </w:pPr>
            <w:r>
              <w:t xml:space="preserve">4 – Secular Launch</w:t>
            </w:r>
          </w:p>
        </w:tc>
        <w:tc>
          <w:tcPr/>
          <w:p>
            <w:pPr>
              <w:pStyle w:val="Compact"/>
              <w:jc w:val="left"/>
              <w:suppressAutoHyphens/>
            </w:pPr>
            <w:r>
              <w:t xml:space="preserve">2038–2041</w:t>
            </w:r>
          </w:p>
        </w:tc>
        <w:tc>
          <w:tcPr/>
          <w:p>
            <w:pPr>
              <w:pStyle w:val="Compact"/>
              <w:jc w:val="left"/>
              <w:suppressAutoHyphens/>
            </w:pPr>
            <w:r>
              <w:t xml:space="preserve">Onboard 28 programs (#72–99), 7 new Schools</w:t>
            </w:r>
          </w:p>
        </w:tc>
      </w:tr>
      <w:tr>
        <w:trPr>
          <w:cantSplit/>
        </w:trPr>
        <w:tc>
          <w:tcPr/>
          <w:p>
            <w:pPr>
              <w:pStyle w:val="Compact"/>
              <w:jc w:val="left"/>
              <w:suppressAutoHyphens/>
            </w:pPr>
            <w:r>
              <w:t xml:space="preserve">5 – Maturity</w:t>
            </w:r>
          </w:p>
        </w:tc>
        <w:tc>
          <w:tcPr/>
          <w:p>
            <w:pPr>
              <w:pStyle w:val="Compact"/>
              <w:jc w:val="left"/>
              <w:suppressAutoHyphens/>
            </w:pPr>
            <w:r>
              <w:t xml:space="preserve">2042–2050</w:t>
            </w:r>
          </w:p>
        </w:tc>
        <w:tc>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Portfolio-related staffing</w:t>
            </w:r>
          </w:p>
        </w:tc>
      </w:tr>
      <w:tr>
        <w:trPr>
          <w:cantSplit/>
        </w:trPr>
        <w:tc>
          <w:tcPr/>
          <w:p>
            <w:pPr>
              <w:pStyle w:val="Compact"/>
              <w:jc w:val="left"/>
              <w:suppressAutoHyphens/>
            </w:pPr>
            <w:r>
              <w:t xml:space="preserve">1 (Yr1–3)</w:t>
            </w:r>
          </w:p>
        </w:tc>
        <w:tc>
          <w:tcPr/>
          <w:p>
            <w:pPr>
              <w:pStyle w:val="Compact"/>
              <w:jc w:val="left"/>
              <w:suppressAutoHyphens/>
            </w:pPr>
            <w:r>
              <w:t xml:space="preserve">No dedicated role; Senate Secretary + DVC Academic Affairs track portfolio part-time</w:t>
            </w:r>
          </w:p>
        </w:tc>
      </w:tr>
      <w:tr>
        <w:trPr>
          <w:cantSplit/>
        </w:trPr>
        <w:tc>
          <w:tcPr/>
          <w:p>
            <w:pPr>
              <w:pStyle w:val="Compact"/>
              <w:jc w:val="left"/>
              <w:suppressAutoHyphens/>
            </w:pPr>
            <w:r>
              <w:t xml:space="preserve">2 (Yr4–7)</w:t>
            </w:r>
          </w:p>
        </w:tc>
        <w:tc>
          <w:tcPr/>
          <w:p>
            <w:pPr>
              <w:pStyle w:val="Compact"/>
              <w:jc w:val="left"/>
              <w:suppressAutoHyphens/>
            </w:pPr>
            <w:r>
              <w:t xml:space="preserve">Program Portfolio Analyst, 0.5 FTE</w:t>
            </w:r>
          </w:p>
        </w:tc>
      </w:tr>
      <w:tr>
        <w:trPr>
          <w:cantSplit/>
        </w:trPr>
        <w:tc>
          <w:tcPr/>
          <w:p>
            <w:pPr>
              <w:pStyle w:val="Compact"/>
              <w:jc w:val="left"/>
              <w:suppressAutoHyphens/>
            </w:pPr>
            <w:r>
              <w:t xml:space="preserve">3 (Yr8–10)</w:t>
            </w:r>
          </w:p>
        </w:tc>
        <w:tc>
          <w:tcPr/>
          <w:p>
            <w:pPr>
              <w:pStyle w:val="Compact"/>
              <w:jc w:val="left"/>
              <w:suppressAutoHyphens/>
            </w:pPr>
            <w:r>
              <w:t xml:space="preserve">Analyst to 1.0 FTE; College Curriculum Liaisons (volunteer, 1 per college)</w:t>
            </w:r>
          </w:p>
        </w:tc>
      </w:tr>
      <w:tr>
        <w:trPr>
          <w:cantSplit/>
        </w:trPr>
        <w:tc>
          <w:tcPr/>
          <w:p>
            <w:pPr>
              <w:pStyle w:val="Compact"/>
              <w:jc w:val="left"/>
              <w:suppressAutoHyphens/>
            </w:pPr>
            <w:r>
              <w:t xml:space="preserve">4 (Yr11–14)</w:t>
            </w:r>
          </w:p>
        </w:tc>
        <w:tc>
          <w:tcPr/>
          <w:p>
            <w:pPr>
              <w:pStyle w:val="Compact"/>
              <w:jc w:val="left"/>
              <w:suppressAutoHyphens/>
            </w:pPr>
            <w:r>
              <w:t xml:space="preserve">Program Portfolio Office, 2 FTE, incl. secular-schools liaison</w:t>
            </w:r>
          </w:p>
        </w:tc>
      </w:tr>
      <w:tr>
        <w:trPr>
          <w:cantSplit/>
        </w:trPr>
        <w:tc>
          <w:tcPr/>
          <w:p>
            <w:pPr>
              <w:pStyle w:val="Compact"/>
              <w:jc w:val="left"/>
              <w:suppressAutoHyphens/>
            </w:pPr>
            <w:r>
              <w:t xml:space="preserve">5 (Yr15–23)</w:t>
            </w:r>
          </w:p>
        </w:tc>
        <w:tc>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10"/>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10"/>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10"/>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10"/>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Program proliferation dilutes faculty/marketing capacity</w:t>
            </w:r>
          </w:p>
        </w:tc>
        <w:tc>
          <w:tcPr/>
          <w:p>
            <w:pPr>
              <w:pStyle w:val="Compact"/>
              <w:jc w:val="left"/>
              <w:suppressAutoHyphens/>
            </w:pPr>
            <w:r>
              <w:t xml:space="preserve">Minimum-viable-cohort gate before Senate approval; sunset trigger after 3 sub-threshold years</w:t>
            </w:r>
          </w:p>
        </w:tc>
      </w:tr>
      <w:tr>
        <w:trPr>
          <w:cantSplit/>
        </w:trPr>
        <w:tc>
          <w:tcPr/>
          <w:p>
            <w:pPr>
              <w:pStyle w:val="Compact"/>
              <w:jc w:val="left"/>
              <w:suppressAutoHyphens/>
            </w:pPr>
            <w:r>
              <w:t xml:space="preserve">Secular Schools (Yr11) cannibalize religious-college enrollment/marketing share</w:t>
            </w:r>
          </w:p>
        </w:tc>
        <w:tc>
          <w:tcPr/>
          <w:p>
            <w:pPr>
              <w:pStyle w:val="Compact"/>
              <w:jc w:val="left"/>
              <w:suppressAutoHyphens/>
            </w:pPr>
            <w:r>
              <w:t xml:space="preserve">Separate marketing sub-budgets and KPIs per college/school within the 10% Marketing allocation</w:t>
            </w:r>
          </w:p>
        </w:tc>
      </w:tr>
      <w:tr>
        <w:trPr>
          <w:cantSplit/>
        </w:trPr>
        <w:tc>
          <w:tcPr/>
          <w:p>
            <w:pPr>
              <w:pStyle w:val="Compact"/>
              <w:jc w:val="left"/>
              <w:suppressAutoHyphens/>
            </w:pPr>
            <w:r>
              <w:t xml:space="preserve">Senate becomes a bottleneck as catalog grows to 99 programs</w:t>
            </w:r>
          </w:p>
        </w:tc>
        <w:tc>
          <w:tcPr/>
          <w:p>
            <w:pPr>
              <w:pStyle w:val="Compact"/>
              <w:jc w:val="left"/>
              <w:suppressAutoHyphens/>
            </w:pPr>
            <w:r>
              <w:t xml:space="preserve">Program Portfolio Committee pre-screens and batches routine reviews; only substantive changes go to full Senate</w:t>
            </w:r>
          </w:p>
        </w:tc>
      </w:tr>
      <w:tr>
        <w:trPr>
          <w:cantSplit/>
        </w:trPr>
        <w:tc>
          <w:tcPr/>
          <w:p>
            <w:pPr>
              <w:pStyle w:val="Compact"/>
              <w:jc w:val="left"/>
              <w:suppressAutoHyphens/>
            </w:pPr>
            <w:r>
              <w:t xml:space="preserve">Permanent numbering (1–71) creates confusion when a program is sunset</w:t>
            </w:r>
          </w:p>
        </w:tc>
        <w:tc>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Approves creation of new Colleges/Schools (capital &amp; fiduciary dimension)</w:t>
            </w:r>
          </w:p>
        </w:tc>
      </w:tr>
      <w:tr>
        <w:trPr>
          <w:cantSplit/>
        </w:trPr>
        <w:tc>
          <w:tcPr/>
          <w:p>
            <w:pPr>
              <w:pStyle w:val="Compact"/>
              <w:jc w:val="left"/>
              <w:suppressAutoHyphens/>
            </w:pPr>
            <w:r>
              <w:t xml:space="preserve">University Senate</w:t>
            </w:r>
          </w:p>
        </w:tc>
        <w:tc>
          <w:tcPr/>
          <w:p>
            <w:pPr>
              <w:pStyle w:val="Compact"/>
              <w:jc w:val="left"/>
              <w:suppressAutoHyphens/>
            </w:pPr>
            <w:r>
              <w:t xml:space="preserve">Supreme authority: approves every program addition, modification, discontinuation</w:t>
            </w:r>
          </w:p>
        </w:tc>
      </w:tr>
      <w:tr>
        <w:trPr>
          <w:cantSplit/>
        </w:trPr>
        <w:tc>
          <w:tcPr/>
          <w:p>
            <w:pPr>
              <w:pStyle w:val="Compact"/>
              <w:jc w:val="left"/>
              <w:suppressAutoHyphens/>
            </w:pPr>
            <w:r>
              <w:t xml:space="preserve">Program Portfolio Committee (PPC, Senate subcommittee)</w:t>
            </w:r>
          </w:p>
        </w:tc>
        <w:tc>
          <w:tcPr/>
          <w:p>
            <w:pPr>
              <w:pStyle w:val="Compact"/>
              <w:jc w:val="left"/>
              <w:suppressAutoHyphens/>
            </w:pPr>
            <w:r>
              <w:t xml:space="preserve">Conducts reviews, recommends sunset/launch, monitors tier/college balance</w:t>
            </w:r>
          </w:p>
        </w:tc>
      </w:tr>
      <w:tr>
        <w:trPr>
          <w:cantSplit/>
        </w:trPr>
        <w:tc>
          <w:tcPr/>
          <w:p>
            <w:pPr>
              <w:pStyle w:val="Compact"/>
              <w:jc w:val="left"/>
              <w:suppressAutoHyphens/>
            </w:pPr>
            <w:r>
              <w:t xml:space="preserve">DVC Academic Affairs (Al-Qumash)</w:t>
            </w:r>
          </w:p>
        </w:tc>
        <w:tc>
          <w:tcPr/>
          <w:p>
            <w:pPr>
              <w:pStyle w:val="Compact"/>
              <w:jc w:val="left"/>
              <w:suppressAutoHyphens/>
            </w:pPr>
            <w:r>
              <w:t xml:space="preserve">Implements Senate decisions, chairs PPC coordination</w:t>
            </w:r>
          </w:p>
        </w:tc>
      </w:tr>
      <w:tr>
        <w:trPr>
          <w:cantSplit/>
        </w:trPr>
        <w:tc>
          <w:tcPr/>
          <w:p>
            <w:pPr>
              <w:pStyle w:val="Compact"/>
              <w:jc w:val="left"/>
              <w:suppressAutoHyphens/>
            </w:pPr>
            <w:r>
              <w:t xml:space="preserve">University Registrar</w:t>
            </w:r>
          </w:p>
        </w:tc>
        <w:tc>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Tier</w:t>
            </w:r>
          </w:p>
        </w:tc>
        <w:tc>
          <w:tcPr/>
          <w:p>
            <w:pPr>
              <w:pStyle w:val="Compact"/>
              <w:jc w:val="left"/>
              <w:suppressAutoHyphens/>
            </w:pPr>
            <w:r>
              <w:t xml:space="preserve">Total CH</w:t>
            </w:r>
          </w:p>
        </w:tc>
        <w:tc>
          <w:tcPr/>
          <w:p>
            <w:pPr>
              <w:pStyle w:val="Compact"/>
              <w:jc w:val="left"/>
              <w:suppressAutoHyphens/>
            </w:pPr>
            <w:r>
              <w:t xml:space="preserve">Gen-Ed</w:t>
            </w:r>
          </w:p>
        </w:tc>
        <w:tc>
          <w:tcPr/>
          <w:p>
            <w:pPr>
              <w:pStyle w:val="Compact"/>
              <w:jc w:val="left"/>
              <w:suppressAutoHyphens/>
            </w:pPr>
            <w:r>
              <w:t xml:space="preserve">Core/Major</w:t>
            </w:r>
          </w:p>
        </w:tc>
        <w:tc>
          <w:tcPr/>
          <w:p>
            <w:pPr>
              <w:pStyle w:val="Compact"/>
              <w:jc w:val="left"/>
              <w:suppressAutoHyphens/>
            </w:pPr>
            <w:r>
              <w:t xml:space="preserve">Elective/Research</w:t>
            </w:r>
          </w:p>
        </w:tc>
      </w:tr>
      <w:tr>
        <w:trPr>
          <w:cantSplit/>
        </w:trPr>
        <w:tc>
          <w:tcPr/>
          <w:p>
            <w:pPr>
              <w:pStyle w:val="Compact"/>
              <w:jc w:val="left"/>
              <w:suppressAutoHyphens/>
            </w:pPr>
            <w:r>
              <w:t xml:space="preserve">I Diploma</w:t>
            </w:r>
          </w:p>
        </w:tc>
        <w:tc>
          <w:tcPr/>
          <w:p>
            <w:pPr>
              <w:pStyle w:val="Compact"/>
              <w:jc w:val="left"/>
              <w:suppressAutoHyphens/>
            </w:pPr>
            <w:r>
              <w:t xml:space="preserve">45</w:t>
            </w:r>
          </w:p>
        </w:tc>
        <w:tc>
          <w:tcPr/>
          <w:p>
            <w:pPr>
              <w:pStyle w:val="Compact"/>
              <w:jc w:val="left"/>
              <w:suppressAutoHyphens/>
            </w:pPr>
            <w:r>
              <w:t xml:space="preserve">9 (20%)</w:t>
            </w:r>
          </w:p>
        </w:tc>
        <w:tc>
          <w:tcPr/>
          <w:p>
            <w:pPr>
              <w:pStyle w:val="Compact"/>
              <w:jc w:val="left"/>
              <w:suppressAutoHyphens/>
            </w:pPr>
            <w:r>
              <w:t xml:space="preserve">36 (80%)</w:t>
            </w:r>
          </w:p>
        </w:tc>
        <w:tc>
          <w:tcPr/>
          <w:p>
            <w:pPr>
              <w:pStyle w:val="Compact"/>
              <w:jc w:val="left"/>
              <w:suppressAutoHyphens/>
            </w:pPr>
            <w:r>
              <w:t xml:space="preserve">—</w:t>
            </w:r>
          </w:p>
        </w:tc>
      </w:tr>
      <w:tr>
        <w:trPr>
          <w:cantSplit/>
        </w:trPr>
        <w:tc>
          <w:tcPr/>
          <w:p>
            <w:pPr>
              <w:pStyle w:val="Compact"/>
              <w:jc w:val="left"/>
              <w:suppressAutoHyphens/>
            </w:pPr>
            <w:r>
              <w:t xml:space="preserve">II Associate</w:t>
            </w:r>
          </w:p>
        </w:tc>
        <w:tc>
          <w:tcPr/>
          <w:p>
            <w:pPr>
              <w:pStyle w:val="Compact"/>
              <w:jc w:val="left"/>
              <w:suppressAutoHyphens/>
            </w:pPr>
            <w:r>
              <w:t xml:space="preserve">60</w:t>
            </w:r>
          </w:p>
        </w:tc>
        <w:tc>
          <w:tcPr/>
          <w:p>
            <w:pPr>
              <w:pStyle w:val="Compact"/>
              <w:jc w:val="left"/>
              <w:suppressAutoHyphens/>
            </w:pPr>
            <w:r>
              <w:t xml:space="preserve">12 (20%)</w:t>
            </w:r>
          </w:p>
        </w:tc>
        <w:tc>
          <w:tcPr/>
          <w:p>
            <w:pPr>
              <w:pStyle w:val="Compact"/>
              <w:jc w:val="left"/>
              <w:suppressAutoHyphens/>
            </w:pPr>
            <w:r>
              <w:t xml:space="preserve">42 (70%)</w:t>
            </w:r>
          </w:p>
        </w:tc>
        <w:tc>
          <w:tcPr/>
          <w:p>
            <w:pPr>
              <w:pStyle w:val="Compact"/>
              <w:jc w:val="left"/>
              <w:suppressAutoHyphens/>
            </w:pPr>
            <w:r>
              <w:t xml:space="preserve">6 (10%)</w:t>
            </w:r>
          </w:p>
        </w:tc>
      </w:tr>
      <w:tr>
        <w:trPr>
          <w:cantSplit/>
        </w:trPr>
        <w:tc>
          <w:tcPr/>
          <w:p>
            <w:pPr>
              <w:pStyle w:val="Compact"/>
              <w:jc w:val="left"/>
              <w:suppressAutoHyphens/>
            </w:pPr>
            <w:r>
              <w:t xml:space="preserve">III BA</w:t>
            </w:r>
          </w:p>
        </w:tc>
        <w:tc>
          <w:tcPr/>
          <w:p>
            <w:pPr>
              <w:pStyle w:val="Compact"/>
              <w:jc w:val="left"/>
              <w:suppressAutoHyphens/>
            </w:pPr>
            <w:r>
              <w:t xml:space="preserve">120</w:t>
            </w:r>
          </w:p>
        </w:tc>
        <w:tc>
          <w:tcPr/>
          <w:p>
            <w:pPr>
              <w:pStyle w:val="Compact"/>
              <w:jc w:val="left"/>
              <w:suppressAutoHyphens/>
            </w:pPr>
            <w:r>
              <w:t xml:space="preserve">24 (20%)</w:t>
            </w:r>
          </w:p>
        </w:tc>
        <w:tc>
          <w:tcPr/>
          <w:p>
            <w:pPr>
              <w:pStyle w:val="Compact"/>
              <w:jc w:val="left"/>
              <w:suppressAutoHyphens/>
            </w:pPr>
            <w:r>
              <w:t xml:space="preserve">72 (60%)</w:t>
            </w:r>
          </w:p>
        </w:tc>
        <w:tc>
          <w:tcPr/>
          <w:p>
            <w:pPr>
              <w:pStyle w:val="Compact"/>
              <w:jc w:val="left"/>
              <w:suppressAutoHyphens/>
            </w:pPr>
            <w:r>
              <w:t xml:space="preserve">24 (20%)</w:t>
            </w:r>
          </w:p>
        </w:tc>
      </w:tr>
      <w:tr>
        <w:trPr>
          <w:cantSplit/>
        </w:trPr>
        <w:tc>
          <w:tcPr/>
          <w:p>
            <w:pPr>
              <w:pStyle w:val="Compact"/>
              <w:jc w:val="left"/>
              <w:suppressAutoHyphens/>
            </w:pPr>
            <w:r>
              <w:t xml:space="preserve">IV HPGD (bridge)</w:t>
            </w:r>
          </w:p>
        </w:tc>
        <w:tc>
          <w:tcPr/>
          <w:p>
            <w:pPr>
              <w:pStyle w:val="Compact"/>
              <w:jc w:val="left"/>
              <w:suppressAutoHyphens/>
            </w:pPr>
            <w:r>
              <w:t xml:space="preserve">30</w:t>
            </w:r>
          </w:p>
        </w:tc>
        <w:tc>
          <w:tcPr/>
          <w:p>
            <w:pPr>
              <w:pStyle w:val="Compact"/>
              <w:jc w:val="left"/>
              <w:suppressAutoHyphens/>
            </w:pPr>
            <w:r>
              <w:t xml:space="preserve">—</w:t>
            </w:r>
          </w:p>
        </w:tc>
        <w:tc>
          <w:tcPr/>
          <w:p>
            <w:pPr>
              <w:pStyle w:val="Compact"/>
              <w:jc w:val="left"/>
              <w:suppressAutoHyphens/>
            </w:pPr>
            <w:r>
              <w:t xml:space="preserve">24 (80%)</w:t>
            </w:r>
          </w:p>
        </w:tc>
        <w:tc>
          <w:tcPr/>
          <w:p>
            <w:pPr>
              <w:pStyle w:val="Compact"/>
              <w:jc w:val="left"/>
              <w:suppressAutoHyphens/>
            </w:pPr>
            <w:r>
              <w:t xml:space="preserve">6 (20%)</w:t>
            </w:r>
          </w:p>
        </w:tc>
      </w:tr>
      <w:tr>
        <w:trPr>
          <w:cantSplit/>
        </w:trPr>
        <w:tc>
          <w:tcPr/>
          <w:p>
            <w:pPr>
              <w:pStyle w:val="Compact"/>
              <w:jc w:val="left"/>
              <w:suppressAutoHyphens/>
            </w:pPr>
            <w:r>
              <w:t xml:space="preserve">V MA</w:t>
            </w:r>
          </w:p>
        </w:tc>
        <w:tc>
          <w:tcPr/>
          <w:p>
            <w:pPr>
              <w:pStyle w:val="Compact"/>
              <w:jc w:val="left"/>
              <w:suppressAutoHyphens/>
            </w:pPr>
            <w:r>
              <w:t xml:space="preserve">45</w:t>
            </w:r>
          </w:p>
        </w:tc>
        <w:tc>
          <w:tcPr/>
          <w:p>
            <w:pPr>
              <w:pStyle w:val="Compact"/>
              <w:jc w:val="left"/>
              <w:suppressAutoHyphens/>
            </w:pPr>
            <w:r>
              <w:t xml:space="preserve">—</w:t>
            </w:r>
          </w:p>
        </w:tc>
        <w:tc>
          <w:tcPr/>
          <w:p>
            <w:pPr>
              <w:pStyle w:val="Compact"/>
              <w:jc w:val="left"/>
              <w:suppressAutoHyphens/>
            </w:pPr>
            <w:r>
              <w:t xml:space="preserve">33 core/specialization</w:t>
            </w:r>
          </w:p>
        </w:tc>
        <w:tc>
          <w:tcPr/>
          <w:p>
            <w:pPr>
              <w:pStyle w:val="Compact"/>
              <w:jc w:val="left"/>
              <w:suppressAutoHyphens/>
            </w:pPr>
            <w:r>
              <w:t xml:space="preserve">12 thesis/elective</w:t>
            </w:r>
          </w:p>
        </w:tc>
      </w:tr>
      <w:tr>
        <w:trPr>
          <w:cantSplit/>
        </w:trPr>
        <w:tc>
          <w:tcPr/>
          <w:p>
            <w:pPr>
              <w:pStyle w:val="Compact"/>
              <w:jc w:val="left"/>
              <w:suppressAutoHyphens/>
            </w:pPr>
            <w:r>
              <w:t xml:space="preserve">VI PhD</w:t>
            </w:r>
          </w:p>
        </w:tc>
        <w:tc>
          <w:tcPr/>
          <w:p>
            <w:pPr>
              <w:pStyle w:val="Compact"/>
              <w:jc w:val="left"/>
              <w:suppressAutoHyphens/>
            </w:pPr>
            <w:r>
              <w:t xml:space="preserve">60</w:t>
            </w:r>
          </w:p>
        </w:tc>
        <w:tc>
          <w:tcPr/>
          <w:p>
            <w:pPr>
              <w:pStyle w:val="Compact"/>
              <w:jc w:val="left"/>
              <w:suppressAutoHyphens/>
            </w:pPr>
            <w:r>
              <w:t xml:space="preserve">—</w:t>
            </w:r>
          </w:p>
        </w:tc>
        <w:tc>
          <w:tcPr/>
          <w:p>
            <w:pPr>
              <w:pStyle w:val="Compact"/>
              <w:jc w:val="left"/>
              <w:suppressAutoHyphens/>
            </w:pPr>
            <w:r>
              <w:t xml:space="preserve">18 coursework</w:t>
            </w:r>
          </w:p>
        </w:tc>
        <w:tc>
          <w:tcPr/>
          <w:p>
            <w:pPr>
              <w:pStyle w:val="Compact"/>
              <w:jc w:val="left"/>
              <w:suppressAutoHyphens/>
            </w:pPr>
            <w:r>
              <w:t xml:space="preserve">42 comprehensive + dissertation</w:t>
            </w:r>
          </w:p>
        </w:tc>
      </w:tr>
      <w:tr>
        <w:trPr>
          <w:cantSplit/>
        </w:trPr>
        <w:tc>
          <w:tcPr/>
          <w:p>
            <w:pPr>
              <w:pStyle w:val="Compact"/>
              <w:jc w:val="left"/>
              <w:suppressAutoHyphens/>
            </w:pPr>
            <w:r>
              <w:t xml:space="preserve">VII Post-Doc</w:t>
            </w:r>
          </w:p>
        </w:tc>
        <w:tc>
          <w:tcPr/>
          <w:p>
            <w:pPr>
              <w:pStyle w:val="Compact"/>
              <w:jc w:val="left"/>
              <w:suppressAutoHyphens/>
            </w:pPr>
            <w:r>
              <w:t xml:space="preserve">non-credit</w:t>
            </w:r>
          </w:p>
        </w:tc>
        <w:tc>
          <w:tcPr/>
          <w:p>
            <w:pPr>
              <w:pStyle w:val="Compact"/>
              <w:jc w:val="left"/>
              <w:suppressAutoHyphens/>
            </w:pPr>
            <w:r>
              <w:t xml:space="preserve">—</w:t>
            </w:r>
          </w:p>
        </w:tc>
        <w:tc>
          <w:tcPr/>
          <w:p>
            <w:pPr>
              <w:pStyle w:val="Compact"/>
              <w:jc w:val="left"/>
              <w:suppressAutoHyphens/>
            </w:pPr>
            <w:r>
              <w:t xml:space="preserve">mentored research</w:t>
            </w:r>
          </w:p>
        </w:tc>
        <w:tc>
          <w:tcPr/>
          <w:p>
            <w:pPr>
              <w:pStyle w:val="Compact"/>
              <w:jc w:val="left"/>
              <w:suppressAutoHyphens/>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Action</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Publish curriculum maps for all 71 programs; Sanad Audit baseline</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First Fast-Track cohort data collected; EMI support pipeline built</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External-reviewer-ready curriculum-map matrices; accreditation prep</w:t>
            </w:r>
          </w:p>
        </w:tc>
      </w:tr>
      <w:tr>
        <w:trPr>
          <w:cantSplit/>
        </w:trPr>
        <w:tc>
          <w:tcPr/>
          <w:p>
            <w:pPr>
              <w:pStyle w:val="Compact"/>
              <w:jc w:val="left"/>
              <w:suppressAutoHyphens/>
            </w:pPr>
            <w:r>
              <w:t xml:space="preserve">4</w:t>
            </w:r>
          </w:p>
        </w:tc>
        <w:tc>
          <w:tcPr/>
          <w:p>
            <w:pPr>
              <w:pStyle w:val="Compact"/>
              <w:jc w:val="left"/>
              <w:suppressAutoHyphens/>
            </w:pPr>
            <w:r>
              <w:t xml:space="preserve">2038–2040</w:t>
            </w:r>
          </w:p>
        </w:tc>
        <w:tc>
          <w:tcPr/>
          <w:p>
            <w:pPr>
              <w:pStyle w:val="Compact"/>
              <w:jc w:val="left"/>
              <w:suppressAutoHyphens/>
            </w:pPr>
            <w:r>
              <w:t xml:space="preserve">Design gen-ed/core/elective architecture for 28 secular programs</w:t>
            </w:r>
          </w:p>
        </w:tc>
      </w:tr>
      <w:tr>
        <w:trPr>
          <w:cantSplit/>
        </w:trPr>
        <w:tc>
          <w:tcPr/>
          <w:p>
            <w:pPr>
              <w:pStyle w:val="Compact"/>
              <w:jc w:val="left"/>
              <w:suppressAutoHyphens/>
            </w:pPr>
            <w:r>
              <w:t xml:space="preserve">5</w:t>
            </w:r>
          </w:p>
        </w:tc>
        <w:tc>
          <w:tcPr/>
          <w:p>
            <w:pPr>
              <w:pStyle w:val="Compact"/>
              <w:jc w:val="left"/>
              <w:suppressAutoHyphens/>
            </w:pPr>
            <w:r>
              <w:t xml:space="preserve">2041–2050</w:t>
            </w:r>
          </w:p>
        </w:tc>
        <w:tc>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Isnād-verified faculty bottleneck limits course activation</w:t>
            </w:r>
          </w:p>
        </w:tc>
        <w:tc>
          <w:tcPr/>
          <w:p>
            <w:pPr>
              <w:pStyle w:val="Compact"/>
              <w:jc w:val="left"/>
              <w:suppressAutoHyphens/>
            </w:pPr>
            <w:r>
              <w:t xml:space="preserve">Diaspora scholar network, partner-institution MOUs (Section 15)</w:t>
            </w:r>
          </w:p>
        </w:tc>
      </w:tr>
      <w:tr>
        <w:trPr>
          <w:cantSplit/>
        </w:trPr>
        <w:tc>
          <w:tcPr/>
          <w:p>
            <w:pPr>
              <w:pStyle w:val="Compact"/>
              <w:jc w:val="left"/>
              <w:suppressAutoHyphens/>
            </w:pPr>
            <w:r>
              <w:t xml:space="preserve">Fast-Track overuse erodes rigor</w:t>
            </w:r>
          </w:p>
        </w:tc>
        <w:tc>
          <w:tcPr/>
          <w:p>
            <w:pPr>
              <w:pStyle w:val="Compact"/>
              <w:jc w:val="left"/>
              <w:suppressAutoHyphens/>
            </w:pPr>
            <w:r>
              <w:t xml:space="preserve">Competency exam standard fixed by Senate, audited annually by CAC</w:t>
            </w:r>
          </w:p>
        </w:tc>
      </w:tr>
      <w:tr>
        <w:trPr>
          <w:cantSplit/>
        </w:trPr>
        <w:tc>
          <w:tcPr/>
          <w:p>
            <w:pPr>
              <w:pStyle w:val="Compact"/>
              <w:jc w:val="left"/>
              <w:suppressAutoHyphens/>
            </w:pPr>
            <w:r>
              <w:t xml:space="preserve">Curriculum drift from fixed CH totals</w:t>
            </w:r>
          </w:p>
        </w:tc>
        <w:tc>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199197"/>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199197"/>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Stage</w:t>
            </w:r>
          </w:p>
        </w:tc>
        <w:tc>
          <w:tcPr/>
          <w:p>
            <w:pPr>
              <w:pStyle w:val="Compact"/>
              <w:jc w:val="left"/>
              <w:suppressAutoHyphens/>
            </w:pPr>
            <w:r>
              <w:t xml:space="preserve">Channel</w:t>
            </w:r>
          </w:p>
        </w:tc>
        <w:tc>
          <w:tcPr/>
          <w:p>
            <w:pPr>
              <w:pStyle w:val="Compact"/>
              <w:jc w:val="left"/>
              <w:suppressAutoHyphens/>
            </w:pPr>
            <w:r>
              <w:t xml:space="preserve">Human Touch?</w:t>
            </w:r>
          </w:p>
        </w:tc>
      </w:tr>
      <w:tr>
        <w:trPr>
          <w:cantSplit/>
        </w:trPr>
        <w:tc>
          <w:tcPr/>
          <w:p>
            <w:pPr>
              <w:pStyle w:val="Compact"/>
              <w:jc w:val="left"/>
              <w:suppressAutoHyphens/>
            </w:pPr>
            <w:r>
              <w:t xml:space="preserve">Inquiry</w:t>
            </w:r>
          </w:p>
        </w:tc>
        <w:tc>
          <w:tcPr/>
          <w:p>
            <w:pPr>
              <w:pStyle w:val="Compact"/>
              <w:jc w:val="left"/>
              <w:suppressAutoHyphens/>
            </w:pPr>
            <w:r>
              <w:t xml:space="preserve">LMS/website, mosque-network referral, WhatsApp/SMS chatbot</w:t>
            </w:r>
          </w:p>
        </w:tc>
        <w:tc>
          <w:tcPr/>
          <w:p>
            <w:pPr>
              <w:pStyle w:val="Compact"/>
              <w:jc w:val="left"/>
              <w:suppressAutoHyphens/>
            </w:pPr>
            <w:r>
              <w:t xml:space="preserve">No</w:t>
            </w:r>
          </w:p>
        </w:tc>
      </w:tr>
      <w:tr>
        <w:trPr>
          <w:cantSplit/>
        </w:trPr>
        <w:tc>
          <w:tcPr/>
          <w:p>
            <w:pPr>
              <w:pStyle w:val="Compact"/>
              <w:jc w:val="left"/>
              <w:suppressAutoHyphens/>
            </w:pPr>
            <w:r>
              <w:t xml:space="preserve">Application</w:t>
            </w:r>
          </w:p>
        </w:tc>
        <w:tc>
          <w:tcPr/>
          <w:p>
            <w:pPr>
              <w:pStyle w:val="Compact"/>
              <w:jc w:val="left"/>
              <w:suppressAutoHyphens/>
            </w:pPr>
            <w:r>
              <w:t xml:space="preserve">Online portal, automated document checklist</w:t>
            </w:r>
          </w:p>
        </w:tc>
        <w:tc>
          <w:tcPr/>
          <w:p>
            <w:pPr>
              <w:pStyle w:val="Compact"/>
              <w:jc w:val="left"/>
              <w:suppressAutoHyphens/>
            </w:pPr>
            <w:r>
              <w:t xml:space="preserve">No (exceptions escalate)</w:t>
            </w:r>
          </w:p>
        </w:tc>
      </w:tr>
      <w:tr>
        <w:trPr>
          <w:cantSplit/>
        </w:trPr>
        <w:tc>
          <w:tcPr/>
          <w:p>
            <w:pPr>
              <w:pStyle w:val="Compact"/>
              <w:jc w:val="left"/>
              <w:suppressAutoHyphens/>
            </w:pPr>
            <w:r>
              <w:t xml:space="preserve">Tier Placement</w:t>
            </w:r>
          </w:p>
        </w:tc>
        <w:tc>
          <w:tcPr/>
          <w:p>
            <w:pPr>
              <w:pStyle w:val="Compact"/>
              <w:jc w:val="left"/>
              <w:suppressAutoHyphens/>
            </w:pPr>
            <w:r>
              <w:t xml:space="preserve">Self-service country-tier calculator + document upload</w:t>
            </w:r>
          </w:p>
        </w:tc>
        <w:tc>
          <w:tcPr/>
          <w:p>
            <w:pPr>
              <w:pStyle w:val="Compact"/>
              <w:jc w:val="left"/>
              <w:suppressAutoHyphens/>
            </w:pPr>
            <w:r>
              <w:t xml:space="preserve">Only on dispute (Section 14)</w:t>
            </w:r>
          </w:p>
        </w:tc>
      </w:tr>
      <w:tr>
        <w:trPr>
          <w:cantSplit/>
        </w:trPr>
        <w:tc>
          <w:tcPr/>
          <w:p>
            <w:pPr>
              <w:pStyle w:val="Compact"/>
              <w:jc w:val="left"/>
              <w:suppressAutoHyphens/>
            </w:pPr>
            <w:r>
              <w:t xml:space="preserve">Admission Decision</w:t>
            </w:r>
          </w:p>
        </w:tc>
        <w:tc>
          <w:tcPr/>
          <w:p>
            <w:pPr>
              <w:pStyle w:val="Compact"/>
              <w:jc w:val="left"/>
              <w:suppressAutoHyphens/>
            </w:pPr>
            <w:r>
              <w:t xml:space="preserve">Automated for Diploma/Associate/HPGD rolling tiers; committee-reviewed for cohort tiers</w:t>
            </w:r>
          </w:p>
        </w:tc>
        <w:tc>
          <w:tcPr/>
          <w:p>
            <w:pPr>
              <w:pStyle w:val="Compact"/>
              <w:jc w:val="left"/>
              <w:suppressAutoHyphens/>
            </w:pPr>
            <w:r>
              <w:t xml:space="preserve">Partial</w:t>
            </w:r>
          </w:p>
        </w:tc>
      </w:tr>
      <w:tr>
        <w:trPr>
          <w:cantSplit/>
        </w:trPr>
        <w:tc>
          <w:tcPr/>
          <w:p>
            <w:pPr>
              <w:pStyle w:val="Compact"/>
              <w:jc w:val="left"/>
              <w:suppressAutoHyphens/>
            </w:pPr>
            <w:r>
              <w:t xml:space="preserve">Enrollment &amp; Orientation</w:t>
            </w:r>
          </w:p>
        </w:tc>
        <w:tc>
          <w:tcPr/>
          <w:p>
            <w:pPr>
              <w:pStyle w:val="Compact"/>
              <w:jc w:val="left"/>
              <w:suppressAutoHyphens/>
            </w:pPr>
            <w:r>
              <w:t xml:space="preserve">Self-service enrollment agreement, onboarding module</w:t>
            </w:r>
          </w:p>
        </w:tc>
        <w:tc>
          <w:tcPr/>
          <w:p>
            <w:pPr>
              <w:pStyle w:val="Compact"/>
              <w:jc w:val="left"/>
              <w:suppressAutoHyphens/>
            </w:pPr>
            <w:r>
              <w:t xml:space="preserve">Minimal</w:t>
            </w:r>
          </w:p>
        </w:tc>
      </w:tr>
      <w:tr>
        <w:trPr>
          <w:cantSplit/>
        </w:trPr>
        <w:tc>
          <w:tcPr/>
          <w:p>
            <w:pPr>
              <w:pStyle w:val="Compact"/>
              <w:jc w:val="left"/>
              <w:suppressAutoHyphens/>
            </w:pPr>
            <w:r>
              <w:t xml:space="preserve">Ladder Progression</w:t>
            </w:r>
          </w:p>
        </w:tc>
        <w:tc>
          <w:tcPr/>
          <w:p>
            <w:pPr>
              <w:pStyle w:val="Compact"/>
              <w:jc w:val="left"/>
              <w:suppressAutoHyphens/>
            </w:pPr>
            <w:r>
              <w:t xml:space="preserve">Automated progress dashboard; Fast-Track petition gate</w:t>
            </w:r>
          </w:p>
        </w:tc>
        <w:tc>
          <w:tcPr/>
          <w:p>
            <w:pPr>
              <w:pStyle w:val="Compact"/>
              <w:jc w:val="left"/>
              <w:suppressAutoHyphens/>
            </w:pPr>
            <w:r>
              <w:t xml:space="preserve">Yes, at Fast-Track review</w:t>
            </w:r>
          </w:p>
        </w:tc>
      </w:tr>
      <w:tr>
        <w:trPr>
          <w:cantSplit/>
        </w:trPr>
        <w:tc>
          <w:tcPr/>
          <w:p>
            <w:pPr>
              <w:pStyle w:val="Compact"/>
              <w:jc w:val="left"/>
              <w:suppressAutoHyphens/>
            </w:pPr>
            <w:r>
              <w:t xml:space="preserve">Graduation</w:t>
            </w:r>
          </w:p>
        </w:tc>
        <w:tc>
          <w:tcPr/>
          <w:p>
            <w:pPr>
              <w:pStyle w:val="Compact"/>
              <w:jc w:val="left"/>
              <w:suppressAutoHyphens/>
            </w:pPr>
            <w:r>
              <w:t xml:space="preserve">Registrar-certified upon Senate ratification</w:t>
            </w:r>
          </w:p>
        </w:tc>
        <w:tc>
          <w:tcPr/>
          <w:p>
            <w:pPr>
              <w:pStyle w:val="Compact"/>
              <w:jc w:val="left"/>
              <w:suppressAutoHyphens/>
            </w:pPr>
            <w:r>
              <w:t xml:space="preserve">Yes</w:t>
            </w:r>
          </w:p>
        </w:tc>
      </w:tr>
      <w:tr>
        <w:trPr>
          <w:cantSplit/>
        </w:trPr>
        <w:tc>
          <w:tcPr/>
          <w:p>
            <w:pPr>
              <w:pStyle w:val="Compact"/>
              <w:jc w:val="left"/>
              <w:suppressAutoHyphens/>
            </w:pPr>
            <w:r>
              <w:t xml:space="preserve">Alumni / Re-stacking</w:t>
            </w:r>
          </w:p>
        </w:tc>
        <w:tc>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Core self-service portal live; single dual-hatted Admissions/Registrar Officer</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Dedicated Admissions Coordinator; chatbot/FAQ tier added</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Regional community-referral liaisons (part-time/volunteer per mosque network)</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Parallel admissions tracks stood up for 7 secular Schools</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Roles</w:t>
            </w:r>
          </w:p>
        </w:tc>
      </w:tr>
      <w:tr>
        <w:trPr>
          <w:cantSplit/>
        </w:trPr>
        <w:tc>
          <w:tcPr/>
          <w:p>
            <w:pPr>
              <w:pStyle w:val="Compact"/>
              <w:jc w:val="left"/>
              <w:suppressAutoHyphens/>
            </w:pPr>
            <w:r>
              <w:t xml:space="preserve">1 (Yr1–3)</w:t>
            </w:r>
          </w:p>
        </w:tc>
        <w:tc>
          <w:tcPr/>
          <w:p>
            <w:pPr>
              <w:pStyle w:val="Compact"/>
              <w:jc w:val="left"/>
              <w:suppressAutoHyphens/>
            </w:pPr>
            <w:r>
              <w:t xml:space="preserve">1 shared Admissions/Registrar Officer + DVC oversight</w:t>
            </w:r>
          </w:p>
        </w:tc>
      </w:tr>
      <w:tr>
        <w:trPr>
          <w:cantSplit/>
        </w:trPr>
        <w:tc>
          <w:tcPr/>
          <w:p>
            <w:pPr>
              <w:pStyle w:val="Compact"/>
              <w:jc w:val="left"/>
              <w:suppressAutoHyphens/>
            </w:pPr>
            <w:r>
              <w:t xml:space="preserve">2 (Yr4–7)</w:t>
            </w:r>
          </w:p>
        </w:tc>
        <w:tc>
          <w:tcPr/>
          <w:p>
            <w:pPr>
              <w:pStyle w:val="Compact"/>
              <w:jc w:val="left"/>
              <w:suppressAutoHyphens/>
            </w:pPr>
            <w:r>
              <w:t xml:space="preserve">+ Admissions Coordinator (1 FTE), part-time Student Success Advisor</w:t>
            </w:r>
          </w:p>
        </w:tc>
      </w:tr>
      <w:tr>
        <w:trPr>
          <w:cantSplit/>
        </w:trPr>
        <w:tc>
          <w:tcPr/>
          <w:p>
            <w:pPr>
              <w:pStyle w:val="Compact"/>
              <w:jc w:val="left"/>
              <w:suppressAutoHyphens/>
            </w:pPr>
            <w:r>
              <w:t xml:space="preserve">3 (Yr8–10)</w:t>
            </w:r>
          </w:p>
        </w:tc>
        <w:tc>
          <w:tcPr/>
          <w:p>
            <w:pPr>
              <w:pStyle w:val="Compact"/>
              <w:jc w:val="left"/>
              <w:suppressAutoHyphens/>
            </w:pPr>
            <w:r>
              <w:t xml:space="preserve">+ regional referral liaisons (stipend-based, volunteer-adjacent)</w:t>
            </w:r>
          </w:p>
        </w:tc>
      </w:tr>
      <w:tr>
        <w:trPr>
          <w:cantSplit/>
        </w:trPr>
        <w:tc>
          <w:tcPr/>
          <w:p>
            <w:pPr>
              <w:pStyle w:val="Compact"/>
              <w:jc w:val="left"/>
              <w:suppressAutoHyphens/>
            </w:pPr>
            <w:r>
              <w:t xml:space="preserve">4 (Yr11+)</w:t>
            </w:r>
          </w:p>
        </w:tc>
        <w:tc>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Thin staffing causes application backlog at peak cycles</w:t>
            </w:r>
          </w:p>
        </w:tc>
        <w:tc>
          <w:tcPr/>
          <w:p>
            <w:pPr>
              <w:pStyle w:val="Compact"/>
              <w:jc w:val="left"/>
              <w:suppressAutoHyphens/>
            </w:pPr>
            <w:r>
              <w:t xml:space="preserve">LMS automation + surge part-time contractors funded within OpEx ceiling</w:t>
            </w:r>
          </w:p>
        </w:tc>
      </w:tr>
      <w:tr>
        <w:trPr>
          <w:cantSplit/>
        </w:trPr>
        <w:tc>
          <w:tcPr/>
          <w:p>
            <w:pPr>
              <w:pStyle w:val="Compact"/>
              <w:jc w:val="left"/>
              <w:suppressAutoHyphens/>
            </w:pPr>
            <w:r>
              <w:t xml:space="preserve">Poor self-service UX in low-bandwidth regions</w:t>
            </w:r>
          </w:p>
        </w:tc>
        <w:tc>
          <w:tcPr/>
          <w:p>
            <w:pPr>
              <w:pStyle w:val="Compact"/>
              <w:jc w:val="left"/>
              <w:suppressAutoHyphens/>
            </w:pPr>
            <w:r>
              <w:t xml:space="preserve">Mobile-first, offline-tolerant design; WhatsApp/SMS fallback channel</w:t>
            </w:r>
          </w:p>
        </w:tc>
      </w:tr>
      <w:tr>
        <w:trPr>
          <w:cantSplit/>
        </w:trPr>
        <w:tc>
          <w:tcPr/>
          <w:p>
            <w:pPr>
              <w:pStyle w:val="Compact"/>
              <w:jc w:val="left"/>
              <w:suppressAutoHyphens/>
            </w:pPr>
            <w:r>
              <w:t xml:space="preserve">Journey-stage drop-off undetected without dedicated advising</w:t>
            </w:r>
          </w:p>
        </w:tc>
        <w:tc>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Tier</w:t>
            </w:r>
          </w:p>
        </w:tc>
        <w:tc>
          <w:tcPr/>
          <w:p>
            <w:pPr>
              <w:pStyle w:val="Compact"/>
              <w:jc w:val="left"/>
              <w:suppressAutoHyphens/>
            </w:pPr>
            <w:r>
              <w:t xml:space="preserve">Entry Requirement</w:t>
            </w:r>
          </w:p>
        </w:tc>
      </w:tr>
      <w:tr>
        <w:trPr>
          <w:cantSplit/>
        </w:trPr>
        <w:tc>
          <w:tcPr/>
          <w:p>
            <w:pPr>
              <w:pStyle w:val="Compact"/>
              <w:jc w:val="left"/>
              <w:suppressAutoHyphens/>
            </w:pPr>
            <w:r>
              <w:t xml:space="preserve">I Diploma</w:t>
            </w:r>
          </w:p>
        </w:tc>
        <w:tc>
          <w:tcPr/>
          <w:p>
            <w:pPr>
              <w:pStyle w:val="Compact"/>
              <w:jc w:val="left"/>
              <w:suppressAutoHyphens/>
            </w:pPr>
            <w:r>
              <w:t xml:space="preserve">Secondary completion or equivalent; no prior Islamic study required</w:t>
            </w:r>
          </w:p>
        </w:tc>
      </w:tr>
      <w:tr>
        <w:trPr>
          <w:cantSplit/>
        </w:trPr>
        <w:tc>
          <w:tcPr/>
          <w:p>
            <w:pPr>
              <w:pStyle w:val="Compact"/>
              <w:jc w:val="left"/>
              <w:suppressAutoHyphens/>
            </w:pPr>
            <w:r>
              <w:t xml:space="preserve">II Associate</w:t>
            </w:r>
          </w:p>
        </w:tc>
        <w:tc>
          <w:tcPr/>
          <w:p>
            <w:pPr>
              <w:pStyle w:val="Compact"/>
              <w:jc w:val="left"/>
              <w:suppressAutoHyphens/>
            </w:pPr>
            <w:r>
              <w:t xml:space="preserve">Diploma (stacked) or equivalent; English placement benchmark</w:t>
            </w:r>
          </w:p>
        </w:tc>
      </w:tr>
      <w:tr>
        <w:trPr>
          <w:cantSplit/>
        </w:trPr>
        <w:tc>
          <w:tcPr/>
          <w:p>
            <w:pPr>
              <w:pStyle w:val="Compact"/>
              <w:jc w:val="left"/>
              <w:suppressAutoHyphens/>
            </w:pPr>
            <w:r>
              <w:t xml:space="preserve">III BA</w:t>
            </w:r>
          </w:p>
        </w:tc>
        <w:tc>
          <w:tcPr/>
          <w:p>
            <w:pPr>
              <w:pStyle w:val="Compact"/>
              <w:jc w:val="left"/>
              <w:suppressAutoHyphens/>
            </w:pPr>
            <w:r>
              <w:t xml:space="preserve">Associate (60CH) or equivalent; CEFR B2 English</w:t>
            </w:r>
          </w:p>
        </w:tc>
      </w:tr>
      <w:tr>
        <w:trPr>
          <w:cantSplit/>
        </w:trPr>
        <w:tc>
          <w:tcPr/>
          <w:p>
            <w:pPr>
              <w:pStyle w:val="Compact"/>
              <w:jc w:val="left"/>
              <w:suppressAutoHyphens/>
            </w:pPr>
            <w:r>
              <w:t xml:space="preserve">IV HPGD (bridge)</w:t>
            </w:r>
          </w:p>
        </w:tc>
        <w:tc>
          <w:tcPr/>
          <w:p>
            <w:pPr>
              <w:pStyle w:val="Compact"/>
              <w:jc w:val="left"/>
              <w:suppressAutoHyphens/>
            </w:pPr>
            <w:r>
              <w:t xml:space="preserve">Accredited secular bachelor’s degree; B2+ English; Islamic-studies-readiness diagnostic (placement, not exclusionary)</w:t>
            </w:r>
          </w:p>
        </w:tc>
      </w:tr>
      <w:tr>
        <w:trPr>
          <w:cantSplit/>
        </w:trPr>
        <w:tc>
          <w:tcPr/>
          <w:p>
            <w:pPr>
              <w:pStyle w:val="Compact"/>
              <w:jc w:val="left"/>
              <w:suppressAutoHyphens/>
            </w:pPr>
            <w:r>
              <w:t xml:space="preserve">V MA</w:t>
            </w:r>
          </w:p>
        </w:tc>
        <w:tc>
          <w:tcPr/>
          <w:p>
            <w:pPr>
              <w:pStyle w:val="Compact"/>
              <w:jc w:val="left"/>
              <w:suppressAutoHyphens/>
            </w:pPr>
            <w:r>
              <w:t xml:space="preserve">BA (120CH) or HPGD (30CH); research-readiness assessment</w:t>
            </w:r>
          </w:p>
        </w:tc>
      </w:tr>
      <w:tr>
        <w:trPr>
          <w:cantSplit/>
        </w:trPr>
        <w:tc>
          <w:tcPr/>
          <w:p>
            <w:pPr>
              <w:pStyle w:val="Compact"/>
              <w:jc w:val="left"/>
              <w:suppressAutoHyphens/>
            </w:pPr>
            <w:r>
              <w:t xml:space="preserve">VI PhD</w:t>
            </w:r>
          </w:p>
        </w:tc>
        <w:tc>
          <w:tcPr/>
          <w:p>
            <w:pPr>
              <w:pStyle w:val="Compact"/>
              <w:jc w:val="left"/>
              <w:suppressAutoHyphens/>
            </w:pPr>
            <w:r>
              <w:t xml:space="preserve">MA (45CH); scholarly readiness review; thesis-proposal defense</w:t>
            </w:r>
          </w:p>
        </w:tc>
      </w:tr>
      <w:tr>
        <w:trPr>
          <w:cantSplit/>
        </w:trPr>
        <w:tc>
          <w:tcPr/>
          <w:p>
            <w:pPr>
              <w:pStyle w:val="Compact"/>
              <w:jc w:val="left"/>
              <w:suppressAutoHyphens/>
            </w:pPr>
            <w:r>
              <w:t xml:space="preserve">VII Post-Doc</w:t>
            </w:r>
          </w:p>
        </w:tc>
        <w:tc>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Tier group</w:t>
            </w:r>
          </w:p>
        </w:tc>
        <w:tc>
          <w:tcPr/>
          <w:p>
            <w:pPr>
              <w:pStyle w:val="Compact"/>
              <w:jc w:val="left"/>
              <w:suppressAutoHyphens/>
            </w:pPr>
            <w:r>
              <w:t xml:space="preserve">Cycle</w:t>
            </w:r>
          </w:p>
        </w:tc>
      </w:tr>
      <w:tr>
        <w:trPr>
          <w:cantSplit/>
        </w:trPr>
        <w:tc>
          <w:tcPr/>
          <w:p>
            <w:pPr>
              <w:pStyle w:val="Compact"/>
              <w:jc w:val="left"/>
              <w:suppressAutoHyphens/>
            </w:pPr>
            <w:r>
              <w:t xml:space="preserve">Diploma / Associate / HPGD</w:t>
            </w:r>
          </w:p>
        </w:tc>
        <w:tc>
          <w:tcPr/>
          <w:p>
            <w:pPr>
              <w:pStyle w:val="Compact"/>
              <w:jc w:val="left"/>
              <w:suppressAutoHyphens/>
            </w:pPr>
            <w:r>
              <w:t xml:space="preserve">Rolling, multiple entry points/year (accessibility-first, self-service)</w:t>
            </w:r>
          </w:p>
        </w:tc>
      </w:tr>
      <w:tr>
        <w:trPr>
          <w:cantSplit/>
        </w:trPr>
        <w:tc>
          <w:tcPr/>
          <w:p>
            <w:pPr>
              <w:pStyle w:val="Compact"/>
              <w:jc w:val="left"/>
              <w:suppressAutoHyphens/>
            </w:pPr>
            <w:r>
              <w:t xml:space="preserve">BA / MA / PhD</w:t>
            </w:r>
          </w:p>
        </w:tc>
        <w:tc>
          <w:tcPr/>
          <w:p>
            <w:pPr>
              <w:pStyle w:val="Compact"/>
              <w:jc w:val="left"/>
              <w:suppressAutoHyphens/>
            </w:pPr>
            <w:r>
              <w:t xml:space="preserve">Cohort-based, 2–3 intakes/year (Fall/Spring, Summer added as scale permits)</w:t>
            </w:r>
          </w:p>
        </w:tc>
      </w:tr>
      <w:tr>
        <w:trPr>
          <w:cantSplit/>
        </w:trPr>
        <w:tc>
          <w:tcPr/>
          <w:p>
            <w:pPr>
              <w:pStyle w:val="Compact"/>
              <w:jc w:val="left"/>
              <w:suppressAutoHyphens/>
            </w:pPr>
            <w:r>
              <w:t xml:space="preserve">Post-Doc</w:t>
            </w:r>
          </w:p>
        </w:tc>
        <w:tc>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Action</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Publish tier list, placement instruments, appeals SLA</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First appeal-volume data reviewed; SLA tuned</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Transfer-articulation table expanded ahead of scale</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Secular-program admission standards (terminal-degree-agnostic entry) published</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Gaming of tier system via false country claims</w:t>
            </w:r>
          </w:p>
        </w:tc>
        <w:tc>
          <w:tcPr/>
          <w:p>
            <w:pPr>
              <w:pStyle w:val="Compact"/>
              <w:jc w:val="left"/>
              <w:suppressAutoHyphens/>
            </w:pPr>
            <w:r>
              <w:t xml:space="preserve">Documentary requirement + random audit sampling + Appeals Panel</w:t>
            </w:r>
          </w:p>
        </w:tc>
      </w:tr>
      <w:tr>
        <w:trPr>
          <w:cantSplit/>
        </w:trPr>
        <w:tc>
          <w:tcPr/>
          <w:p>
            <w:pPr>
              <w:pStyle w:val="Compact"/>
              <w:jc w:val="left"/>
              <w:suppressAutoHyphens/>
            </w:pPr>
            <w:r>
              <w:t xml:space="preserve">Cohort bottleneck limits accessibility</w:t>
            </w:r>
          </w:p>
        </w:tc>
        <w:tc>
          <w:tcPr/>
          <w:p>
            <w:pPr>
              <w:pStyle w:val="Compact"/>
              <w:jc w:val="left"/>
              <w:suppressAutoHyphens/>
            </w:pPr>
            <w:r>
              <w:t xml:space="preserve">Rolling admission preserved at Diploma/Associate/HPGD</w:t>
            </w:r>
          </w:p>
        </w:tc>
      </w:tr>
      <w:tr>
        <w:trPr>
          <w:cantSplit/>
        </w:trPr>
        <w:tc>
          <w:tcPr/>
          <w:p>
            <w:pPr>
              <w:pStyle w:val="Compact"/>
              <w:jc w:val="left"/>
              <w:suppressAutoHyphens/>
            </w:pPr>
            <w:r>
              <w:t xml:space="preserve">Perception risk to religious-exemption status from admission disputes</w:t>
            </w:r>
          </w:p>
        </w:tc>
        <w:tc>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Faculty type</w:t>
            </w:r>
          </w:p>
        </w:tc>
        <w:tc>
          <w:tcPr/>
          <w:p>
            <w:pPr>
              <w:pStyle w:val="Compact"/>
              <w:jc w:val="left"/>
              <w:suppressAutoHyphens/>
            </w:pPr>
            <w:r>
              <w:t xml:space="preserve">Source</w:t>
            </w:r>
          </w:p>
        </w:tc>
        <w:tc>
          <w:tcPr/>
          <w:p>
            <w:pPr>
              <w:pStyle w:val="Compact"/>
              <w:jc w:val="left"/>
              <w:suppressAutoHyphens/>
            </w:pPr>
            <w:r>
              <w:t xml:space="preserve">Vetting focus</w:t>
            </w:r>
          </w:p>
        </w:tc>
      </w:tr>
      <w:tr>
        <w:trPr>
          <w:cantSplit/>
        </w:trPr>
        <w:tc>
          <w:tcPr/>
          <w:p>
            <w:pPr>
              <w:pStyle w:val="Compact"/>
              <w:jc w:val="left"/>
              <w:suppressAutoHyphens/>
            </w:pPr>
            <w:r>
              <w:t xml:space="preserve">Religious (Colleges I–VI)</w:t>
            </w:r>
          </w:p>
        </w:tc>
        <w:tc>
          <w:tcPr/>
          <w:p>
            <w:pPr>
              <w:pStyle w:val="Compact"/>
              <w:jc w:val="left"/>
              <w:suppressAutoHyphens/>
            </w:pPr>
            <w:r>
              <w:t xml:space="preserve">Global scholarly networks, partner madāris, diaspora communities, DVC’s Umm Al-Qura network</w:t>
            </w:r>
          </w:p>
        </w:tc>
        <w:tc>
          <w:tcPr/>
          <w:p>
            <w:pPr>
              <w:pStyle w:val="Compact"/>
              <w:jc w:val="left"/>
              <w:suppressAutoHyphens/>
            </w:pPr>
            <w:r>
              <w:t xml:space="preserve">Verified isnād/ijāza chain, teaching demonstration</w:t>
            </w:r>
          </w:p>
        </w:tc>
      </w:tr>
      <w:tr>
        <w:trPr>
          <w:cantSplit/>
        </w:trPr>
        <w:tc>
          <w:tcPr/>
          <w:p>
            <w:pPr>
              <w:pStyle w:val="Compact"/>
              <w:jc w:val="left"/>
              <w:suppressAutoHyphens/>
            </w:pPr>
            <w:r>
              <w:t xml:space="preserve">Secular (Schools, Yr11+)</w:t>
            </w:r>
          </w:p>
        </w:tc>
        <w:tc>
          <w:tcPr/>
          <w:p>
            <w:pPr>
              <w:pStyle w:val="Compact"/>
              <w:jc w:val="left"/>
              <w:suppressAutoHyphens/>
            </w:pPr>
            <w:r>
              <w:t xml:space="preserve">Standard academic recruitment channels, adjunct/affiliate postings</w:t>
            </w:r>
          </w:p>
        </w:tc>
        <w:tc>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w:t>
            </w:r>
          </w:p>
        </w:tc>
        <w:tc>
          <w:tcPr/>
          <w:p>
            <w:pPr>
              <w:pStyle w:val="Compact"/>
              <w:jc w:val="left"/>
              <w:suppressAutoHyphens/>
            </w:pPr>
            <w:r>
              <w:t xml:space="preserve">2028–2030</w:t>
            </w:r>
          </w:p>
        </w:tc>
        <w:tc>
          <w:tcPr/>
          <w:p>
            <w:pPr>
              <w:pStyle w:val="Compact"/>
              <w:jc w:val="left"/>
              <w:suppressAutoHyphens/>
            </w:pPr>
            <w:r>
              <w:t xml:space="preserve">Founding faculty core via DVC’s personal scholarly network; largely volunteer/low-honoraria</w:t>
            </w:r>
          </w:p>
        </w:tc>
      </w:tr>
      <w:tr>
        <w:trPr>
          <w:cantSplit/>
        </w:trPr>
        <w:tc>
          <w:tcPr/>
          <w:p>
            <w:pPr>
              <w:pStyle w:val="Compact"/>
              <w:jc w:val="left"/>
              <w:suppressAutoHyphens/>
            </w:pPr>
            <w:r>
              <w:t xml:space="preserve">2</w:t>
            </w:r>
          </w:p>
        </w:tc>
        <w:tc>
          <w:tcPr/>
          <w:p>
            <w:pPr>
              <w:pStyle w:val="Compact"/>
              <w:jc w:val="left"/>
              <w:suppressAutoHyphens/>
            </w:pPr>
            <w:r>
              <w:t xml:space="preserve">2031–2034</w:t>
            </w:r>
          </w:p>
        </w:tc>
        <w:tc>
          <w:tcPr/>
          <w:p>
            <w:pPr>
              <w:pStyle w:val="Compact"/>
              <w:jc w:val="left"/>
              <w:suppressAutoHyphens/>
            </w:pPr>
            <w:r>
              <w:t xml:space="preserve">Scale adjunct pool with enrollment growth; FACC formalized</w:t>
            </w:r>
          </w:p>
        </w:tc>
      </w:tr>
      <w:tr>
        <w:trPr>
          <w:cantSplit/>
        </w:trPr>
        <w:tc>
          <w:tcPr/>
          <w:p>
            <w:pPr>
              <w:pStyle w:val="Compact"/>
              <w:jc w:val="left"/>
              <w:suppressAutoHyphens/>
            </w:pPr>
            <w:r>
              <w:t xml:space="preserve">3</w:t>
            </w:r>
          </w:p>
        </w:tc>
        <w:tc>
          <w:tcPr/>
          <w:p>
            <w:pPr>
              <w:pStyle w:val="Compact"/>
              <w:jc w:val="left"/>
              <w:suppressAutoHyphens/>
            </w:pPr>
            <w:r>
              <w:t xml:space="preserve">2035–2037</w:t>
            </w:r>
          </w:p>
        </w:tc>
        <w:tc>
          <w:tcPr/>
          <w:p>
            <w:pPr>
              <w:pStyle w:val="Compact"/>
              <w:jc w:val="left"/>
              <w:suppressAutoHyphens/>
            </w:pPr>
            <w:r>
              <w:t xml:space="preserve">Build Senior Scholar/Chair tier ahead of secular expansion</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Recruit terminal-degree faculty for 7 new Schools</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Roles</w:t>
            </w:r>
          </w:p>
        </w:tc>
      </w:tr>
      <w:tr>
        <w:trPr>
          <w:cantSplit/>
        </w:trPr>
        <w:tc>
          <w:tcPr/>
          <w:p>
            <w:pPr>
              <w:pStyle w:val="Compact"/>
              <w:jc w:val="left"/>
              <w:suppressAutoHyphens/>
            </w:pPr>
            <w:r>
              <w:t xml:space="preserve">1 (Yr1–3)</w:t>
            </w:r>
          </w:p>
        </w:tc>
        <w:tc>
          <w:tcPr/>
          <w:p>
            <w:pPr>
              <w:pStyle w:val="Compact"/>
              <w:jc w:val="left"/>
              <w:suppressAutoHyphens/>
            </w:pPr>
            <w:r>
              <w:t xml:space="preserve">DVC Academic Affairs + volunteer Faculty Affairs subcommittee</w:t>
            </w:r>
          </w:p>
        </w:tc>
      </w:tr>
      <w:tr>
        <w:trPr>
          <w:cantSplit/>
        </w:trPr>
        <w:tc>
          <w:tcPr/>
          <w:p>
            <w:pPr>
              <w:pStyle w:val="Compact"/>
              <w:jc w:val="left"/>
              <w:suppressAutoHyphens/>
            </w:pPr>
            <w:r>
              <w:t xml:space="preserve">2 (Yr4–7)</w:t>
            </w:r>
          </w:p>
        </w:tc>
        <w:tc>
          <w:tcPr/>
          <w:p>
            <w:pPr>
              <w:pStyle w:val="Compact"/>
              <w:jc w:val="left"/>
              <w:suppressAutoHyphens/>
            </w:pPr>
            <w:r>
              <w:t xml:space="preserve">+ part-time Faculty Affairs Coordinator</w:t>
            </w:r>
          </w:p>
        </w:tc>
      </w:tr>
      <w:tr>
        <w:trPr>
          <w:cantSplit/>
        </w:trPr>
        <w:tc>
          <w:tcPr/>
          <w:p>
            <w:pPr>
              <w:pStyle w:val="Compact"/>
              <w:jc w:val="left"/>
              <w:suppressAutoHyphens/>
            </w:pPr>
            <w:r>
              <w:t xml:space="preserve">3 (Yr8–10)</w:t>
            </w:r>
          </w:p>
        </w:tc>
        <w:tc>
          <w:tcPr/>
          <w:p>
            <w:pPr>
              <w:pStyle w:val="Compact"/>
              <w:jc w:val="left"/>
              <w:suppressAutoHyphens/>
            </w:pPr>
            <w:r>
              <w:t xml:space="preserve">FACC fully staffed with dedicated credentialing specialist</w:t>
            </w:r>
          </w:p>
        </w:tc>
      </w:tr>
      <w:tr>
        <w:trPr>
          <w:cantSplit/>
        </w:trPr>
        <w:tc>
          <w:tcPr/>
          <w:p>
            <w:pPr>
              <w:pStyle w:val="Compact"/>
              <w:jc w:val="left"/>
              <w:suppressAutoHyphens/>
            </w:pPr>
            <w:r>
              <w:t xml:space="preserve">4 (Yr11+)</w:t>
            </w:r>
          </w:p>
        </w:tc>
        <w:tc>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Shortage of classically-verified scholars willing to teach remotely at honoraria rates</w:t>
            </w:r>
          </w:p>
        </w:tc>
        <w:tc>
          <w:tcPr/>
          <w:p>
            <w:pPr>
              <w:pStyle w:val="Compact"/>
              <w:jc w:val="left"/>
              <w:suppressAutoHyphens/>
            </w:pPr>
            <w:r>
              <w:t xml:space="preserve">Diaspora networks, partner-institution MOUs, prestige of ijāza-ceremony affiliation</w:t>
            </w:r>
          </w:p>
        </w:tc>
      </w:tr>
      <w:tr>
        <w:trPr>
          <w:cantSplit/>
        </w:trPr>
        <w:tc>
          <w:tcPr/>
          <w:p>
            <w:pPr>
              <w:pStyle w:val="Compact"/>
              <w:jc w:val="left"/>
              <w:suppressAutoHyphens/>
            </w:pPr>
            <w:r>
              <w:t xml:space="preserve">Doctrinal/sectarian tension among faculty of different madhāhib</w:t>
            </w:r>
          </w:p>
        </w:tc>
        <w:tc>
          <w:tcPr/>
          <w:p>
            <w:pPr>
              <w:pStyle w:val="Compact"/>
              <w:jc w:val="left"/>
              <w:suppressAutoHyphens/>
            </w:pPr>
            <w:r>
              <w:t xml:space="preserve">Published Diversity &amp; Doctrinal Transparency Policy; Senate oversight</w:t>
            </w:r>
          </w:p>
        </w:tc>
      </w:tr>
      <w:tr>
        <w:trPr>
          <w:cantSplit/>
        </w:trPr>
        <w:tc>
          <w:tcPr/>
          <w:p>
            <w:pPr>
              <w:pStyle w:val="Compact"/>
              <w:jc w:val="left"/>
              <w:suppressAutoHyphens/>
            </w:pPr>
            <w:r>
              <w:t xml:space="preserve">Secular faculty (Yr11+) recruited away by better-paying institutions</w:t>
            </w:r>
          </w:p>
        </w:tc>
        <w:tc>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FOUR OF EIGHT</w:t>
            </w:r>
          </w:p>
          <w:p>
            <w:pPr>
              <w:spacing w:before="0" w:after="60"/>
              <w:suppressAutoHyphens/>
            </w:pPr>
            <w:r>
              <w:rPr>
                <w:rFonts w:ascii="Cinzel" w:hAnsi="Cinzel"/>
                <w:b/>
                <w:color w:val="B08625"/>
                <w:sz w:val="22"/>
                <w:caps/>
                <w:spacing w:val="18"/>
              </w:rPr>
              <w:t>IV</w:t>
            </w:r>
          </w:p>
          <w:p>
            <w:pPr>
              <w:spacing w:before="120" w:after="80"/>
              <w:suppressAutoHyphens/>
            </w:pPr>
            <w:r>
              <w:rPr>
                <w:rFonts w:ascii="Cormorant Garamond" w:hAnsi="Cormorant Garamond"/>
                <w:b/>
                <w:color w:val="B08625"/>
                <w:sz w:val="22"/>
                <w:caps/>
                <w:spacing w:val="18"/>
              </w:rPr>
              <w:t>Research, Publishing, Partnerships &amp; Accreditation</w:t>
            </w:r>
          </w:p>
          <w:p>
            <w:pPr>
              <w:spacing w:before="0" w:after="260"/>
              <w:pBdr>
                <w:bottom w:val="single" w:sz="10" w:space="8" w:color="B08625"/>
              </w:pBdr>
              <w:suppressAutoHyphens/>
            </w:pPr>
            <w:r>
              <w:rPr>
                <w:rFonts w:ascii="Liberation Sans" w:hAnsi="Liberation Sans"/>
                <w:color w:val="8C97AB"/>
                <w:sz w:val="17"/>
                <w:spacing w:val="14"/>
              </w:rPr>
              <w:t>SECTIONS 16–20</w:t>
            </w:r>
          </w:p>
          <w:p>
            <w:pPr>
              <w:spacing w:before="0" w:after="360"/>
              <w:ind w:right="700"/>
              <w:suppressAutoHyphens/>
            </w:pPr>
            <w:r>
              <w:rPr>
                <w:rFonts w:ascii="Cormorant Garamond" w:hAnsi="Cormorant Garamond"/>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16 </w:t>
            </w:r>
            <w:r>
              <w:rPr>
                <w:rFonts w:ascii="Liberation Sans" w:hAnsi="Liberation Sans"/>
                <w:color w:val="FFFFFF"/>
                <w:sz w:val="20"/>
              </w:rPr>
              <w:t>Research Strategy</w:t>
            </w:r>
          </w:p>
          <w:p>
            <w:pPr>
              <w:spacing w:before="0" w:after="130"/>
              <w:suppressAutoHyphens/>
            </w:pPr>
            <w:r>
              <w:rPr>
                <w:rFonts w:ascii="Cinzel" w:hAnsi="Cinzel"/>
                <w:b/>
                <w:color w:val="B08625"/>
                <w:sz w:val="22"/>
                <w:caps/>
                <w:spacing w:val="18"/>
              </w:rPr>
              <w:t>17 </w:t>
            </w:r>
            <w:r>
              <w:rPr>
                <w:rFonts w:ascii="Liberation Sans" w:hAnsi="Liberation Sans"/>
                <w:color w:val="FFFFFF"/>
                <w:sz w:val="20"/>
              </w:rPr>
              <w:t>Publishing Strategy</w:t>
            </w:r>
          </w:p>
          <w:p>
            <w:pPr>
              <w:spacing w:before="0" w:after="130"/>
              <w:suppressAutoHyphens/>
            </w:pPr>
            <w:r>
              <w:rPr>
                <w:rFonts w:ascii="Cinzel" w:hAnsi="Cinzel"/>
                <w:b/>
                <w:color w:val="B08625"/>
                <w:sz w:val="22"/>
                <w:caps/>
                <w:spacing w:val="18"/>
              </w:rPr>
              <w:t>18 </w:t>
            </w:r>
            <w:r>
              <w:rPr>
                <w:rFonts w:ascii="Liberation Sans" w:hAnsi="Liberation Sans"/>
                <w:color w:val="FFFFFF"/>
                <w:sz w:val="20"/>
              </w:rPr>
              <w:t>Global Partnerships Strategy</w:t>
            </w:r>
          </w:p>
          <w:p>
            <w:pPr>
              <w:spacing w:before="0" w:after="130"/>
              <w:suppressAutoHyphens/>
            </w:pPr>
            <w:r>
              <w:rPr>
                <w:rFonts w:ascii="Cinzel" w:hAnsi="Cinzel"/>
                <w:b/>
                <w:color w:val="B08625"/>
                <w:sz w:val="22"/>
                <w:caps/>
                <w:spacing w:val="18"/>
              </w:rPr>
              <w:t>19 </w:t>
            </w:r>
            <w:r>
              <w:rPr>
                <w:rFonts w:ascii="Liberation Sans" w:hAnsi="Liberation Sans"/>
                <w:color w:val="FFFFFF"/>
                <w:sz w:val="20"/>
              </w:rPr>
              <w:t>Accreditation Roadmap</w:t>
            </w:r>
          </w:p>
          <w:p>
            <w:pPr>
              <w:spacing w:before="0" w:after="130"/>
              <w:suppressAutoHyphens/>
            </w:pPr>
            <w:r>
              <w:rPr>
                <w:rFonts w:ascii="Cinzel" w:hAnsi="Cinzel"/>
                <w:b/>
                <w:color w:val="B08625"/>
                <w:sz w:val="22"/>
                <w:caps/>
                <w:spacing w:val="18"/>
              </w:rPr>
              <w:t>20 </w:t>
            </w:r>
            <w:r>
              <w:rPr>
                <w:rFonts w:ascii="Liberation Sans" w:hAnsi="Liberation Sans"/>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1"/>
        </w:numPr>
        <w:pStyle w:val="Compact"/>
        <w:jc w:val="both"/>
      </w:pPr>
      <w:r>
        <w:t xml:space="preserve">Digital-first, low-marginal-cost repositories (arXiv/SSRN-style preprint logic) let a small institution produce credible output without labs or print runs.</w:t>
      </w:r>
    </w:p>
    <w:p>
      <w:pPr>
        <w:numPr>
          <w:ilvl w:val="0"/>
          <w:numId w:val="1011"/>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Foundational</w:t>
            </w:r>
          </w:p>
        </w:tc>
        <w:tc>
          <w:tcPr/>
          <w:p>
            <w:pPr>
              <w:pStyle w:val="Compact"/>
              <w:jc w:val="left"/>
              <w:suppressAutoHyphens/>
            </w:pPr>
            <w:r>
              <w:t xml:space="preserve">Yr1–2 (2028–29)</w:t>
            </w:r>
          </w:p>
        </w:tc>
        <w:tc>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suppressAutoHyphens/>
            </w:pPr>
            <w:r>
              <w:t xml:space="preserve">1 – Ph.D. Launch</w:t>
            </w:r>
          </w:p>
        </w:tc>
        <w:tc>
          <w:tcPr/>
          <w:p>
            <w:pPr>
              <w:pStyle w:val="Compact"/>
              <w:jc w:val="left"/>
              <w:suppressAutoHyphens/>
            </w:pPr>
            <w:r>
              <w:t xml:space="preserve">Yr3–5 (2030–32)</w:t>
            </w:r>
          </w:p>
        </w:tc>
        <w:tc>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suppressAutoHyphens/>
            </w:pPr>
            <w:r>
              <w:t xml:space="preserve">2 – Post-Doc Launch</w:t>
            </w:r>
          </w:p>
        </w:tc>
        <w:tc>
          <w:tcPr/>
          <w:p>
            <w:pPr>
              <w:pStyle w:val="Compact"/>
              <w:jc w:val="left"/>
              <w:suppressAutoHyphens/>
            </w:pPr>
            <w:r>
              <w:t xml:space="preserve">Yr6–10 (2033–37)</w:t>
            </w:r>
          </w:p>
        </w:tc>
        <w:tc>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p>
            <w:pPr>
              <w:pStyle w:val="Compact"/>
              <w:jc w:val="left"/>
              <w:suppressAutoHyphens/>
            </w:pPr>
            <w:r>
              <w:t xml:space="preserve">3 – Secular Extension</w:t>
            </w:r>
          </w:p>
        </w:tc>
        <w:tc>
          <w:tcPr/>
          <w:p>
            <w:pPr>
              <w:pStyle w:val="Compact"/>
              <w:jc w:val="left"/>
              <w:suppressAutoHyphens/>
            </w:pPr>
            <w:r>
              <w:t xml:space="preserve">Yr11–20 (2038–47)</w:t>
            </w:r>
          </w:p>
        </w:tc>
        <w:tc>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c>
          <w:tcPr/>
          <w:p>
            <w:pPr>
              <w:pStyle w:val="Compact"/>
              <w:jc w:val="left"/>
              <w:suppressAutoHyphens/>
            </w:pPr>
            <w:r>
              <w:t xml:space="preserve">Notes</w:t>
            </w:r>
          </w:p>
        </w:tc>
      </w:tr>
      <w:tr>
        <w:trPr>
          <w:cantSplit/>
        </w:trPr>
        <w:tc>
          <w:tcPr/>
          <w:p>
            <w:pPr>
              <w:pStyle w:val="Compact"/>
              <w:jc w:val="left"/>
              <w:suppressAutoHyphens/>
            </w:pPr>
            <w:r>
              <w:t xml:space="preserve">Mentored dissertation/fellowship supervision</w:t>
            </w:r>
          </w:p>
        </w:tc>
        <w:tc>
          <w:tcPr/>
          <w:p>
            <w:pPr>
              <w:pStyle w:val="Compact"/>
              <w:jc w:val="left"/>
              <w:suppressAutoHyphens/>
            </w:pPr>
            <w:r>
              <w:t xml:space="preserve">Faculty Honoraria (40% of 20% Payroll)</w:t>
            </w:r>
          </w:p>
        </w:tc>
        <w:tc>
          <w:tcPr/>
          <w:p>
            <w:pPr>
              <w:pStyle w:val="Compact"/>
              <w:jc w:val="left"/>
              <w:suppressAutoHyphens/>
            </w:pPr>
            <w:r>
              <w:t xml:space="preserve">Already budgeted, no incremental cost</w:t>
            </w:r>
          </w:p>
        </w:tc>
      </w:tr>
      <w:tr>
        <w:trPr>
          <w:cantSplit/>
        </w:trPr>
        <w:tc>
          <w:tcPr/>
          <w:p>
            <w:pPr>
              <w:pStyle w:val="Compact"/>
              <w:jc w:val="left"/>
              <w:suppressAutoHyphens/>
            </w:pPr>
            <w:r>
              <w:t xml:space="preserve">Ethics/isnād review administration</w:t>
            </w:r>
          </w:p>
        </w:tc>
        <w:tc>
          <w:tcPr/>
          <w:p>
            <w:pPr>
              <w:pStyle w:val="Compact"/>
              <w:jc w:val="left"/>
              <w:suppressAutoHyphens/>
            </w:pPr>
            <w:r>
              <w:t xml:space="preserve">OpEx (5%)</w:t>
            </w:r>
          </w:p>
        </w:tc>
        <w:tc>
          <w:tcPr/>
          <w:p>
            <w:pPr>
              <w:pStyle w:val="Compact"/>
              <w:jc w:val="left"/>
              <w:suppressAutoHyphens/>
            </w:pPr>
            <w:r>
              <w:t xml:space="preserve">Minor — committee logistics, digital tools</w:t>
            </w:r>
          </w:p>
        </w:tc>
      </w:tr>
      <w:tr>
        <w:trPr>
          <w:cantSplit/>
        </w:trPr>
        <w:tc>
          <w:tcPr/>
          <w:p>
            <w:pPr>
              <w:pStyle w:val="Compact"/>
              <w:jc w:val="left"/>
              <w:suppressAutoHyphens/>
            </w:pPr>
            <w:r>
              <w:t xml:space="preserve">Research dissemination events, symposia</w:t>
            </w:r>
          </w:p>
        </w:tc>
        <w:tc>
          <w:tcPr/>
          <w:p>
            <w:pPr>
              <w:pStyle w:val="Compact"/>
              <w:jc w:val="left"/>
              <w:suppressAutoHyphens/>
            </w:pPr>
            <w:r>
              <w:t xml:space="preserve">Da’wah &amp; Community Outreach (5%)</w:t>
            </w:r>
          </w:p>
        </w:tc>
        <w:tc>
          <w:tcPr/>
          <w:p>
            <w:pPr>
              <w:pStyle w:val="Compact"/>
              <w:jc w:val="left"/>
              <w:suppressAutoHyphens/>
            </w:pPr>
            <w:r>
              <w:t xml:space="preserve">Shared with wider outreach calendar</w:t>
            </w:r>
          </w:p>
        </w:tc>
      </w:tr>
      <w:tr>
        <w:trPr>
          <w:cantSplit/>
        </w:trPr>
        <w:tc>
          <w:tcPr/>
          <w:p>
            <w:pPr>
              <w:pStyle w:val="Compact"/>
              <w:jc w:val="left"/>
              <w:suppressAutoHyphens/>
            </w:pPr>
            <w:r>
              <w:t xml:space="preserve">Future dedicated Research line</w:t>
            </w:r>
          </w:p>
        </w:tc>
        <w:tc>
          <w:tcPr/>
          <w:p>
            <w:pPr>
              <w:pStyle w:val="Compact"/>
              <w:jc w:val="left"/>
              <w:suppressAutoHyphens/>
            </w:pPr>
            <w:r>
              <w:rPr>
                <w:iCs/>
                <w:i/>
              </w:rPr>
              <w:t xml:space="preserve">Not yet allocated</w:t>
            </w:r>
          </w:p>
        </w:tc>
        <w:tc>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Research budget creep beyond fixed allocation</w:t>
            </w:r>
          </w:p>
        </w:tc>
        <w:tc>
          <w:tcPr/>
          <w:p>
            <w:pPr>
              <w:pStyle w:val="Compact"/>
              <w:jc w:val="left"/>
              <w:suppressAutoHyphens/>
            </w:pPr>
            <w:r>
              <w:t xml:space="preserve">Hard cap within existing lines; new spend requires Board/Senate vote</w:t>
            </w:r>
          </w:p>
        </w:tc>
      </w:tr>
      <w:tr>
        <w:trPr>
          <w:cantSplit/>
        </w:trPr>
        <w:tc>
          <w:tcPr/>
          <w:p>
            <w:pPr>
              <w:pStyle w:val="Compact"/>
              <w:jc w:val="left"/>
              <w:suppressAutoHyphens/>
            </w:pPr>
            <w:r>
              <w:t xml:space="preserve">Authenticity/credibility risk in religious scholarship</w:t>
            </w:r>
          </w:p>
        </w:tc>
        <w:tc>
          <w:tcPr/>
          <w:p>
            <w:pPr>
              <w:pStyle w:val="Compact"/>
              <w:jc w:val="left"/>
              <w:suppressAutoHyphens/>
            </w:pPr>
            <w:r>
              <w:t xml:space="preserve">Mandatory Sharī’ah Advisory Board isnād certification pre-publication</w:t>
            </w:r>
          </w:p>
        </w:tc>
      </w:tr>
      <w:tr>
        <w:trPr>
          <w:cantSplit/>
        </w:trPr>
        <w:tc>
          <w:tcPr/>
          <w:p>
            <w:pPr>
              <w:pStyle w:val="Compact"/>
              <w:jc w:val="left"/>
              <w:suppressAutoHyphens/>
            </w:pPr>
            <w:r>
              <w:t xml:space="preserve">Mission drift toward prestige research over accessibility</w:t>
            </w:r>
          </w:p>
        </w:tc>
        <w:tc>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Open Journal Systems (OJS)-class free software lets small institutions run peer-reviewed e-journals at effectively $0 licensing cost.</w:t>
      </w:r>
    </w:p>
    <w:p>
      <w:pPr>
        <w:numPr>
          <w:ilvl w:val="0"/>
          <w:numId w:val="1012"/>
        </w:numPr>
        <w:pStyle w:val="Compact"/>
        <w:jc w:val="both"/>
      </w:pPr>
      <w:r>
        <w:t xml:space="preserve">DOAJ (Directory of Open Access Journals) listing is the recognized low-cost credibility marker for young open-access journals.</w:t>
      </w:r>
    </w:p>
    <w:p>
      <w:pPr>
        <w:numPr>
          <w:ilvl w:val="0"/>
          <w:numId w:val="1012"/>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Planning</w:t>
            </w:r>
          </w:p>
        </w:tc>
        <w:tc>
          <w:tcPr/>
          <w:p>
            <w:pPr>
              <w:pStyle w:val="Compact"/>
              <w:jc w:val="left"/>
              <w:suppressAutoHyphens/>
            </w:pPr>
            <w:r>
              <w:t xml:space="preserve">Yr1–2 (2028–29)</w:t>
            </w:r>
          </w:p>
        </w:tc>
        <w:tc>
          <w:tcPr/>
          <w:p>
            <w:pPr>
              <w:pStyle w:val="Compact"/>
              <w:jc w:val="left"/>
              <w:suppressAutoHyphens/>
            </w:pPr>
            <w:r>
              <w:t xml:space="preserve">Senate drafts journal charter, editorial policy, isnād-verification workflow.</w:t>
            </w:r>
          </w:p>
        </w:tc>
      </w:tr>
      <w:tr>
        <w:trPr>
          <w:cantSplit/>
        </w:trPr>
        <w:tc>
          <w:tcPr/>
          <w:p>
            <w:pPr>
              <w:pStyle w:val="Compact"/>
              <w:jc w:val="left"/>
              <w:suppressAutoHyphens/>
            </w:pPr>
            <w:r>
              <w:t xml:space="preserve">Cluster 1 Launch</w:t>
            </w:r>
          </w:p>
        </w:tc>
        <w:tc>
          <w:tcPr/>
          <w:p>
            <w:pPr>
              <w:pStyle w:val="Compact"/>
              <w:jc w:val="left"/>
              <w:suppressAutoHyphens/>
            </w:pPr>
            <w:r>
              <w:t xml:space="preserve">Yr3 (2030, aligned with ISO 21001)</w:t>
            </w:r>
          </w:p>
        </w:tc>
        <w:tc>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suppressAutoHyphens/>
            </w:pPr>
            <w:r>
              <w:t xml:space="preserve">Cluster 2 &amp; 3 Launch</w:t>
            </w:r>
          </w:p>
        </w:tc>
        <w:tc>
          <w:tcPr/>
          <w:p>
            <w:pPr>
              <w:pStyle w:val="Compact"/>
              <w:jc w:val="left"/>
              <w:suppressAutoHyphens/>
            </w:pPr>
            <w:r>
              <w:t xml:space="preserve">Yr4–5 (2031–32)</w:t>
            </w:r>
          </w:p>
        </w:tc>
        <w:tc>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suppressAutoHyphens/>
            </w:pPr>
            <w:r>
              <w:t xml:space="preserve">Scaling</w:t>
            </w:r>
          </w:p>
        </w:tc>
        <w:tc>
          <w:tcPr/>
          <w:p>
            <w:pPr>
              <w:pStyle w:val="Compact"/>
              <w:jc w:val="left"/>
              <w:suppressAutoHyphens/>
            </w:pPr>
            <w:r>
              <w:t xml:space="preserve">Yr6–10 (2033–37)</w:t>
            </w:r>
          </w:p>
        </w:tc>
        <w:tc>
          <w:tcPr/>
          <w:p>
            <w:pPr>
              <w:pStyle w:val="Compact"/>
              <w:jc w:val="left"/>
              <w:suppressAutoHyphens/>
            </w:pPr>
            <w:r>
              <w:t xml:space="preserve">Post-Doc Fellowship output integrated; DOAJ indexing pursued.</w:t>
            </w:r>
          </w:p>
        </w:tc>
      </w:tr>
      <w:tr>
        <w:trPr>
          <w:cantSplit/>
        </w:trPr>
        <w:tc>
          <w:tcPr/>
          <w:p>
            <w:pPr>
              <w:pStyle w:val="Compact"/>
              <w:jc w:val="left"/>
              <w:suppressAutoHyphens/>
            </w:pPr>
            <w:r>
              <w:t xml:space="preserve">Secular Extension</w:t>
            </w:r>
          </w:p>
        </w:tc>
        <w:tc>
          <w:tcPr/>
          <w:p>
            <w:pPr>
              <w:pStyle w:val="Compact"/>
              <w:jc w:val="left"/>
              <w:suppressAutoHyphens/>
            </w:pPr>
            <w:r>
              <w:t xml:space="preserve">Yr11+ (2038+)</w:t>
            </w:r>
          </w:p>
        </w:tc>
        <w:tc>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c>
          <w:tcPr/>
          <w:p>
            <w:pPr>
              <w:pStyle w:val="Compact"/>
              <w:jc w:val="left"/>
              <w:suppressAutoHyphens/>
            </w:pPr>
            <w:r>
              <w:t xml:space="preserve">Est. Cost</w:t>
            </w:r>
          </w:p>
        </w:tc>
      </w:tr>
      <w:tr>
        <w:trPr>
          <w:cantSplit/>
        </w:trPr>
        <w:tc>
          <w:tcPr/>
          <w:p>
            <w:pPr>
              <w:pStyle w:val="Compact"/>
              <w:jc w:val="left"/>
              <w:suppressAutoHyphens/>
            </w:pPr>
            <w:r>
              <w:t xml:space="preserve">OJS hosting, digital infrastructure</w:t>
            </w:r>
          </w:p>
        </w:tc>
        <w:tc>
          <w:tcPr/>
          <w:p>
            <w:pPr>
              <w:pStyle w:val="Compact"/>
              <w:jc w:val="left"/>
              <w:suppressAutoHyphens/>
            </w:pPr>
            <w:r>
              <w:t xml:space="preserve">LMS &amp; Tech (5%)</w:t>
            </w:r>
          </w:p>
        </w:tc>
        <w:tc>
          <w:tcPr/>
          <w:p>
            <w:pPr>
              <w:pStyle w:val="Compact"/>
              <w:jc w:val="left"/>
              <w:suppressAutoHyphens/>
            </w:pPr>
            <w:r>
              <w:t xml:space="preserve">Marginal — shared with LMS</w:t>
            </w:r>
          </w:p>
        </w:tc>
      </w:tr>
      <w:tr>
        <w:trPr>
          <w:cantSplit/>
        </w:trPr>
        <w:tc>
          <w:tcPr/>
          <w:p>
            <w:pPr>
              <w:pStyle w:val="Compact"/>
              <w:jc w:val="left"/>
              <w:suppressAutoHyphens/>
            </w:pPr>
            <w:r>
              <w:t xml:space="preserve">DOI registration (Crossref)</w:t>
            </w:r>
          </w:p>
        </w:tc>
        <w:tc>
          <w:tcPr/>
          <w:p>
            <w:pPr>
              <w:pStyle w:val="Compact"/>
              <w:jc w:val="left"/>
              <w:suppressAutoHyphens/>
            </w:pPr>
            <w:r>
              <w:t xml:space="preserve">OpEx (5%)</w:t>
            </w:r>
          </w:p>
        </w:tc>
        <w:tc>
          <w:tcPr/>
          <w:p>
            <w:pPr>
              <w:pStyle w:val="Compact"/>
              <w:jc w:val="left"/>
              <w:suppressAutoHyphens/>
            </w:pPr>
            <w:r>
              <w:t xml:space="preserve">~$1–2/article</w:t>
            </w:r>
          </w:p>
        </w:tc>
      </w:tr>
      <w:tr>
        <w:trPr>
          <w:cantSplit/>
        </w:trPr>
        <w:tc>
          <w:tcPr/>
          <w:p>
            <w:pPr>
              <w:pStyle w:val="Compact"/>
              <w:jc w:val="left"/>
              <w:suppressAutoHyphens/>
            </w:pPr>
            <w:r>
              <w:t xml:space="preserve">Editorial stipends</w:t>
            </w:r>
          </w:p>
        </w:tc>
        <w:tc>
          <w:tcPr/>
          <w:p>
            <w:pPr>
              <w:pStyle w:val="Compact"/>
              <w:jc w:val="left"/>
              <w:suppressAutoHyphens/>
            </w:pPr>
            <w:r>
              <w:t xml:space="preserve">Faculty Honoraria (40% of Payroll)</w:t>
            </w:r>
          </w:p>
        </w:tc>
        <w:tc>
          <w:tcPr/>
          <w:p>
            <w:pPr>
              <w:pStyle w:val="Compact"/>
              <w:jc w:val="left"/>
              <w:suppressAutoHyphens/>
            </w:pPr>
            <w:r>
              <w:t xml:space="preserve">Already budgeted</w:t>
            </w:r>
          </w:p>
        </w:tc>
      </w:tr>
      <w:tr>
        <w:trPr>
          <w:cantSplit/>
        </w:trPr>
        <w:tc>
          <w:tcPr/>
          <w:p>
            <w:pPr>
              <w:pStyle w:val="Compact"/>
              <w:jc w:val="left"/>
              <w:suppressAutoHyphens/>
            </w:pPr>
            <w:r>
              <w:t xml:space="preserve">Student/faculty publication incentive stipends</w:t>
            </w:r>
          </w:p>
        </w:tc>
        <w:tc>
          <w:tcPr/>
          <w:p>
            <w:pPr>
              <w:pStyle w:val="Compact"/>
              <w:jc w:val="left"/>
              <w:suppressAutoHyphens/>
            </w:pPr>
            <w:r>
              <w:t xml:space="preserve">Waqf Scholarship Block (20% of Waqf 20%)</w:t>
            </w:r>
          </w:p>
        </w:tc>
        <w:tc>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Predatory/low-credibility journal perception</w:t>
            </w:r>
          </w:p>
        </w:tc>
        <w:tc>
          <w:tcPr/>
          <w:p>
            <w:pPr>
              <w:pStyle w:val="Compact"/>
              <w:jc w:val="left"/>
              <w:suppressAutoHyphens/>
            </w:pPr>
            <w:r>
              <w:t xml:space="preserve">Senate-set editorial standards + mandatory Sharī’ah Advisory Board isnād certification for religious-content articles</w:t>
            </w:r>
          </w:p>
        </w:tc>
      </w:tr>
      <w:tr>
        <w:trPr>
          <w:cantSplit/>
        </w:trPr>
        <w:tc>
          <w:tcPr/>
          <w:p>
            <w:pPr>
              <w:pStyle w:val="Compact"/>
              <w:jc w:val="left"/>
              <w:suppressAutoHyphens/>
            </w:pPr>
            <w:r>
              <w:t xml:space="preserve">Low early submission volume</w:t>
            </w:r>
          </w:p>
        </w:tc>
        <w:tc>
          <w:tcPr/>
          <w:p>
            <w:pPr>
              <w:pStyle w:val="Compact"/>
              <w:jc w:val="left"/>
              <w:suppressAutoHyphens/>
            </w:pPr>
            <w:r>
              <w:t xml:space="preserve">Publication requirement embedded in Ph.D./Post-Doc candidacy expectations</w:t>
            </w:r>
          </w:p>
        </w:tc>
      </w:tr>
      <w:tr>
        <w:trPr>
          <w:cantSplit/>
        </w:trPr>
        <w:tc>
          <w:tcPr/>
          <w:p>
            <w:pPr>
              <w:pStyle w:val="Compact"/>
              <w:jc w:val="left"/>
              <w:suppressAutoHyphens/>
            </w:pPr>
            <w:r>
              <w:t xml:space="preserve">Waqf incentive spend exceeding fiduciary limits</w:t>
            </w:r>
          </w:p>
        </w:tc>
        <w:tc>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3"/>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3"/>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3"/>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Activity</w:t>
            </w:r>
          </w:p>
        </w:tc>
      </w:tr>
      <w:tr>
        <w:trPr>
          <w:cantSplit/>
        </w:trPr>
        <w:tc>
          <w:tcPr/>
          <w:p>
            <w:pPr>
              <w:pStyle w:val="Compact"/>
              <w:jc w:val="left"/>
              <w:suppressAutoHyphens/>
            </w:pPr>
            <w:r>
              <w:t xml:space="preserve">1 – Local Roots</w:t>
            </w:r>
          </w:p>
        </w:tc>
        <w:tc>
          <w:tcPr/>
          <w:p>
            <w:pPr>
              <w:pStyle w:val="Compact"/>
              <w:jc w:val="left"/>
              <w:suppressAutoHyphens/>
            </w:pPr>
            <w:r>
              <w:t xml:space="preserve">Yr1–2 (2028–29)</w:t>
            </w:r>
          </w:p>
        </w:tc>
        <w:tc>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p>
            <w:pPr>
              <w:pStyle w:val="Compact"/>
              <w:jc w:val="left"/>
              <w:suppressAutoHyphens/>
            </w:pPr>
            <w:r>
              <w:t xml:space="preserve">2 – Gambia Support</w:t>
            </w:r>
          </w:p>
        </w:tc>
        <w:tc>
          <w:tcPr/>
          <w:p>
            <w:pPr>
              <w:pStyle w:val="Compact"/>
              <w:jc w:val="left"/>
              <w:suppressAutoHyphens/>
            </w:pPr>
            <w:r>
              <w:t xml:space="preserve">Yr2–4 (2029–31)</w:t>
            </w:r>
          </w:p>
        </w:tc>
        <w:tc>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p>
            <w:pPr>
              <w:pStyle w:val="Compact"/>
              <w:jc w:val="left"/>
              <w:suppressAutoHyphens/>
            </w:pPr>
            <w:r>
              <w:t xml:space="preserve">3 – Academic Peer Network</w:t>
            </w:r>
          </w:p>
        </w:tc>
        <w:tc>
          <w:tcPr/>
          <w:p>
            <w:pPr>
              <w:pStyle w:val="Compact"/>
              <w:jc w:val="left"/>
              <w:suppressAutoHyphens/>
            </w:pPr>
            <w:r>
              <w:t xml:space="preserve">Yr5–9 (2032–36)</w:t>
            </w:r>
          </w:p>
        </w:tc>
        <w:tc>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p>
            <w:pPr>
              <w:pStyle w:val="Compact"/>
              <w:jc w:val="left"/>
              <w:suppressAutoHyphens/>
            </w:pPr>
            <w:r>
              <w:t xml:space="preserve">4 – Sovereign Expansion Support</w:t>
            </w:r>
          </w:p>
        </w:tc>
        <w:tc>
          <w:tcPr/>
          <w:p>
            <w:pPr>
              <w:pStyle w:val="Compact"/>
              <w:jc w:val="left"/>
              <w:suppressAutoHyphens/>
            </w:pPr>
            <w:r>
              <w:t xml:space="preserve">Yr10–13 (2037–40)</w:t>
            </w:r>
          </w:p>
        </w:tc>
        <w:tc>
          <w:tcPr/>
          <w:p>
            <w:pPr>
              <w:pStyle w:val="Compact"/>
              <w:jc w:val="left"/>
              <w:suppressAutoHyphens/>
            </w:pPr>
            <w:r>
              <w:t xml:space="preserve">Relationship-building ahead of Nigeria NUC charter presentation (Yr10) and first Gulf ministry recognition agreements (Yr13 target).</w:t>
            </w:r>
          </w:p>
        </w:tc>
      </w:tr>
      <w:tr>
        <w:trPr>
          <w:cantSplit/>
        </w:trPr>
        <w:tc>
          <w:tcPr/>
          <w:p>
            <w:pPr>
              <w:pStyle w:val="Compact"/>
              <w:jc w:val="left"/>
              <w:suppressAutoHyphens/>
            </w:pPr>
            <w:r>
              <w:t xml:space="preserve">5 – Secular Widening</w:t>
            </w:r>
          </w:p>
        </w:tc>
        <w:tc>
          <w:tcPr/>
          <w:p>
            <w:pPr>
              <w:pStyle w:val="Compact"/>
              <w:jc w:val="left"/>
              <w:suppressAutoHyphens/>
            </w:pPr>
            <w:r>
              <w:t xml:space="preserve">Yr11–20 (2038–47)</w:t>
            </w:r>
          </w:p>
        </w:tc>
        <w:tc>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r>
      <w:tr>
        <w:trPr>
          <w:cantSplit/>
        </w:trPr>
        <w:tc>
          <w:tcPr/>
          <w:p>
            <w:pPr>
              <w:pStyle w:val="Compact"/>
              <w:jc w:val="left"/>
              <w:suppressAutoHyphens/>
            </w:pPr>
            <w:r>
              <w:t xml:space="preserve">Partnership outreach materials, travel</w:t>
            </w:r>
          </w:p>
        </w:tc>
        <w:tc>
          <w:tcPr/>
          <w:p>
            <w:pPr>
              <w:pStyle w:val="Compact"/>
              <w:jc w:val="left"/>
              <w:suppressAutoHyphens/>
            </w:pPr>
            <w:r>
              <w:t xml:space="preserve">Marketing (10%)</w:t>
            </w:r>
          </w:p>
        </w:tc>
      </w:tr>
      <w:tr>
        <w:trPr>
          <w:cantSplit/>
        </w:trPr>
        <w:tc>
          <w:tcPr/>
          <w:p>
            <w:pPr>
              <w:pStyle w:val="Compact"/>
              <w:jc w:val="left"/>
              <w:suppressAutoHyphens/>
            </w:pPr>
            <w:r>
              <w:t xml:space="preserve">Mosque/school engagement events</w:t>
            </w:r>
          </w:p>
        </w:tc>
        <w:tc>
          <w:tcPr/>
          <w:p>
            <w:pPr>
              <w:pStyle w:val="Compact"/>
              <w:jc w:val="left"/>
              <w:suppressAutoHyphens/>
            </w:pPr>
            <w:r>
              <w:t xml:space="preserve">Da’wah &amp; Community Outreach (5%)</w:t>
            </w:r>
          </w:p>
        </w:tc>
      </w:tr>
      <w:tr>
        <w:trPr>
          <w:cantSplit/>
        </w:trPr>
        <w:tc>
          <w:tcPr/>
          <w:p>
            <w:pPr>
              <w:pStyle w:val="Compact"/>
              <w:jc w:val="left"/>
              <w:suppressAutoHyphens/>
            </w:pPr>
            <w:r>
              <w:t xml:space="preserve">Direct partner mosque/school support</w:t>
            </w:r>
          </w:p>
        </w:tc>
        <w:tc>
          <w:tcPr/>
          <w:p>
            <w:pPr>
              <w:pStyle w:val="Compact"/>
              <w:jc w:val="left"/>
              <w:suppressAutoHyphens/>
            </w:pPr>
            <w:r>
              <w:t xml:space="preserve">Waqf sub-line: Islamic Schools/Mosque Support (25% of Waqf 20%)</w:t>
            </w:r>
          </w:p>
        </w:tc>
      </w:tr>
      <w:tr>
        <w:trPr>
          <w:cantSplit/>
        </w:trPr>
        <w:tc>
          <w:tcPr/>
          <w:p>
            <w:pPr>
              <w:pStyle w:val="Compact"/>
              <w:jc w:val="left"/>
              <w:suppressAutoHyphens/>
            </w:pPr>
            <w:r>
              <w:t xml:space="preserve">Sadaqah Jāriyah donor channel administration</w:t>
            </w:r>
          </w:p>
        </w:tc>
        <w:tc>
          <w:tcPr/>
          <w:p>
            <w:pPr>
              <w:pStyle w:val="Compact"/>
              <w:jc w:val="left"/>
              <w:suppressAutoHyphens/>
            </w:pPr>
            <w:r>
              <w:t xml:space="preserve">Waqf &amp; Endowment Board fiduciary oversight; &gt;$250,000/yr requires 2/3 Senate vote incl. ≥2 independent seats</w:t>
            </w:r>
          </w:p>
        </w:tc>
      </w:tr>
      <w:tr>
        <w:trPr>
          <w:cantSplit/>
        </w:trPr>
        <w:tc>
          <w:tcPr/>
          <w:p>
            <w:pPr>
              <w:pStyle w:val="Compact"/>
              <w:jc w:val="left"/>
              <w:suppressAutoHyphens/>
            </w:pPr>
            <w:r>
              <w:t xml:space="preserve">Gambia legal/local MOU support</w:t>
            </w:r>
          </w:p>
        </w:tc>
        <w:tc>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Partner MOU non-performance</w:t>
            </w:r>
          </w:p>
        </w:tc>
        <w:tc>
          <w:tcPr/>
          <w:p>
            <w:pPr>
              <w:pStyle w:val="Compact"/>
              <w:jc w:val="left"/>
              <w:suppressAutoHyphens/>
            </w:pPr>
            <w:r>
              <w:t xml:space="preserve">Annual renewal review, sunset clauses</w:t>
            </w:r>
          </w:p>
        </w:tc>
      </w:tr>
      <w:tr>
        <w:trPr>
          <w:cantSplit/>
        </w:trPr>
        <w:tc>
          <w:tcPr/>
          <w:p>
            <w:pPr>
              <w:pStyle w:val="Compact"/>
              <w:jc w:val="left"/>
              <w:suppressAutoHyphens/>
            </w:pPr>
            <w:r>
              <w:t xml:space="preserve">Nigeria NUC / Gulf recognition delay</w:t>
            </w:r>
          </w:p>
        </w:tc>
        <w:tc>
          <w:tcPr/>
          <w:p>
            <w:pPr>
              <w:pStyle w:val="Compact"/>
              <w:jc w:val="left"/>
              <w:suppressAutoHyphens/>
            </w:pPr>
            <w:r>
              <w:t xml:space="preserve">Already framed in risk register as funding target, not guarantee — partnerships continue regardless of sovereign timeline</w:t>
            </w:r>
          </w:p>
        </w:tc>
      </w:tr>
      <w:tr>
        <w:trPr>
          <w:cantSplit/>
        </w:trPr>
        <w:tc>
          <w:tcPr/>
          <w:p>
            <w:pPr>
              <w:pStyle w:val="Compact"/>
              <w:jc w:val="left"/>
              <w:suppressAutoHyphens/>
            </w:pPr>
            <w:r>
              <w:t xml:space="preserve">Reputational exposure from unvetted religious partners</w:t>
            </w:r>
          </w:p>
        </w:tc>
        <w:tc>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36328"/>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36328"/>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Year</w:t>
            </w:r>
          </w:p>
        </w:tc>
        <w:tc>
          <w:tcPr/>
          <w:p>
            <w:pPr>
              <w:pStyle w:val="Compact"/>
              <w:jc w:val="left"/>
              <w:suppressAutoHyphens/>
            </w:pPr>
            <w:r>
              <w:t xml:space="preserve">Milestone</w:t>
            </w:r>
          </w:p>
        </w:tc>
        <w:tc>
          <w:tcPr/>
          <w:p>
            <w:pPr>
              <w:pStyle w:val="Compact"/>
              <w:jc w:val="left"/>
              <w:suppressAutoHyphens/>
            </w:pPr>
            <w:r>
              <w:t xml:space="preserve">Cost</w:t>
            </w:r>
          </w:p>
        </w:tc>
        <w:tc>
          <w:tcPr/>
          <w:p>
            <w:pPr>
              <w:pStyle w:val="Compact"/>
              <w:jc w:val="left"/>
              <w:suppressAutoHyphens/>
            </w:pPr>
            <w:r>
              <w:t xml:space="preserve">Funding Source</w:t>
            </w:r>
          </w:p>
        </w:tc>
        <w:tc>
          <w:tcPr/>
          <w:p>
            <w:pPr>
              <w:pStyle w:val="Compact"/>
              <w:jc w:val="left"/>
              <w:suppressAutoHyphens/>
            </w:pPr>
            <w:r>
              <w:t xml:space="preserve">Independence</w:t>
            </w:r>
          </w:p>
        </w:tc>
      </w:tr>
      <w:tr>
        <w:trPr>
          <w:cantSplit/>
        </w:trPr>
        <w:tc>
          <w:tcPr/>
          <w:p>
            <w:pPr>
              <w:pStyle w:val="Compact"/>
              <w:jc w:val="left"/>
              <w:suppressAutoHyphens/>
            </w:pPr>
            <w:r>
              <w:t xml:space="preserve">Yr2 (2029)</w:t>
            </w:r>
          </w:p>
        </w:tc>
        <w:tc>
          <w:tcPr/>
          <w:p>
            <w:pPr>
              <w:pStyle w:val="Compact"/>
              <w:jc w:val="left"/>
              <w:suppressAutoHyphens/>
            </w:pPr>
            <w:r>
              <w:t xml:space="preserve">CPD Accreditation target</w:t>
            </w:r>
          </w:p>
        </w:tc>
        <w:tc>
          <w:tcPr/>
          <w:p>
            <w:pPr>
              <w:pStyle w:val="Compact"/>
              <w:jc w:val="left"/>
              <w:suppressAutoHyphens/>
            </w:pPr>
            <w:r>
              <w:t xml:space="preserve">$4,000 initial + $1,200/yr</w:t>
            </w:r>
          </w:p>
        </w:tc>
        <w:tc>
          <w:tcPr/>
          <w:p>
            <w:pPr>
              <w:pStyle w:val="Compact"/>
              <w:jc w:val="left"/>
              <w:suppressAutoHyphens/>
            </w:pPr>
            <w:r>
              <w:t xml:space="preserve">OpEx (5%)</w:t>
            </w:r>
          </w:p>
        </w:tc>
        <w:tc>
          <w:tcPr/>
          <w:p>
            <w:pPr>
              <w:pStyle w:val="Compact"/>
              <w:jc w:val="left"/>
              <w:suppressAutoHyphens/>
            </w:pPr>
            <w:r>
              <w:t xml:space="preserve">N/A</w:t>
            </w:r>
          </w:p>
        </w:tc>
      </w:tr>
      <w:tr>
        <w:trPr>
          <w:cantSplit/>
        </w:trPr>
        <w:tc>
          <w:tcPr/>
          <w:p>
            <w:pPr>
              <w:pStyle w:val="Compact"/>
              <w:jc w:val="left"/>
              <w:suppressAutoHyphens/>
            </w:pPr>
            <w:r>
              <w:t xml:space="preserve">Yr2–4 (2029–31)</w:t>
            </w:r>
          </w:p>
        </w:tc>
        <w:tc>
          <w:tcPr/>
          <w:p>
            <w:pPr>
              <w:pStyle w:val="Compact"/>
              <w:jc w:val="left"/>
              <w:suppressAutoHyphens/>
            </w:pPr>
            <w:r>
              <w:t xml:space="preserve">Gambia NAQAA accreditation (Stage 3)</w:t>
            </w:r>
          </w:p>
        </w:tc>
        <w:tc>
          <w:tcPr/>
          <w:p>
            <w:pPr>
              <w:pStyle w:val="Compact"/>
              <w:jc w:val="left"/>
              <w:suppressAutoHyphens/>
            </w:pPr>
            <w:r>
              <w:t xml:space="preserve">$50,000 ceiling ($10k trust/endowment capitalization, $35k application/review/site-visits, $5k local legal counsel)</w:t>
            </w:r>
          </w:p>
        </w:tc>
        <w:tc>
          <w:tcPr/>
          <w:p>
            <w:pPr>
              <w:pStyle w:val="Compact"/>
              <w:jc w:val="left"/>
              <w:suppressAutoHyphens/>
            </w:pPr>
            <w:r>
              <w:t xml:space="preserve">Board-approved Gambia ceiling</w:t>
            </w:r>
          </w:p>
        </w:tc>
        <w:tc>
          <w:tcPr/>
          <w:p>
            <w:pPr>
              <w:pStyle w:val="Compact"/>
              <w:jc w:val="left"/>
              <w:suppressAutoHyphens/>
            </w:pPr>
            <w:r>
              <w:t xml:space="preserve">Independent of Texas parent</w:t>
            </w:r>
          </w:p>
        </w:tc>
      </w:tr>
      <w:tr>
        <w:trPr>
          <w:cantSplit/>
        </w:trPr>
        <w:tc>
          <w:tcPr/>
          <w:p>
            <w:pPr>
              <w:pStyle w:val="Compact"/>
              <w:jc w:val="left"/>
              <w:suppressAutoHyphens/>
            </w:pPr>
            <w:r>
              <w:t xml:space="preserve">Yr3 (2030)</w:t>
            </w:r>
          </w:p>
        </w:tc>
        <w:tc>
          <w:tcPr/>
          <w:p>
            <w:pPr>
              <w:pStyle w:val="Compact"/>
              <w:jc w:val="left"/>
              <w:suppressAutoHyphens/>
            </w:pPr>
            <w:r>
              <w:t xml:space="preserve">ISO 21001 (EOMS) target</w:t>
            </w:r>
          </w:p>
        </w:tc>
        <w:tc>
          <w:tcPr/>
          <w:p>
            <w:pPr>
              <w:pStyle w:val="Compact"/>
              <w:jc w:val="left"/>
              <w:suppressAutoHyphens/>
            </w:pPr>
            <w:r>
              <w:t xml:space="preserve">$12,000 initial + $3,500/yr</w:t>
            </w:r>
          </w:p>
        </w:tc>
        <w:tc>
          <w:tcPr/>
          <w:p>
            <w:pPr>
              <w:pStyle w:val="Compact"/>
              <w:jc w:val="left"/>
              <w:suppressAutoHyphens/>
            </w:pPr>
            <w:r>
              <w:t xml:space="preserve">OpEx (5%)</w:t>
            </w:r>
          </w:p>
        </w:tc>
        <w:tc>
          <w:tcPr/>
          <w:p>
            <w:pPr>
              <w:pStyle w:val="Compact"/>
              <w:jc w:val="left"/>
              <w:suppressAutoHyphens/>
            </w:pPr>
            <w:r>
              <w:t xml:space="preserve">N/A</w:t>
            </w:r>
          </w:p>
        </w:tc>
      </w:tr>
      <w:tr>
        <w:trPr>
          <w:cantSplit/>
        </w:trPr>
        <w:tc>
          <w:tcPr/>
          <w:p>
            <w:pPr>
              <w:pStyle w:val="Compact"/>
              <w:jc w:val="left"/>
              <w:suppressAutoHyphens/>
            </w:pPr>
            <w:r>
              <w:t xml:space="preserve">Yr10 (2037)</w:t>
            </w:r>
          </w:p>
        </w:tc>
        <w:tc>
          <w:tcPr/>
          <w:p>
            <w:pPr>
              <w:pStyle w:val="Compact"/>
              <w:jc w:val="left"/>
              <w:suppressAutoHyphens/>
            </w:pPr>
            <w:r>
              <w:t xml:space="preserve">Nigeria Mega-University: formal charter presentation to National Assembly/NUC</w:t>
            </w:r>
          </w:p>
        </w:tc>
        <w:tc>
          <w:tcPr/>
          <w:p>
            <w:pPr>
              <w:pStyle w:val="Compact"/>
              <w:jc w:val="left"/>
              <w:suppressAutoHyphens/>
            </w:pPr>
            <w:r>
              <w:t xml:space="preserve">Variable, sovereign-controlled</w:t>
            </w:r>
          </w:p>
        </w:tc>
        <w:tc>
          <w:tcPr/>
          <w:p>
            <w:pPr>
              <w:pStyle w:val="Compact"/>
              <w:jc w:val="left"/>
              <w:suppressAutoHyphens/>
            </w:pPr>
            <w:r>
              <w:t xml:space="preserve">Waqf Nigeria Mega-University Reserve (20% of Waqf 20%)</w:t>
            </w:r>
          </w:p>
        </w:tc>
        <w:tc>
          <w:tcPr/>
          <w:p>
            <w:pPr>
              <w:pStyle w:val="Compact"/>
              <w:jc w:val="left"/>
              <w:suppressAutoHyphens/>
            </w:pPr>
            <w:r>
              <w:t xml:space="preserve">Independent of Texas parent; sovereign process outside AMIU control</w:t>
            </w:r>
          </w:p>
        </w:tc>
      </w:tr>
      <w:tr>
        <w:trPr>
          <w:cantSplit/>
        </w:trPr>
        <w:tc>
          <w:tcPr/>
          <w:p>
            <w:pPr>
              <w:pStyle w:val="Compact"/>
              <w:jc w:val="left"/>
              <w:suppressAutoHyphens/>
            </w:pPr>
            <w:r>
              <w:t xml:space="preserve">Yr11–12 (2038–39)</w:t>
            </w:r>
          </w:p>
        </w:tc>
        <w:tc>
          <w:tcPr/>
          <w:p>
            <w:pPr>
              <w:pStyle w:val="Compact"/>
              <w:jc w:val="left"/>
              <w:suppressAutoHyphens/>
            </w:pPr>
            <w:r>
              <w:t xml:space="preserve">Texas/US secular (regional/national) accreditation process begins</w:t>
            </w:r>
          </w:p>
        </w:tc>
        <w:tc>
          <w:tcPr/>
          <w:p>
            <w:pPr>
              <w:pStyle w:val="Compact"/>
              <w:jc w:val="left"/>
              <w:suppressAutoHyphens/>
            </w:pPr>
            <w:r>
              <w:t xml:space="preserve">TBD, funded from retained reserve</w:t>
            </w:r>
          </w:p>
        </w:tc>
        <w:tc>
          <w:tcPr/>
          <w:p>
            <w:pPr>
              <w:pStyle w:val="Compact"/>
              <w:jc w:val="left"/>
              <w:suppressAutoHyphens/>
            </w:pPr>
            <w:r>
              <w:t xml:space="preserve">OpEx / Liquidity Reserve draw, Board-approved</w:t>
            </w:r>
          </w:p>
        </w:tc>
        <w:tc>
          <w:tcPr/>
          <w:p>
            <w:pPr>
              <w:pStyle w:val="Compact"/>
              <w:jc w:val="left"/>
              <w:suppressAutoHyphens/>
            </w:pPr>
            <w:r>
              <w:t xml:space="preserve">Not a survival dependency</w:t>
            </w:r>
          </w:p>
        </w:tc>
      </w:tr>
      <w:tr>
        <w:trPr>
          <w:cantSplit/>
        </w:trPr>
        <w:tc>
          <w:tcPr/>
          <w:p>
            <w:pPr>
              <w:pStyle w:val="Compact"/>
              <w:jc w:val="left"/>
              <w:suppressAutoHyphens/>
            </w:pPr>
            <w:r>
              <w:t xml:space="preserve">Yr13 (2040)</w:t>
            </w:r>
          </w:p>
        </w:tc>
        <w:tc>
          <w:tcPr/>
          <w:p>
            <w:pPr>
              <w:pStyle w:val="Compact"/>
              <w:jc w:val="left"/>
              <w:suppressAutoHyphens/>
            </w:pPr>
            <w:r>
              <w:t xml:space="preserve">First Gulf ministry recognition agreements targeted</w:t>
            </w:r>
          </w:p>
        </w:tc>
        <w:tc>
          <w:tcPr/>
          <w:p>
            <w:pPr>
              <w:pStyle w:val="Compact"/>
              <w:jc w:val="left"/>
              <w:suppressAutoHyphens/>
            </w:pPr>
            <w:r>
              <w:t xml:space="preserve">Administrative, minimal direct cost</w:t>
            </w:r>
          </w:p>
        </w:tc>
        <w:tc>
          <w:tcPr/>
          <w:p>
            <w:pPr>
              <w:pStyle w:val="Compact"/>
              <w:jc w:val="left"/>
              <w:suppressAutoHyphens/>
            </w:pPr>
            <w:r>
              <w:t xml:space="preserve">OpEx / Marketing (outreach)</w:t>
            </w:r>
          </w:p>
        </w:tc>
        <w:tc>
          <w:tcPr/>
          <w:p>
            <w:pPr>
              <w:pStyle w:val="Compact"/>
              <w:jc w:val="left"/>
              <w:suppressAutoHyphens/>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Timing</w:t>
            </w:r>
          </w:p>
        </w:tc>
        <w:tc>
          <w:tcPr/>
          <w:p>
            <w:pPr>
              <w:pStyle w:val="Compact"/>
              <w:jc w:val="left"/>
              <w:suppressAutoHyphens/>
            </w:pPr>
            <w:r>
              <w:t xml:space="preserve">Activity</w:t>
            </w:r>
          </w:p>
        </w:tc>
      </w:tr>
      <w:tr>
        <w:trPr>
          <w:cantSplit/>
        </w:trPr>
        <w:tc>
          <w:tcPr/>
          <w:p>
            <w:pPr>
              <w:pStyle w:val="Compact"/>
              <w:jc w:val="left"/>
              <w:suppressAutoHyphens/>
            </w:pPr>
            <w:r>
              <w:t xml:space="preserve">Awareness &amp; Gap Analysis</w:t>
            </w:r>
          </w:p>
        </w:tc>
        <w:tc>
          <w:tcPr/>
          <w:p>
            <w:pPr>
              <w:pStyle w:val="Compact"/>
              <w:jc w:val="left"/>
              <w:suppressAutoHyphens/>
            </w:pPr>
            <w:r>
              <w:t xml:space="preserve">Yr1–2 (2028–29)</w:t>
            </w:r>
          </w:p>
        </w:tc>
        <w:tc>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p>
            <w:pPr>
              <w:pStyle w:val="Compact"/>
              <w:jc w:val="left"/>
              <w:suppressAutoHyphens/>
            </w:pPr>
            <w:r>
              <w:t xml:space="preserve">Documentation Build</w:t>
            </w:r>
          </w:p>
        </w:tc>
        <w:tc>
          <w:tcPr/>
          <w:p>
            <w:pPr>
              <w:pStyle w:val="Compact"/>
              <w:jc w:val="left"/>
              <w:suppressAutoHyphens/>
            </w:pPr>
            <w:r>
              <w:t xml:space="preserve">Yr3 H1 (early 2030)</w:t>
            </w:r>
          </w:p>
        </w:tc>
        <w:tc>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suppressAutoHyphens/>
            </w:pPr>
            <w:r>
              <w:t xml:space="preserve">Internal Audit</w:t>
            </w:r>
          </w:p>
        </w:tc>
        <w:tc>
          <w:tcPr/>
          <w:p>
            <w:pPr>
              <w:pStyle w:val="Compact"/>
              <w:jc w:val="left"/>
              <w:suppressAutoHyphens/>
            </w:pPr>
            <w:r>
              <w:t xml:space="preserve">Yr3 H1–H2 (2030)</w:t>
            </w:r>
          </w:p>
        </w:tc>
        <w:tc>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p>
            <w:pPr>
              <w:pStyle w:val="Compact"/>
              <w:jc w:val="left"/>
              <w:suppressAutoHyphens/>
            </w:pPr>
            <w:r>
              <w:t xml:space="preserve">External Certification</w:t>
            </w:r>
          </w:p>
        </w:tc>
        <w:tc>
          <w:tcPr/>
          <w:p>
            <w:pPr>
              <w:pStyle w:val="Compact"/>
              <w:jc w:val="left"/>
              <w:suppressAutoHyphens/>
            </w:pPr>
            <w:r>
              <w:t xml:space="preserve">Yr3 H2 (2030, target completion)</w:t>
            </w:r>
          </w:p>
        </w:tc>
        <w:tc>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suppressAutoHyphens/>
            </w:pPr>
            <w:r>
              <w:t xml:space="preserve">Surveillance Cycle</w:t>
            </w:r>
          </w:p>
        </w:tc>
        <w:tc>
          <w:tcPr/>
          <w:p>
            <w:pPr>
              <w:pStyle w:val="Compact"/>
              <w:jc w:val="left"/>
              <w:suppressAutoHyphens/>
            </w:pPr>
            <w:r>
              <w:t xml:space="preserve">Yr4–20 (2031–47)</w:t>
            </w:r>
          </w:p>
        </w:tc>
        <w:tc>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Item</w:t>
            </w:r>
          </w:p>
        </w:tc>
        <w:tc>
          <w:tcPr/>
          <w:p>
            <w:pPr>
              <w:pStyle w:val="Compact"/>
              <w:jc w:val="left"/>
              <w:suppressAutoHyphens/>
            </w:pPr>
            <w:r>
              <w:t xml:space="preserve">Year</w:t>
            </w:r>
          </w:p>
        </w:tc>
        <w:tc>
          <w:tcPr/>
          <w:p>
            <w:pPr>
              <w:pStyle w:val="Compact"/>
              <w:jc w:val="left"/>
              <w:suppressAutoHyphens/>
            </w:pPr>
            <w:r>
              <w:t xml:space="preserve">Cost</w:t>
            </w:r>
          </w:p>
        </w:tc>
        <w:tc>
          <w:tcPr/>
          <w:p>
            <w:pPr>
              <w:pStyle w:val="Compact"/>
              <w:jc w:val="left"/>
              <w:suppressAutoHyphens/>
            </w:pPr>
            <w:r>
              <w:t xml:space="preserve">Funding Source</w:t>
            </w:r>
          </w:p>
        </w:tc>
      </w:tr>
      <w:tr>
        <w:trPr>
          <w:cantSplit/>
        </w:trPr>
        <w:tc>
          <w:tcPr/>
          <w:p>
            <w:pPr>
              <w:pStyle w:val="Compact"/>
              <w:jc w:val="left"/>
              <w:suppressAutoHyphens/>
            </w:pPr>
            <w:r>
              <w:t xml:space="preserve">Initial certification (Stage 1 + Stage 2 audits, cert body fees)</w:t>
            </w:r>
          </w:p>
        </w:tc>
        <w:tc>
          <w:tcPr/>
          <w:p>
            <w:pPr>
              <w:pStyle w:val="Compact"/>
              <w:jc w:val="left"/>
              <w:suppressAutoHyphens/>
            </w:pPr>
            <w:r>
              <w:t xml:space="preserve">Yr3 (2030)</w:t>
            </w:r>
          </w:p>
        </w:tc>
        <w:tc>
          <w:tcPr/>
          <w:p>
            <w:pPr>
              <w:pStyle w:val="Compact"/>
              <w:jc w:val="left"/>
              <w:suppressAutoHyphens/>
            </w:pPr>
            <w:r>
              <w:t xml:space="preserve">$12,000 one-time</w:t>
            </w:r>
          </w:p>
        </w:tc>
        <w:tc>
          <w:tcPr/>
          <w:p>
            <w:pPr>
              <w:pStyle w:val="Compact"/>
              <w:jc w:val="left"/>
              <w:suppressAutoHyphens/>
            </w:pPr>
            <w:r>
              <w:t xml:space="preserve">OpEx (5%); Board-approved reserve draw only if a single year’s OpEx is insufficient</w:t>
            </w:r>
          </w:p>
        </w:tc>
      </w:tr>
      <w:tr>
        <w:trPr>
          <w:cantSplit/>
        </w:trPr>
        <w:tc>
          <w:tcPr/>
          <w:p>
            <w:pPr>
              <w:pStyle w:val="Compact"/>
              <w:jc w:val="left"/>
              <w:suppressAutoHyphens/>
            </w:pPr>
            <w:r>
              <w:t xml:space="preserve">Annual surveillance audit</w:t>
            </w:r>
          </w:p>
        </w:tc>
        <w:tc>
          <w:tcPr/>
          <w:p>
            <w:pPr>
              <w:pStyle w:val="Compact"/>
              <w:jc w:val="left"/>
              <w:suppressAutoHyphens/>
            </w:pPr>
            <w:r>
              <w:t xml:space="preserve">Yr4+ (2031+)</w:t>
            </w:r>
          </w:p>
        </w:tc>
        <w:tc>
          <w:tcPr/>
          <w:p>
            <w:pPr>
              <w:pStyle w:val="Compact"/>
              <w:jc w:val="left"/>
              <w:suppressAutoHyphens/>
            </w:pPr>
            <w:r>
              <w:t xml:space="preserve">$3,500/yr</w:t>
            </w:r>
          </w:p>
        </w:tc>
        <w:tc>
          <w:tcPr/>
          <w:p>
            <w:pPr>
              <w:pStyle w:val="Compact"/>
              <w:jc w:val="left"/>
              <w:suppressAutoHyphens/>
            </w:pPr>
            <w:r>
              <w:t xml:space="preserve">OpEx (5%)</w:t>
            </w:r>
          </w:p>
        </w:tc>
      </w:tr>
      <w:tr>
        <w:trPr>
          <w:cantSplit/>
        </w:trPr>
        <w:tc>
          <w:tcPr/>
          <w:p>
            <w:pPr>
              <w:pStyle w:val="Compact"/>
              <w:jc w:val="left"/>
              <w:suppressAutoHyphens/>
            </w:pPr>
            <w:r>
              <w:t xml:space="preserve">Internal audit training/contractor</w:t>
            </w:r>
          </w:p>
        </w:tc>
        <w:tc>
          <w:tcPr/>
          <w:p>
            <w:pPr>
              <w:pStyle w:val="Compact"/>
              <w:jc w:val="left"/>
              <w:suppressAutoHyphens/>
            </w:pPr>
            <w:r>
              <w:t xml:space="preserve">Yr2–3</w:t>
            </w:r>
          </w:p>
        </w:tc>
        <w:tc>
          <w:tcPr/>
          <w:p>
            <w:pPr>
              <w:pStyle w:val="Compact"/>
              <w:jc w:val="left"/>
              <w:suppressAutoHyphens/>
            </w:pPr>
            <w:r>
              <w:t xml:space="preserve">Modest, within OpEx</w:t>
            </w:r>
          </w:p>
        </w:tc>
        <w:tc>
          <w:tcPr/>
          <w:p>
            <w:pPr>
              <w:pStyle w:val="Compact"/>
              <w:jc w:val="left"/>
              <w:suppressAutoHyphens/>
            </w:pPr>
            <w:r>
              <w:t xml:space="preserve">OpEx (5%)</w:t>
            </w:r>
          </w:p>
        </w:tc>
      </w:tr>
      <w:tr>
        <w:trPr>
          <w:cantSplit/>
        </w:trPr>
        <w:tc>
          <w:tcPr/>
          <w:p>
            <w:pPr>
              <w:pStyle w:val="Compact"/>
              <w:jc w:val="left"/>
              <w:suppressAutoHyphens/>
            </w:pPr>
            <w:r>
              <w:t xml:space="preserve">Documentation tooling</w:t>
            </w:r>
          </w:p>
        </w:tc>
        <w:tc>
          <w:tcPr/>
          <w:p>
            <w:pPr>
              <w:pStyle w:val="Compact"/>
              <w:jc w:val="left"/>
              <w:suppressAutoHyphens/>
            </w:pPr>
            <w:r>
              <w:t xml:space="preserve">Ongoing</w:t>
            </w:r>
          </w:p>
        </w:tc>
        <w:tc>
          <w:tcPr/>
          <w:p>
            <w:pPr>
              <w:pStyle w:val="Compact"/>
              <w:jc w:val="left"/>
              <w:suppressAutoHyphens/>
            </w:pPr>
            <w:r>
              <w:t xml:space="preserve">Near-zero (shared drive/existing LMS)</w:t>
            </w:r>
          </w:p>
        </w:tc>
        <w:tc>
          <w:tcPr/>
          <w:p>
            <w:pPr>
              <w:pStyle w:val="Compact"/>
              <w:jc w:val="left"/>
              <w:suppressAutoHyphens/>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Cost overrun beyond $12,000/$3,500</w:t>
            </w:r>
          </w:p>
        </w:tc>
        <w:tc>
          <w:tcPr/>
          <w:p>
            <w:pPr>
              <w:pStyle w:val="Compact"/>
              <w:jc w:val="left"/>
              <w:suppressAutoHyphens/>
            </w:pPr>
            <w:r>
              <w:t xml:space="preserve">Hard-capped within OpEx; Board approval gate before any reserve draw</w:t>
            </w:r>
          </w:p>
        </w:tc>
      </w:tr>
      <w:tr>
        <w:trPr>
          <w:cantSplit/>
        </w:trPr>
        <w:tc>
          <w:tcPr/>
          <w:p>
            <w:pPr>
              <w:pStyle w:val="Compact"/>
              <w:jc w:val="left"/>
              <w:suppressAutoHyphens/>
            </w:pPr>
            <w:r>
              <w:t xml:space="preserve">Documentation burden diverting Founder/Senate time</w:t>
            </w:r>
          </w:p>
        </w:tc>
        <w:tc>
          <w:tcPr/>
          <w:p>
            <w:pPr>
              <w:pStyle w:val="Compact"/>
              <w:jc w:val="left"/>
              <w:suppressAutoHyphens/>
            </w:pPr>
            <w:r>
              <w:t xml:space="preserve">Gap analysis begins Yr1, spreading workload over two years before the Yr3 deadline</w:t>
            </w:r>
          </w:p>
        </w:tc>
      </w:tr>
      <w:tr>
        <w:trPr>
          <w:cantSplit/>
        </w:trPr>
        <w:tc>
          <w:tcPr/>
          <w:p>
            <w:pPr>
              <w:pStyle w:val="Compact"/>
              <w:jc w:val="left"/>
              <w:suppressAutoHyphens/>
            </w:pPr>
            <w:r>
              <w:t xml:space="preserve">Failed Stage 2 audit</w:t>
            </w:r>
          </w:p>
        </w:tc>
        <w:tc>
          <w:tcPr/>
          <w:p>
            <w:pPr>
              <w:pStyle w:val="Compact"/>
              <w:jc w:val="left"/>
              <w:suppressAutoHyphens/>
            </w:pPr>
            <w:r>
              <w:t xml:space="preserve">Buffer built into Yr3 H2 schedule; internal audit precedes external audit by a full quarter</w:t>
            </w:r>
          </w:p>
        </w:tc>
      </w:tr>
      <w:tr>
        <w:trPr>
          <w:cantSplit/>
        </w:trPr>
        <w:tc>
          <w:tcPr/>
          <w:p>
            <w:pPr>
              <w:pStyle w:val="Compact"/>
              <w:jc w:val="left"/>
              <w:suppressAutoHyphens/>
            </w:pPr>
            <w:r>
              <w:t xml:space="preserve">Surveillance lapse causing certificate suspension</w:t>
            </w:r>
          </w:p>
        </w:tc>
        <w:tc>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Cormorant Garamond" w:hAnsi="Cormorant Garamond"/>
          <w:i/>
          <w:color w:val="122A4E"/>
          <w:sz w:val="30"/>
        </w:rPr>
        <w:t>A plan for the Tuesday after the promise is made.</w:t>
      </w:r>
    </w:p>
    <w:p>
      <w:pPr>
        <w:jc w:val="both"/>
        <w:spacing w:before="0" w:after="0"/>
      </w:pPr>
      <w:r>
        <w:rPr>
          <w:rFonts w:ascii="Liberation Sans" w:hAnsi="Liberation Sans"/>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FIVE OF EIGHT</w:t>
            </w:r>
          </w:p>
          <w:p>
            <w:pPr>
              <w:spacing w:before="0" w:after="60"/>
              <w:suppressAutoHyphens/>
            </w:pPr>
            <w:r>
              <w:rPr>
                <w:rFonts w:ascii="Cinzel" w:hAnsi="Cinzel"/>
                <w:color w:val="B08625"/>
                <w:b/>
                <w:sz w:val="108"/>
              </w:rPr>
              <w:t>V</w:t>
            </w:r>
          </w:p>
          <w:p>
            <w:pPr>
              <w:spacing w:before="120" w:after="80"/>
              <w:suppressAutoHyphens/>
            </w:pPr>
            <w:r>
              <w:rPr>
                <w:rFonts w:ascii="Cormorant Garamond" w:hAnsi="Cormorant Garamond"/>
                <w:b/>
                <w:color w:val="B08625"/>
                <w:sz w:val="22"/>
                <w:caps/>
                <w:spacing w:val="18"/>
              </w:rPr>
              <w:t>Digital Infrastructure, AI &amp; Waqf Development</w:t>
            </w:r>
          </w:p>
          <w:p>
            <w:pPr>
              <w:spacing w:before="0" w:after="260"/>
              <w:pBdr>
                <w:bottom w:val="single" w:sz="10" w:space="8" w:color="B08625"/>
              </w:pBdr>
              <w:suppressAutoHyphens/>
            </w:pPr>
            <w:r>
              <w:rPr>
                <w:rFonts w:ascii="Liberation Sans" w:hAnsi="Liberation Sans"/>
                <w:color w:val="8C97AB"/>
                <w:sz w:val="17"/>
                <w:spacing w:val="14"/>
              </w:rPr>
              <w:t>SECTIONS 21–25</w:t>
            </w:r>
          </w:p>
          <w:p>
            <w:pPr>
              <w:spacing w:before="0" w:after="360"/>
              <w:ind w:right="700"/>
              <w:suppressAutoHyphens/>
            </w:pPr>
            <w:r>
              <w:rPr>
                <w:rFonts w:ascii="Cormorant Garamond" w:hAnsi="Cormorant Garamond"/>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21 </w:t>
            </w:r>
            <w:r>
              <w:rPr>
                <w:rFonts w:ascii="Liberation Sans" w:hAnsi="Liberation Sans"/>
                <w:color w:val="FFFFFF"/>
                <w:sz w:val="20"/>
              </w:rPr>
              <w:t>LMS Ecosystem</w:t>
            </w:r>
          </w:p>
          <w:p>
            <w:pPr>
              <w:spacing w:before="0" w:after="130"/>
              <w:suppressAutoHyphens/>
            </w:pPr>
            <w:r>
              <w:rPr>
                <w:rFonts w:ascii="Cinzel" w:hAnsi="Cinzel"/>
                <w:b/>
                <w:color w:val="B08625"/>
                <w:sz w:val="22"/>
                <w:caps/>
                <w:spacing w:val="18"/>
              </w:rPr>
              <w:t>22 </w:t>
            </w:r>
            <w:r>
              <w:rPr>
                <w:rFonts w:ascii="Liberation Sans" w:hAnsi="Liberation Sans"/>
                <w:color w:val="FFFFFF"/>
                <w:sz w:val="20"/>
              </w:rPr>
              <w:t>AI Strategy</w:t>
            </w:r>
          </w:p>
          <w:p>
            <w:pPr>
              <w:spacing w:before="0" w:after="130"/>
              <w:suppressAutoHyphens/>
            </w:pPr>
            <w:r>
              <w:rPr>
                <w:rFonts w:ascii="Cinzel" w:hAnsi="Cinzel"/>
                <w:b/>
                <w:color w:val="B08625"/>
                <w:sz w:val="22"/>
                <w:caps/>
                <w:spacing w:val="18"/>
              </w:rPr>
              <w:t>23 </w:t>
            </w:r>
            <w:r>
              <w:rPr>
                <w:rFonts w:ascii="Liberation Sans" w:hAnsi="Liberation Sans"/>
                <w:color w:val="FFFFFF"/>
                <w:sz w:val="20"/>
              </w:rPr>
              <w:t>Digital Transformation Strategy</w:t>
            </w:r>
          </w:p>
          <w:p>
            <w:pPr>
              <w:spacing w:before="0" w:after="130"/>
              <w:suppressAutoHyphens/>
            </w:pPr>
            <w:r>
              <w:rPr>
                <w:rFonts w:ascii="Cinzel" w:hAnsi="Cinzel"/>
                <w:b/>
                <w:color w:val="B08625"/>
                <w:sz w:val="22"/>
                <w:caps/>
                <w:spacing w:val="18"/>
              </w:rPr>
              <w:t>24 </w:t>
            </w:r>
            <w:r>
              <w:rPr>
                <w:rFonts w:ascii="Liberation Sans" w:hAnsi="Liberation Sans"/>
                <w:color w:val="FFFFFF"/>
                <w:sz w:val="20"/>
              </w:rPr>
              <w:t>Library Strategy</w:t>
            </w:r>
          </w:p>
          <w:p>
            <w:pPr>
              <w:spacing w:before="0" w:after="130"/>
              <w:suppressAutoHyphens/>
            </w:pPr>
            <w:r>
              <w:rPr>
                <w:rFonts w:ascii="Cinzel" w:hAnsi="Cinzel"/>
                <w:b/>
                <w:color w:val="B08625"/>
                <w:sz w:val="22"/>
                <w:caps/>
                <w:spacing w:val="18"/>
              </w:rPr>
              <w:t>25 </w:t>
            </w:r>
            <w:r>
              <w:rPr>
                <w:rFonts w:ascii="Liberation Sans" w:hAnsi="Liberation Sans"/>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Scope</w:t>
            </w:r>
          </w:p>
        </w:tc>
      </w:tr>
      <w:tr>
        <w:trPr>
          <w:cantSplit/>
        </w:trPr>
        <w:tc>
          <w:tcPr/>
          <w:p>
            <w:pPr>
              <w:pStyle w:val="Compact"/>
              <w:jc w:val="left"/>
              <w:suppressAutoHyphens/>
            </w:pPr>
            <w:r>
              <w:t xml:space="preserve">1 — Foundation</w:t>
            </w:r>
          </w:p>
        </w:tc>
        <w:tc>
          <w:tcPr/>
          <w:p>
            <w:pPr>
              <w:pStyle w:val="Compact"/>
              <w:jc w:val="left"/>
              <w:suppressAutoHyphens/>
            </w:pPr>
            <w:r>
              <w:t xml:space="preserve">2028–2029</w:t>
            </w:r>
          </w:p>
        </w:tc>
        <w:tc>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p>
            <w:pPr>
              <w:pStyle w:val="Compact"/>
              <w:jc w:val="left"/>
              <w:suppressAutoHyphens/>
            </w:pPr>
            <w:r>
              <w:t xml:space="preserve">2 — Stabilization</w:t>
            </w:r>
          </w:p>
        </w:tc>
        <w:tc>
          <w:tcPr/>
          <w:p>
            <w:pPr>
              <w:pStyle w:val="Compact"/>
              <w:jc w:val="left"/>
              <w:suppressAutoHyphens/>
            </w:pPr>
            <w:r>
              <w:t xml:space="preserve">2030–2032</w:t>
            </w:r>
          </w:p>
        </w:tc>
        <w:tc>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p>
            <w:pPr>
              <w:pStyle w:val="Compact"/>
              <w:jc w:val="left"/>
              <w:suppressAutoHyphens/>
            </w:pPr>
            <w:r>
              <w:t xml:space="preserve">3 — Scale</w:t>
            </w:r>
          </w:p>
        </w:tc>
        <w:tc>
          <w:tcPr/>
          <w:p>
            <w:pPr>
              <w:pStyle w:val="Compact"/>
              <w:jc w:val="left"/>
              <w:suppressAutoHyphens/>
            </w:pPr>
            <w:r>
              <w:t xml:space="preserve">2033–2037</w:t>
            </w:r>
          </w:p>
        </w:tc>
        <w:tc>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p>
            <w:pPr>
              <w:pStyle w:val="Compact"/>
              <w:jc w:val="left"/>
              <w:suppressAutoHyphens/>
            </w:pPr>
            <w:r>
              <w:t xml:space="preserve">4 — Secular-Expansion Maturity</w:t>
            </w:r>
          </w:p>
        </w:tc>
        <w:tc>
          <w:tcPr/>
          <w:p>
            <w:pPr>
              <w:pStyle w:val="Compact"/>
              <w:jc w:val="left"/>
              <w:suppressAutoHyphens/>
            </w:pPr>
            <w:r>
              <w:t xml:space="preserve">2038+</w:t>
            </w:r>
          </w:p>
        </w:tc>
        <w:tc>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4"/>
        </w:numPr>
        <w:pStyle w:val="Compact"/>
        <w:jc w:val="both"/>
      </w:pPr>
      <w:r>
        <w:t xml:space="preserve">Year 1: part-time/contract LMS Administrator (Payroll line, ~0.5 FTE)</w:t>
      </w:r>
    </w:p>
    <w:p>
      <w:pPr>
        <w:numPr>
          <w:ilvl w:val="0"/>
          <w:numId w:val="1014"/>
        </w:numPr>
        <w:pStyle w:val="Compact"/>
        <w:jc w:val="both"/>
      </w:pPr>
      <w:r>
        <w:t xml:space="preserve">Year 3–5: full-time LMS Manager</w:t>
      </w:r>
    </w:p>
    <w:p>
      <w:pPr>
        <w:numPr>
          <w:ilvl w:val="0"/>
          <w:numId w:val="1014"/>
        </w:numPr>
        <w:pStyle w:val="Compact"/>
        <w:jc w:val="both"/>
      </w:pPr>
      <w:r>
        <w:t xml:space="preserve">Year 6–10: LMS Manager + 1–2 junior support technicians + content-conversion coordinator (all Payroll-funded; tooling/hosting on LMS&amp;Tech line)</w:t>
      </w:r>
    </w:p>
    <w:p>
      <w:pPr>
        <w:numPr>
          <w:ilvl w:val="0"/>
          <w:numId w:val="1014"/>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LMS &amp; Tech Budget</w:t>
            </w:r>
          </w:p>
        </w:tc>
        <w:tc>
          <w:tcPr/>
          <w:p>
            <w:pPr>
              <w:pStyle w:val="Compact"/>
              <w:jc w:val="left"/>
              <w:suppressAutoHyphens/>
            </w:pPr>
            <w:r>
              <w:t xml:space="preserve">Primary Use</w:t>
            </w:r>
          </w:p>
        </w:tc>
      </w:tr>
      <w:tr>
        <w:trPr>
          <w:cantSplit/>
        </w:trPr>
        <w:tc>
          <w:tcPr/>
          <w:p>
            <w:pPr>
              <w:pStyle w:val="Compact"/>
              <w:jc w:val="left"/>
              <w:suppressAutoHyphens/>
            </w:pPr>
            <w:r>
              <w:t xml:space="preserve">1 (2028)</w:t>
            </w:r>
          </w:p>
        </w:tc>
        <w:tc>
          <w:tcPr/>
          <w:p>
            <w:pPr>
              <w:pStyle w:val="Compact"/>
              <w:jc w:val="left"/>
              <w:suppressAutoHyphens/>
            </w:pPr>
            <w:r>
              <w:t xml:space="preserve">$11,237</w:t>
            </w:r>
          </w:p>
        </w:tc>
        <w:tc>
          <w:tcPr/>
          <w:p>
            <w:pPr>
              <w:pStyle w:val="Compact"/>
              <w:jc w:val="left"/>
              <w:suppressAutoHyphens/>
            </w:pPr>
            <w:r>
              <w:t xml:space="preserve">Hosting, base plugins, gateway integration fees</w:t>
            </w:r>
          </w:p>
        </w:tc>
      </w:tr>
      <w:tr>
        <w:trPr>
          <w:cantSplit/>
        </w:trPr>
        <w:tc>
          <w:tcPr/>
          <w:p>
            <w:pPr>
              <w:pStyle w:val="Compact"/>
              <w:jc w:val="left"/>
              <w:suppressAutoHyphens/>
            </w:pPr>
            <w:r>
              <w:t xml:space="preserve">5 (2032)</w:t>
            </w:r>
          </w:p>
        </w:tc>
        <w:tc>
          <w:tcPr/>
          <w:p>
            <w:pPr>
              <w:pStyle w:val="Compact"/>
              <w:jc w:val="left"/>
              <w:suppressAutoHyphens/>
            </w:pPr>
            <w:r>
              <w:t xml:space="preserve">$64,539</w:t>
            </w:r>
          </w:p>
        </w:tc>
        <w:tc>
          <w:tcPr/>
          <w:p>
            <w:pPr>
              <w:pStyle w:val="Compact"/>
              <w:jc w:val="left"/>
              <w:suppressAutoHyphens/>
            </w:pPr>
            <w:r>
              <w:t xml:space="preserve">Mobile/PWA build-out, CDN, plugin licensing</w:t>
            </w:r>
          </w:p>
        </w:tc>
      </w:tr>
      <w:tr>
        <w:trPr>
          <w:cantSplit/>
        </w:trPr>
        <w:tc>
          <w:tcPr/>
          <w:p>
            <w:pPr>
              <w:pStyle w:val="Compact"/>
              <w:jc w:val="left"/>
              <w:suppressAutoHyphens/>
            </w:pPr>
            <w:r>
              <w:t xml:space="preserve">10 (2037)</w:t>
            </w:r>
          </w:p>
        </w:tc>
        <w:tc>
          <w:tcPr/>
          <w:p>
            <w:pPr>
              <w:pStyle w:val="Compact"/>
              <w:jc w:val="left"/>
              <w:suppressAutoHyphens/>
            </w:pPr>
            <w:r>
              <w:t xml:space="preserve">$191,527/yr</w:t>
            </w:r>
          </w:p>
        </w:tc>
        <w:tc>
          <w:tcPr/>
          <w:p>
            <w:pPr>
              <w:pStyle w:val="Compact"/>
              <w:jc w:val="left"/>
              <w:suppressAutoHyphens/>
            </w:pPr>
            <w:r>
              <w:t xml:space="preserve">Redundant infrastructure, API/SIS integration, catalog completion</w:t>
            </w:r>
          </w:p>
        </w:tc>
      </w:tr>
      <w:tr>
        <w:trPr>
          <w:cantSplit/>
        </w:trPr>
        <w:tc>
          <w:tcPr/>
          <w:p>
            <w:pPr>
              <w:pStyle w:val="Compact"/>
              <w:jc w:val="left"/>
              <w:suppressAutoHyphens/>
            </w:pPr>
            <w:r>
              <w:t xml:space="preserve">10-yr cumulative</w:t>
            </w:r>
          </w:p>
        </w:tc>
        <w:tc>
          <w:tcPr/>
          <w:p>
            <w:pPr>
              <w:pStyle w:val="Compact"/>
              <w:jc w:val="left"/>
              <w:suppressAutoHyphens/>
            </w:pPr>
            <w:r>
              <w:t xml:space="preserve">$833,460</w:t>
            </w:r>
          </w:p>
        </w:tc>
        <w:tc>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Use Case</w:t>
            </w:r>
          </w:p>
        </w:tc>
        <w:tc>
          <w:tcPr/>
          <w:p>
            <w:pPr>
              <w:pStyle w:val="Compact"/>
              <w:jc w:val="left"/>
              <w:suppressAutoHyphens/>
            </w:pPr>
            <w:r>
              <w:t xml:space="preserve">Nature</w:t>
            </w:r>
          </w:p>
        </w:tc>
        <w:tc>
          <w:tcPr/>
          <w:p>
            <w:pPr>
              <w:pStyle w:val="Compact"/>
              <w:jc w:val="left"/>
              <w:suppressAutoHyphens/>
            </w:pPr>
            <w:r>
              <w:t xml:space="preserve">Sharī’ah Review Required?</w:t>
            </w:r>
          </w:p>
        </w:tc>
      </w:tr>
      <w:tr>
        <w:trPr>
          <w:cantSplit/>
        </w:trPr>
        <w:tc>
          <w:tcPr/>
          <w:p>
            <w:pPr>
              <w:pStyle w:val="Compact"/>
              <w:jc w:val="left"/>
              <w:suppressAutoHyphens/>
            </w:pPr>
            <w:r>
              <w:t xml:space="preserve">Arabic/Qur’ānic-text-aware tutoring support</w:t>
            </w:r>
          </w:p>
        </w:tc>
        <w:tc>
          <w:tcPr/>
          <w:p>
            <w:pPr>
              <w:pStyle w:val="Compact"/>
              <w:jc w:val="left"/>
              <w:suppressAutoHyphens/>
            </w:pPr>
            <w:r>
              <w:t xml:space="preserve">RAG assistant over faculty-curated corpus, human-supervised</w:t>
            </w:r>
          </w:p>
        </w:tc>
        <w:tc>
          <w:tcPr/>
          <w:p>
            <w:pPr>
              <w:pStyle w:val="Compact"/>
              <w:jc w:val="left"/>
              <w:suppressAutoHyphens/>
            </w:pPr>
            <w:r>
              <w:t xml:space="preserve">Yes — mandatory pre-deployment + biennial re-cert</w:t>
            </w:r>
          </w:p>
        </w:tc>
      </w:tr>
      <w:tr>
        <w:trPr>
          <w:cantSplit/>
        </w:trPr>
        <w:tc>
          <w:tcPr/>
          <w:p>
            <w:pPr>
              <w:pStyle w:val="Compact"/>
              <w:jc w:val="left"/>
              <w:suppressAutoHyphens/>
            </w:pPr>
            <w:r>
              <w:t xml:space="preserve">Automated Tajweed/recitation feedback</w:t>
            </w:r>
          </w:p>
        </w:tc>
        <w:tc>
          <w:tcPr/>
          <w:p>
            <w:pPr>
              <w:pStyle w:val="Compact"/>
              <w:jc w:val="left"/>
              <w:suppressAutoHyphens/>
            </w:pPr>
            <w:r>
              <w:t xml:space="preserve">Licensed third-party speech-analysis API</w:t>
            </w:r>
          </w:p>
        </w:tc>
        <w:tc>
          <w:tcPr/>
          <w:p>
            <w:pPr>
              <w:pStyle w:val="Compact"/>
              <w:jc w:val="left"/>
              <w:suppressAutoHyphens/>
            </w:pPr>
            <w:r>
              <w:t xml:space="preserve">Yes</w:t>
            </w:r>
          </w:p>
        </w:tc>
      </w:tr>
      <w:tr>
        <w:trPr>
          <w:cantSplit/>
        </w:trPr>
        <w:tc>
          <w:tcPr/>
          <w:p>
            <w:pPr>
              <w:pStyle w:val="Compact"/>
              <w:jc w:val="left"/>
              <w:suppressAutoHyphens/>
            </w:pPr>
            <w:r>
              <w:t xml:space="preserve">Admissions document verification</w:t>
            </w:r>
          </w:p>
        </w:tc>
        <w:tc>
          <w:tcPr/>
          <w:p>
            <w:pPr>
              <w:pStyle w:val="Compact"/>
              <w:jc w:val="left"/>
              <w:suppressAutoHyphens/>
            </w:pPr>
            <w:r>
              <w:t xml:space="preserve">OCR + fraud-flagging for tier eligibility</w:t>
            </w:r>
          </w:p>
        </w:tc>
        <w:tc>
          <w:tcPr/>
          <w:p>
            <w:pPr>
              <w:pStyle w:val="Compact"/>
              <w:jc w:val="left"/>
              <w:suppressAutoHyphens/>
            </w:pPr>
            <w:r>
              <w:t xml:space="preserve">No (administrative, non-religious)</w:t>
            </w:r>
          </w:p>
        </w:tc>
      </w:tr>
      <w:tr>
        <w:trPr>
          <w:cantSplit/>
        </w:trPr>
        <w:tc>
          <w:tcPr/>
          <w:p>
            <w:pPr>
              <w:pStyle w:val="Compact"/>
              <w:jc w:val="left"/>
              <w:suppressAutoHyphens/>
            </w:pPr>
            <w:r>
              <w:t xml:space="preserve">Faculty content-authoring assistance</w:t>
            </w:r>
          </w:p>
        </w:tc>
        <w:tc>
          <w:tcPr/>
          <w:p>
            <w:pPr>
              <w:pStyle w:val="Compact"/>
              <w:jc w:val="left"/>
              <w:suppressAutoHyphens/>
            </w:pPr>
            <w:r>
              <w:t xml:space="preserve">LLM-drafted quiz banks/translations, faculty-reviewed</w:t>
            </w:r>
          </w:p>
        </w:tc>
        <w:tc>
          <w:tcPr/>
          <w:p>
            <w:pPr>
              <w:pStyle w:val="Compact"/>
              <w:jc w:val="left"/>
              <w:suppressAutoHyphens/>
            </w:pPr>
            <w:r>
              <w:t xml:space="preserve">Yes if religious-studies content</w:t>
            </w:r>
          </w:p>
        </w:tc>
      </w:tr>
      <w:tr>
        <w:trPr>
          <w:cantSplit/>
        </w:trPr>
        <w:tc>
          <w:tcPr/>
          <w:p>
            <w:pPr>
              <w:pStyle w:val="Compact"/>
              <w:jc w:val="left"/>
              <w:suppressAutoHyphens/>
            </w:pPr>
            <w:r>
              <w:t xml:space="preserve">Student support chatbot (FAQ/advising)</w:t>
            </w:r>
          </w:p>
        </w:tc>
        <w:tc>
          <w:tcPr/>
          <w:p>
            <w:pPr>
              <w:pStyle w:val="Compact"/>
              <w:jc w:val="left"/>
              <w:suppressAutoHyphens/>
            </w:pPr>
            <w:r>
              <w:t xml:space="preserve">Off-the-shelf/free-tier chatbot, non-religious scope</w:t>
            </w:r>
          </w:p>
        </w:tc>
        <w:tc>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5"/>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5"/>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5"/>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Total LMS &amp; Tech</w:t>
            </w:r>
          </w:p>
        </w:tc>
        <w:tc>
          <w:tcPr/>
          <w:p>
            <w:pPr>
              <w:pStyle w:val="Compact"/>
              <w:jc w:val="left"/>
              <w:suppressAutoHyphens/>
            </w:pPr>
            <w:r>
              <w:t xml:space="preserve">Illustrative AI Tooling Share</w:t>
            </w:r>
          </w:p>
        </w:tc>
      </w:tr>
      <w:tr>
        <w:trPr>
          <w:cantSplit/>
        </w:trPr>
        <w:tc>
          <w:tcPr/>
          <w:p>
            <w:pPr>
              <w:pStyle w:val="Compact"/>
              <w:jc w:val="left"/>
              <w:suppressAutoHyphens/>
            </w:pPr>
            <w:r>
              <w:t xml:space="preserve">1</w:t>
            </w:r>
          </w:p>
        </w:tc>
        <w:tc>
          <w:tcPr/>
          <w:p>
            <w:pPr>
              <w:pStyle w:val="Compact"/>
              <w:jc w:val="left"/>
              <w:suppressAutoHyphens/>
            </w:pPr>
            <w:r>
              <w:t xml:space="preserve">$11,237</w:t>
            </w:r>
          </w:p>
        </w:tc>
        <w:tc>
          <w:tcPr/>
          <w:p>
            <w:pPr>
              <w:pStyle w:val="Compact"/>
              <w:jc w:val="left"/>
              <w:suppressAutoHyphens/>
            </w:pPr>
            <w:r>
              <w:t xml:space="preserve">~$0–1,000 (free-tier chatbot)</w:t>
            </w:r>
          </w:p>
        </w:tc>
      </w:tr>
      <w:tr>
        <w:trPr>
          <w:cantSplit/>
        </w:trPr>
        <w:tc>
          <w:tcPr/>
          <w:p>
            <w:pPr>
              <w:pStyle w:val="Compact"/>
              <w:jc w:val="left"/>
              <w:suppressAutoHyphens/>
            </w:pPr>
            <w:r>
              <w:t xml:space="preserve">5</w:t>
            </w:r>
          </w:p>
        </w:tc>
        <w:tc>
          <w:tcPr/>
          <w:p>
            <w:pPr>
              <w:pStyle w:val="Compact"/>
              <w:jc w:val="left"/>
              <w:suppressAutoHyphens/>
            </w:pPr>
            <w:r>
              <w:t xml:space="preserve">$64,539</w:t>
            </w:r>
          </w:p>
        </w:tc>
        <w:tc>
          <w:tcPr/>
          <w:p>
            <w:pPr>
              <w:pStyle w:val="Compact"/>
              <w:jc w:val="left"/>
              <w:suppressAutoHyphens/>
            </w:pPr>
            <w:r>
              <w:t xml:space="preserve">~$3,000–6,000 (Tajweed API, OCR licensing)</w:t>
            </w:r>
          </w:p>
        </w:tc>
      </w:tr>
      <w:tr>
        <w:trPr>
          <w:cantSplit/>
        </w:trPr>
        <w:tc>
          <w:tcPr/>
          <w:p>
            <w:pPr>
              <w:pStyle w:val="Compact"/>
              <w:jc w:val="left"/>
              <w:suppressAutoHyphens/>
            </w:pPr>
            <w:r>
              <w:t xml:space="preserve">10</w:t>
            </w:r>
          </w:p>
        </w:tc>
        <w:tc>
          <w:tcPr/>
          <w:p>
            <w:pPr>
              <w:pStyle w:val="Compact"/>
              <w:jc w:val="left"/>
              <w:suppressAutoHyphens/>
            </w:pPr>
            <w:r>
              <w:t xml:space="preserve">$191,527</w:t>
            </w:r>
          </w:p>
        </w:tc>
        <w:tc>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Component</w:t>
            </w:r>
          </w:p>
        </w:tc>
        <w:tc>
          <w:tcPr/>
          <w:p>
            <w:pPr>
              <w:pStyle w:val="Compact"/>
              <w:jc w:val="left"/>
              <w:suppressAutoHyphens/>
            </w:pPr>
            <w:r>
              <w:t xml:space="preserve">Y1–2 (Lean)</w:t>
            </w:r>
          </w:p>
        </w:tc>
        <w:tc>
          <w:tcPr/>
          <w:p>
            <w:pPr>
              <w:pStyle w:val="Compact"/>
              <w:jc w:val="left"/>
              <w:suppressAutoHyphens/>
            </w:pPr>
            <w:r>
              <w:t xml:space="preserve">Y3–5 (Growth)</w:t>
            </w:r>
          </w:p>
        </w:tc>
        <w:tc>
          <w:tcPr/>
          <w:p>
            <w:pPr>
              <w:pStyle w:val="Compact"/>
              <w:jc w:val="left"/>
              <w:suppressAutoHyphens/>
            </w:pPr>
            <w:r>
              <w:t xml:space="preserve">Y6–10 (Scale)</w:t>
            </w:r>
          </w:p>
        </w:tc>
        <w:tc>
          <w:tcPr/>
          <w:p>
            <w:pPr>
              <w:pStyle w:val="Compact"/>
              <w:jc w:val="left"/>
              <w:suppressAutoHyphens/>
            </w:pPr>
            <w:r>
              <w:t xml:space="preserve">Y11+ (Secular-Expansion)</w:t>
            </w:r>
          </w:p>
        </w:tc>
      </w:tr>
      <w:tr>
        <w:trPr>
          <w:cantSplit/>
        </w:trPr>
        <w:tc>
          <w:tcPr/>
          <w:p>
            <w:pPr>
              <w:pStyle w:val="Compact"/>
              <w:jc w:val="left"/>
              <w:suppressAutoHyphens/>
            </w:pPr>
            <w:r>
              <w:t xml:space="preserve">LMS</w:t>
            </w:r>
          </w:p>
        </w:tc>
        <w:tc>
          <w:tcPr/>
          <w:p>
            <w:pPr>
              <w:pStyle w:val="Compact"/>
              <w:jc w:val="left"/>
              <w:suppressAutoHyphens/>
            </w:pPr>
            <w:r>
              <w:t xml:space="preserve">Single Moodle instance</w:t>
            </w:r>
          </w:p>
        </w:tc>
        <w:tc>
          <w:tcPr/>
          <w:p>
            <w:pPr>
              <w:pStyle w:val="Compact"/>
              <w:jc w:val="left"/>
              <w:suppressAutoHyphens/>
            </w:pPr>
            <w:r>
              <w:t xml:space="preserve">Mobile/PWA + plugins</w:t>
            </w:r>
          </w:p>
        </w:tc>
        <w:tc>
          <w:tcPr/>
          <w:p>
            <w:pPr>
              <w:pStyle w:val="Compact"/>
              <w:jc w:val="left"/>
              <w:suppressAutoHyphens/>
            </w:pPr>
            <w:r>
              <w:t xml:space="preserve">API-integrated, redundant hosting</w:t>
            </w:r>
          </w:p>
        </w:tc>
        <w:tc>
          <w:tcPr/>
          <w:p>
            <w:pPr>
              <w:pStyle w:val="Compact"/>
              <w:jc w:val="left"/>
              <w:suppressAutoHyphens/>
            </w:pPr>
            <w:r>
              <w:t xml:space="preserve">Multi-tenant</w:t>
            </w:r>
          </w:p>
        </w:tc>
      </w:tr>
      <w:tr>
        <w:trPr>
          <w:cantSplit/>
        </w:trPr>
        <w:tc>
          <w:tcPr/>
          <w:p>
            <w:pPr>
              <w:pStyle w:val="Compact"/>
              <w:jc w:val="left"/>
              <w:suppressAutoHyphens/>
            </w:pPr>
            <w:r>
              <w:t xml:space="preserve">SIS/Registrar</w:t>
            </w:r>
          </w:p>
        </w:tc>
        <w:tc>
          <w:tcPr/>
          <w:p>
            <w:pPr>
              <w:pStyle w:val="Compact"/>
              <w:jc w:val="left"/>
              <w:suppressAutoHyphens/>
            </w:pPr>
            <w:r>
              <w:t xml:space="preserve">Spreadsheet/manual</w:t>
            </w:r>
          </w:p>
        </w:tc>
        <w:tc>
          <w:tcPr/>
          <w:p>
            <w:pPr>
              <w:pStyle w:val="Compact"/>
              <w:jc w:val="left"/>
              <w:suppressAutoHyphens/>
            </w:pPr>
            <w:r>
              <w:t xml:space="preserve">Dedicated light SIS software</w:t>
            </w:r>
          </w:p>
        </w:tc>
        <w:tc>
          <w:tcPr/>
          <w:p>
            <w:pPr>
              <w:pStyle w:val="Compact"/>
              <w:jc w:val="left"/>
              <w:suppressAutoHyphens/>
            </w:pPr>
            <w:r>
              <w:t xml:space="preserve">LMS-SIS API integration</w:t>
            </w:r>
          </w:p>
        </w:tc>
        <w:tc>
          <w:tcPr/>
          <w:p>
            <w:pPr>
              <w:pStyle w:val="Compact"/>
              <w:jc w:val="left"/>
              <w:suppressAutoHyphens/>
            </w:pPr>
            <w:r>
              <w:t xml:space="preserve">Full SIS platform</w:t>
            </w:r>
          </w:p>
        </w:tc>
      </w:tr>
      <w:tr>
        <w:trPr>
          <w:cantSplit/>
        </w:trPr>
        <w:tc>
          <w:tcPr/>
          <w:p>
            <w:pPr>
              <w:pStyle w:val="Compact"/>
              <w:jc w:val="left"/>
              <w:suppressAutoHyphens/>
            </w:pPr>
            <w:r>
              <w:t xml:space="preserve">Payments</w:t>
            </w:r>
          </w:p>
        </w:tc>
        <w:tc>
          <w:tcPr/>
          <w:p>
            <w:pPr>
              <w:pStyle w:val="Compact"/>
              <w:jc w:val="left"/>
              <w:suppressAutoHyphens/>
            </w:pPr>
            <w:r>
              <w:t xml:space="preserve">2 gateways + bank transfer</w:t>
            </w:r>
          </w:p>
        </w:tc>
        <w:tc>
          <w:tcPr/>
          <w:p>
            <w:pPr>
              <w:pStyle w:val="Compact"/>
              <w:jc w:val="left"/>
              <w:suppressAutoHyphens/>
            </w:pPr>
            <w:r>
              <w:t xml:space="preserve">Regional gateway expansion</w:t>
            </w:r>
          </w:p>
        </w:tc>
        <w:tc>
          <w:tcPr/>
          <w:p>
            <w:pPr>
              <w:pStyle w:val="Compact"/>
              <w:jc w:val="left"/>
              <w:suppressAutoHyphens/>
            </w:pPr>
            <w:r>
              <w:t xml:space="preserve">Automated multi-currency reconciliation</w:t>
            </w:r>
          </w:p>
        </w:tc>
        <w:tc>
          <w:tcPr/>
          <w:p>
            <w:pPr>
              <w:pStyle w:val="Compact"/>
              <w:jc w:val="left"/>
              <w:suppressAutoHyphens/>
            </w:pPr>
            <w:r>
              <w:t xml:space="preserve">Enterprise payment orchestration</w:t>
            </w:r>
          </w:p>
        </w:tc>
      </w:tr>
      <w:tr>
        <w:trPr>
          <w:cantSplit/>
        </w:trPr>
        <w:tc>
          <w:tcPr/>
          <w:p>
            <w:pPr>
              <w:pStyle w:val="Compact"/>
              <w:jc w:val="left"/>
              <w:suppressAutoHyphens/>
            </w:pPr>
            <w:r>
              <w:t xml:space="preserve">Comms</w:t>
            </w:r>
          </w:p>
        </w:tc>
        <w:tc>
          <w:tcPr/>
          <w:p>
            <w:pPr>
              <w:pStyle w:val="Compact"/>
              <w:jc w:val="left"/>
              <w:suppressAutoHyphens/>
            </w:pPr>
            <w:r>
              <w:t xml:space="preserve">Email + WhatsApp (Tier 3/4)</w:t>
            </w:r>
          </w:p>
        </w:tc>
        <w:tc>
          <w:tcPr/>
          <w:p>
            <w:pPr>
              <w:pStyle w:val="Compact"/>
              <w:jc w:val="left"/>
              <w:suppressAutoHyphens/>
            </w:pPr>
            <w:r>
              <w:t xml:space="preserve">CRM/admissions tracking</w:t>
            </w:r>
          </w:p>
        </w:tc>
        <w:tc>
          <w:tcPr/>
          <w:p>
            <w:pPr>
              <w:pStyle w:val="Compact"/>
              <w:jc w:val="left"/>
              <w:suppressAutoHyphens/>
            </w:pPr>
            <w:r>
              <w:t xml:space="preserve">Integrated support ticketing</w:t>
            </w:r>
          </w:p>
        </w:tc>
        <w:tc>
          <w:tcPr/>
          <w:p>
            <w:pPr>
              <w:pStyle w:val="Compact"/>
              <w:jc w:val="left"/>
              <w:suppressAutoHyphens/>
            </w:pPr>
            <w:r>
              <w:t xml:space="preserve">Omnichannel support</w:t>
            </w:r>
          </w:p>
        </w:tc>
      </w:tr>
      <w:tr>
        <w:trPr>
          <w:cantSplit/>
        </w:trPr>
        <w:tc>
          <w:tcPr/>
          <w:p>
            <w:pPr>
              <w:pStyle w:val="Compact"/>
              <w:jc w:val="left"/>
              <w:suppressAutoHyphens/>
            </w:pPr>
            <w:r>
              <w:t xml:space="preserve">Security</w:t>
            </w:r>
          </w:p>
        </w:tc>
        <w:tc>
          <w:tcPr/>
          <w:p>
            <w:pPr>
              <w:pStyle w:val="Compact"/>
              <w:jc w:val="left"/>
              <w:suppressAutoHyphens/>
            </w:pPr>
            <w:r>
              <w:t xml:space="preserve">Basic MFA, SSL, backups</w:t>
            </w:r>
          </w:p>
        </w:tc>
        <w:tc>
          <w:tcPr/>
          <w:p>
            <w:pPr>
              <w:pStyle w:val="Compact"/>
              <w:jc w:val="left"/>
              <w:suppressAutoHyphens/>
            </w:pPr>
            <w:r>
              <w:t xml:space="preserve">Formal data-governance policy</w:t>
            </w:r>
          </w:p>
        </w:tc>
        <w:tc>
          <w:tcPr/>
          <w:p>
            <w:pPr>
              <w:pStyle w:val="Compact"/>
              <w:jc w:val="left"/>
              <w:suppressAutoHyphens/>
            </w:pPr>
            <w:r>
              <w:t xml:space="preserve">Annual third-party security audit</w:t>
            </w:r>
          </w:p>
        </w:tc>
        <w:tc>
          <w:tcPr/>
          <w:p>
            <w:pPr>
              <w:pStyle w:val="Compact"/>
              <w:jc w:val="left"/>
              <w:suppressAutoHyphens/>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w:t>
            </w:r>
          </w:p>
        </w:tc>
        <w:tc>
          <w:tcPr/>
          <w:p>
            <w:pPr>
              <w:pStyle w:val="Compact"/>
              <w:jc w:val="left"/>
              <w:suppressAutoHyphens/>
            </w:pPr>
            <w:r>
              <w:t xml:space="preserve">2028–29</w:t>
            </w:r>
          </w:p>
        </w:tc>
        <w:tc>
          <w:tcPr/>
          <w:p>
            <w:pPr>
              <w:pStyle w:val="Compact"/>
              <w:jc w:val="left"/>
              <w:suppressAutoHyphens/>
            </w:pPr>
            <w:r>
              <w:t xml:space="preserve">Curate open-access Islamic-studies digital collection; minimal licensed-database spend</w:t>
            </w:r>
          </w:p>
        </w:tc>
      </w:tr>
      <w:tr>
        <w:trPr>
          <w:cantSplit/>
        </w:trPr>
        <w:tc>
          <w:tcPr/>
          <w:p>
            <w:pPr>
              <w:pStyle w:val="Compact"/>
              <w:jc w:val="left"/>
              <w:suppressAutoHyphens/>
            </w:pPr>
            <w:r>
              <w:t xml:space="preserve">2</w:t>
            </w:r>
          </w:p>
        </w:tc>
        <w:tc>
          <w:tcPr/>
          <w:p>
            <w:pPr>
              <w:pStyle w:val="Compact"/>
              <w:jc w:val="left"/>
              <w:suppressAutoHyphens/>
            </w:pPr>
            <w:r>
              <w:t xml:space="preserve">2030–32</w:t>
            </w:r>
          </w:p>
        </w:tc>
        <w:tc>
          <w:tcPr/>
          <w:p>
            <w:pPr>
              <w:pStyle w:val="Compact"/>
              <w:jc w:val="left"/>
              <w:suppressAutoHyphens/>
            </w:pPr>
            <w:r>
              <w:t xml:space="preserve">Modest expansion of licensed subscriptions (regional/Arabic-language databases); LMS integration</w:t>
            </w:r>
          </w:p>
        </w:tc>
      </w:tr>
      <w:tr>
        <w:trPr>
          <w:cantSplit/>
        </w:trPr>
        <w:tc>
          <w:tcPr/>
          <w:p>
            <w:pPr>
              <w:pStyle w:val="Compact"/>
              <w:jc w:val="left"/>
              <w:suppressAutoHyphens/>
            </w:pPr>
            <w:r>
              <w:t xml:space="preserve">3</w:t>
            </w:r>
          </w:p>
        </w:tc>
        <w:tc>
          <w:tcPr/>
          <w:p>
            <w:pPr>
              <w:pStyle w:val="Compact"/>
              <w:jc w:val="left"/>
              <w:suppressAutoHyphens/>
            </w:pPr>
            <w:r>
              <w:t xml:space="preserve">2033–36</w:t>
            </w:r>
          </w:p>
        </w:tc>
        <w:tc>
          <w:tcPr/>
          <w:p>
            <w:pPr>
              <w:pStyle w:val="Compact"/>
              <w:jc w:val="left"/>
              <w:suppressAutoHyphens/>
            </w:pPr>
            <w:r>
              <w:t xml:space="preserve">Institutional repository for faculty publications; digitization of AMIU’s own curriculum materials</w:t>
            </w:r>
          </w:p>
        </w:tc>
      </w:tr>
      <w:tr>
        <w:trPr>
          <w:cantSplit/>
        </w:trPr>
        <w:tc>
          <w:tcPr/>
          <w:p>
            <w:pPr>
              <w:pStyle w:val="Compact"/>
              <w:jc w:val="left"/>
              <w:suppressAutoHyphens/>
            </w:pPr>
            <w:r>
              <w:t xml:space="preserve">4</w:t>
            </w:r>
          </w:p>
        </w:tc>
        <w:tc>
          <w:tcPr/>
          <w:p>
            <w:pPr>
              <w:pStyle w:val="Compact"/>
              <w:jc w:val="left"/>
              <w:suppressAutoHyphens/>
            </w:pPr>
            <w:r>
              <w:t xml:space="preserve">2037+</w:t>
            </w:r>
          </w:p>
        </w:tc>
        <w:tc>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Total LMS &amp; Tech</w:t>
            </w:r>
          </w:p>
        </w:tc>
        <w:tc>
          <w:tcPr/>
          <w:p>
            <w:pPr>
              <w:pStyle w:val="Compact"/>
              <w:jc w:val="left"/>
              <w:suppressAutoHyphens/>
            </w:pPr>
            <w:r>
              <w:t xml:space="preserve">Illustrative Library Sub-Share (~10%)</w:t>
            </w:r>
          </w:p>
        </w:tc>
      </w:tr>
      <w:tr>
        <w:trPr>
          <w:cantSplit/>
        </w:trPr>
        <w:tc>
          <w:tcPr/>
          <w:p>
            <w:pPr>
              <w:pStyle w:val="Compact"/>
              <w:jc w:val="left"/>
              <w:suppressAutoHyphens/>
            </w:pPr>
            <w:r>
              <w:t xml:space="preserve">1</w:t>
            </w:r>
          </w:p>
        </w:tc>
        <w:tc>
          <w:tcPr/>
          <w:p>
            <w:pPr>
              <w:pStyle w:val="Compact"/>
              <w:jc w:val="left"/>
              <w:suppressAutoHyphens/>
            </w:pPr>
            <w:r>
              <w:t xml:space="preserve">$11,237</w:t>
            </w:r>
          </w:p>
        </w:tc>
        <w:tc>
          <w:tcPr/>
          <w:p>
            <w:pPr>
              <w:pStyle w:val="Compact"/>
              <w:jc w:val="left"/>
              <w:suppressAutoHyphens/>
            </w:pPr>
            <w:r>
              <w:t xml:space="preserve">~$1,100</w:t>
            </w:r>
          </w:p>
        </w:tc>
      </w:tr>
      <w:tr>
        <w:trPr>
          <w:cantSplit/>
        </w:trPr>
        <w:tc>
          <w:tcPr/>
          <w:p>
            <w:pPr>
              <w:pStyle w:val="Compact"/>
              <w:jc w:val="left"/>
              <w:suppressAutoHyphens/>
            </w:pPr>
            <w:r>
              <w:t xml:space="preserve">5</w:t>
            </w:r>
          </w:p>
        </w:tc>
        <w:tc>
          <w:tcPr/>
          <w:p>
            <w:pPr>
              <w:pStyle w:val="Compact"/>
              <w:jc w:val="left"/>
              <w:suppressAutoHyphens/>
            </w:pPr>
            <w:r>
              <w:t xml:space="preserve">$64,539</w:t>
            </w:r>
          </w:p>
        </w:tc>
        <w:tc>
          <w:tcPr/>
          <w:p>
            <w:pPr>
              <w:pStyle w:val="Compact"/>
              <w:jc w:val="left"/>
              <w:suppressAutoHyphens/>
            </w:pPr>
            <w:r>
              <w:t xml:space="preserve">~$6,450</w:t>
            </w:r>
          </w:p>
        </w:tc>
      </w:tr>
      <w:tr>
        <w:trPr>
          <w:cantSplit/>
        </w:trPr>
        <w:tc>
          <w:tcPr/>
          <w:p>
            <w:pPr>
              <w:pStyle w:val="Compact"/>
              <w:jc w:val="left"/>
              <w:suppressAutoHyphens/>
            </w:pPr>
            <w:r>
              <w:t xml:space="preserve">10</w:t>
            </w:r>
          </w:p>
        </w:tc>
        <w:tc>
          <w:tcPr/>
          <w:p>
            <w:pPr>
              <w:pStyle w:val="Compact"/>
              <w:jc w:val="left"/>
              <w:suppressAutoHyphens/>
            </w:pPr>
            <w:r>
              <w:t xml:space="preserve">$191,527</w:t>
            </w:r>
          </w:p>
        </w:tc>
        <w:tc>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56597"/>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56597"/>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Element</w:t>
            </w:r>
          </w:p>
        </w:tc>
        <w:tc>
          <w:tcPr/>
          <w:p>
            <w:pPr>
              <w:pStyle w:val="Compact"/>
              <w:jc w:val="left"/>
              <w:suppressAutoHyphens/>
            </w:pPr>
            <w:r>
              <w:t xml:space="preserve">Value</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20% of Gross Revenue, every year, fixed</w:t>
            </w:r>
          </w:p>
        </w:tc>
      </w:tr>
      <w:tr>
        <w:trPr>
          <w:cantSplit/>
        </w:trPr>
        <w:tc>
          <w:tcPr/>
          <w:p>
            <w:pPr>
              <w:pStyle w:val="Compact"/>
              <w:jc w:val="left"/>
              <w:suppressAutoHyphens/>
            </w:pPr>
            <w:r>
              <w:t xml:space="preserve">Distributed (annually spent)</w:t>
            </w:r>
          </w:p>
        </w:tc>
        <w:tc>
          <w:tcPr/>
          <w:p>
            <w:pPr>
              <w:pStyle w:val="Compact"/>
              <w:jc w:val="left"/>
              <w:suppressAutoHyphens/>
            </w:pPr>
            <w:r>
              <w:t xml:space="preserve">50% of the 20% line</w:t>
            </w:r>
          </w:p>
        </w:tc>
      </w:tr>
      <w:tr>
        <w:trPr>
          <w:cantSplit/>
        </w:trPr>
        <w:tc>
          <w:tcPr/>
          <w:p>
            <w:pPr>
              <w:pStyle w:val="Compact"/>
              <w:jc w:val="left"/>
              <w:suppressAutoHyphens/>
            </w:pPr>
            <w:r>
              <w:t xml:space="preserve">Retained (AMIU Strategic Business Reserve)</w:t>
            </w:r>
          </w:p>
        </w:tc>
        <w:tc>
          <w:tcPr/>
          <w:p>
            <w:pPr>
              <w:pStyle w:val="Compact"/>
              <w:jc w:val="left"/>
              <w:suppressAutoHyphens/>
            </w:pPr>
            <w:r>
              <w:t xml:space="preserve">50% of the 20% line, Sharī’ah-compliant investment only</w:t>
            </w:r>
          </w:p>
        </w:tc>
      </w:tr>
      <w:tr>
        <w:trPr>
          <w:cantSplit/>
        </w:trPr>
        <w:tc>
          <w:tcPr/>
          <w:p>
            <w:pPr>
              <w:pStyle w:val="Compact"/>
              <w:jc w:val="left"/>
              <w:suppressAutoHyphens/>
            </w:pPr>
            <w:r>
              <w:t xml:space="preserve">Distributed sub-split</w:t>
            </w:r>
          </w:p>
        </w:tc>
        <w:tc>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p>
            <w:pPr>
              <w:pStyle w:val="Compact"/>
              <w:jc w:val="left"/>
              <w:suppressAutoHyphens/>
            </w:pPr>
            <w:r>
              <w:t xml:space="preserve">Ten-year cumulative (distributed sub-lines)</w:t>
            </w:r>
          </w:p>
        </w:tc>
        <w:tc>
          <w:tcPr/>
          <w:p>
            <w:pPr>
              <w:pStyle w:val="Compact"/>
              <w:jc w:val="left"/>
              <w:suppressAutoHyphens/>
            </w:pPr>
            <w:r>
              <w:t xml:space="preserve">$416,729 / $416,729 / $333,383 / $333,383 / $166,692 respectively</w:t>
            </w:r>
          </w:p>
        </w:tc>
      </w:tr>
      <w:tr>
        <w:trPr>
          <w:cantSplit/>
        </w:trPr>
        <w:tc>
          <w:tcPr/>
          <w:p>
            <w:pPr>
              <w:pStyle w:val="Compact"/>
              <w:jc w:val="left"/>
              <w:suppressAutoHyphens/>
            </w:pPr>
            <w:r>
              <w:t xml:space="preserve">Strategic Business Reserve, Year-10 cumulative balance</w:t>
            </w:r>
          </w:p>
        </w:tc>
        <w:tc>
          <w:tcPr/>
          <w:p>
            <w:pPr>
              <w:pStyle w:val="Compact"/>
              <w:jc w:val="left"/>
              <w:suppressAutoHyphens/>
            </w:pPr>
            <w:r>
              <w:t xml:space="preserve">$1,240,527</w:t>
            </w:r>
          </w:p>
        </w:tc>
      </w:tr>
      <w:tr>
        <w:trPr>
          <w:cantSplit/>
        </w:trPr>
        <w:tc>
          <w:tcPr/>
          <w:p>
            <w:pPr>
              <w:pStyle w:val="Compact"/>
              <w:jc w:val="left"/>
              <w:suppressAutoHyphens/>
            </w:pPr>
            <w:r>
              <w:t xml:space="preserve">Deployment threshold</w:t>
            </w:r>
          </w:p>
        </w:tc>
        <w:tc>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1 — Establishment</w:t>
            </w:r>
          </w:p>
        </w:tc>
        <w:tc>
          <w:tcPr/>
          <w:p>
            <w:pPr>
              <w:pStyle w:val="Compact"/>
              <w:jc w:val="left"/>
              <w:suppressAutoHyphens/>
            </w:pPr>
            <w:r>
              <w:t xml:space="preserve">2028–29</w:t>
            </w:r>
          </w:p>
        </w:tc>
        <w:tc>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p>
            <w:pPr>
              <w:pStyle w:val="Compact"/>
              <w:jc w:val="left"/>
              <w:suppressAutoHyphens/>
            </w:pPr>
            <w:r>
              <w:t xml:space="preserve">2 — Formalization</w:t>
            </w:r>
          </w:p>
        </w:tc>
        <w:tc>
          <w:tcPr/>
          <w:p>
            <w:pPr>
              <w:pStyle w:val="Compact"/>
              <w:jc w:val="left"/>
              <w:suppressAutoHyphens/>
            </w:pPr>
            <w:r>
              <w:t xml:space="preserve">2030–32</w:t>
            </w:r>
          </w:p>
        </w:tc>
        <w:tc>
          <w:tcPr/>
          <w:p>
            <w:pPr>
              <w:pStyle w:val="Compact"/>
              <w:jc w:val="left"/>
              <w:suppressAutoHyphens/>
            </w:pPr>
            <w:r>
              <w:t xml:space="preserve">Waqf &amp; Endowment Board adopts formal Investment Policy Statement; begins modest diversification as balance grows</w:t>
            </w:r>
          </w:p>
        </w:tc>
      </w:tr>
      <w:tr>
        <w:trPr>
          <w:cantSplit/>
        </w:trPr>
        <w:tc>
          <w:tcPr/>
          <w:p>
            <w:pPr>
              <w:pStyle w:val="Compact"/>
              <w:jc w:val="left"/>
              <w:suppressAutoHyphens/>
            </w:pPr>
            <w:r>
              <w:t xml:space="preserve">3 — Scale-Up</w:t>
            </w:r>
          </w:p>
        </w:tc>
        <w:tc>
          <w:tcPr/>
          <w:p>
            <w:pPr>
              <w:pStyle w:val="Compact"/>
              <w:jc w:val="left"/>
              <w:suppressAutoHyphens/>
            </w:pPr>
            <w:r>
              <w:t xml:space="preserve">2033–37</w:t>
            </w:r>
          </w:p>
        </w:tc>
        <w:tc>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p>
            <w:pPr>
              <w:pStyle w:val="Compact"/>
              <w:jc w:val="left"/>
              <w:suppressAutoHyphens/>
            </w:pPr>
            <w:r>
              <w:t xml:space="preserve">4 — Endowment Maturation</w:t>
            </w:r>
          </w:p>
        </w:tc>
        <w:tc>
          <w:tcPr/>
          <w:p>
            <w:pPr>
              <w:pStyle w:val="Compact"/>
              <w:jc w:val="left"/>
              <w:suppressAutoHyphens/>
            </w:pPr>
            <w:r>
              <w:t xml:space="preserve">2038–47</w:t>
            </w:r>
          </w:p>
        </w:tc>
        <w:tc>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suppressAutoHyphens/>
            </w:pPr>
            <w:r>
              <w:t xml:space="preserve">5 — Perpetual Endowment</w:t>
            </w:r>
          </w:p>
        </w:tc>
        <w:tc>
          <w:tcPr/>
          <w:p>
            <w:pPr>
              <w:pStyle w:val="Compact"/>
              <w:jc w:val="left"/>
              <w:suppressAutoHyphens/>
            </w:pPr>
            <w:r>
              <w:t xml:space="preserve">2048–2050</w:t>
            </w:r>
          </w:p>
        </w:tc>
        <w:tc>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SIX OF EIGHT</w:t>
            </w:r>
          </w:p>
          <w:p>
            <w:pPr>
              <w:spacing w:before="0" w:after="60"/>
              <w:suppressAutoHyphens/>
            </w:pPr>
            <w:r>
              <w:rPr>
                <w:rFonts w:ascii="Cinzel" w:hAnsi="Cinzel"/>
                <w:b/>
                <w:color w:val="B08625"/>
                <w:sz w:val="22"/>
                <w:caps/>
                <w:spacing w:val="18"/>
              </w:rPr>
              <w:t>VI</w:t>
            </w:r>
          </w:p>
          <w:p>
            <w:pPr>
              <w:spacing w:before="120" w:after="80"/>
              <w:suppressAutoHyphens/>
            </w:pPr>
            <w:r>
              <w:rPr>
                <w:rFonts w:ascii="Cormorant Garamond" w:hAnsi="Cormorant Garamond"/>
                <w:b/>
                <w:color w:val="B08625"/>
                <w:sz w:val="22"/>
                <w:caps/>
                <w:spacing w:val="18"/>
              </w:rPr>
              <w:t>Financial Growth, Marketing &amp; Branding</w:t>
            </w:r>
          </w:p>
          <w:p>
            <w:pPr>
              <w:spacing w:before="0" w:after="260"/>
              <w:pBdr>
                <w:bottom w:val="single" w:sz="10" w:space="8" w:color="B08625"/>
              </w:pBdr>
              <w:suppressAutoHyphens/>
            </w:pPr>
            <w:r>
              <w:rPr>
                <w:rFonts w:ascii="Liberation Sans" w:hAnsi="Liberation Sans"/>
                <w:color w:val="8C97AB"/>
                <w:sz w:val="17"/>
                <w:spacing w:val="14"/>
              </w:rPr>
              <w:t>SECTIONS 26–30</w:t>
            </w:r>
          </w:p>
          <w:p>
            <w:pPr>
              <w:spacing w:before="0" w:after="360"/>
              <w:ind w:right="700"/>
              <w:suppressAutoHyphens/>
            </w:pPr>
            <w:r>
              <w:rPr>
                <w:rFonts w:ascii="Cormorant Garamond" w:hAnsi="Cormorant Garamond"/>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26 </w:t>
            </w:r>
            <w:r>
              <w:rPr>
                <w:rFonts w:ascii="Liberation Sans" w:hAnsi="Liberation Sans"/>
                <w:color w:val="FFFFFF"/>
                <w:sz w:val="20"/>
              </w:rPr>
              <w:t>Scholarship Strategy</w:t>
            </w:r>
          </w:p>
          <w:p>
            <w:pPr>
              <w:spacing w:before="0" w:after="130"/>
              <w:suppressAutoHyphens/>
            </w:pPr>
            <w:r>
              <w:rPr>
                <w:rFonts w:ascii="Cinzel" w:hAnsi="Cinzel"/>
                <w:b/>
                <w:color w:val="B08625"/>
                <w:sz w:val="22"/>
                <w:caps/>
                <w:spacing w:val="18"/>
              </w:rPr>
              <w:t>27 </w:t>
            </w:r>
            <w:r>
              <w:rPr>
                <w:rFonts w:ascii="Liberation Sans" w:hAnsi="Liberation Sans"/>
                <w:color w:val="FFFFFF"/>
                <w:sz w:val="20"/>
              </w:rPr>
              <w:t>Revenue Diversification Strategy</w:t>
            </w:r>
          </w:p>
          <w:p>
            <w:pPr>
              <w:spacing w:before="0" w:after="130"/>
              <w:suppressAutoHyphens/>
            </w:pPr>
            <w:r>
              <w:rPr>
                <w:rFonts w:ascii="Cinzel" w:hAnsi="Cinzel"/>
                <w:b/>
                <w:color w:val="B08625"/>
                <w:sz w:val="22"/>
                <w:caps/>
                <w:spacing w:val="18"/>
              </w:rPr>
              <w:t>28 </w:t>
            </w:r>
            <w:r>
              <w:rPr>
                <w:rFonts w:ascii="Liberation Sans" w:hAnsi="Liberation Sans"/>
                <w:color w:val="FFFFFF"/>
                <w:sz w:val="20"/>
              </w:rPr>
              <w:t>Marketing Strategy</w:t>
            </w:r>
          </w:p>
          <w:p>
            <w:pPr>
              <w:spacing w:before="0" w:after="130"/>
              <w:suppressAutoHyphens/>
            </w:pPr>
            <w:r>
              <w:rPr>
                <w:rFonts w:ascii="Cinzel" w:hAnsi="Cinzel"/>
                <w:b/>
                <w:color w:val="B08625"/>
                <w:sz w:val="22"/>
                <w:caps/>
                <w:spacing w:val="18"/>
              </w:rPr>
              <w:t>29 </w:t>
            </w:r>
            <w:r>
              <w:rPr>
                <w:rFonts w:ascii="Liberation Sans" w:hAnsi="Liberation Sans"/>
                <w:color w:val="FFFFFF"/>
                <w:sz w:val="20"/>
              </w:rPr>
              <w:t>Branding Strategy</w:t>
            </w:r>
          </w:p>
          <w:p>
            <w:pPr>
              <w:spacing w:before="0" w:after="130"/>
              <w:suppressAutoHyphens/>
            </w:pPr>
            <w:r>
              <w:rPr>
                <w:rFonts w:ascii="Cinzel" w:hAnsi="Cinzel"/>
                <w:b/>
                <w:color w:val="B08625"/>
                <w:sz w:val="22"/>
                <w:caps/>
                <w:spacing w:val="18"/>
              </w:rPr>
              <w:t>30 </w:t>
            </w:r>
            <w:r>
              <w:rPr>
                <w:rFonts w:ascii="Liberation Sans" w:hAnsi="Liberation Sans"/>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Instrument</w:t>
            </w:r>
          </w:p>
        </w:tc>
        <w:tc>
          <w:tcPr/>
          <w:p>
            <w:pPr>
              <w:pStyle w:val="Compact"/>
              <w:jc w:val="left"/>
              <w:suppressAutoHyphens/>
            </w:pPr>
            <w:r>
              <w:t xml:space="preserve">Mechanism</w:t>
            </w:r>
          </w:p>
        </w:tc>
        <w:tc>
          <w:tcPr/>
          <w:p>
            <w:pPr>
              <w:pStyle w:val="Compact"/>
              <w:jc w:val="left"/>
              <w:suppressAutoHyphens/>
            </w:pPr>
            <w:r>
              <w:t xml:space="preserve">Funding Source</w:t>
            </w:r>
          </w:p>
        </w:tc>
      </w:tr>
      <w:tr>
        <w:trPr>
          <w:cantSplit/>
        </w:trPr>
        <w:tc>
          <w:tcPr/>
          <w:p>
            <w:pPr>
              <w:pStyle w:val="Compact"/>
              <w:jc w:val="left"/>
              <w:suppressAutoHyphens/>
            </w:pPr>
            <w:r>
              <w:t xml:space="preserve">Waqf Scholarship Block</w:t>
            </w:r>
          </w:p>
        </w:tc>
        <w:tc>
          <w:tcPr/>
          <w:p>
            <w:pPr>
              <w:pStyle w:val="Compact"/>
              <w:jc w:val="left"/>
              <w:suppressAutoHyphens/>
            </w:pPr>
            <w:r>
              <w:t xml:space="preserve">Discretionary awards drawn annually from distributed Waqf income</w:t>
            </w:r>
          </w:p>
        </w:tc>
        <w:tc>
          <w:tcPr/>
          <w:p>
            <w:pPr>
              <w:pStyle w:val="Compact"/>
              <w:jc w:val="left"/>
              <w:suppressAutoHyphens/>
            </w:pPr>
            <w:r>
              <w:t xml:space="preserve">Waqf &amp; Stakeholder Reserve (20% of gross revenue)</w:t>
            </w:r>
          </w:p>
        </w:tc>
      </w:tr>
      <w:tr>
        <w:trPr>
          <w:cantSplit/>
        </w:trPr>
        <w:tc>
          <w:tcPr/>
          <w:p>
            <w:pPr>
              <w:pStyle w:val="Compact"/>
              <w:jc w:val="left"/>
              <w:suppressAutoHyphens/>
            </w:pPr>
            <w:r>
              <w:t xml:space="preserve">Merit / Hifz Scholarships</w:t>
            </w:r>
          </w:p>
        </w:tc>
        <w:tc>
          <w:tcPr/>
          <w:p>
            <w:pPr>
              <w:pStyle w:val="Compact"/>
              <w:jc w:val="left"/>
              <w:suppressAutoHyphens/>
            </w:pPr>
            <w:r>
              <w:t xml:space="preserve">Published academic and Qur’ān-memorization criteria, Senate-approved</w:t>
            </w:r>
          </w:p>
        </w:tc>
        <w:tc>
          <w:tcPr/>
          <w:p>
            <w:pPr>
              <w:pStyle w:val="Compact"/>
              <w:jc w:val="left"/>
              <w:suppressAutoHyphens/>
            </w:pPr>
            <w:r>
              <w:t xml:space="preserve">Waqf &amp; Stakeholder Reserve</w:t>
            </w:r>
          </w:p>
        </w:tc>
      </w:tr>
      <w:tr>
        <w:trPr>
          <w:cantSplit/>
        </w:trPr>
        <w:tc>
          <w:tcPr/>
          <w:p>
            <w:pPr>
              <w:pStyle w:val="Compact"/>
              <w:jc w:val="left"/>
              <w:suppressAutoHyphens/>
            </w:pPr>
            <w:r>
              <w:t xml:space="preserve">Tier-4 Built-in Waivers</w:t>
            </w:r>
          </w:p>
        </w:tc>
        <w:tc>
          <w:tcPr/>
          <w:p>
            <w:pPr>
              <w:pStyle w:val="Compact"/>
              <w:jc w:val="left"/>
              <w:suppressAutoHyphens/>
            </w:pPr>
            <w:r>
              <w:t xml:space="preserve">Structural, not discretionary — embedded in the Sponsored/conflict-affected tuition tier</w:t>
            </w:r>
          </w:p>
        </w:tc>
        <w:tc>
          <w:tcPr/>
          <w:p>
            <w:pPr>
              <w:pStyle w:val="Compact"/>
              <w:jc w:val="left"/>
              <w:suppressAutoHyphens/>
            </w:pPr>
            <w:r>
              <w:t xml:space="preserve">Tuition pricing architecture (revenue-side, Board-set)</w:t>
            </w:r>
          </w:p>
        </w:tc>
      </w:tr>
      <w:tr>
        <w:trPr>
          <w:cantSplit/>
        </w:trPr>
        <w:tc>
          <w:tcPr/>
          <w:p>
            <w:pPr>
              <w:pStyle w:val="Compact"/>
              <w:jc w:val="left"/>
              <w:suppressAutoHyphens/>
            </w:pPr>
            <w:r>
              <w:t xml:space="preserve">Community &amp; Institutional Nominated Seats</w:t>
            </w:r>
          </w:p>
        </w:tc>
        <w:tc>
          <w:tcPr/>
          <w:p>
            <w:pPr>
              <w:pStyle w:val="Compact"/>
              <w:jc w:val="left"/>
              <w:suppressAutoHyphens/>
            </w:pPr>
            <w:r>
              <w:t xml:space="preserve">Partner mosques/organizations nominate 1–2 students/year</w:t>
            </w:r>
          </w:p>
        </w:tc>
        <w:tc>
          <w:tcPr/>
          <w:p>
            <w:pPr>
              <w:pStyle w:val="Compact"/>
              <w:jc w:val="left"/>
              <w:suppressAutoHyphens/>
            </w:pPr>
            <w:r>
              <w:t xml:space="preserve">Waqf &amp; Stakeholder Reserve (administrative overlay, no incremental cost)</w:t>
            </w:r>
          </w:p>
        </w:tc>
      </w:tr>
      <w:tr>
        <w:trPr>
          <w:cantSplit/>
        </w:trPr>
        <w:tc>
          <w:tcPr/>
          <w:p>
            <w:pPr>
              <w:pStyle w:val="Compact"/>
              <w:jc w:val="left"/>
              <w:suppressAutoHyphens/>
            </w:pPr>
            <w:r>
              <w:t xml:space="preserve">Named Sadaqah Jāriyah Scholarships</w:t>
            </w:r>
          </w:p>
        </w:tc>
        <w:tc>
          <w:tcPr/>
          <w:p>
            <w:pPr>
              <w:pStyle w:val="Compact"/>
              <w:jc w:val="left"/>
              <w:suppressAutoHyphens/>
            </w:pPr>
            <w:r>
              <w:t xml:space="preserve">Donor-endowed, permanently named, publicly reported</w:t>
            </w:r>
          </w:p>
        </w:tc>
        <w:tc>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6"/>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6"/>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6"/>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Scholarship duties held by Registrar/Admissions</w:t>
            </w:r>
          </w:p>
        </w:tc>
        <w:tc>
          <w:tcPr/>
          <w:p>
            <w:pPr>
              <w:pStyle w:val="Compact"/>
              <w:jc w:val="left"/>
              <w:suppressAutoHyphens/>
            </w:pPr>
            <w:r>
              <w:t xml:space="preserve">0 dedicated</w:t>
            </w:r>
          </w:p>
        </w:tc>
        <w:tc>
          <w:tcPr/>
          <w:p>
            <w:pPr>
              <w:pStyle w:val="Compact"/>
              <w:jc w:val="left"/>
              <w:suppressAutoHyphens/>
            </w:pPr>
            <w:r>
              <w:t xml:space="preserve">Payroll — Core Admin Staff (18%)</w:t>
            </w:r>
          </w:p>
        </w:tc>
      </w:tr>
      <w:tr>
        <w:trPr>
          <w:cantSplit/>
        </w:trPr>
        <w:tc>
          <w:tcPr/>
          <w:p>
            <w:pPr>
              <w:pStyle w:val="Compact"/>
              <w:jc w:val="left"/>
              <w:suppressAutoHyphens/>
            </w:pPr>
            <w:r>
              <w:t xml:space="preserve">3–5</w:t>
            </w:r>
          </w:p>
        </w:tc>
        <w:tc>
          <w:tcPr/>
          <w:p>
            <w:pPr>
              <w:pStyle w:val="Compact"/>
              <w:jc w:val="left"/>
              <w:suppressAutoHyphens/>
            </w:pPr>
            <w:r>
              <w:t xml:space="preserve">Scholarship &amp; Financial Aid Officer</w:t>
            </w:r>
          </w:p>
        </w:tc>
        <w:tc>
          <w:tcPr/>
          <w:p>
            <w:pPr>
              <w:pStyle w:val="Compact"/>
              <w:jc w:val="left"/>
              <w:suppressAutoHyphens/>
            </w:pPr>
            <w:r>
              <w:t xml:space="preserve">0.5</w:t>
            </w:r>
          </w:p>
        </w:tc>
        <w:tc>
          <w:tcPr/>
          <w:p>
            <w:pPr>
              <w:pStyle w:val="Compact"/>
              <w:jc w:val="left"/>
              <w:suppressAutoHyphens/>
            </w:pPr>
            <w:r>
              <w:t xml:space="preserve">Payroll — Core Admin Staff</w:t>
            </w:r>
          </w:p>
        </w:tc>
      </w:tr>
      <w:tr>
        <w:trPr>
          <w:cantSplit/>
        </w:trPr>
        <w:tc>
          <w:tcPr/>
          <w:p>
            <w:pPr>
              <w:pStyle w:val="Compact"/>
              <w:jc w:val="left"/>
              <w:suppressAutoHyphens/>
            </w:pPr>
            <w:r>
              <w:t xml:space="preserve">10</w:t>
            </w:r>
          </w:p>
        </w:tc>
        <w:tc>
          <w:tcPr/>
          <w:p>
            <w:pPr>
              <w:pStyle w:val="Compact"/>
              <w:jc w:val="left"/>
              <w:suppressAutoHyphens/>
            </w:pPr>
            <w:r>
              <w:t xml:space="preserve">Scholarship Officer + Waqf Donor Relations Coordinator</w:t>
            </w:r>
          </w:p>
        </w:tc>
        <w:tc>
          <w:tcPr/>
          <w:p>
            <w:pPr>
              <w:pStyle w:val="Compact"/>
              <w:jc w:val="left"/>
              <w:suppressAutoHyphens/>
            </w:pPr>
            <w:r>
              <w:t xml:space="preserve">1.5</w:t>
            </w:r>
          </w:p>
        </w:tc>
        <w:tc>
          <w:tcPr/>
          <w:p>
            <w:pPr>
              <w:pStyle w:val="Compact"/>
              <w:jc w:val="left"/>
              <w:suppressAutoHyphens/>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Avenue</w:t>
            </w:r>
          </w:p>
        </w:tc>
        <w:tc>
          <w:tcPr/>
          <w:p>
            <w:pPr>
              <w:pStyle w:val="Compact"/>
              <w:jc w:val="left"/>
              <w:suppressAutoHyphens/>
            </w:pPr>
            <w:r>
              <w:t xml:space="preserve">Mechanism</w:t>
            </w:r>
          </w:p>
        </w:tc>
        <w:tc>
          <w:tcPr/>
          <w:p>
            <w:pPr>
              <w:pStyle w:val="Compact"/>
              <w:jc w:val="left"/>
              <w:suppressAutoHyphens/>
            </w:pPr>
            <w:r>
              <w:t xml:space="preserve">Allocation Category</w:t>
            </w:r>
          </w:p>
        </w:tc>
      </w:tr>
      <w:tr>
        <w:trPr>
          <w:cantSplit/>
        </w:trPr>
        <w:tc>
          <w:tcPr/>
          <w:p>
            <w:pPr>
              <w:pStyle w:val="Compact"/>
              <w:jc w:val="left"/>
              <w:suppressAutoHyphens/>
            </w:pPr>
            <w:r>
              <w:t xml:space="preserve">Tiered tuition volume growth</w:t>
            </w:r>
          </w:p>
        </w:tc>
        <w:tc>
          <w:tcPr/>
          <w:p>
            <w:pPr>
              <w:pStyle w:val="Compact"/>
              <w:jc w:val="left"/>
              <w:suppressAutoHyphens/>
            </w:pPr>
            <w:r>
              <w:t xml:space="preserve">Core driver: 347 (Yr1) → 3,493 (Yr5) → 11,021 (Yr10) students across 4 tiers</w:t>
            </w:r>
          </w:p>
        </w:tc>
        <w:tc>
          <w:tcPr/>
          <w:p>
            <w:pPr>
              <w:pStyle w:val="Compact"/>
              <w:jc w:val="left"/>
              <w:suppressAutoHyphens/>
            </w:pPr>
            <w:r>
              <w:t xml:space="preserve">Gross Revenue base</w:t>
            </w:r>
          </w:p>
        </w:tc>
      </w:tr>
      <w:tr>
        <w:trPr>
          <w:cantSplit/>
        </w:trPr>
        <w:tc>
          <w:tcPr/>
          <w:p>
            <w:pPr>
              <w:pStyle w:val="Compact"/>
              <w:jc w:val="left"/>
              <w:suppressAutoHyphens/>
            </w:pPr>
            <w:r>
              <w:t xml:space="preserve">Sadaqah Jāriyah / philanthropic Waqf inflows</w:t>
            </w:r>
          </w:p>
        </w:tc>
        <w:tc>
          <w:tcPr/>
          <w:p>
            <w:pPr>
              <w:pStyle w:val="Compact"/>
              <w:jc w:val="left"/>
              <w:suppressAutoHyphens/>
            </w:pPr>
            <w:r>
              <w:t xml:space="preserve">Donor gifts additive to tuition, not tuition itself</w:t>
            </w:r>
          </w:p>
        </w:tc>
        <w:tc>
          <w:tcPr/>
          <w:p>
            <w:pPr>
              <w:pStyle w:val="Compact"/>
              <w:jc w:val="left"/>
              <w:suppressAutoHyphens/>
            </w:pPr>
            <w:r>
              <w:t xml:space="preserve">Waqf &amp; Stakeholder Reserve (20%)</w:t>
            </w:r>
          </w:p>
        </w:tc>
      </w:tr>
      <w:tr>
        <w:trPr>
          <w:cantSplit/>
        </w:trPr>
        <w:tc>
          <w:tcPr/>
          <w:p>
            <w:pPr>
              <w:pStyle w:val="Compact"/>
              <w:jc w:val="left"/>
              <w:suppressAutoHyphens/>
            </w:pPr>
            <w:r>
              <w:t xml:space="preserve">CPD / short-course / digital-certificate revenue</w:t>
            </w:r>
          </w:p>
        </w:tc>
        <w:tc>
          <w:tcPr/>
          <w:p>
            <w:pPr>
              <w:pStyle w:val="Compact"/>
              <w:jc w:val="left"/>
              <w:suppressAutoHyphens/>
            </w:pPr>
            <w:r>
              <w:t xml:space="preserve">Low-cost, LMS-delivered, non-degree offerings for working professionals and community learners</w:t>
            </w:r>
          </w:p>
        </w:tc>
        <w:tc>
          <w:tcPr/>
          <w:p>
            <w:pPr>
              <w:pStyle w:val="Compact"/>
              <w:jc w:val="left"/>
              <w:suppressAutoHyphens/>
            </w:pPr>
            <w:r>
              <w:t xml:space="preserve">LMS &amp; Technology Infrastructure (5%) for delivery; Payroll/Core Admin for coordination</w:t>
            </w:r>
          </w:p>
        </w:tc>
      </w:tr>
      <w:tr>
        <w:trPr>
          <w:cantSplit/>
        </w:trPr>
        <w:tc>
          <w:tcPr/>
          <w:p>
            <w:pPr>
              <w:pStyle w:val="Compact"/>
              <w:jc w:val="left"/>
              <w:suppressAutoHyphens/>
            </w:pPr>
            <w:r>
              <w:t xml:space="preserve">Liquidity-Reserve-funded resilience initiatives</w:t>
            </w:r>
          </w:p>
        </w:tc>
        <w:tc>
          <w:tcPr/>
          <w:p>
            <w:pPr>
              <w:pStyle w:val="Compact"/>
              <w:jc w:val="left"/>
              <w:suppressAutoHyphens/>
            </w:pPr>
            <w:r>
              <w:t xml:space="preserve">Reserve-funded forward investment (campus expansion, accreditation costs), not new revenue but risk buffer enabling growth</w:t>
            </w:r>
          </w:p>
        </w:tc>
        <w:tc>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7"/>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7"/>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7"/>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Tier</w:t>
            </w:r>
          </w:p>
        </w:tc>
        <w:tc>
          <w:tcPr/>
          <w:p>
            <w:pPr>
              <w:pStyle w:val="Compact"/>
              <w:jc w:val="left"/>
              <w:suppressAutoHyphens/>
            </w:pPr>
            <w:r>
              <w:t xml:space="preserve">Emphasis</w:t>
            </w:r>
          </w:p>
        </w:tc>
        <w:tc>
          <w:tcPr/>
          <w:p>
            <w:pPr>
              <w:pStyle w:val="Compact"/>
              <w:jc w:val="left"/>
              <w:suppressAutoHyphens/>
            </w:pPr>
            <w:r>
              <w:t xml:space="preserve">Primary Channels</w:t>
            </w:r>
          </w:p>
        </w:tc>
      </w:tr>
      <w:tr>
        <w:trPr>
          <w:cantSplit/>
        </w:trPr>
        <w:tc>
          <w:tcPr/>
          <w:p>
            <w:pPr>
              <w:pStyle w:val="Compact"/>
              <w:jc w:val="left"/>
              <w:suppressAutoHyphens/>
            </w:pPr>
            <w:r>
              <w:t xml:space="preserve">Tier 1 (Premium)</w:t>
            </w:r>
          </w:p>
        </w:tc>
        <w:tc>
          <w:tcPr/>
          <w:p>
            <w:pPr>
              <w:pStyle w:val="Compact"/>
              <w:jc w:val="left"/>
              <w:suppressAutoHyphens/>
            </w:pPr>
            <w:r>
              <w:t xml:space="preserve">Rigor, credential trajectory, global recognition</w:t>
            </w:r>
          </w:p>
        </w:tc>
        <w:tc>
          <w:tcPr/>
          <w:p>
            <w:pPr>
              <w:pStyle w:val="Compact"/>
              <w:jc w:val="left"/>
              <w:suppressAutoHyphens/>
            </w:pPr>
            <w:r>
              <w:t xml:space="preserve">LinkedIn, diaspora mosque boards, email, alumni networks</w:t>
            </w:r>
          </w:p>
        </w:tc>
      </w:tr>
      <w:tr>
        <w:trPr>
          <w:cantSplit/>
        </w:trPr>
        <w:tc>
          <w:tcPr/>
          <w:p>
            <w:pPr>
              <w:pStyle w:val="Compact"/>
              <w:jc w:val="left"/>
              <w:suppressAutoHyphens/>
            </w:pPr>
            <w:r>
              <w:t xml:space="preserve">Tier 2 (Standard)</w:t>
            </w:r>
          </w:p>
        </w:tc>
        <w:tc>
          <w:tcPr/>
          <w:p>
            <w:pPr>
              <w:pStyle w:val="Compact"/>
              <w:jc w:val="left"/>
              <w:suppressAutoHyphens/>
            </w:pPr>
            <w:r>
              <w:t xml:space="preserve">Balanced value + accessibility</w:t>
            </w:r>
          </w:p>
        </w:tc>
        <w:tc>
          <w:tcPr/>
          <w:p>
            <w:pPr>
              <w:pStyle w:val="Compact"/>
              <w:jc w:val="left"/>
              <w:suppressAutoHyphens/>
            </w:pPr>
            <w:r>
              <w:t xml:space="preserve">Social media, community referral</w:t>
            </w:r>
          </w:p>
        </w:tc>
      </w:tr>
      <w:tr>
        <w:trPr>
          <w:cantSplit/>
        </w:trPr>
        <w:tc>
          <w:tcPr/>
          <w:p>
            <w:pPr>
              <w:pStyle w:val="Compact"/>
              <w:jc w:val="left"/>
              <w:suppressAutoHyphens/>
            </w:pPr>
            <w:r>
              <w:t xml:space="preserve">Tier 3 (Accessible: Nigeria/Pakistan/Bangladesh/India/Indonesia)</w:t>
            </w:r>
          </w:p>
        </w:tc>
        <w:tc>
          <w:tcPr/>
          <w:p>
            <w:pPr>
              <w:pStyle w:val="Compact"/>
              <w:jc w:val="left"/>
              <w:suppressAutoHyphens/>
            </w:pPr>
            <w:r>
              <w:t xml:space="preserve">Affordability, stackable ladder, scholarship</w:t>
            </w:r>
          </w:p>
        </w:tc>
        <w:tc>
          <w:tcPr/>
          <w:p>
            <w:pPr>
              <w:pStyle w:val="Compact"/>
              <w:jc w:val="left"/>
              <w:suppressAutoHyphens/>
            </w:pPr>
            <w:r>
              <w:t xml:space="preserve">WhatsApp/Facebook groups, local ambassadors, mosque partners, local-language content</w:t>
            </w:r>
          </w:p>
        </w:tc>
      </w:tr>
      <w:tr>
        <w:trPr>
          <w:cantSplit/>
        </w:trPr>
        <w:tc>
          <w:tcPr/>
          <w:p>
            <w:pPr>
              <w:pStyle w:val="Compact"/>
              <w:jc w:val="left"/>
              <w:suppressAutoHyphens/>
            </w:pPr>
            <w:r>
              <w:t xml:space="preserve">Tier 4 (Sponsored/conflict-affected)</w:t>
            </w:r>
          </w:p>
        </w:tc>
        <w:tc>
          <w:tcPr/>
          <w:p>
            <w:pPr>
              <w:pStyle w:val="Compact"/>
              <w:jc w:val="left"/>
              <w:suppressAutoHyphens/>
            </w:pPr>
            <w:r>
              <w:t xml:space="preserve">Zero/near-zero barrier</w:t>
            </w:r>
          </w:p>
        </w:tc>
        <w:tc>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8"/>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8"/>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8"/>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8"/>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Founders + volunteer ambassadors</w:t>
            </w:r>
          </w:p>
        </w:tc>
        <w:tc>
          <w:tcPr/>
          <w:p>
            <w:pPr>
              <w:pStyle w:val="Compact"/>
              <w:jc w:val="left"/>
              <w:suppressAutoHyphens/>
            </w:pPr>
            <w:r>
              <w:t xml:space="preserve">0 dedicated FTE</w:t>
            </w:r>
          </w:p>
        </w:tc>
        <w:tc>
          <w:tcPr/>
          <w:p>
            <w:pPr>
              <w:pStyle w:val="Compact"/>
              <w:jc w:val="left"/>
              <w:suppressAutoHyphens/>
            </w:pPr>
            <w:r>
              <w:t xml:space="preserve">Marketing 10% line (stipends only)</w:t>
            </w:r>
          </w:p>
        </w:tc>
      </w:tr>
      <w:tr>
        <w:trPr>
          <w:cantSplit/>
        </w:trPr>
        <w:tc>
          <w:tcPr/>
          <w:p>
            <w:pPr>
              <w:pStyle w:val="Compact"/>
              <w:jc w:val="left"/>
              <w:suppressAutoHyphens/>
            </w:pPr>
            <w:r>
              <w:t xml:space="preserve">3–5</w:t>
            </w:r>
          </w:p>
        </w:tc>
        <w:tc>
          <w:tcPr/>
          <w:p>
            <w:pPr>
              <w:pStyle w:val="Compact"/>
              <w:jc w:val="left"/>
              <w:suppressAutoHyphens/>
            </w:pPr>
            <w:r>
              <w:t xml:space="preserve">Marketing &amp; Admissions Outreach Coordinator</w:t>
            </w:r>
          </w:p>
        </w:tc>
        <w:tc>
          <w:tcPr/>
          <w:p>
            <w:pPr>
              <w:pStyle w:val="Compact"/>
              <w:jc w:val="left"/>
              <w:suppressAutoHyphens/>
            </w:pPr>
            <w:r>
              <w:t xml:space="preserve">0.5–1.0</w:t>
            </w:r>
          </w:p>
        </w:tc>
        <w:tc>
          <w:tcPr/>
          <w:p>
            <w:pPr>
              <w:pStyle w:val="Compact"/>
              <w:jc w:val="left"/>
              <w:suppressAutoHyphens/>
            </w:pPr>
            <w:r>
              <w:t xml:space="preserve">Payroll — Core Admin Staff sub-line</w:t>
            </w:r>
          </w:p>
        </w:tc>
      </w:tr>
      <w:tr>
        <w:trPr>
          <w:cantSplit/>
        </w:trPr>
        <w:tc>
          <w:tcPr/>
          <w:p>
            <w:pPr>
              <w:pStyle w:val="Compact"/>
              <w:jc w:val="left"/>
              <w:suppressAutoHyphens/>
            </w:pPr>
            <w:r>
              <w:t xml:space="preserve">10</w:t>
            </w:r>
          </w:p>
        </w:tc>
        <w:tc>
          <w:tcPr/>
          <w:p>
            <w:pPr>
              <w:pStyle w:val="Compact"/>
              <w:jc w:val="left"/>
              <w:suppressAutoHyphens/>
            </w:pPr>
            <w:r>
              <w:t xml:space="preserve">Regional marketing/admissions liaisons (one per major tier region)</w:t>
            </w:r>
          </w:p>
        </w:tc>
        <w:tc>
          <w:tcPr/>
          <w:p>
            <w:pPr>
              <w:pStyle w:val="Compact"/>
              <w:jc w:val="left"/>
              <w:suppressAutoHyphens/>
            </w:pPr>
            <w:r>
              <w:t xml:space="preserve">2–3</w:t>
            </w:r>
          </w:p>
        </w:tc>
        <w:tc>
          <w:tcPr/>
          <w:p>
            <w:pPr>
              <w:pStyle w:val="Compact"/>
              <w:jc w:val="left"/>
              <w:suppressAutoHyphens/>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9"/>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9"/>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9"/>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20"/>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20"/>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20"/>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Brand/comms duties held by Founders/DVC Admin &amp; Finance</w:t>
            </w:r>
          </w:p>
        </w:tc>
        <w:tc>
          <w:tcPr/>
          <w:p>
            <w:pPr>
              <w:pStyle w:val="Compact"/>
              <w:jc w:val="left"/>
              <w:suppressAutoHyphens/>
            </w:pPr>
            <w:r>
              <w:t xml:space="preserve">0 dedicated</w:t>
            </w:r>
          </w:p>
        </w:tc>
        <w:tc>
          <w:tcPr/>
          <w:p>
            <w:pPr>
              <w:pStyle w:val="Compact"/>
              <w:jc w:val="left"/>
              <w:suppressAutoHyphens/>
            </w:pPr>
            <w:r>
              <w:t xml:space="preserve">Payroll — Core Admin Staff (nominal)</w:t>
            </w:r>
          </w:p>
        </w:tc>
      </w:tr>
      <w:tr>
        <w:trPr>
          <w:cantSplit/>
        </w:trPr>
        <w:tc>
          <w:tcPr/>
          <w:p>
            <w:pPr>
              <w:pStyle w:val="Compact"/>
              <w:jc w:val="left"/>
              <w:suppressAutoHyphens/>
            </w:pPr>
            <w:r>
              <w:t xml:space="preserve">5</w:t>
            </w:r>
          </w:p>
        </w:tc>
        <w:tc>
          <w:tcPr/>
          <w:p>
            <w:pPr>
              <w:pStyle w:val="Compact"/>
              <w:jc w:val="left"/>
              <w:suppressAutoHyphens/>
            </w:pPr>
            <w:r>
              <w:t xml:space="preserve">Brand &amp; Communications Officer</w:t>
            </w:r>
          </w:p>
        </w:tc>
        <w:tc>
          <w:tcPr/>
          <w:p>
            <w:pPr>
              <w:pStyle w:val="Compact"/>
              <w:jc w:val="left"/>
              <w:suppressAutoHyphens/>
            </w:pPr>
            <w:r>
              <w:t xml:space="preserve">0.5</w:t>
            </w:r>
          </w:p>
        </w:tc>
        <w:tc>
          <w:tcPr/>
          <w:p>
            <w:pPr>
              <w:pStyle w:val="Compact"/>
              <w:jc w:val="left"/>
              <w:suppressAutoHyphens/>
            </w:pPr>
            <w:r>
              <w:t xml:space="preserve">Payroll — Core Admin Staff</w:t>
            </w:r>
          </w:p>
        </w:tc>
      </w:tr>
      <w:tr>
        <w:trPr>
          <w:cantSplit/>
        </w:trPr>
        <w:tc>
          <w:tcPr/>
          <w:p>
            <w:pPr>
              <w:pStyle w:val="Compact"/>
              <w:jc w:val="left"/>
              <w:suppressAutoHyphens/>
            </w:pPr>
            <w:r>
              <w:t xml:space="preserve">10</w:t>
            </w:r>
          </w:p>
        </w:tc>
        <w:tc>
          <w:tcPr/>
          <w:p>
            <w:pPr>
              <w:pStyle w:val="Compact"/>
              <w:jc w:val="left"/>
              <w:suppressAutoHyphens/>
            </w:pPr>
            <w:r>
              <w:t xml:space="preserve">Brand/Communications Officer + regional brand liaisons (part-time)</w:t>
            </w:r>
          </w:p>
        </w:tc>
        <w:tc>
          <w:tcPr/>
          <w:p>
            <w:pPr>
              <w:pStyle w:val="Compact"/>
              <w:jc w:val="left"/>
              <w:suppressAutoHyphens/>
            </w:pPr>
            <w:r>
              <w:t xml:space="preserve">1.0 +</w:t>
            </w:r>
          </w:p>
        </w:tc>
        <w:tc>
          <w:tcPr/>
          <w:p>
            <w:pPr>
              <w:pStyle w:val="Compact"/>
              <w:jc w:val="left"/>
              <w:suppressAutoHyphens/>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Initiative</w:t>
            </w:r>
          </w:p>
        </w:tc>
        <w:tc>
          <w:tcPr/>
          <w:p>
            <w:pPr>
              <w:pStyle w:val="Compact"/>
              <w:jc w:val="left"/>
              <w:suppressAutoHyphens/>
            </w:pPr>
            <w:r>
              <w:t xml:space="preserve">Timing</w:t>
            </w:r>
          </w:p>
        </w:tc>
        <w:tc>
          <w:tcPr/>
          <w:p>
            <w:pPr>
              <w:pStyle w:val="Compact"/>
              <w:jc w:val="left"/>
              <w:suppressAutoHyphens/>
            </w:pPr>
            <w:r>
              <w:t xml:space="preserve">Mechanism</w:t>
            </w:r>
          </w:p>
        </w:tc>
        <w:tc>
          <w:tcPr/>
          <w:p>
            <w:pPr>
              <w:pStyle w:val="Compact"/>
              <w:jc w:val="left"/>
              <w:suppressAutoHyphens/>
            </w:pPr>
            <w:r>
              <w:t xml:space="preserve">Funding</w:t>
            </w:r>
          </w:p>
        </w:tc>
      </w:tr>
      <w:tr>
        <w:trPr>
          <w:cantSplit/>
        </w:trPr>
        <w:tc>
          <w:tcPr/>
          <w:p>
            <w:pPr>
              <w:pStyle w:val="Compact"/>
              <w:jc w:val="left"/>
              <w:suppressAutoHyphens/>
            </w:pPr>
            <w:r>
              <w:t xml:space="preserve">Digital four-tier global reach</w:t>
            </w:r>
          </w:p>
        </w:tc>
        <w:tc>
          <w:tcPr/>
          <w:p>
            <w:pPr>
              <w:pStyle w:val="Compact"/>
              <w:jc w:val="left"/>
              <w:suppressAutoHyphens/>
            </w:pPr>
            <w:r>
              <w:t xml:space="preserve">Ongoing from Year 1 (2028)</w:t>
            </w:r>
          </w:p>
        </w:tc>
        <w:tc>
          <w:tcPr/>
          <w:p>
            <w:pPr>
              <w:pStyle w:val="Compact"/>
              <w:jc w:val="left"/>
              <w:suppressAutoHyphens/>
            </w:pPr>
            <w:r>
              <w:t xml:space="preserve">Core tuition model, no campus required</w:t>
            </w:r>
          </w:p>
        </w:tc>
        <w:tc>
          <w:tcPr/>
          <w:p>
            <w:pPr>
              <w:pStyle w:val="Compact"/>
              <w:jc w:val="left"/>
              <w:suppressAutoHyphens/>
            </w:pPr>
            <w:r>
              <w:t xml:space="preserve">Gross tuition revenue</w:t>
            </w:r>
          </w:p>
        </w:tc>
      </w:tr>
      <w:tr>
        <w:trPr>
          <w:cantSplit/>
        </w:trPr>
        <w:tc>
          <w:tcPr/>
          <w:p>
            <w:pPr>
              <w:pStyle w:val="Compact"/>
              <w:jc w:val="left"/>
              <w:suppressAutoHyphens/>
            </w:pPr>
            <w:r>
              <w:t xml:space="preserve">Gambia Branch Campus</w:t>
            </w:r>
          </w:p>
        </w:tc>
        <w:tc>
          <w:tcPr/>
          <w:p>
            <w:pPr>
              <w:pStyle w:val="Compact"/>
              <w:jc w:val="left"/>
              <w:suppressAutoHyphens/>
            </w:pPr>
            <w:r>
              <w:t xml:space="preserve">Stage 3, Years 2–4 (2029–2031)</w:t>
            </w:r>
          </w:p>
        </w:tc>
        <w:tc>
          <w:tcPr/>
          <w:p>
            <w:pPr>
              <w:pStyle w:val="Compact"/>
              <w:jc w:val="left"/>
              <w:suppressAutoHyphens/>
            </w:pPr>
            <w:r>
              <w:t xml:space="preserve">$50,000 Board-approved ceiling; independent NAQAA accreditation pursuit</w:t>
            </w:r>
          </w:p>
        </w:tc>
        <w:tc>
          <w:tcPr/>
          <w:p>
            <w:pPr>
              <w:pStyle w:val="Compact"/>
              <w:jc w:val="left"/>
              <w:suppressAutoHyphens/>
            </w:pPr>
            <w:r>
              <w:t xml:space="preserve">Liquidity Reserve (35%)</w:t>
            </w:r>
          </w:p>
        </w:tc>
      </w:tr>
      <w:tr>
        <w:trPr>
          <w:cantSplit/>
        </w:trPr>
        <w:tc>
          <w:tcPr/>
          <w:p>
            <w:pPr>
              <w:pStyle w:val="Compact"/>
              <w:jc w:val="left"/>
              <w:suppressAutoHyphens/>
            </w:pPr>
            <w:r>
              <w:t xml:space="preserve">Nigeria Mega-University Initiative</w:t>
            </w:r>
          </w:p>
        </w:tc>
        <w:tc>
          <w:tcPr/>
          <w:p>
            <w:pPr>
              <w:pStyle w:val="Compact"/>
              <w:jc w:val="left"/>
              <w:suppressAutoHyphens/>
            </w:pPr>
            <w:r>
              <w:t xml:space="preserve">Target Year 10 (2037) charter application to National Assembly/NUC</w:t>
            </w:r>
          </w:p>
        </w:tc>
        <w:tc>
          <w:tcPr/>
          <w:p>
            <w:pPr>
              <w:pStyle w:val="Compact"/>
              <w:jc w:val="left"/>
              <w:suppressAutoHyphens/>
            </w:pPr>
            <w:r>
              <w:t xml:space="preserve">Physical charter for public legitimacy in largest Tier-3 market</w:t>
            </w:r>
          </w:p>
        </w:tc>
        <w:tc>
          <w:tcPr/>
          <w:p>
            <w:pPr>
              <w:pStyle w:val="Compact"/>
              <w:jc w:val="left"/>
              <w:suppressAutoHyphens/>
            </w:pPr>
            <w:r>
              <w:t xml:space="preserve">Waqf Nigeria Reserve sub-line ($333,383 10-yr cumulative, within Waqf &amp; Stakeholder Reserve 20%)</w:t>
            </w:r>
          </w:p>
        </w:tc>
      </w:tr>
      <w:tr>
        <w:trPr>
          <w:cantSplit/>
        </w:trPr>
        <w:tc>
          <w:tcPr/>
          <w:p>
            <w:pPr>
              <w:pStyle w:val="Compact"/>
              <w:jc w:val="left"/>
              <w:suppressAutoHyphens/>
            </w:pPr>
            <w:r>
              <w:t xml:space="preserve">First Gulf ministry recognition</w:t>
            </w:r>
          </w:p>
        </w:tc>
        <w:tc>
          <w:tcPr/>
          <w:p>
            <w:pPr>
              <w:pStyle w:val="Compact"/>
              <w:jc w:val="left"/>
              <w:suppressAutoHyphens/>
            </w:pPr>
            <w:r>
              <w:t xml:space="preserve">Target Year 13 (2040)</w:t>
            </w:r>
          </w:p>
        </w:tc>
        <w:tc>
          <w:tcPr/>
          <w:p>
            <w:pPr>
              <w:pStyle w:val="Compact"/>
              <w:jc w:val="left"/>
              <w:suppressAutoHyphens/>
            </w:pPr>
            <w:r>
              <w:t xml:space="preserve">Recognition agreement, not a physical campus</w:t>
            </w:r>
          </w:p>
        </w:tc>
        <w:tc>
          <w:tcPr/>
          <w:p>
            <w:pPr>
              <w:pStyle w:val="Compact"/>
              <w:jc w:val="left"/>
              <w:suppressAutoHyphens/>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1"/>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1"/>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1"/>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1"/>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Initiative</w:t>
            </w:r>
          </w:p>
        </w:tc>
        <w:tc>
          <w:tcPr/>
          <w:p>
            <w:pPr>
              <w:pStyle w:val="Compact"/>
              <w:jc w:val="left"/>
              <w:suppressAutoHyphens/>
            </w:pPr>
            <w:r>
              <w:t xml:space="preserve">Role</w:t>
            </w:r>
          </w:p>
        </w:tc>
        <w:tc>
          <w:tcPr/>
          <w:p>
            <w:pPr>
              <w:pStyle w:val="Compact"/>
              <w:jc w:val="left"/>
              <w:suppressAutoHyphens/>
            </w:pPr>
            <w:r>
              <w:t xml:space="preserve">Timing</w:t>
            </w:r>
          </w:p>
        </w:tc>
        <w:tc>
          <w:tcPr/>
          <w:p>
            <w:pPr>
              <w:pStyle w:val="Compact"/>
              <w:jc w:val="left"/>
              <w:suppressAutoHyphens/>
            </w:pPr>
            <w:r>
              <w:t xml:space="preserve">Funding</w:t>
            </w:r>
          </w:p>
        </w:tc>
      </w:tr>
      <w:tr>
        <w:trPr>
          <w:cantSplit/>
        </w:trPr>
        <w:tc>
          <w:tcPr/>
          <w:p>
            <w:pPr>
              <w:pStyle w:val="Compact"/>
              <w:jc w:val="left"/>
              <w:suppressAutoHyphens/>
            </w:pPr>
            <w:r>
              <w:t xml:space="preserve">Gambia</w:t>
            </w:r>
          </w:p>
        </w:tc>
        <w:tc>
          <w:tcPr/>
          <w:p>
            <w:pPr>
              <w:pStyle w:val="Compact"/>
              <w:jc w:val="left"/>
              <w:suppressAutoHyphens/>
            </w:pPr>
            <w:r>
              <w:t xml:space="preserve">Campus Director/Registrar (1 FTE) + 1–2 local admin hires</w:t>
            </w:r>
          </w:p>
        </w:tc>
        <w:tc>
          <w:tcPr/>
          <w:p>
            <w:pPr>
              <w:pStyle w:val="Compact"/>
              <w:jc w:val="left"/>
              <w:suppressAutoHyphens/>
            </w:pPr>
            <w:r>
              <w:t xml:space="preserve">From Year 2</w:t>
            </w:r>
          </w:p>
        </w:tc>
        <w:tc>
          <w:tcPr/>
          <w:p>
            <w:pPr>
              <w:pStyle w:val="Compact"/>
              <w:jc w:val="left"/>
              <w:suppressAutoHyphens/>
            </w:pPr>
            <w:r>
              <w:t xml:space="preserve">Payroll — Founders’ Compensation / Core Admin Staff</w:t>
            </w:r>
          </w:p>
        </w:tc>
      </w:tr>
      <w:tr>
        <w:trPr>
          <w:cantSplit/>
        </w:trPr>
        <w:tc>
          <w:tcPr/>
          <w:p>
            <w:pPr>
              <w:pStyle w:val="Compact"/>
              <w:jc w:val="left"/>
              <w:suppressAutoHyphens/>
            </w:pPr>
            <w:r>
              <w:t xml:space="preserve">Nigeria</w:t>
            </w:r>
          </w:p>
        </w:tc>
        <w:tc>
          <w:tcPr/>
          <w:p>
            <w:pPr>
              <w:pStyle w:val="Compact"/>
              <w:jc w:val="left"/>
              <w:suppressAutoHyphens/>
            </w:pPr>
            <w:r>
              <w:t xml:space="preserve">Charter Liaison/Government Relations Officer (part-time)</w:t>
            </w:r>
          </w:p>
        </w:tc>
        <w:tc>
          <w:tcPr/>
          <w:p>
            <w:pPr>
              <w:pStyle w:val="Compact"/>
              <w:jc w:val="left"/>
              <w:suppressAutoHyphens/>
            </w:pPr>
            <w:r>
              <w:t xml:space="preserve">Years 7–10</w:t>
            </w:r>
          </w:p>
        </w:tc>
        <w:tc>
          <w:tcPr/>
          <w:p>
            <w:pPr>
              <w:pStyle w:val="Compact"/>
              <w:jc w:val="left"/>
              <w:suppressAutoHyphens/>
            </w:pPr>
            <w:r>
              <w:t xml:space="preserve">Waqf Nigeria Reserve sub-line administrative allowance</w:t>
            </w:r>
          </w:p>
        </w:tc>
      </w:tr>
      <w:tr>
        <w:trPr>
          <w:cantSplit/>
        </w:trPr>
        <w:tc>
          <w:tcPr/>
          <w:p>
            <w:pPr>
              <w:pStyle w:val="Compact"/>
              <w:jc w:val="left"/>
              <w:suppressAutoHyphens/>
            </w:pPr>
            <w:r>
              <w:t xml:space="preserve">Gulf</w:t>
            </w:r>
          </w:p>
        </w:tc>
        <w:tc>
          <w:tcPr/>
          <w:p>
            <w:pPr>
              <w:pStyle w:val="Compact"/>
              <w:jc w:val="left"/>
              <w:suppressAutoHyphens/>
            </w:pPr>
            <w:r>
              <w:t xml:space="preserve">Ministry Relations Officer (part-time contract)</w:t>
            </w:r>
          </w:p>
        </w:tc>
        <w:tc>
          <w:tcPr/>
          <w:p>
            <w:pPr>
              <w:pStyle w:val="Compact"/>
              <w:jc w:val="left"/>
              <w:suppressAutoHyphens/>
            </w:pPr>
            <w:r>
              <w:t xml:space="preserve">Years 11–13</w:t>
            </w:r>
          </w:p>
        </w:tc>
        <w:tc>
          <w:tcPr/>
          <w:p>
            <w:pPr>
              <w:pStyle w:val="Compact"/>
              <w:jc w:val="left"/>
              <w:suppressAutoHyphens/>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SEVEN OF EIGHT</w:t>
            </w:r>
          </w:p>
          <w:p>
            <w:pPr>
              <w:spacing w:before="0" w:after="60"/>
              <w:suppressAutoHyphens/>
            </w:pPr>
            <w:r>
              <w:rPr>
                <w:rFonts w:ascii="Cinzel" w:hAnsi="Cinzel"/>
                <w:b/>
                <w:color w:val="B08625"/>
                <w:sz w:val="22"/>
                <w:caps/>
                <w:spacing w:val="18"/>
              </w:rPr>
              <w:t>VII</w:t>
            </w:r>
          </w:p>
          <w:p>
            <w:pPr>
              <w:spacing w:before="120" w:after="80"/>
              <w:suppressAutoHyphens/>
            </w:pPr>
            <w:r>
              <w:rPr>
                <w:rFonts w:ascii="Cormorant Garamond" w:hAnsi="Cormorant Garamond"/>
                <w:b/>
                <w:color w:val="B08625"/>
                <w:sz w:val="22"/>
                <w:caps/>
                <w:spacing w:val="18"/>
              </w:rPr>
              <w:t>Regional Campuses &amp; Student Lifecycle</w:t>
            </w:r>
          </w:p>
          <w:p>
            <w:pPr>
              <w:spacing w:before="0" w:after="260"/>
              <w:pBdr>
                <w:bottom w:val="single" w:sz="10" w:space="8" w:color="B08625"/>
              </w:pBdr>
              <w:suppressAutoHyphens/>
            </w:pPr>
            <w:r>
              <w:rPr>
                <w:rFonts w:ascii="Liberation Sans" w:hAnsi="Liberation Sans"/>
                <w:color w:val="8C97AB"/>
                <w:sz w:val="17"/>
                <w:spacing w:val="14"/>
              </w:rPr>
              <w:t>SECTIONS 31–35</w:t>
            </w:r>
          </w:p>
          <w:p>
            <w:pPr>
              <w:spacing w:before="0" w:after="360"/>
              <w:ind w:right="700"/>
              <w:suppressAutoHyphens/>
            </w:pPr>
            <w:r>
              <w:rPr>
                <w:rFonts w:ascii="Cormorant Garamond" w:hAnsi="Cormorant Garamond"/>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31 </w:t>
            </w:r>
            <w:r>
              <w:rPr>
                <w:rFonts w:ascii="Liberation Sans" w:hAnsi="Liberation Sans"/>
                <w:color w:val="FFFFFF"/>
                <w:sz w:val="20"/>
              </w:rPr>
              <w:t>Nigeria Campus Strategy</w:t>
            </w:r>
          </w:p>
          <w:p>
            <w:pPr>
              <w:spacing w:before="0" w:after="130"/>
              <w:suppressAutoHyphens/>
            </w:pPr>
            <w:r>
              <w:rPr>
                <w:rFonts w:ascii="Cinzel" w:hAnsi="Cinzel"/>
                <w:b/>
                <w:color w:val="B08625"/>
                <w:sz w:val="22"/>
                <w:caps/>
                <w:spacing w:val="18"/>
              </w:rPr>
              <w:t>32 </w:t>
            </w:r>
            <w:r>
              <w:rPr>
                <w:rFonts w:ascii="Liberation Sans" w:hAnsi="Liberation Sans"/>
                <w:color w:val="FFFFFF"/>
                <w:sz w:val="20"/>
              </w:rPr>
              <w:t>Gulf Cooperation Strategy</w:t>
            </w:r>
          </w:p>
          <w:p>
            <w:pPr>
              <w:spacing w:before="0" w:after="130"/>
              <w:suppressAutoHyphens/>
            </w:pPr>
            <w:r>
              <w:rPr>
                <w:rFonts w:ascii="Cinzel" w:hAnsi="Cinzel"/>
                <w:b/>
                <w:color w:val="B08625"/>
                <w:sz w:val="22"/>
                <w:caps/>
                <w:spacing w:val="18"/>
              </w:rPr>
              <w:t>33 </w:t>
            </w:r>
            <w:r>
              <w:rPr>
                <w:rFonts w:ascii="Liberation Sans" w:hAnsi="Liberation Sans"/>
                <w:color w:val="FFFFFF"/>
                <w:sz w:val="20"/>
              </w:rPr>
              <w:t>Student Support Framework</w:t>
            </w:r>
          </w:p>
          <w:p>
            <w:pPr>
              <w:spacing w:before="0" w:after="130"/>
              <w:suppressAutoHyphens/>
            </w:pPr>
            <w:r>
              <w:rPr>
                <w:rFonts w:ascii="Cinzel" w:hAnsi="Cinzel"/>
                <w:b/>
                <w:color w:val="B08625"/>
                <w:sz w:val="22"/>
                <w:caps/>
                <w:spacing w:val="18"/>
              </w:rPr>
              <w:t>34 </w:t>
            </w:r>
            <w:r>
              <w:rPr>
                <w:rFonts w:ascii="Liberation Sans" w:hAnsi="Liberation Sans"/>
                <w:color w:val="FFFFFF"/>
                <w:sz w:val="20"/>
              </w:rPr>
              <w:t>Alumni Framework</w:t>
            </w:r>
          </w:p>
          <w:p>
            <w:pPr>
              <w:spacing w:before="0" w:after="130"/>
              <w:suppressAutoHyphens/>
            </w:pPr>
            <w:r>
              <w:rPr>
                <w:rFonts w:ascii="Cinzel" w:hAnsi="Cinzel"/>
                <w:b/>
                <w:color w:val="B08625"/>
                <w:sz w:val="22"/>
                <w:caps/>
                <w:spacing w:val="18"/>
              </w:rPr>
              <w:t>35 </w:t>
            </w:r>
            <w:r>
              <w:rPr>
                <w:rFonts w:ascii="Liberation Sans" w:hAnsi="Liberation Sans"/>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Groundwork</w:t>
            </w:r>
          </w:p>
        </w:tc>
        <w:tc>
          <w:tcPr/>
          <w:p>
            <w:pPr>
              <w:pStyle w:val="Compact"/>
              <w:jc w:val="left"/>
              <w:suppressAutoHyphens/>
            </w:pPr>
            <w:r>
              <w:t xml:space="preserve">2028–2030</w:t>
            </w:r>
          </w:p>
        </w:tc>
        <w:tc>
          <w:tcPr/>
          <w:p>
            <w:pPr>
              <w:pStyle w:val="Compact"/>
              <w:jc w:val="left"/>
              <w:suppressAutoHyphens/>
            </w:pPr>
            <w:r>
              <w:t xml:space="preserve">Desk research, Nigerian diaspora/community consultation, no physical footprint or committed spend</w:t>
            </w:r>
          </w:p>
        </w:tc>
      </w:tr>
      <w:tr>
        <w:trPr>
          <w:cantSplit/>
        </w:trPr>
        <w:tc>
          <w:tcPr/>
          <w:p>
            <w:pPr>
              <w:pStyle w:val="Compact"/>
              <w:jc w:val="left"/>
              <w:suppressAutoHyphens/>
            </w:pPr>
            <w:r>
              <w:t xml:space="preserve">1 — Feasibility</w:t>
            </w:r>
          </w:p>
        </w:tc>
        <w:tc>
          <w:tcPr/>
          <w:p>
            <w:pPr>
              <w:pStyle w:val="Compact"/>
              <w:jc w:val="left"/>
              <w:suppressAutoHyphens/>
            </w:pPr>
            <w:r>
              <w:t xml:space="preserve">2031–2033</w:t>
            </w:r>
          </w:p>
        </w:tc>
        <w:tc>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p>
            <w:pPr>
              <w:pStyle w:val="Compact"/>
              <w:jc w:val="left"/>
              <w:suppressAutoHyphens/>
            </w:pPr>
            <w:r>
              <w:t xml:space="preserve">2 — Statutory Sequencing</w:t>
            </w:r>
          </w:p>
        </w:tc>
        <w:tc>
          <w:tcPr/>
          <w:p>
            <w:pPr>
              <w:pStyle w:val="Compact"/>
              <w:jc w:val="left"/>
              <w:suppressAutoHyphens/>
            </w:pPr>
            <w:r>
              <w:t xml:space="preserve">2034–2036</w:t>
            </w:r>
          </w:p>
        </w:tc>
        <w:tc>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p>
            <w:pPr>
              <w:pStyle w:val="Compact"/>
              <w:jc w:val="left"/>
              <w:suppressAutoHyphens/>
            </w:pPr>
            <w:r>
              <w:t xml:space="preserve">3 — Charter Application</w:t>
            </w:r>
          </w:p>
        </w:tc>
        <w:tc>
          <w:tcPr/>
          <w:p>
            <w:pPr>
              <w:pStyle w:val="Compact"/>
              <w:jc w:val="left"/>
              <w:suppressAutoHyphens/>
            </w:pPr>
            <w:r>
              <w:rPr>
                <w:bCs/>
                <w:b/>
                <w:color w:val="B08625"/>
                <w:sz w:val="22"/>
                <w:caps/>
                <w:spacing w:val="18"/>
              </w:rPr>
              <w:t xml:space="preserve">Year 10 / 2037</w:t>
            </w:r>
          </w:p>
        </w:tc>
        <w:tc>
          <w:tcPr/>
          <w:p>
            <w:pPr>
              <w:pStyle w:val="Compact"/>
              <w:jc w:val="left"/>
              <w:suppressAutoHyphens/>
            </w:pPr>
            <w:r>
              <w:t xml:space="preserve">Formal presentation and charter application to Nigeria’s National Assembly and NUC (sovereign processes outside AMIU control)</w:t>
            </w:r>
          </w:p>
        </w:tc>
      </w:tr>
      <w:tr>
        <w:trPr>
          <w:cantSplit/>
        </w:trPr>
        <w:tc>
          <w:tcPr/>
          <w:p>
            <w:pPr>
              <w:pStyle w:val="Compact"/>
              <w:jc w:val="left"/>
              <w:suppressAutoHyphens/>
            </w:pPr>
            <w:r>
              <w:t xml:space="preserve">4 — Contingent Build-Out</w:t>
            </w:r>
          </w:p>
        </w:tc>
        <w:tc>
          <w:tcPr/>
          <w:p>
            <w:pPr>
              <w:pStyle w:val="Compact"/>
              <w:jc w:val="left"/>
              <w:suppressAutoHyphens/>
            </w:pPr>
            <w:r>
              <w:t xml:space="preserve">2038+ (Year 11+)</w:t>
            </w:r>
          </w:p>
        </w:tc>
        <w:tc>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2"/>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2"/>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Digital Presence</w:t>
            </w:r>
          </w:p>
        </w:tc>
        <w:tc>
          <w:tcPr/>
          <w:p>
            <w:pPr>
              <w:pStyle w:val="Compact"/>
              <w:jc w:val="left"/>
              <w:suppressAutoHyphens/>
            </w:pPr>
            <w:r>
              <w:t xml:space="preserve">2028–2031</w:t>
            </w:r>
          </w:p>
        </w:tc>
        <w:tc>
          <w:tcPr/>
          <w:p>
            <w:pPr>
              <w:pStyle w:val="Compact"/>
              <w:jc w:val="left"/>
              <w:suppressAutoHyphens/>
            </w:pPr>
            <w:r>
              <w:t xml:space="preserve">Arabic-English bilingual marketing, Gulf-targeted social/digital campaigns, mosque community engagement (informal)</w:t>
            </w:r>
          </w:p>
        </w:tc>
      </w:tr>
      <w:tr>
        <w:trPr>
          <w:cantSplit/>
        </w:trPr>
        <w:tc>
          <w:tcPr/>
          <w:p>
            <w:pPr>
              <w:pStyle w:val="Compact"/>
              <w:jc w:val="left"/>
              <w:suppressAutoHyphens/>
            </w:pPr>
            <w:r>
              <w:t xml:space="preserve">2 — Relationship Building</w:t>
            </w:r>
          </w:p>
        </w:tc>
        <w:tc>
          <w:tcPr/>
          <w:p>
            <w:pPr>
              <w:pStyle w:val="Compact"/>
              <w:jc w:val="left"/>
              <w:suppressAutoHyphens/>
            </w:pPr>
            <w:r>
              <w:t xml:space="preserve">2032–2035</w:t>
            </w:r>
          </w:p>
        </w:tc>
        <w:tc>
          <w:tcPr/>
          <w:p>
            <w:pPr>
              <w:pStyle w:val="Compact"/>
              <w:jc w:val="left"/>
              <w:suppressAutoHyphens/>
            </w:pPr>
            <w:r>
              <w:t xml:space="preserve">Gulf student ambassador program, informal contact with individual scholars/mosques, early donor cultivation conversations</w:t>
            </w:r>
          </w:p>
        </w:tc>
      </w:tr>
      <w:tr>
        <w:trPr>
          <w:cantSplit/>
        </w:trPr>
        <w:tc>
          <w:tcPr/>
          <w:p>
            <w:pPr>
              <w:pStyle w:val="Compact"/>
              <w:jc w:val="left"/>
              <w:suppressAutoHyphens/>
            </w:pPr>
            <w:r>
              <w:t xml:space="preserve">3 — Pre-Recognition Groundwork</w:t>
            </w:r>
          </w:p>
        </w:tc>
        <w:tc>
          <w:tcPr/>
          <w:p>
            <w:pPr>
              <w:pStyle w:val="Compact"/>
              <w:jc w:val="left"/>
              <w:suppressAutoHyphens/>
            </w:pPr>
            <w:r>
              <w:t xml:space="preserve">2036–2039</w:t>
            </w:r>
          </w:p>
        </w:tc>
        <w:tc>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p>
            <w:pPr>
              <w:pStyle w:val="Compact"/>
              <w:jc w:val="left"/>
              <w:suppressAutoHyphens/>
            </w:pPr>
            <w:r>
              <w:t xml:space="preserve">4 — Ministry Recognition</w:t>
            </w:r>
          </w:p>
        </w:tc>
        <w:tc>
          <w:tcPr/>
          <w:p>
            <w:pPr>
              <w:pStyle w:val="Compact"/>
              <w:jc w:val="left"/>
              <w:suppressAutoHyphens/>
            </w:pPr>
            <w:r>
              <w:rPr>
                <w:bCs/>
                <w:b/>
                <w:color w:val="B08625"/>
                <w:sz w:val="22"/>
                <w:caps/>
                <w:spacing w:val="18"/>
              </w:rPr>
              <w:t xml:space="preserve">Year 13 / 2040</w:t>
            </w:r>
          </w:p>
        </w:tc>
        <w:tc>
          <w:tcPr/>
          <w:p>
            <w:pPr>
              <w:pStyle w:val="Compact"/>
              <w:jc w:val="left"/>
              <w:suppressAutoHyphens/>
            </w:pPr>
            <w:r>
              <w:t xml:space="preserve">First Gulf ministry recognition/accreditation agreement(s) targeted</w:t>
            </w:r>
          </w:p>
        </w:tc>
      </w:tr>
      <w:tr>
        <w:trPr>
          <w:cantSplit/>
        </w:trPr>
        <w:tc>
          <w:tcPr/>
          <w:p>
            <w:pPr>
              <w:pStyle w:val="Compact"/>
              <w:jc w:val="left"/>
              <w:suppressAutoHyphens/>
            </w:pPr>
            <w:r>
              <w:t xml:space="preserve">5 — Scaled Cross-Subsidy</w:t>
            </w:r>
          </w:p>
        </w:tc>
        <w:tc>
          <w:tcPr/>
          <w:p>
            <w:pPr>
              <w:pStyle w:val="Compact"/>
              <w:jc w:val="left"/>
              <w:suppressAutoHyphens/>
            </w:pPr>
            <w:r>
              <w:t xml:space="preserve">2041+</w:t>
            </w:r>
          </w:p>
        </w:tc>
        <w:tc>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3"/>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3"/>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3"/>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Digital Foundation</w:t>
            </w:r>
          </w:p>
        </w:tc>
        <w:tc>
          <w:tcPr/>
          <w:p>
            <w:pPr>
              <w:pStyle w:val="Compact"/>
              <w:jc w:val="left"/>
              <w:suppressAutoHyphens/>
            </w:pPr>
            <w:r>
              <w:t xml:space="preserve">2028–2030</w:t>
            </w:r>
          </w:p>
        </w:tc>
        <w:tc>
          <w:tcPr/>
          <w:p>
            <w:pPr>
              <w:pStyle w:val="Compact"/>
              <w:jc w:val="left"/>
              <w:suppressAutoHyphens/>
            </w:pPr>
            <w:r>
              <w:t xml:space="preserve">LMS self-service advising portal, FAQ/knowledge base, async email support (Core Admin Staff), volunteer chaplaincy-faculty pastoral care</w:t>
            </w:r>
          </w:p>
        </w:tc>
      </w:tr>
      <w:tr>
        <w:trPr>
          <w:cantSplit/>
        </w:trPr>
        <w:tc>
          <w:tcPr/>
          <w:p>
            <w:pPr>
              <w:pStyle w:val="Compact"/>
              <w:jc w:val="left"/>
              <w:suppressAutoHyphens/>
            </w:pPr>
            <w:r>
              <w:t xml:space="preserve">2 — Structured Peer Support</w:t>
            </w:r>
          </w:p>
        </w:tc>
        <w:tc>
          <w:tcPr/>
          <w:p>
            <w:pPr>
              <w:pStyle w:val="Compact"/>
              <w:jc w:val="left"/>
              <w:suppressAutoHyphens/>
            </w:pPr>
            <w:r>
              <w:t xml:space="preserve">2031–2033</w:t>
            </w:r>
          </w:p>
        </w:tc>
        <w:tc>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p>
            <w:pPr>
              <w:pStyle w:val="Compact"/>
              <w:jc w:val="left"/>
              <w:suppressAutoHyphens/>
            </w:pPr>
            <w:r>
              <w:t xml:space="preserve">3 — Formalized Escalation</w:t>
            </w:r>
          </w:p>
        </w:tc>
        <w:tc>
          <w:tcPr/>
          <w:p>
            <w:pPr>
              <w:pStyle w:val="Compact"/>
              <w:jc w:val="left"/>
              <w:suppressAutoHyphens/>
            </w:pPr>
            <w:r>
              <w:t xml:space="preserve">2034–2037</w:t>
            </w:r>
          </w:p>
        </w:tc>
        <w:tc>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suppressAutoHyphens/>
            </w:pPr>
            <w:r>
              <w:t xml:space="preserve">4 — Dedicated Function</w:t>
            </w:r>
          </w:p>
        </w:tc>
        <w:tc>
          <w:tcPr/>
          <w:p>
            <w:pPr>
              <w:pStyle w:val="Compact"/>
              <w:jc w:val="left"/>
              <w:suppressAutoHyphens/>
            </w:pPr>
            <w:r>
              <w:t xml:space="preserve">2038+ (Year 11+)</w:t>
            </w:r>
          </w:p>
        </w:tc>
        <w:tc>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4"/>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4"/>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Identity Formation</w:t>
            </w:r>
          </w:p>
        </w:tc>
        <w:tc>
          <w:tcPr/>
          <w:p>
            <w:pPr>
              <w:pStyle w:val="Compact"/>
              <w:jc w:val="left"/>
              <w:suppressAutoHyphens/>
            </w:pPr>
            <w:r>
              <w:t xml:space="preserve">2028–2029</w:t>
            </w:r>
          </w:p>
        </w:tc>
        <w:tc>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p>
            <w:pPr>
              <w:pStyle w:val="Compact"/>
              <w:jc w:val="left"/>
              <w:suppressAutoHyphens/>
            </w:pPr>
            <w:r>
              <w:t xml:space="preserve">2 — Ambassador Network</w:t>
            </w:r>
          </w:p>
        </w:tc>
        <w:tc>
          <w:tcPr/>
          <w:p>
            <w:pPr>
              <w:pStyle w:val="Compact"/>
              <w:jc w:val="left"/>
              <w:suppressAutoHyphens/>
            </w:pPr>
            <w:r>
              <w:t xml:space="preserve">2030–2032</w:t>
            </w:r>
          </w:p>
        </w:tc>
        <w:tc>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suppressAutoHyphens/>
            </w:pPr>
            <w:r>
              <w:t xml:space="preserve">3 — Structured Engagement</w:t>
            </w:r>
          </w:p>
        </w:tc>
        <w:tc>
          <w:tcPr/>
          <w:p>
            <w:pPr>
              <w:pStyle w:val="Compact"/>
              <w:jc w:val="left"/>
              <w:suppressAutoHyphens/>
            </w:pPr>
            <w:r>
              <w:t xml:space="preserve">2033–2036</w:t>
            </w:r>
          </w:p>
        </w:tc>
        <w:tc>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p>
            <w:pPr>
              <w:pStyle w:val="Compact"/>
              <w:jc w:val="left"/>
              <w:suppressAutoHyphens/>
            </w:pPr>
            <w:r>
              <w:t xml:space="preserve">4 — First Paid Role</w:t>
            </w:r>
          </w:p>
        </w:tc>
        <w:tc>
          <w:tcPr/>
          <w:p>
            <w:pPr>
              <w:pStyle w:val="Compact"/>
              <w:jc w:val="left"/>
              <w:suppressAutoHyphens/>
            </w:pPr>
            <w:r>
              <w:t xml:space="preserve">2037–2040 (Year 10+)</w:t>
            </w:r>
          </w:p>
        </w:tc>
        <w:tc>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p>
            <w:pPr>
              <w:pStyle w:val="Compact"/>
              <w:jc w:val="left"/>
              <w:suppressAutoHyphens/>
            </w:pPr>
            <w:r>
              <w:t xml:space="preserve">5 — Dedicated Function</w:t>
            </w:r>
          </w:p>
        </w:tc>
        <w:tc>
          <w:tcPr/>
          <w:p>
            <w:pPr>
              <w:pStyle w:val="Compact"/>
              <w:jc w:val="left"/>
              <w:suppressAutoHyphens/>
            </w:pPr>
            <w:r>
              <w:t xml:space="preserve">2041+ (Year 11+)</w:t>
            </w:r>
          </w:p>
        </w:tc>
        <w:tc>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5"/>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5"/>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Embedded &amp; Informal</w:t>
            </w:r>
          </w:p>
        </w:tc>
        <w:tc>
          <w:tcPr/>
          <w:p>
            <w:pPr>
              <w:pStyle w:val="Compact"/>
              <w:jc w:val="left"/>
              <w:suppressAutoHyphens/>
            </w:pPr>
            <w:r>
              <w:t xml:space="preserve">2028–2030</w:t>
            </w:r>
          </w:p>
        </w:tc>
        <w:tc>
          <w:tcPr/>
          <w:p>
            <w:pPr>
              <w:pStyle w:val="Compact"/>
              <w:jc w:val="left"/>
              <w:suppressAutoHyphens/>
            </w:pPr>
            <w:r>
              <w:t xml:space="preserve">Career-readiness content embedded in curriculum; informal mosque/employer-network referral; free LMS job-postings board</w:t>
            </w:r>
          </w:p>
        </w:tc>
      </w:tr>
      <w:tr>
        <w:trPr>
          <w:cantSplit/>
        </w:trPr>
        <w:tc>
          <w:tcPr/>
          <w:p>
            <w:pPr>
              <w:pStyle w:val="Compact"/>
              <w:jc w:val="left"/>
              <w:suppressAutoHyphens/>
            </w:pPr>
            <w:r>
              <w:t xml:space="preserve">2 — Partnership Formalization</w:t>
            </w:r>
          </w:p>
        </w:tc>
        <w:tc>
          <w:tcPr/>
          <w:p>
            <w:pPr>
              <w:pStyle w:val="Compact"/>
              <w:jc w:val="left"/>
              <w:suppressAutoHyphens/>
            </w:pPr>
            <w:r>
              <w:t xml:space="preserve">2031–2033</w:t>
            </w:r>
          </w:p>
        </w:tc>
        <w:tc>
          <w:tcPr/>
          <w:p>
            <w:pPr>
              <w:pStyle w:val="Compact"/>
              <w:jc w:val="left"/>
              <w:suppressAutoHyphens/>
            </w:pPr>
            <w:r>
              <w:t xml:space="preserve">MOUs with mosque associations, Islamic schools, Islamic finance institutions — faculty/Admin relationship-building, no new spend</w:t>
            </w:r>
          </w:p>
        </w:tc>
      </w:tr>
      <w:tr>
        <w:trPr>
          <w:cantSplit/>
        </w:trPr>
        <w:tc>
          <w:tcPr/>
          <w:p>
            <w:pPr>
              <w:pStyle w:val="Compact"/>
              <w:jc w:val="left"/>
              <w:suppressAutoHyphens/>
            </w:pPr>
            <w:r>
              <w:t xml:space="preserve">3 — Fractional Liaison</w:t>
            </w:r>
          </w:p>
        </w:tc>
        <w:tc>
          <w:tcPr/>
          <w:p>
            <w:pPr>
              <w:pStyle w:val="Compact"/>
              <w:jc w:val="left"/>
              <w:suppressAutoHyphens/>
            </w:pPr>
            <w:r>
              <w:t xml:space="preserve">2034–2037 (Year 10)</w:t>
            </w:r>
          </w:p>
        </w:tc>
        <w:tc>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suppressAutoHyphens/>
            </w:pPr>
            <w:r>
              <w:t xml:space="preserve">4 — Dual-Track Expansion</w:t>
            </w:r>
          </w:p>
        </w:tc>
        <w:tc>
          <w:tcPr/>
          <w:p>
            <w:pPr>
              <w:pStyle w:val="Compact"/>
              <w:jc w:val="left"/>
              <w:suppressAutoHyphens/>
            </w:pPr>
            <w:r>
              <w:t xml:space="preserve">2038–2040 (Year 11–13)</w:t>
            </w:r>
          </w:p>
        </w:tc>
        <w:tc>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suppressAutoHyphens/>
            </w:pPr>
            <w:r>
              <w:t xml:space="preserve">5 — Dedicated Dual Office</w:t>
            </w:r>
          </w:p>
        </w:tc>
        <w:tc>
          <w:tcPr/>
          <w:p>
            <w:pPr>
              <w:pStyle w:val="Compact"/>
              <w:jc w:val="left"/>
              <w:suppressAutoHyphens/>
            </w:pPr>
            <w:r>
              <w:t xml:space="preserve">2041+</w:t>
            </w:r>
          </w:p>
        </w:tc>
        <w:tc>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6"/>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6"/>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6"/>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EIGHT OF EIGHT</w:t>
            </w:r>
          </w:p>
          <w:p>
            <w:pPr>
              <w:spacing w:before="0" w:after="60"/>
              <w:suppressAutoHyphens/>
            </w:pPr>
            <w:r>
              <w:rPr>
                <w:rFonts w:ascii="Cinzel" w:hAnsi="Cinzel"/>
                <w:b/>
                <w:color w:val="B08625"/>
                <w:sz w:val="22"/>
                <w:caps/>
                <w:spacing w:val="18"/>
              </w:rPr>
              <w:t>VIII</w:t>
            </w:r>
          </w:p>
          <w:p>
            <w:pPr>
              <w:spacing w:before="120" w:after="80"/>
              <w:suppressAutoHyphens/>
            </w:pPr>
            <w:r>
              <w:rPr>
                <w:rFonts w:ascii="Cormorant Garamond" w:hAnsi="Cormorant Garamond"/>
                <w:b/>
                <w:color w:val="B08625"/>
                <w:sz w:val="22"/>
                <w:caps/>
                <w:spacing w:val="18"/>
              </w:rPr>
              <w:t>Risk, Compliance, Sustainability &amp; the 20-Year Roadmap</w:t>
            </w:r>
          </w:p>
          <w:p>
            <w:pPr>
              <w:spacing w:before="0" w:after="260"/>
              <w:pBdr>
                <w:bottom w:val="single" w:sz="10" w:space="8" w:color="B08625"/>
              </w:pBdr>
              <w:suppressAutoHyphens/>
            </w:pPr>
            <w:r>
              <w:rPr>
                <w:rFonts w:ascii="Liberation Sans" w:hAnsi="Liberation Sans"/>
                <w:color w:val="8C97AB"/>
                <w:sz w:val="17"/>
                <w:spacing w:val="14"/>
              </w:rPr>
              <w:t>SECTIONS 36–41</w:t>
            </w:r>
          </w:p>
          <w:p>
            <w:pPr>
              <w:spacing w:before="0" w:after="360"/>
              <w:ind w:right="700"/>
              <w:suppressAutoHyphens/>
            </w:pPr>
            <w:r>
              <w:rPr>
                <w:rFonts w:ascii="Cormorant Garamond" w:hAnsi="Cormorant Garamond"/>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36 </w:t>
            </w:r>
            <w:r>
              <w:rPr>
                <w:rFonts w:ascii="Liberation Sans" w:hAnsi="Liberation Sans"/>
                <w:color w:val="FFFFFF"/>
                <w:sz w:val="20"/>
              </w:rPr>
              <w:t>Risk Management Framework</w:t>
            </w:r>
          </w:p>
          <w:p>
            <w:pPr>
              <w:spacing w:before="0" w:after="130"/>
              <w:suppressAutoHyphens/>
            </w:pPr>
            <w:r>
              <w:rPr>
                <w:rFonts w:ascii="Cinzel" w:hAnsi="Cinzel"/>
                <w:b/>
                <w:color w:val="B08625"/>
                <w:sz w:val="22"/>
                <w:caps/>
                <w:spacing w:val="18"/>
              </w:rPr>
              <w:t>37 </w:t>
            </w:r>
            <w:r>
              <w:rPr>
                <w:rFonts w:ascii="Liberation Sans" w:hAnsi="Liberation Sans"/>
                <w:color w:val="FFFFFF"/>
                <w:sz w:val="20"/>
              </w:rPr>
              <w:t>Compliance Framework</w:t>
            </w:r>
          </w:p>
          <w:p>
            <w:pPr>
              <w:spacing w:before="0" w:after="130"/>
              <w:suppressAutoHyphens/>
            </w:pPr>
            <w:r>
              <w:rPr>
                <w:rFonts w:ascii="Cinzel" w:hAnsi="Cinzel"/>
                <w:b/>
                <w:color w:val="B08625"/>
                <w:sz w:val="22"/>
                <w:caps/>
                <w:spacing w:val="18"/>
              </w:rPr>
              <w:t>38 </w:t>
            </w:r>
            <w:r>
              <w:rPr>
                <w:rFonts w:ascii="Liberation Sans" w:hAnsi="Liberation Sans"/>
                <w:color w:val="FFFFFF"/>
                <w:sz w:val="20"/>
              </w:rPr>
              <w:t>Financial Sustainability Framework</w:t>
            </w:r>
          </w:p>
          <w:p>
            <w:pPr>
              <w:spacing w:before="0" w:after="130"/>
              <w:suppressAutoHyphens/>
            </w:pPr>
            <w:r>
              <w:rPr>
                <w:rFonts w:ascii="Cinzel" w:hAnsi="Cinzel"/>
                <w:b/>
                <w:color w:val="B08625"/>
                <w:sz w:val="22"/>
                <w:caps/>
                <w:spacing w:val="18"/>
              </w:rPr>
              <w:t>39 </w:t>
            </w:r>
            <w:r>
              <w:rPr>
                <w:rFonts w:ascii="Liberation Sans" w:hAnsi="Liberation Sans"/>
                <w:color w:val="FFFFFF"/>
                <w:sz w:val="20"/>
              </w:rPr>
              <w:t>Capital Development Framework</w:t>
            </w:r>
          </w:p>
          <w:p>
            <w:pPr>
              <w:spacing w:before="0" w:after="130"/>
              <w:suppressAutoHyphens/>
            </w:pPr>
            <w:r>
              <w:rPr>
                <w:rFonts w:ascii="Cinzel" w:hAnsi="Cinzel"/>
                <w:b/>
                <w:color w:val="B08625"/>
                <w:sz w:val="22"/>
                <w:caps/>
                <w:spacing w:val="18"/>
              </w:rPr>
              <w:t>40 </w:t>
            </w:r>
            <w:r>
              <w:rPr>
                <w:rFonts w:ascii="Liberation Sans" w:hAnsi="Liberation Sans"/>
                <w:color w:val="FFFFFF"/>
                <w:sz w:val="20"/>
              </w:rPr>
              <w:t>Twenty-Year Strategic Roadmap</w:t>
            </w:r>
          </w:p>
          <w:p>
            <w:pPr>
              <w:spacing w:before="0" w:after="130"/>
              <w:suppressAutoHyphens/>
            </w:pPr>
            <w:r>
              <w:rPr>
                <w:rFonts w:ascii="Cinzel" w:hAnsi="Cinzel"/>
                <w:b/>
                <w:color w:val="B08625"/>
                <w:sz w:val="22"/>
                <w:caps/>
                <w:spacing w:val="18"/>
              </w:rPr>
              <w:t>41 </w:t>
            </w:r>
            <w:r>
              <w:rPr>
                <w:rFonts w:ascii="Liberation Sans" w:hAnsi="Liberation Sans"/>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7"/>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7"/>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7"/>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7"/>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Founding Oversight</w:t>
            </w:r>
          </w:p>
        </w:tc>
        <w:tc>
          <w:tcPr/>
          <w:p>
            <w:pPr>
              <w:pStyle w:val="Compact"/>
              <w:jc w:val="left"/>
              <w:suppressAutoHyphens/>
            </w:pPr>
            <w:r>
              <w:t xml:space="preserve">2028–2029 (Yr 1–2)</w:t>
            </w:r>
          </w:p>
        </w:tc>
        <w:tc>
          <w:tcPr/>
          <w:p>
            <w:pPr>
              <w:pStyle w:val="Compact"/>
              <w:jc w:val="left"/>
              <w:suppressAutoHyphens/>
            </w:pPr>
            <w:r>
              <w:t xml:space="preserve">Register formalized; Audit &amp; Risk Committee seated; external CPA engaged</w:t>
            </w:r>
          </w:p>
        </w:tc>
      </w:tr>
      <w:tr>
        <w:trPr>
          <w:cantSplit/>
        </w:trPr>
        <w:tc>
          <w:tcPr/>
          <w:p>
            <w:pPr>
              <w:pStyle w:val="Compact"/>
              <w:jc w:val="left"/>
              <w:suppressAutoHyphens/>
            </w:pPr>
            <w:r>
              <w:t xml:space="preserve">II — Embedded Coordination</w:t>
            </w:r>
          </w:p>
        </w:tc>
        <w:tc>
          <w:tcPr/>
          <w:p>
            <w:pPr>
              <w:pStyle w:val="Compact"/>
              <w:jc w:val="left"/>
              <w:suppressAutoHyphens/>
            </w:pPr>
            <w:r>
              <w:t xml:space="preserve">2030–2032 (Yr 3–5)</w:t>
            </w:r>
          </w:p>
        </w:tc>
        <w:tc>
          <w:tcPr/>
          <w:p>
            <w:pPr>
              <w:pStyle w:val="Compact"/>
              <w:jc w:val="left"/>
              <w:suppressAutoHyphens/>
            </w:pPr>
            <w:r>
              <w:t xml:space="preserve">Fractional risk/compliance coordination folded into Core Admin Staff; Gambia-specific risk lines active</w:t>
            </w:r>
          </w:p>
        </w:tc>
      </w:tr>
      <w:tr>
        <w:trPr>
          <w:cantSplit/>
        </w:trPr>
        <w:tc>
          <w:tcPr/>
          <w:p>
            <w:pPr>
              <w:pStyle w:val="Compact"/>
              <w:jc w:val="left"/>
              <w:suppressAutoHyphens/>
            </w:pPr>
            <w:r>
              <w:t xml:space="preserve">III — Systematic Monitoring</w:t>
            </w:r>
          </w:p>
        </w:tc>
        <w:tc>
          <w:tcPr/>
          <w:p>
            <w:pPr>
              <w:pStyle w:val="Compact"/>
              <w:jc w:val="left"/>
              <w:suppressAutoHyphens/>
            </w:pPr>
            <w:r>
              <w:t xml:space="preserve">2033–2037 (Yr 6–10)</w:t>
            </w:r>
          </w:p>
        </w:tc>
        <w:tc>
          <w:tcPr/>
          <w:p>
            <w:pPr>
              <w:pStyle w:val="Compact"/>
              <w:jc w:val="left"/>
              <w:suppressAutoHyphens/>
            </w:pPr>
            <w:r>
              <w:t xml:space="preserve">Full-time coordinator; quarterly heat-map reporting to Board; register closes founding decade at 14+ risks reviewed</w:t>
            </w:r>
          </w:p>
        </w:tc>
      </w:tr>
      <w:tr>
        <w:trPr>
          <w:cantSplit/>
        </w:trPr>
        <w:tc>
          <w:tcPr/>
          <w:p>
            <w:pPr>
              <w:pStyle w:val="Compact"/>
              <w:jc w:val="left"/>
              <w:suppressAutoHyphens/>
            </w:pPr>
            <w:r>
              <w:t xml:space="preserve">IV — Secular-Era Expansion</w:t>
            </w:r>
          </w:p>
        </w:tc>
        <w:tc>
          <w:tcPr/>
          <w:p>
            <w:pPr>
              <w:pStyle w:val="Compact"/>
              <w:jc w:val="left"/>
              <w:suppressAutoHyphens/>
            </w:pPr>
            <w:r>
              <w:t xml:space="preserve">2038+ (Yr 11+)</w:t>
            </w:r>
          </w:p>
        </w:tc>
        <w:tc>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w:t>
            </w:r>
          </w:p>
        </w:tc>
        <w:tc>
          <w:tcPr/>
          <w:p>
            <w:pPr>
              <w:pStyle w:val="Compact"/>
              <w:jc w:val="left"/>
              <w:suppressAutoHyphens/>
            </w:pPr>
            <w:r>
              <w:t xml:space="preserve">Risk</w:t>
            </w:r>
          </w:p>
        </w:tc>
        <w:tc>
          <w:tcPr/>
          <w:p>
            <w:pPr>
              <w:pStyle w:val="Compact"/>
              <w:jc w:val="left"/>
              <w:suppressAutoHyphens/>
            </w:pPr>
            <w:r>
              <w:t xml:space="preserve">Likelihood/Impact</w:t>
            </w:r>
          </w:p>
        </w:tc>
        <w:tc>
          <w:tcPr/>
          <w:p>
            <w:pPr>
              <w:pStyle w:val="Compact"/>
              <w:jc w:val="left"/>
              <w:suppressAutoHyphens/>
            </w:pPr>
            <w:r>
              <w:t xml:space="preserve">Primary Mitigation</w:t>
            </w:r>
          </w:p>
        </w:tc>
      </w:tr>
      <w:tr>
        <w:trPr>
          <w:cantSplit/>
        </w:trPr>
        <w:tc>
          <w:tcPr/>
          <w:p>
            <w:pPr>
              <w:pStyle w:val="Compact"/>
              <w:jc w:val="left"/>
              <w:suppressAutoHyphens/>
            </w:pPr>
            <w:r>
              <w:t xml:space="preserve">1</w:t>
            </w:r>
          </w:p>
        </w:tc>
        <w:tc>
          <w:tcPr/>
          <w:p>
            <w:pPr>
              <w:pStyle w:val="Compact"/>
              <w:jc w:val="left"/>
              <w:suppressAutoHyphens/>
            </w:pPr>
            <w:r>
              <w:t xml:space="preserve">Commercial Engine project underperforms/fails Gate clearance</w:t>
            </w:r>
          </w:p>
        </w:tc>
        <w:tc>
          <w:tcPr/>
          <w:p>
            <w:pPr>
              <w:pStyle w:val="Compact"/>
              <w:jc w:val="left"/>
              <w:suppressAutoHyphens/>
            </w:pPr>
            <w:r>
              <w:t xml:space="preserve">Moderate/Low</w:t>
            </w:r>
          </w:p>
        </w:tc>
        <w:tc>
          <w:tcPr/>
          <w:p>
            <w:pPr>
              <w:pStyle w:val="Compact"/>
              <w:jc w:val="left"/>
              <w:suppressAutoHyphens/>
            </w:pPr>
            <w:r>
              <w:t xml:space="preserve">Gate A/B/C due-diligence clearance required before capital deployment</w:t>
            </w:r>
          </w:p>
        </w:tc>
      </w:tr>
      <w:tr>
        <w:trPr>
          <w:cantSplit/>
        </w:trPr>
        <w:tc>
          <w:tcPr/>
          <w:p>
            <w:pPr>
              <w:pStyle w:val="Compact"/>
              <w:jc w:val="left"/>
              <w:suppressAutoHyphens/>
            </w:pPr>
            <w:r>
              <w:t xml:space="preserve">2</w:t>
            </w:r>
          </w:p>
        </w:tc>
        <w:tc>
          <w:tcPr/>
          <w:p>
            <w:pPr>
              <w:pStyle w:val="Compact"/>
              <w:jc w:val="left"/>
              <w:suppressAutoHyphens/>
            </w:pPr>
            <w:r>
              <w:t xml:space="preserve">Credibility risk in a future CE offering</w:t>
            </w:r>
          </w:p>
        </w:tc>
        <w:tc>
          <w:tcPr/>
          <w:p>
            <w:pPr>
              <w:pStyle w:val="Compact"/>
              <w:jc w:val="left"/>
              <w:suppressAutoHyphens/>
            </w:pPr>
            <w:r>
              <w:t xml:space="preserve">Moderate/Medium</w:t>
            </w:r>
          </w:p>
        </w:tc>
        <w:tc>
          <w:tcPr/>
          <w:p>
            <w:pPr>
              <w:pStyle w:val="Compact"/>
              <w:jc w:val="left"/>
              <w:suppressAutoHyphens/>
            </w:pPr>
            <w:r>
              <w:t xml:space="preserve">Offering documents, disclosure discipline, arm’s-length firewall</w:t>
            </w:r>
          </w:p>
        </w:tc>
      </w:tr>
      <w:tr>
        <w:trPr>
          <w:cantSplit/>
        </w:trPr>
        <w:tc>
          <w:tcPr/>
          <w:p>
            <w:pPr>
              <w:pStyle w:val="Compact"/>
              <w:jc w:val="left"/>
              <w:suppressAutoHyphens/>
            </w:pPr>
            <w:r>
              <w:t xml:space="preserve">3</w:t>
            </w:r>
          </w:p>
        </w:tc>
        <w:tc>
          <w:tcPr/>
          <w:p>
            <w:pPr>
              <w:pStyle w:val="Compact"/>
              <w:jc w:val="left"/>
              <w:suppressAutoHyphens/>
            </w:pPr>
            <w:r>
              <w:t xml:space="preserve">Sharī’ah-compliance risk in the CE</w:t>
            </w:r>
          </w:p>
        </w:tc>
        <w:tc>
          <w:tcPr/>
          <w:p>
            <w:pPr>
              <w:pStyle w:val="Compact"/>
              <w:jc w:val="left"/>
              <w:suppressAutoHyphens/>
            </w:pPr>
            <w:r>
              <w:t xml:space="preserve">Low/High</w:t>
            </w:r>
          </w:p>
        </w:tc>
        <w:tc>
          <w:tcPr/>
          <w:p>
            <w:pPr>
              <w:pStyle w:val="Compact"/>
              <w:jc w:val="left"/>
              <w:suppressAutoHyphens/>
            </w:pPr>
            <w:r>
              <w:t xml:space="preserve">Independent Sharī’ah Advisory Board biennial re-certification</w:t>
            </w:r>
          </w:p>
        </w:tc>
      </w:tr>
      <w:tr>
        <w:trPr>
          <w:cantSplit/>
        </w:trPr>
        <w:tc>
          <w:tcPr/>
          <w:p>
            <w:pPr>
              <w:pStyle w:val="Compact"/>
              <w:jc w:val="left"/>
              <w:suppressAutoHyphens/>
            </w:pPr>
            <w:r>
              <w:t xml:space="preserve">4</w:t>
            </w:r>
          </w:p>
        </w:tc>
        <w:tc>
          <w:tcPr/>
          <w:p>
            <w:pPr>
              <w:pStyle w:val="Compact"/>
              <w:jc w:val="left"/>
              <w:suppressAutoHyphens/>
            </w:pPr>
            <w:r>
              <w:t xml:space="preserve">Waqf Strategic Business Reserve deployment governance</w:t>
            </w:r>
          </w:p>
        </w:tc>
        <w:tc>
          <w:tcPr/>
          <w:p>
            <w:pPr>
              <w:pStyle w:val="Compact"/>
              <w:jc w:val="left"/>
              <w:suppressAutoHyphens/>
            </w:pPr>
            <w:r>
              <w:t xml:space="preserve">Low/Medium</w:t>
            </w:r>
          </w:p>
        </w:tc>
        <w:tc>
          <w:tcPr/>
          <w:p>
            <w:pPr>
              <w:pStyle w:val="Compact"/>
              <w:jc w:val="left"/>
              <w:suppressAutoHyphens/>
            </w:pPr>
            <w:r>
              <w:t xml:space="preserve">2/3 Senate vote + 2 independent seats above $250,000/yr</w:t>
            </w:r>
          </w:p>
        </w:tc>
      </w:tr>
      <w:tr>
        <w:trPr>
          <w:cantSplit/>
        </w:trPr>
        <w:tc>
          <w:tcPr/>
          <w:p>
            <w:pPr>
              <w:pStyle w:val="Compact"/>
              <w:jc w:val="left"/>
              <w:suppressAutoHyphens/>
            </w:pPr>
            <w:r>
              <w:t xml:space="preserve">5</w:t>
            </w:r>
          </w:p>
        </w:tc>
        <w:tc>
          <w:tcPr/>
          <w:p>
            <w:pPr>
              <w:pStyle w:val="Compact"/>
              <w:jc w:val="left"/>
              <w:suppressAutoHyphens/>
            </w:pPr>
            <w:r>
              <w:t xml:space="preserve">Founder/Senate self-compensation governance</w:t>
            </w:r>
          </w:p>
        </w:tc>
        <w:tc>
          <w:tcPr/>
          <w:p>
            <w:pPr>
              <w:pStyle w:val="Compact"/>
              <w:jc w:val="left"/>
              <w:suppressAutoHyphens/>
            </w:pPr>
            <w:r>
              <w:t xml:space="preserve">Low/Medium</w:t>
            </w:r>
          </w:p>
        </w:tc>
        <w:tc>
          <w:tcPr/>
          <w:p>
            <w:pPr>
              <w:pStyle w:val="Compact"/>
              <w:jc w:val="left"/>
              <w:suppressAutoHyphens/>
            </w:pPr>
            <w:r>
              <w:t xml:space="preserve">All 4 independent Senate seats’ affirmative approval, published annually</w:t>
            </w:r>
          </w:p>
        </w:tc>
      </w:tr>
      <w:tr>
        <w:trPr>
          <w:cantSplit/>
        </w:trPr>
        <w:tc>
          <w:tcPr/>
          <w:p>
            <w:pPr>
              <w:pStyle w:val="Compact"/>
              <w:jc w:val="left"/>
              <w:suppressAutoHyphens/>
            </w:pPr>
            <w:r>
              <w:t xml:space="preserve">6</w:t>
            </w:r>
          </w:p>
        </w:tc>
        <w:tc>
          <w:tcPr/>
          <w:p>
            <w:pPr>
              <w:pStyle w:val="Compact"/>
              <w:jc w:val="left"/>
              <w:suppressAutoHyphens/>
            </w:pPr>
            <w:r>
              <w:t xml:space="preserve">Nigeria Mega-University delay/non-approval</w:t>
            </w:r>
          </w:p>
        </w:tc>
        <w:tc>
          <w:tcPr/>
          <w:p>
            <w:pPr>
              <w:pStyle w:val="Compact"/>
              <w:jc w:val="left"/>
              <w:suppressAutoHyphens/>
            </w:pPr>
            <w:r>
              <w:t xml:space="preserve">Moderate/Medium</w:t>
            </w:r>
          </w:p>
        </w:tc>
        <w:tc>
          <w:tcPr/>
          <w:p>
            <w:pPr>
              <w:pStyle w:val="Compact"/>
              <w:jc w:val="left"/>
              <w:suppressAutoHyphens/>
            </w:pPr>
            <w:r>
              <w:t xml:space="preserve">Framed as funding target, not guarantee; doesn’t affect solvency</w:t>
            </w:r>
          </w:p>
        </w:tc>
      </w:tr>
      <w:tr>
        <w:trPr>
          <w:cantSplit/>
        </w:trPr>
        <w:tc>
          <w:tcPr/>
          <w:p>
            <w:pPr>
              <w:pStyle w:val="Compact"/>
              <w:jc w:val="left"/>
              <w:suppressAutoHyphens/>
            </w:pPr>
            <w:r>
              <w:t xml:space="preserve">7</w:t>
            </w:r>
          </w:p>
        </w:tc>
        <w:tc>
          <w:tcPr/>
          <w:p>
            <w:pPr>
              <w:pStyle w:val="Compact"/>
              <w:jc w:val="left"/>
              <w:suppressAutoHyphens/>
            </w:pPr>
            <w:r>
              <w:t xml:space="preserve">Faculty attrition/burnout during founding growth</w:t>
            </w:r>
          </w:p>
        </w:tc>
        <w:tc>
          <w:tcPr/>
          <w:p>
            <w:pPr>
              <w:pStyle w:val="Compact"/>
              <w:jc w:val="left"/>
              <w:suppressAutoHyphens/>
            </w:pPr>
            <w:r>
              <w:t xml:space="preserve">Moderate/Medium</w:t>
            </w:r>
          </w:p>
        </w:tc>
        <w:tc>
          <w:tcPr/>
          <w:p>
            <w:pPr>
              <w:pStyle w:val="Compact"/>
              <w:jc w:val="left"/>
              <w:suppressAutoHyphens/>
            </w:pPr>
            <w:r>
              <w:t xml:space="preserve">Faculty Honoraria contractually 40% of Payroll, no ceiling, scales with revenue</w:t>
            </w:r>
          </w:p>
        </w:tc>
      </w:tr>
      <w:tr>
        <w:trPr>
          <w:cantSplit/>
        </w:trPr>
        <w:tc>
          <w:tcPr/>
          <w:p>
            <w:pPr>
              <w:pStyle w:val="Compact"/>
              <w:jc w:val="left"/>
              <w:suppressAutoHyphens/>
            </w:pPr>
            <w:r>
              <w:t xml:space="preserve">8</w:t>
            </w:r>
          </w:p>
        </w:tc>
        <w:tc>
          <w:tcPr/>
          <w:p>
            <w:pPr>
              <w:pStyle w:val="Compact"/>
              <w:jc w:val="left"/>
              <w:suppressAutoHyphens/>
            </w:pPr>
            <w:r>
              <w:t xml:space="preserve">Nonprofit/for-profit commingling scrutiny (IRS)</w:t>
            </w:r>
          </w:p>
        </w:tc>
        <w:tc>
          <w:tcPr/>
          <w:p>
            <w:pPr>
              <w:pStyle w:val="Compact"/>
              <w:jc w:val="left"/>
              <w:suppressAutoHyphens/>
            </w:pPr>
            <w:r>
              <w:t xml:space="preserve">Low/High</w:t>
            </w:r>
          </w:p>
        </w:tc>
        <w:tc>
          <w:tcPr/>
          <w:p>
            <w:pPr>
              <w:pStyle w:val="Compact"/>
              <w:jc w:val="left"/>
              <w:suppressAutoHyphens/>
            </w:pPr>
            <w:r>
              <w:t xml:space="preserve">University costs never touch CE obligations; fair-market-value shared services; independent legal counsel before any firewall amendment</w:t>
            </w:r>
          </w:p>
        </w:tc>
      </w:tr>
      <w:tr>
        <w:trPr>
          <w:cantSplit/>
        </w:trPr>
        <w:tc>
          <w:tcPr/>
          <w:p>
            <w:pPr>
              <w:pStyle w:val="Compact"/>
              <w:jc w:val="left"/>
              <w:suppressAutoHyphens/>
            </w:pPr>
            <w:r>
              <w:t xml:space="preserve">9</w:t>
            </w:r>
          </w:p>
        </w:tc>
        <w:tc>
          <w:tcPr/>
          <w:p>
            <w:pPr>
              <w:pStyle w:val="Compact"/>
              <w:jc w:val="left"/>
              <w:suppressAutoHyphens/>
            </w:pPr>
            <w:r>
              <w:t xml:space="preserve">Regional payment-gateway disruption</w:t>
            </w:r>
          </w:p>
        </w:tc>
        <w:tc>
          <w:tcPr/>
          <w:p>
            <w:pPr>
              <w:pStyle w:val="Compact"/>
              <w:jc w:val="left"/>
              <w:suppressAutoHyphens/>
            </w:pPr>
            <w:r>
              <w:t xml:space="preserve">Moderate/Medium</w:t>
            </w:r>
          </w:p>
        </w:tc>
        <w:tc>
          <w:tcPr/>
          <w:p>
            <w:pPr>
              <w:pStyle w:val="Compact"/>
              <w:jc w:val="left"/>
              <w:suppressAutoHyphens/>
            </w:pPr>
            <w:r>
              <w:t xml:space="preserve">Redundant gateways per region + bank-transfer fallback</w:t>
            </w:r>
          </w:p>
        </w:tc>
      </w:tr>
      <w:tr>
        <w:trPr>
          <w:cantSplit/>
        </w:trPr>
        <w:tc>
          <w:tcPr/>
          <w:p>
            <w:pPr>
              <w:pStyle w:val="Compact"/>
              <w:jc w:val="left"/>
              <w:suppressAutoHyphens/>
            </w:pPr>
            <w:r>
              <w:t xml:space="preserve">10</w:t>
            </w:r>
          </w:p>
        </w:tc>
        <w:tc>
          <w:tcPr/>
          <w:p>
            <w:pPr>
              <w:pStyle w:val="Compact"/>
              <w:jc w:val="left"/>
              <w:suppressAutoHyphens/>
            </w:pPr>
            <w:r>
              <w:t xml:space="preserve">Country tier misclassification disputes</w:t>
            </w:r>
          </w:p>
        </w:tc>
        <w:tc>
          <w:tcPr/>
          <w:p>
            <w:pPr>
              <w:pStyle w:val="Compact"/>
              <w:jc w:val="left"/>
              <w:suppressAutoHyphens/>
            </w:pPr>
            <w:r>
              <w:t xml:space="preserve">Low/Low</w:t>
            </w:r>
          </w:p>
        </w:tc>
        <w:tc>
          <w:tcPr/>
          <w:p>
            <w:pPr>
              <w:pStyle w:val="Compact"/>
              <w:jc w:val="left"/>
              <w:suppressAutoHyphens/>
            </w:pPr>
            <w:r>
              <w:t xml:space="preserve">Transparent published tier list; appeal via info@edu.amiu.com</w:t>
            </w:r>
          </w:p>
        </w:tc>
      </w:tr>
      <w:tr>
        <w:trPr>
          <w:cantSplit/>
        </w:trPr>
        <w:tc>
          <w:tcPr/>
          <w:p>
            <w:pPr>
              <w:pStyle w:val="Compact"/>
              <w:jc w:val="left"/>
              <w:suppressAutoHyphens/>
            </w:pPr>
            <w:r>
              <w:t xml:space="preserve">11</w:t>
            </w:r>
          </w:p>
        </w:tc>
        <w:tc>
          <w:tcPr/>
          <w:p>
            <w:pPr>
              <w:pStyle w:val="Compact"/>
              <w:jc w:val="left"/>
              <w:suppressAutoHyphens/>
            </w:pPr>
            <w:r>
              <w:t xml:space="preserve">Accreditation candidacy delay beyond Year 5</w:t>
            </w:r>
          </w:p>
        </w:tc>
        <w:tc>
          <w:tcPr/>
          <w:p>
            <w:pPr>
              <w:pStyle w:val="Compact"/>
              <w:jc w:val="left"/>
              <w:suppressAutoHyphens/>
            </w:pPr>
            <w:r>
              <w:t xml:space="preserve">Moderate/Medium</w:t>
            </w:r>
          </w:p>
        </w:tc>
        <w:tc>
          <w:tcPr/>
          <w:p>
            <w:pPr>
              <w:pStyle w:val="Compact"/>
              <w:jc w:val="left"/>
              <w:suppressAutoHyphens/>
            </w:pPr>
            <w:r>
              <w:t xml:space="preserve">Programs remain religious-exemption-valid; candidacy funded from retained reserve, not survival-dependent</w:t>
            </w:r>
          </w:p>
        </w:tc>
      </w:tr>
      <w:tr>
        <w:trPr>
          <w:cantSplit/>
        </w:trPr>
        <w:tc>
          <w:tcPr/>
          <w:p>
            <w:pPr>
              <w:pStyle w:val="Compact"/>
              <w:jc w:val="left"/>
              <w:suppressAutoHyphens/>
            </w:pPr>
            <w:r>
              <w:t xml:space="preserve">12</w:t>
            </w:r>
          </w:p>
        </w:tc>
        <w:tc>
          <w:tcPr/>
          <w:p>
            <w:pPr>
              <w:pStyle w:val="Compact"/>
              <w:jc w:val="left"/>
              <w:suppressAutoHyphens/>
            </w:pPr>
            <w:r>
              <w:t xml:space="preserve">Key-person risk (three founders)</w:t>
            </w:r>
          </w:p>
        </w:tc>
        <w:tc>
          <w:tcPr/>
          <w:p>
            <w:pPr>
              <w:pStyle w:val="Compact"/>
              <w:jc w:val="left"/>
              <w:suppressAutoHyphens/>
            </w:pPr>
            <w:r>
              <w:t xml:space="preserve">Moderate/High</w:t>
            </w:r>
          </w:p>
        </w:tc>
        <w:tc>
          <w:tcPr/>
          <w:p>
            <w:pPr>
              <w:pStyle w:val="Compact"/>
              <w:jc w:val="left"/>
              <w:suppressAutoHyphens/>
            </w:pPr>
            <w:r>
              <w:t xml:space="preserve">Senate succession policy; documented successor plans for seats 2–4 by Year 3</w:t>
            </w:r>
          </w:p>
        </w:tc>
      </w:tr>
      <w:tr>
        <w:trPr>
          <w:cantSplit/>
        </w:trPr>
        <w:tc>
          <w:tcPr/>
          <w:p>
            <w:pPr>
              <w:pStyle w:val="Compact"/>
              <w:jc w:val="left"/>
              <w:suppressAutoHyphens/>
            </w:pPr>
            <w:r>
              <w:t xml:space="preserve">13</w:t>
            </w:r>
          </w:p>
        </w:tc>
        <w:tc>
          <w:tcPr/>
          <w:p>
            <w:pPr>
              <w:pStyle w:val="Compact"/>
              <w:jc w:val="left"/>
              <w:suppressAutoHyphens/>
            </w:pPr>
            <w:r>
              <w:t xml:space="preserve">Currency/FX exposure across four pricing tiers</w:t>
            </w:r>
          </w:p>
        </w:tc>
        <w:tc>
          <w:tcPr/>
          <w:p>
            <w:pPr>
              <w:pStyle w:val="Compact"/>
              <w:jc w:val="left"/>
              <w:suppressAutoHyphens/>
            </w:pPr>
            <w:r>
              <w:t xml:space="preserve">Moderate/Medium</w:t>
            </w:r>
          </w:p>
        </w:tc>
        <w:tc>
          <w:tcPr/>
          <w:p>
            <w:pPr>
              <w:pStyle w:val="Compact"/>
              <w:jc w:val="left"/>
              <w:suppressAutoHyphens/>
            </w:pPr>
            <w:r>
              <w:t xml:space="preserve">Multi-currency collection converted to USD on rolling basis</w:t>
            </w:r>
          </w:p>
        </w:tc>
      </w:tr>
      <w:tr>
        <w:trPr>
          <w:cantSplit/>
        </w:trPr>
        <w:tc>
          <w:tcPr/>
          <w:p>
            <w:pPr>
              <w:pStyle w:val="Compact"/>
              <w:jc w:val="left"/>
              <w:suppressAutoHyphens/>
            </w:pPr>
            <w:r>
              <w:t xml:space="preserve">14</w:t>
            </w:r>
          </w:p>
        </w:tc>
        <w:tc>
          <w:tcPr/>
          <w:p>
            <w:pPr>
              <w:pStyle w:val="Compact"/>
              <w:jc w:val="left"/>
              <w:suppressAutoHyphens/>
            </w:pPr>
            <w:r>
              <w:t xml:space="preserve">Geopolitical disruption in Tier-4 weighted regions</w:t>
            </w:r>
          </w:p>
        </w:tc>
        <w:tc>
          <w:tcPr/>
          <w:p>
            <w:pPr>
              <w:pStyle w:val="Compact"/>
              <w:jc w:val="left"/>
              <w:suppressAutoHyphens/>
            </w:pPr>
            <w:r>
              <w:t xml:space="preserve">Moderate/Low-Medium</w:t>
            </w:r>
          </w:p>
        </w:tc>
        <w:tc>
          <w:tcPr/>
          <w:p>
            <w:pPr>
              <w:pStyle w:val="Compact"/>
              <w:jc w:val="left"/>
              <w:suppressAutoHyphens/>
            </w:pPr>
            <w:r>
              <w:t xml:space="preserve">No single region exceeds 10% of Tier-4 population-weighted share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8"/>
        </w:numPr>
        <w:pStyle w:val="Compact"/>
        <w:shd w:val="clear" w:color="auto" w:fill="F7F3E8"/>
        <w:pBdr>
          <w:left w:val="single" w:sz="24" w:space="10" w:color="B08625"/>
        </w:pBdr>
        <w:ind w:left="300"/>
        <w:spacing w:before="0" w:after="0"/>
        <w:jc w:val="both"/>
      </w:pPr>
      <w:r>
        <w:t xml:space="preserve">100% of the 14 (growing to 17+) risks reviewed at least quarterly by the Audit &amp; Risk Committee.</w:t>
      </w:r>
    </w:p>
    <w:p>
      <w:pPr>
        <w:numPr>
          <w:ilvl w:val="0"/>
          <w:numId w:val="1028"/>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8"/>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8"/>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Ultimate risk-appetite owner; approves Liquidity Reserve draws for resilience</w:t>
            </w:r>
          </w:p>
        </w:tc>
      </w:tr>
      <w:tr>
        <w:trPr>
          <w:cantSplit/>
        </w:trPr>
        <w:tc>
          <w:tcPr/>
          <w:p>
            <w:pPr>
              <w:pStyle w:val="Compact"/>
              <w:jc w:val="left"/>
              <w:suppressAutoHyphens/>
            </w:pPr>
            <w:r>
              <w:t xml:space="preserve">Audit &amp; Risk Committee</w:t>
            </w:r>
          </w:p>
        </w:tc>
        <w:tc>
          <w:tcPr/>
          <w:p>
            <w:pPr>
              <w:pStyle w:val="Compact"/>
              <w:jc w:val="left"/>
              <w:suppressAutoHyphens/>
            </w:pPr>
            <w:r>
              <w:t xml:space="preserve">Operational register owner; quarterly review; independent of Administration</w:t>
            </w:r>
          </w:p>
        </w:tc>
      </w:tr>
      <w:tr>
        <w:trPr>
          <w:cantSplit/>
        </w:trPr>
        <w:tc>
          <w:tcPr/>
          <w:p>
            <w:pPr>
              <w:pStyle w:val="Compact"/>
              <w:jc w:val="left"/>
              <w:suppressAutoHyphens/>
            </w:pPr>
            <w:r>
              <w:t xml:space="preserve">University Senate</w:t>
            </w:r>
          </w:p>
        </w:tc>
        <w:tc>
          <w:tcPr/>
          <w:p>
            <w:pPr>
              <w:pStyle w:val="Compact"/>
              <w:jc w:val="left"/>
              <w:suppressAutoHyphens/>
            </w:pPr>
            <w:r>
              <w:t xml:space="preserve">Escalates academic/program risk; 4 independent seats safeguard compensation-risk items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Owns Risks 4 and 6 (Waqf deployment, Nigeria Reserve)</w:t>
            </w:r>
          </w:p>
        </w:tc>
      </w:tr>
      <w:tr>
        <w:trPr>
          <w:cantSplit/>
        </w:trPr>
        <w:tc>
          <w:tcPr/>
          <w:p>
            <w:pPr>
              <w:pStyle w:val="Compact"/>
              <w:jc w:val="left"/>
              <w:suppressAutoHyphens/>
            </w:pPr>
            <w:r>
              <w:t xml:space="preserve">Sharī’ah Advisory Board</w:t>
            </w:r>
          </w:p>
        </w:tc>
        <w:tc>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Single compliance calendar maintained centrally (not per-department), reviewed by the Board Audit &amp; Risk Committee — standard nonprofit governance practice.</w:t>
      </w:r>
    </w:p>
    <w:p>
      <w:pPr>
        <w:numPr>
          <w:ilvl w:val="0"/>
          <w:numId w:val="1029"/>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9"/>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9"/>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Formation Compliance</w:t>
            </w:r>
          </w:p>
        </w:tc>
        <w:tc>
          <w:tcPr/>
          <w:p>
            <w:pPr>
              <w:pStyle w:val="Compact"/>
              <w:jc w:val="left"/>
              <w:suppressAutoHyphens/>
            </w:pPr>
            <w:r>
              <w:t xml:space="preserve">2027–2028</w:t>
            </w:r>
          </w:p>
        </w:tc>
        <w:tc>
          <w:tcPr/>
          <w:p>
            <w:pPr>
              <w:pStyle w:val="Compact"/>
              <w:jc w:val="left"/>
              <w:suppressAutoHyphens/>
            </w:pPr>
            <w:r>
              <w:t xml:space="preserve">Texas Certificate of Formation, EIN, IRS Form 1023, TX tax exemption, TWC Ch.132, USPTO Class 41 trademark</w:t>
            </w:r>
          </w:p>
        </w:tc>
      </w:tr>
      <w:tr>
        <w:trPr>
          <w:cantSplit/>
        </w:trPr>
        <w:tc>
          <w:tcPr/>
          <w:p>
            <w:pPr>
              <w:pStyle w:val="Compact"/>
              <w:jc w:val="left"/>
              <w:suppressAutoHyphens/>
            </w:pPr>
            <w:r>
              <w:t xml:space="preserve">II — Accreditation Onboarding</w:t>
            </w:r>
          </w:p>
        </w:tc>
        <w:tc>
          <w:tcPr/>
          <w:p>
            <w:pPr>
              <w:pStyle w:val="Compact"/>
              <w:jc w:val="left"/>
              <w:suppressAutoHyphens/>
            </w:pPr>
            <w:r>
              <w:t xml:space="preserve">2029–2031 (Yr 2–4)</w:t>
            </w:r>
          </w:p>
        </w:tc>
        <w:tc>
          <w:tcPr/>
          <w:p>
            <w:pPr>
              <w:pStyle w:val="Compact"/>
              <w:jc w:val="left"/>
              <w:suppressAutoHyphens/>
            </w:pPr>
            <w:r>
              <w:t xml:space="preserve">CPD (Yr 2), ISO 21001 (Yr 3), Gambia NAQAA registration and site visits</w:t>
            </w:r>
          </w:p>
        </w:tc>
      </w:tr>
      <w:tr>
        <w:trPr>
          <w:cantSplit/>
        </w:trPr>
        <w:tc>
          <w:tcPr/>
          <w:p>
            <w:pPr>
              <w:pStyle w:val="Compact"/>
              <w:jc w:val="left"/>
              <w:suppressAutoHyphens/>
            </w:pPr>
            <w:r>
              <w:t xml:space="preserve">III — Steady-State Cycle</w:t>
            </w:r>
          </w:p>
        </w:tc>
        <w:tc>
          <w:tcPr/>
          <w:p>
            <w:pPr>
              <w:pStyle w:val="Compact"/>
              <w:jc w:val="left"/>
              <w:suppressAutoHyphens/>
            </w:pPr>
            <w:r>
              <w:t xml:space="preserve">2032–2037 (Yr 5–10)</w:t>
            </w:r>
          </w:p>
        </w:tc>
        <w:tc>
          <w:tcPr/>
          <w:p>
            <w:pPr>
              <w:pStyle w:val="Compact"/>
              <w:jc w:val="left"/>
              <w:suppressAutoHyphens/>
            </w:pPr>
            <w:r>
              <w:t xml:space="preserve">Annual 990 filings, ISO surveillance audits, CPD renewals, NAQAA reporting</w:t>
            </w:r>
          </w:p>
        </w:tc>
      </w:tr>
      <w:tr>
        <w:trPr>
          <w:cantSplit/>
        </w:trPr>
        <w:tc>
          <w:tcPr/>
          <w:p>
            <w:pPr>
              <w:pStyle w:val="Compact"/>
              <w:jc w:val="left"/>
              <w:suppressAutoHyphens/>
            </w:pPr>
            <w:r>
              <w:t xml:space="preserve">IV — Secular/Regulatory Expansion</w:t>
            </w:r>
          </w:p>
        </w:tc>
        <w:tc>
          <w:tcPr/>
          <w:p>
            <w:pPr>
              <w:pStyle w:val="Compact"/>
              <w:jc w:val="left"/>
              <w:suppressAutoHyphens/>
            </w:pPr>
            <w:r>
              <w:t xml:space="preserve">2038+ (Yr 11+)</w:t>
            </w:r>
          </w:p>
        </w:tc>
        <w:tc>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Cost</w:t>
            </w:r>
          </w:p>
        </w:tc>
        <w:tc>
          <w:tcPr/>
          <w:p>
            <w:pPr>
              <w:pStyle w:val="Compact"/>
              <w:jc w:val="left"/>
              <w:suppressAutoHyphens/>
            </w:pPr>
            <w:r>
              <w:t xml:space="preserve">Funding Source</w:t>
            </w:r>
          </w:p>
        </w:tc>
      </w:tr>
      <w:tr>
        <w:trPr>
          <w:cantSplit/>
        </w:trPr>
        <w:tc>
          <w:tcPr/>
          <w:p>
            <w:pPr>
              <w:pStyle w:val="Compact"/>
              <w:jc w:val="left"/>
              <w:suppressAutoHyphens/>
            </w:pPr>
            <w:r>
              <w:t xml:space="preserve">Texas formation (one-time)</w:t>
            </w:r>
          </w:p>
        </w:tc>
        <w:tc>
          <w:tcPr/>
          <w:p>
            <w:pPr>
              <w:pStyle w:val="Compact"/>
              <w:jc w:val="left"/>
              <w:suppressAutoHyphens/>
            </w:pPr>
            <w:r>
              <w:t xml:space="preserve">~$1,015</w:t>
            </w:r>
          </w:p>
        </w:tc>
        <w:tc>
          <w:tcPr/>
          <w:p>
            <w:pPr>
              <w:pStyle w:val="Compact"/>
              <w:jc w:val="left"/>
              <w:suppressAutoHyphens/>
            </w:pPr>
            <w:r>
              <w:t xml:space="preserve">Year-1 OpEx ($11,237)</w:t>
            </w:r>
          </w:p>
        </w:tc>
      </w:tr>
      <w:tr>
        <w:trPr>
          <w:cantSplit/>
        </w:trPr>
        <w:tc>
          <w:tcPr/>
          <w:p>
            <w:pPr>
              <w:pStyle w:val="Compact"/>
              <w:jc w:val="left"/>
              <w:suppressAutoHyphens/>
            </w:pPr>
            <w:r>
              <w:t xml:space="preserve">Registered agent</w:t>
            </w:r>
          </w:p>
        </w:tc>
        <w:tc>
          <w:tcPr/>
          <w:p>
            <w:pPr>
              <w:pStyle w:val="Compact"/>
              <w:jc w:val="left"/>
              <w:suppressAutoHyphens/>
            </w:pPr>
            <w:r>
              <w:t xml:space="preserve">~$150/yr</w:t>
            </w:r>
          </w:p>
        </w:tc>
        <w:tc>
          <w:tcPr/>
          <w:p>
            <w:pPr>
              <w:pStyle w:val="Compact"/>
              <w:jc w:val="left"/>
              <w:suppressAutoHyphens/>
            </w:pPr>
            <w:r>
              <w:t xml:space="preserve">OpEx</w:t>
            </w:r>
          </w:p>
        </w:tc>
      </w:tr>
      <w:tr>
        <w:trPr>
          <w:cantSplit/>
        </w:trPr>
        <w:tc>
          <w:tcPr/>
          <w:p>
            <w:pPr>
              <w:pStyle w:val="Compact"/>
              <w:jc w:val="left"/>
              <w:suppressAutoHyphens/>
            </w:pPr>
            <w:r>
              <w:t xml:space="preserve">CPD accreditation</w:t>
            </w:r>
          </w:p>
        </w:tc>
        <w:tc>
          <w:tcPr/>
          <w:p>
            <w:pPr>
              <w:pStyle w:val="Compact"/>
              <w:jc w:val="left"/>
              <w:suppressAutoHyphens/>
            </w:pPr>
            <w:r>
              <w:t xml:space="preserve">$4,000 initial (Yr 2) + $1,200/yr</w:t>
            </w:r>
          </w:p>
        </w:tc>
        <w:tc>
          <w:tcPr/>
          <w:p>
            <w:pPr>
              <w:pStyle w:val="Compact"/>
              <w:jc w:val="left"/>
              <w:suppressAutoHyphens/>
            </w:pPr>
            <w:r>
              <w:t xml:space="preserve">OpEx</w:t>
            </w:r>
          </w:p>
        </w:tc>
      </w:tr>
      <w:tr>
        <w:trPr>
          <w:cantSplit/>
        </w:trPr>
        <w:tc>
          <w:tcPr/>
          <w:p>
            <w:pPr>
              <w:pStyle w:val="Compact"/>
              <w:jc w:val="left"/>
              <w:suppressAutoHyphens/>
            </w:pPr>
            <w:r>
              <w:t xml:space="preserve">ISO 21001</w:t>
            </w:r>
          </w:p>
        </w:tc>
        <w:tc>
          <w:tcPr/>
          <w:p>
            <w:pPr>
              <w:pStyle w:val="Compact"/>
              <w:jc w:val="left"/>
              <w:suppressAutoHyphens/>
            </w:pPr>
            <w:r>
              <w:t xml:space="preserve">$12,000 initial (Yr 3) + $3,500/yr</w:t>
            </w:r>
          </w:p>
        </w:tc>
        <w:tc>
          <w:tcPr/>
          <w:p>
            <w:pPr>
              <w:pStyle w:val="Compact"/>
              <w:jc w:val="left"/>
              <w:suppressAutoHyphens/>
            </w:pPr>
            <w:r>
              <w:t xml:space="preserve">OpEx</w:t>
            </w:r>
          </w:p>
        </w:tc>
      </w:tr>
      <w:tr>
        <w:trPr>
          <w:cantSplit/>
        </w:trPr>
        <w:tc>
          <w:tcPr/>
          <w:p>
            <w:pPr>
              <w:pStyle w:val="Compact"/>
              <w:jc w:val="left"/>
              <w:suppressAutoHyphens/>
            </w:pPr>
            <w:r>
              <w:t xml:space="preserve">Gambia registration/trust/NAQAA (Stage 3 ceiling)</w:t>
            </w:r>
          </w:p>
        </w:tc>
        <w:tc>
          <w:tcPr/>
          <w:p>
            <w:pPr>
              <w:pStyle w:val="Compact"/>
              <w:jc w:val="left"/>
              <w:suppressAutoHyphens/>
            </w:pPr>
            <w:r>
              <w:t xml:space="preserve">$50,000 total (Yr 2–4)</w:t>
            </w:r>
          </w:p>
        </w:tc>
        <w:tc>
          <w:tcPr/>
          <w:p>
            <w:pPr>
              <w:pStyle w:val="Compact"/>
              <w:jc w:val="left"/>
              <w:suppressAutoHyphens/>
            </w:pPr>
            <w:r>
              <w:t xml:space="preserve">Liquidity Reserve (35%)</w:t>
            </w:r>
          </w:p>
        </w:tc>
      </w:tr>
      <w:tr>
        <w:trPr>
          <w:cantSplit/>
        </w:trPr>
        <w:tc>
          <w:tcPr/>
          <w:p>
            <w:pPr>
              <w:pStyle w:val="Compact"/>
              <w:jc w:val="left"/>
              <w:suppressAutoHyphens/>
            </w:pPr>
            <w:r>
              <w:t xml:space="preserve">Compliance coordinator time</w:t>
            </w:r>
          </w:p>
        </w:tc>
        <w:tc>
          <w:tcPr/>
          <w:p>
            <w:pPr>
              <w:pStyle w:val="Compact"/>
              <w:jc w:val="left"/>
              <w:suppressAutoHyphens/>
            </w:pPr>
            <w:r>
              <w:t xml:space="preserve">Embedded, no separate line</w:t>
            </w:r>
          </w:p>
        </w:tc>
        <w:tc>
          <w:tcPr/>
          <w:p>
            <w:pPr>
              <w:pStyle w:val="Compact"/>
              <w:jc w:val="left"/>
              <w:suppressAutoHyphens/>
            </w:pPr>
            <w:r>
              <w:t xml:space="preserve">Core Admin Staff (18% of Payroll)</w:t>
            </w:r>
          </w:p>
        </w:tc>
      </w:tr>
      <w:tr>
        <w:trPr>
          <w:cantSplit/>
        </w:trPr>
        <w:tc>
          <w:tcPr/>
          <w:p>
            <w:pPr>
              <w:pStyle w:val="Compact"/>
              <w:jc w:val="left"/>
              <w:suppressAutoHyphens/>
            </w:pPr>
            <w:r>
              <w:t xml:space="preserve">Future secular-accreditor candidacy fees (Yr 11+)</w:t>
            </w:r>
          </w:p>
        </w:tc>
        <w:tc>
          <w:tcPr/>
          <w:p>
            <w:pPr>
              <w:pStyle w:val="Compact"/>
              <w:jc w:val="left"/>
              <w:suppressAutoHyphens/>
            </w:pPr>
            <w:r>
              <w:t xml:space="preserve">Sized to that era’s OpEx/Liquidity Reserve</w:t>
            </w:r>
          </w:p>
        </w:tc>
        <w:tc>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Period</w:t>
            </w:r>
          </w:p>
        </w:tc>
        <w:tc>
          <w:tcPr/>
          <w:p>
            <w:pPr>
              <w:pStyle w:val="Compact"/>
              <w:jc w:val="left"/>
              <w:suppressAutoHyphens/>
            </w:pPr>
            <w:r>
              <w:t xml:space="preserve">Action</w:t>
            </w:r>
          </w:p>
        </w:tc>
      </w:tr>
      <w:tr>
        <w:trPr>
          <w:cantSplit/>
        </w:trPr>
        <w:tc>
          <w:tcPr/>
          <w:p>
            <w:pPr>
              <w:pStyle w:val="Compact"/>
              <w:jc w:val="left"/>
              <w:suppressAutoHyphens/>
            </w:pPr>
            <w:r>
              <w:t xml:space="preserve">Q1</w:t>
            </w:r>
          </w:p>
        </w:tc>
        <w:tc>
          <w:tcPr/>
          <w:p>
            <w:pPr>
              <w:pStyle w:val="Compact"/>
              <w:jc w:val="left"/>
              <w:suppressAutoHyphens/>
            </w:pPr>
            <w:r>
              <w:t xml:space="preserve">IRS Form 990 preparation; TX registered-agent renewal confirmation</w:t>
            </w:r>
          </w:p>
        </w:tc>
      </w:tr>
      <w:tr>
        <w:trPr>
          <w:cantSplit/>
        </w:trPr>
        <w:tc>
          <w:tcPr/>
          <w:p>
            <w:pPr>
              <w:pStyle w:val="Compact"/>
              <w:jc w:val="left"/>
              <w:suppressAutoHyphens/>
            </w:pPr>
            <w:r>
              <w:t xml:space="preserve">Q2</w:t>
            </w:r>
          </w:p>
        </w:tc>
        <w:tc>
          <w:tcPr/>
          <w:p>
            <w:pPr>
              <w:pStyle w:val="Compact"/>
              <w:jc w:val="left"/>
              <w:suppressAutoHyphens/>
            </w:pPr>
            <w:r>
              <w:t xml:space="preserve">ISO 21001 surveillance audit window (post-Yr 3); CPD renewal filing</w:t>
            </w:r>
          </w:p>
        </w:tc>
      </w:tr>
      <w:tr>
        <w:trPr>
          <w:cantSplit/>
        </w:trPr>
        <w:tc>
          <w:tcPr/>
          <w:p>
            <w:pPr>
              <w:pStyle w:val="Compact"/>
              <w:jc w:val="left"/>
              <w:suppressAutoHyphens/>
            </w:pPr>
            <w:r>
              <w:t xml:space="preserve">Q3</w:t>
            </w:r>
          </w:p>
        </w:tc>
        <w:tc>
          <w:tcPr/>
          <w:p>
            <w:pPr>
              <w:pStyle w:val="Compact"/>
              <w:jc w:val="left"/>
              <w:suppressAutoHyphens/>
            </w:pPr>
            <w:r>
              <w:t xml:space="preserve">Sharī’ah Advisory Board biennial re-certification (odd-numbered cycles) of Commercial Engine structures</w:t>
            </w:r>
          </w:p>
        </w:tc>
      </w:tr>
      <w:tr>
        <w:trPr>
          <w:cantSplit/>
        </w:trPr>
        <w:tc>
          <w:tcPr/>
          <w:p>
            <w:pPr>
              <w:pStyle w:val="Compact"/>
              <w:jc w:val="left"/>
              <w:suppressAutoHyphens/>
            </w:pPr>
            <w:r>
              <w:t xml:space="preserve">Q4</w:t>
            </w:r>
          </w:p>
        </w:tc>
        <w:tc>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p>
            <w:pPr>
              <w:pStyle w:val="Compact"/>
              <w:jc w:val="left"/>
              <w:suppressAutoHyphens/>
            </w:pPr>
            <w:r>
              <w:t xml:space="preserve">Ongoing</w:t>
            </w:r>
          </w:p>
        </w:tc>
        <w:tc>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Ultimate compliance accountability; approves Liquidity Reserve draws for Gambia/accreditation costs</w:t>
            </w:r>
          </w:p>
        </w:tc>
      </w:tr>
      <w:tr>
        <w:trPr>
          <w:cantSplit/>
        </w:trPr>
        <w:tc>
          <w:tcPr/>
          <w:p>
            <w:pPr>
              <w:pStyle w:val="Compact"/>
              <w:jc w:val="left"/>
              <w:suppressAutoHyphens/>
            </w:pPr>
            <w:r>
              <w:t xml:space="preserve">Audit &amp; Risk Committee</w:t>
            </w:r>
          </w:p>
        </w:tc>
        <w:tc>
          <w:tcPr/>
          <w:p>
            <w:pPr>
              <w:pStyle w:val="Compact"/>
              <w:jc w:val="left"/>
              <w:suppressAutoHyphens/>
            </w:pPr>
            <w:r>
              <w:t xml:space="preserve">Monitors calendar adherence; commissions independent legal-counsel opinions</w:t>
            </w:r>
          </w:p>
        </w:tc>
      </w:tr>
      <w:tr>
        <w:trPr>
          <w:cantSplit/>
        </w:trPr>
        <w:tc>
          <w:tcPr/>
          <w:p>
            <w:pPr>
              <w:pStyle w:val="Compact"/>
              <w:jc w:val="left"/>
              <w:suppressAutoHyphens/>
            </w:pPr>
            <w:r>
              <w:t xml:space="preserve">University Senate</w:t>
            </w:r>
          </w:p>
        </w:tc>
        <w:tc>
          <w:tcPr/>
          <w:p>
            <w:pPr>
              <w:pStyle w:val="Compact"/>
              <w:jc w:val="left"/>
              <w:suppressAutoHyphens/>
            </w:pPr>
            <w:r>
              <w:t xml:space="preserve">Owns academic-content compliance (TWC Ch.132 scope, future licensure-adjacent curricula)</w:t>
            </w:r>
          </w:p>
        </w:tc>
      </w:tr>
      <w:tr>
        <w:trPr>
          <w:cantSplit/>
        </w:trPr>
        <w:tc>
          <w:tcPr/>
          <w:p>
            <w:pPr>
              <w:pStyle w:val="Compact"/>
              <w:jc w:val="left"/>
              <w:suppressAutoHyphens/>
            </w:pPr>
            <w:r>
              <w:t xml:space="preserve">Waqf &amp; Endowment Board</w:t>
            </w:r>
          </w:p>
        </w:tc>
        <w:tc>
          <w:tcPr/>
          <w:p>
            <w:pPr>
              <w:pStyle w:val="Compact"/>
              <w:jc w:val="left"/>
              <w:suppressAutoHyphens/>
            </w:pPr>
            <w:r>
              <w:t xml:space="preserve">N/A directly, but reviewed for compliance of Waqf fund administration</w:t>
            </w:r>
          </w:p>
        </w:tc>
      </w:tr>
      <w:tr>
        <w:trPr>
          <w:cantSplit/>
        </w:trPr>
        <w:tc>
          <w:tcPr/>
          <w:p>
            <w:pPr>
              <w:pStyle w:val="Compact"/>
              <w:jc w:val="left"/>
              <w:suppressAutoHyphens/>
            </w:pPr>
            <w:r>
              <w:t xml:space="preserve">Sharī’ah Advisory Board</w:t>
            </w:r>
          </w:p>
        </w:tc>
        <w:tc>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670321"/>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6703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30"/>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30"/>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30"/>
        </w:numPr>
        <w:pStyle w:val="Compact"/>
        <w:jc w:val="both"/>
      </w:pPr>
      <w:r>
        <w:t xml:space="preserve">Scenario planning (conservative/expected/growth bands around one structural model, not three different budgets) is standard in nonprofit financial resilience planning.</w:t>
      </w:r>
    </w:p>
    <w:p>
      <w:pPr>
        <w:numPr>
          <w:ilvl w:val="0"/>
          <w:numId w:val="1030"/>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1"/>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1"/>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1"/>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Model Validation</w:t>
            </w:r>
          </w:p>
        </w:tc>
        <w:tc>
          <w:tcPr/>
          <w:p>
            <w:pPr>
              <w:pStyle w:val="Compact"/>
              <w:jc w:val="left"/>
              <w:suppressAutoHyphens/>
            </w:pPr>
            <w:r>
              <w:t xml:space="preserve">2028–2029</w:t>
            </w:r>
          </w:p>
        </w:tc>
        <w:tc>
          <w:tcPr/>
          <w:p>
            <w:pPr>
              <w:pStyle w:val="Compact"/>
              <w:jc w:val="left"/>
              <w:suppressAutoHyphens/>
            </w:pPr>
            <w:r>
              <w:t xml:space="preserve">Confirm actual revenue tracks within Conservative–Growth band</w:t>
            </w:r>
          </w:p>
        </w:tc>
      </w:tr>
      <w:tr>
        <w:trPr>
          <w:cantSplit/>
        </w:trPr>
        <w:tc>
          <w:tcPr/>
          <w:p>
            <w:pPr>
              <w:pStyle w:val="Compact"/>
              <w:jc w:val="left"/>
              <w:suppressAutoHyphens/>
            </w:pPr>
            <w:r>
              <w:t xml:space="preserve">II — Reserve Build</w:t>
            </w:r>
          </w:p>
        </w:tc>
        <w:tc>
          <w:tcPr/>
          <w:p>
            <w:pPr>
              <w:pStyle w:val="Compact"/>
              <w:jc w:val="left"/>
              <w:suppressAutoHyphens/>
            </w:pPr>
            <w:r>
              <w:t xml:space="preserve">2030–2034</w:t>
            </w:r>
          </w:p>
        </w:tc>
        <w:tc>
          <w:tcPr/>
          <w:p>
            <w:pPr>
              <w:pStyle w:val="Compact"/>
              <w:jc w:val="left"/>
              <w:suppressAutoHyphens/>
            </w:pPr>
            <w:r>
              <w:t xml:space="preserve">Liquidity Reserve and Strategic Business Reserve compound; first Gambia/accreditation draws</w:t>
            </w:r>
          </w:p>
        </w:tc>
      </w:tr>
      <w:tr>
        <w:trPr>
          <w:cantSplit/>
        </w:trPr>
        <w:tc>
          <w:tcPr/>
          <w:p>
            <w:pPr>
              <w:pStyle w:val="Compact"/>
              <w:jc w:val="left"/>
              <w:suppressAutoHyphens/>
            </w:pPr>
            <w:r>
              <w:t xml:space="preserve">III — Decade Audit</w:t>
            </w:r>
          </w:p>
        </w:tc>
        <w:tc>
          <w:tcPr/>
          <w:p>
            <w:pPr>
              <w:pStyle w:val="Compact"/>
              <w:jc w:val="left"/>
              <w:suppressAutoHyphens/>
            </w:pPr>
            <w:r>
              <w:t xml:space="preserve">2035–2037</w:t>
            </w:r>
          </w:p>
        </w:tc>
        <w:tc>
          <w:tcPr/>
          <w:p>
            <w:pPr>
              <w:pStyle w:val="Compact"/>
              <w:jc w:val="left"/>
              <w:suppressAutoHyphens/>
            </w:pPr>
            <w:r>
              <w:t xml:space="preserve">Ten-year audited zero-deficit track record completed — precondition for Year-11 secular accreditation</w:t>
            </w:r>
          </w:p>
        </w:tc>
      </w:tr>
      <w:tr>
        <w:trPr>
          <w:cantSplit/>
        </w:trPr>
        <w:tc>
          <w:tcPr/>
          <w:p>
            <w:pPr>
              <w:pStyle w:val="Compact"/>
              <w:jc w:val="left"/>
              <w:suppressAutoHyphens/>
            </w:pPr>
            <w:r>
              <w:t xml:space="preserve">IV — Scaled Sustainability</w:t>
            </w:r>
          </w:p>
        </w:tc>
        <w:tc>
          <w:tcPr/>
          <w:p>
            <w:pPr>
              <w:pStyle w:val="Compact"/>
              <w:jc w:val="left"/>
              <w:suppressAutoHyphens/>
            </w:pPr>
            <w:r>
              <w:t xml:space="preserve">2038+</w:t>
            </w:r>
          </w:p>
        </w:tc>
        <w:tc>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2"/>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2"/>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2"/>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2"/>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Exclusive tuition-setting authority; approves Liquidity Reserve draws</w:t>
            </w:r>
          </w:p>
        </w:tc>
      </w:tr>
      <w:tr>
        <w:trPr>
          <w:cantSplit/>
        </w:trPr>
        <w:tc>
          <w:tcPr/>
          <w:p>
            <w:pPr>
              <w:pStyle w:val="Compact"/>
              <w:jc w:val="left"/>
              <w:suppressAutoHyphens/>
            </w:pPr>
            <w:r>
              <w:t xml:space="preserve">Audit &amp; Risk Committee</w:t>
            </w:r>
          </w:p>
        </w:tc>
        <w:tc>
          <w:tcPr/>
          <w:p>
            <w:pPr>
              <w:pStyle w:val="Compact"/>
              <w:jc w:val="left"/>
              <w:suppressAutoHyphens/>
            </w:pPr>
            <w:r>
              <w:t xml:space="preserve">Monitors reconciliation-to-the-dollar; triggers Downside Review</w:t>
            </w:r>
          </w:p>
        </w:tc>
      </w:tr>
      <w:tr>
        <w:trPr>
          <w:cantSplit/>
        </w:trPr>
        <w:tc>
          <w:tcPr/>
          <w:p>
            <w:pPr>
              <w:pStyle w:val="Compact"/>
              <w:jc w:val="left"/>
              <w:suppressAutoHyphens/>
            </w:pPr>
            <w:r>
              <w:t xml:space="preserve">University Senate</w:t>
            </w:r>
          </w:p>
        </w:tc>
        <w:tc>
          <w:tcPr/>
          <w:p>
            <w:pPr>
              <w:pStyle w:val="Compact"/>
              <w:jc w:val="left"/>
              <w:suppressAutoHyphens/>
            </w:pPr>
            <w:r>
              <w:t xml:space="preserve">Reviews Payroll-line implications (Faculty Honoraria, Senate Stipends)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Fiduciary over Strategic Business Reserve investment discipline</w:t>
            </w:r>
          </w:p>
        </w:tc>
      </w:tr>
      <w:tr>
        <w:trPr>
          <w:cantSplit/>
        </w:trPr>
        <w:tc>
          <w:tcPr/>
          <w:p>
            <w:pPr>
              <w:pStyle w:val="Compact"/>
              <w:jc w:val="left"/>
              <w:suppressAutoHyphens/>
            </w:pPr>
            <w:r>
              <w:t xml:space="preserve">Sharī’ah Advisory Board</w:t>
            </w:r>
          </w:p>
        </w:tc>
        <w:tc>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69774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69774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3"/>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3"/>
        </w:numPr>
        <w:pStyle w:val="Compact"/>
        <w:jc w:val="both"/>
      </w:pPr>
      <w:r>
        <w:t xml:space="preserve">Phased capital ceilings (a board-approved not-to-exceed figure before groundbreaking) rather than open-ended construction budgets — exactly the Gambia $50,000 model.</w:t>
      </w:r>
    </w:p>
    <w:p>
      <w:pPr>
        <w:numPr>
          <w:ilvl w:val="0"/>
          <w:numId w:val="1033"/>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3"/>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Project</w:t>
            </w:r>
          </w:p>
        </w:tc>
        <w:tc>
          <w:tcPr/>
          <w:p>
            <w:pPr>
              <w:pStyle w:val="Compact"/>
              <w:jc w:val="left"/>
              <w:suppressAutoHyphens/>
            </w:pPr>
            <w:r>
              <w:t xml:space="preserve">Years</w:t>
            </w:r>
          </w:p>
        </w:tc>
        <w:tc>
          <w:tcPr/>
          <w:p>
            <w:pPr>
              <w:pStyle w:val="Compact"/>
              <w:jc w:val="left"/>
              <w:suppressAutoHyphens/>
            </w:pPr>
            <w:r>
              <w:t xml:space="preserve">Funding Source</w:t>
            </w:r>
          </w:p>
        </w:tc>
        <w:tc>
          <w:tcPr/>
          <w:p>
            <w:pPr>
              <w:pStyle w:val="Compact"/>
              <w:jc w:val="left"/>
              <w:suppressAutoHyphens/>
            </w:pPr>
            <w:r>
              <w:t xml:space="preserve">Notes</w:t>
            </w:r>
          </w:p>
        </w:tc>
      </w:tr>
      <w:tr>
        <w:trPr>
          <w:cantSplit/>
        </w:trPr>
        <w:tc>
          <w:tcPr/>
          <w:p>
            <w:pPr>
              <w:pStyle w:val="Compact"/>
              <w:jc w:val="left"/>
              <w:suppressAutoHyphens/>
            </w:pPr>
            <w:r>
              <w:t xml:space="preserve">Gambia Branch Campus build-out</w:t>
            </w:r>
          </w:p>
        </w:tc>
        <w:tc>
          <w:tcPr/>
          <w:p>
            <w:pPr>
              <w:pStyle w:val="Compact"/>
              <w:jc w:val="left"/>
              <w:suppressAutoHyphens/>
            </w:pPr>
            <w:r>
              <w:t xml:space="preserve">Yr 2–4 (2029–2031)</w:t>
            </w:r>
          </w:p>
        </w:tc>
        <w:tc>
          <w:tcPr/>
          <w:p>
            <w:pPr>
              <w:pStyle w:val="Compact"/>
              <w:jc w:val="left"/>
              <w:suppressAutoHyphens/>
            </w:pPr>
            <w:r>
              <w:t xml:space="preserve">University Liquidity Reserve (35% line)</w:t>
            </w:r>
          </w:p>
        </w:tc>
        <w:tc>
          <w:tcPr/>
          <w:p>
            <w:pPr>
              <w:pStyle w:val="Compact"/>
              <w:jc w:val="left"/>
              <w:suppressAutoHyphens/>
            </w:pPr>
            <w:r>
              <w:t xml:space="preserve">$50,000 board-approved ceiling: registration $3,000, office lease $2,000, statutory trust capitalization $10,000, NAQAA accreditation $30,000, local counsel $5,000</w:t>
            </w:r>
          </w:p>
        </w:tc>
      </w:tr>
      <w:tr>
        <w:trPr>
          <w:cantSplit/>
        </w:trPr>
        <w:tc>
          <w:tcPr/>
          <w:p>
            <w:pPr>
              <w:pStyle w:val="Compact"/>
              <w:jc w:val="left"/>
              <w:suppressAutoHyphens/>
            </w:pPr>
            <w:r>
              <w:t xml:space="preserve">Nigeria Mega-University land/seed capital</w:t>
            </w:r>
          </w:p>
        </w:tc>
        <w:tc>
          <w:tcPr/>
          <w:p>
            <w:pPr>
              <w:pStyle w:val="Compact"/>
              <w:jc w:val="left"/>
              <w:suppressAutoHyphens/>
            </w:pPr>
            <w:r>
              <w:t xml:space="preserve">Yr 6+ (2033+), target maturity 2040s</w:t>
            </w:r>
          </w:p>
        </w:tc>
        <w:tc>
          <w:tcPr/>
          <w:p>
            <w:pPr>
              <w:pStyle w:val="Compact"/>
              <w:jc w:val="left"/>
              <w:suppressAutoHyphens/>
            </w:pPr>
            <w:r>
              <w:t xml:space="preserve">Waqf Nigeria Mega-University Reserve sub-line (20% of the 50% distributed Waqf pool = 2% of gross revenue; 10-yr cumulative ≈ $333,383)</w:t>
            </w:r>
          </w:p>
        </w:tc>
        <w:tc>
          <w:tcPr/>
          <w:p>
            <w:pPr>
              <w:pStyle w:val="Compact"/>
              <w:jc w:val="left"/>
              <w:suppressAutoHyphens/>
            </w:pPr>
            <w:r>
              <w:t xml:space="preserve">Framed per Risk 6 as a funding target, not a guarantee; delay does not affect University solvency</w:t>
            </w:r>
          </w:p>
        </w:tc>
      </w:tr>
      <w:tr>
        <w:trPr>
          <w:cantSplit/>
        </w:trPr>
        <w:tc>
          <w:tcPr/>
          <w:p>
            <w:pPr>
              <w:pStyle w:val="Compact"/>
              <w:jc w:val="left"/>
              <w:suppressAutoHyphens/>
            </w:pPr>
            <w:r>
              <w:t xml:space="preserve">Nigeria residential colleges/library (full build-out)</w:t>
            </w:r>
          </w:p>
        </w:tc>
        <w:tc>
          <w:tcPr/>
          <w:p>
            <w:pPr>
              <w:pStyle w:val="Compact"/>
              <w:jc w:val="left"/>
              <w:suppressAutoHyphens/>
            </w:pPr>
            <w:r>
              <w:t xml:space="preserve">Post Yr 11 (2038+)</w:t>
            </w:r>
          </w:p>
        </w:tc>
        <w:tc>
          <w:tcPr/>
          <w:p>
            <w:pPr>
              <w:pStyle w:val="Compact"/>
              <w:jc w:val="left"/>
              <w:suppressAutoHyphens/>
            </w:pPr>
            <w:r>
              <w:t xml:space="preserve">Waqf Nigeria Reserve continuing accrual + possible dedicated Waqf capital campaign</w:t>
            </w:r>
          </w:p>
        </w:tc>
        <w:tc>
          <w:tcPr/>
          <w:p>
            <w:pPr>
              <w:pStyle w:val="Compact"/>
              <w:jc w:val="left"/>
              <w:suppressAutoHyphens/>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suppressAutoHyphens/>
            </w:pPr>
            <w:r>
              <w:t xml:space="preserve">Future Tier-1-region facilities</w:t>
            </w:r>
          </w:p>
        </w:tc>
        <w:tc>
          <w:tcPr/>
          <w:p>
            <w:pPr>
              <w:pStyle w:val="Compact"/>
              <w:jc w:val="left"/>
              <w:suppressAutoHyphens/>
            </w:pPr>
            <w:r>
              <w:t xml:space="preserve">Yr 15+ (2042+), illustrative only</w:t>
            </w:r>
          </w:p>
        </w:tc>
        <w:tc>
          <w:tcPr/>
          <w:p>
            <w:pPr>
              <w:pStyle w:val="Compact"/>
              <w:jc w:val="left"/>
              <w:suppressAutoHyphens/>
            </w:pPr>
            <w:r>
              <w:t xml:space="preserve">Primarily Commercial Engine (Gate B real-estate acquisition, independently raised investor capital)</w:t>
            </w:r>
          </w:p>
        </w:tc>
        <w:tc>
          <w:tcPr/>
          <w:p>
            <w:pPr>
              <w:pStyle w:val="Compact"/>
              <w:jc w:val="left"/>
              <w:suppressAutoHyphens/>
            </w:pPr>
            <w:r>
              <w:t xml:space="preserve">University may only participate via fair-market-value lease-back, never capital contribution</w:t>
            </w:r>
          </w:p>
        </w:tc>
      </w:tr>
      <w:tr>
        <w:trPr>
          <w:cantSplit/>
        </w:trPr>
        <w:tc>
          <w:tcPr/>
          <w:p>
            <w:pPr>
              <w:pStyle w:val="Compact"/>
              <w:jc w:val="left"/>
              <w:suppressAutoHyphens/>
            </w:pPr>
            <w:r>
              <w:t xml:space="preserve">Accreditation-linked capital costs (ISO surveillance, future US secular-accreditor site visits)</w:t>
            </w:r>
          </w:p>
        </w:tc>
        <w:tc>
          <w:tcPr/>
          <w:p>
            <w:pPr>
              <w:pStyle w:val="Compact"/>
              <w:jc w:val="left"/>
              <w:suppressAutoHyphens/>
            </w:pPr>
            <w:r>
              <w:t xml:space="preserve">Ongoing / Yr 11–12</w:t>
            </w:r>
          </w:p>
        </w:tc>
        <w:tc>
          <w:tcPr/>
          <w:p>
            <w:pPr>
              <w:pStyle w:val="Compact"/>
              <w:jc w:val="left"/>
              <w:suppressAutoHyphens/>
            </w:pPr>
            <w:r>
              <w:t xml:space="preserve">OpEx (5%) for recurring; Liquidity Reserve for larger one-off candidacy costs</w:t>
            </w:r>
          </w:p>
        </w:tc>
        <w:tc>
          <w:tcPr/>
          <w:p>
            <w:pPr>
              <w:pStyle w:val="Compact"/>
              <w:jc w:val="left"/>
              <w:suppressAutoHyphens/>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Gambia Build-out</w:t>
            </w:r>
          </w:p>
        </w:tc>
        <w:tc>
          <w:tcPr/>
          <w:p>
            <w:pPr>
              <w:pStyle w:val="Compact"/>
              <w:jc w:val="left"/>
              <w:suppressAutoHyphens/>
            </w:pPr>
            <w:r>
              <w:t xml:space="preserve">2029–2031</w:t>
            </w:r>
          </w:p>
        </w:tc>
        <w:tc>
          <w:tcPr/>
          <w:p>
            <w:pPr>
              <w:pStyle w:val="Compact"/>
              <w:jc w:val="left"/>
              <w:suppressAutoHyphens/>
            </w:pPr>
            <w:r>
              <w:t xml:space="preserve">$50,000 ceiling spent, NAQAA accreditation earned independently of Texas parent</w:t>
            </w:r>
          </w:p>
        </w:tc>
      </w:tr>
      <w:tr>
        <w:trPr>
          <w:cantSplit/>
        </w:trPr>
        <w:tc>
          <w:tcPr/>
          <w:p>
            <w:pPr>
              <w:pStyle w:val="Compact"/>
              <w:jc w:val="left"/>
              <w:suppressAutoHyphens/>
            </w:pPr>
            <w:r>
              <w:t xml:space="preserve">II — Nigeria Reserve Accrual</w:t>
            </w:r>
          </w:p>
        </w:tc>
        <w:tc>
          <w:tcPr/>
          <w:p>
            <w:pPr>
              <w:pStyle w:val="Compact"/>
              <w:jc w:val="left"/>
              <w:suppressAutoHyphens/>
            </w:pPr>
            <w:r>
              <w:t xml:space="preserve">2033–2037</w:t>
            </w:r>
          </w:p>
        </w:tc>
        <w:tc>
          <w:tcPr/>
          <w:p>
            <w:pPr>
              <w:pStyle w:val="Compact"/>
              <w:jc w:val="left"/>
              <w:suppressAutoHyphens/>
            </w:pPr>
            <w:r>
              <w:t xml:space="preserve">Waqf Nigeria sub-line compounds; feasibility study conducted, funded from OpEx</w:t>
            </w:r>
          </w:p>
        </w:tc>
      </w:tr>
      <w:tr>
        <w:trPr>
          <w:cantSplit/>
        </w:trPr>
        <w:tc>
          <w:tcPr/>
          <w:p>
            <w:pPr>
              <w:pStyle w:val="Compact"/>
              <w:jc w:val="left"/>
              <w:suppressAutoHyphens/>
            </w:pPr>
            <w:r>
              <w:t xml:space="preserve">III — Nigeria Capital Deployment</w:t>
            </w:r>
          </w:p>
        </w:tc>
        <w:tc>
          <w:tcPr/>
          <w:p>
            <w:pPr>
              <w:pStyle w:val="Compact"/>
              <w:jc w:val="left"/>
              <w:suppressAutoHyphens/>
            </w:pPr>
            <w:r>
              <w:t xml:space="preserve">2038–2044 (indicative)</w:t>
            </w:r>
          </w:p>
        </w:tc>
        <w:tc>
          <w:tcPr/>
          <w:p>
            <w:pPr>
              <w:pStyle w:val="Compact"/>
              <w:jc w:val="left"/>
              <w:suppressAutoHyphens/>
            </w:pPr>
            <w:r>
              <w:t xml:space="preserve">Land/seed capital deployed if Reserve + campaign sufficient; framed as target throughout</w:t>
            </w:r>
          </w:p>
        </w:tc>
      </w:tr>
      <w:tr>
        <w:trPr>
          <w:cantSplit/>
        </w:trPr>
        <w:tc>
          <w:tcPr/>
          <w:p>
            <w:pPr>
              <w:pStyle w:val="Compact"/>
              <w:jc w:val="left"/>
              <w:suppressAutoHyphens/>
            </w:pPr>
            <w:r>
              <w:t xml:space="preserve">IV — Tier-1 Facilities (illustrative)</w:t>
            </w:r>
          </w:p>
        </w:tc>
        <w:tc>
          <w:tcPr/>
          <w:p>
            <w:pPr>
              <w:pStyle w:val="Compact"/>
              <w:jc w:val="left"/>
              <w:suppressAutoHyphens/>
            </w:pPr>
            <w:r>
              <w:t xml:space="preserve">2042+</w:t>
            </w:r>
          </w:p>
        </w:tc>
        <w:tc>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Approves all capital ceilings; enforces firewall on every project</w:t>
            </w:r>
          </w:p>
        </w:tc>
      </w:tr>
      <w:tr>
        <w:trPr>
          <w:cantSplit/>
        </w:trPr>
        <w:tc>
          <w:tcPr/>
          <w:p>
            <w:pPr>
              <w:pStyle w:val="Compact"/>
              <w:jc w:val="left"/>
              <w:suppressAutoHyphens/>
            </w:pPr>
            <w:r>
              <w:t xml:space="preserve">Audit &amp; Risk Committee</w:t>
            </w:r>
          </w:p>
        </w:tc>
        <w:tc>
          <w:tcPr/>
          <w:p>
            <w:pPr>
              <w:pStyle w:val="Compact"/>
              <w:jc w:val="left"/>
              <w:suppressAutoHyphens/>
            </w:pPr>
            <w:r>
              <w:t xml:space="preserve">Audits source-of-funds tagging annually</w:t>
            </w:r>
          </w:p>
        </w:tc>
      </w:tr>
      <w:tr>
        <w:trPr>
          <w:cantSplit/>
        </w:trPr>
        <w:tc>
          <w:tcPr/>
          <w:p>
            <w:pPr>
              <w:pStyle w:val="Compact"/>
              <w:jc w:val="left"/>
              <w:suppressAutoHyphens/>
            </w:pPr>
            <w:r>
              <w:t xml:space="preserve">University Senate</w:t>
            </w:r>
          </w:p>
        </w:tc>
        <w:tc>
          <w:tcPr/>
          <w:p>
            <w:pPr>
              <w:pStyle w:val="Compact"/>
              <w:jc w:val="left"/>
              <w:suppressAutoHyphens/>
            </w:pPr>
            <w:r>
              <w:t xml:space="preserve">No direct capital authority; informed of academic-capacity implications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Fiduciary owner of the Nigeria Reserve sub-line and any Waqf capital campaign</w:t>
            </w:r>
          </w:p>
        </w:tc>
      </w:tr>
      <w:tr>
        <w:trPr>
          <w:cantSplit/>
        </w:trPr>
        <w:tc>
          <w:tcPr/>
          <w:p>
            <w:pPr>
              <w:pStyle w:val="Compact"/>
              <w:jc w:val="left"/>
              <w:suppressAutoHyphens/>
            </w:pPr>
            <w:r>
              <w:t xml:space="preserve">Sharī’ah Advisory Board</w:t>
            </w:r>
          </w:p>
        </w:tc>
        <w:tc>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4300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4300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Milestone</w:t>
            </w:r>
          </w:p>
        </w:tc>
        <w:tc>
          <w:tcPr/>
          <w:p>
            <w:pPr>
              <w:pStyle w:val="Compact"/>
              <w:jc w:val="left"/>
              <w:suppressAutoHyphens/>
            </w:pPr>
            <w:r>
              <w:t xml:space="preserve">Sections</w:t>
            </w:r>
          </w:p>
        </w:tc>
      </w:tr>
      <w:tr>
        <w:trPr>
          <w:cantSplit/>
        </w:trPr>
        <w:tc>
          <w:tcPr/>
          <w:p>
            <w:pPr>
              <w:pStyle w:val="Compact"/>
              <w:jc w:val="left"/>
              <w:suppressAutoHyphens/>
            </w:pPr>
            <w:r>
              <w:t xml:space="preserve">2027 (Dec 6)</w:t>
            </w:r>
          </w:p>
        </w:tc>
        <w:tc>
          <w:tcPr/>
          <w:p>
            <w:pPr>
              <w:pStyle w:val="Compact"/>
              <w:jc w:val="left"/>
              <w:suppressAutoHyphens/>
            </w:pPr>
            <w:r>
              <w:t xml:space="preserve">Incorporation, Texas Nonprofit Corp, 501(c)(3) religious-exempt</w:t>
            </w:r>
          </w:p>
        </w:tc>
        <w:tc>
          <w:tcPr/>
          <w:p>
            <w:pPr>
              <w:pStyle w:val="Compact"/>
              <w:jc w:val="left"/>
              <w:suppressAutoHyphens/>
            </w:pPr>
            <w:r>
              <w:t xml:space="preserve">3–5; 37</w:t>
            </w:r>
          </w:p>
        </w:tc>
      </w:tr>
      <w:tr>
        <w:trPr>
          <w:cantSplit/>
        </w:trPr>
        <w:tc>
          <w:tcPr/>
          <w:p>
            <w:pPr>
              <w:pStyle w:val="Compact"/>
              <w:jc w:val="left"/>
              <w:suppressAutoHyphens/>
            </w:pPr>
            <w:r>
              <w:t xml:space="preserve">2028 (Yr 1)</w:t>
            </w:r>
          </w:p>
        </w:tc>
        <w:tc>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suppressAutoHyphens/>
            </w:pPr>
            <w:r>
              <w:t xml:space="preserve">1–5; 36–38</w:t>
            </w:r>
          </w:p>
        </w:tc>
      </w:tr>
      <w:tr>
        <w:trPr>
          <w:cantSplit/>
        </w:trPr>
        <w:tc>
          <w:tcPr/>
          <w:p>
            <w:pPr>
              <w:pStyle w:val="Compact"/>
              <w:jc w:val="left"/>
              <w:suppressAutoHyphens/>
            </w:pPr>
            <w:r>
              <w:t xml:space="preserve">2029 (Yr 2)</w:t>
            </w:r>
          </w:p>
        </w:tc>
        <w:tc>
          <w:tcPr/>
          <w:p>
            <w:pPr>
              <w:pStyle w:val="Compact"/>
              <w:jc w:val="left"/>
              <w:suppressAutoHyphens/>
            </w:pPr>
            <w:r>
              <w:t xml:space="preserve">CPD accreditation achieved ($4,000 initial); Gambia Branch Campus Stage 3 begins ($50,000 ceiling)</w:t>
            </w:r>
          </w:p>
        </w:tc>
        <w:tc>
          <w:tcPr/>
          <w:p>
            <w:pPr>
              <w:pStyle w:val="Compact"/>
              <w:jc w:val="left"/>
              <w:suppressAutoHyphens/>
            </w:pPr>
            <w:r>
              <w:t xml:space="preserve">19–20; 30; 37; 39</w:t>
            </w:r>
          </w:p>
        </w:tc>
      </w:tr>
      <w:tr>
        <w:trPr>
          <w:cantSplit/>
        </w:trPr>
        <w:tc>
          <w:tcPr/>
          <w:p>
            <w:pPr>
              <w:pStyle w:val="Compact"/>
              <w:jc w:val="left"/>
              <w:suppressAutoHyphens/>
            </w:pPr>
            <w:r>
              <w:t xml:space="preserve">2030 (Yr 3)</w:t>
            </w:r>
          </w:p>
        </w:tc>
        <w:tc>
          <w:tcPr/>
          <w:p>
            <w:pPr>
              <w:pStyle w:val="Compact"/>
              <w:jc w:val="left"/>
              <w:suppressAutoHyphens/>
            </w:pPr>
            <w:r>
              <w:t xml:space="preserve">ISO 21001 achieved ($12,000 initial); PhD tier launches; Senate succession plans documented for founder-linked seats 2–4 (Risk 12 closes)</w:t>
            </w:r>
          </w:p>
        </w:tc>
        <w:tc>
          <w:tcPr/>
          <w:p>
            <w:pPr>
              <w:pStyle w:val="Compact"/>
              <w:jc w:val="left"/>
              <w:suppressAutoHyphens/>
            </w:pPr>
            <w:r>
              <w:t xml:space="preserve">7; 16; 19–20; 36–37</w:t>
            </w:r>
          </w:p>
        </w:tc>
      </w:tr>
      <w:tr>
        <w:trPr>
          <w:cantSplit/>
        </w:trPr>
        <w:tc>
          <w:tcPr/>
          <w:p>
            <w:pPr>
              <w:pStyle w:val="Compact"/>
              <w:jc w:val="left"/>
              <w:suppressAutoHyphens/>
            </w:pPr>
            <w:r>
              <w:t xml:space="preserve">2031 (Yr 4)</w:t>
            </w:r>
          </w:p>
        </w:tc>
        <w:tc>
          <w:tcPr/>
          <w:p>
            <w:pPr>
              <w:pStyle w:val="Compact"/>
              <w:jc w:val="left"/>
              <w:suppressAutoHyphens/>
            </w:pPr>
            <w:r>
              <w:t xml:space="preserve">Gambia Branch Campus NAQAA-accredited, independent of Texas parent</w:t>
            </w:r>
          </w:p>
        </w:tc>
        <w:tc>
          <w:tcPr/>
          <w:p>
            <w:pPr>
              <w:pStyle w:val="Compact"/>
              <w:jc w:val="left"/>
              <w:suppressAutoHyphens/>
            </w:pPr>
            <w:r>
              <w:t xml:space="preserve">30; 39</w:t>
            </w:r>
          </w:p>
        </w:tc>
      </w:tr>
      <w:tr>
        <w:trPr>
          <w:cantSplit/>
        </w:trPr>
        <w:tc>
          <w:tcPr/>
          <w:p>
            <w:pPr>
              <w:pStyle w:val="Compact"/>
              <w:jc w:val="left"/>
              <w:suppressAutoHyphens/>
            </w:pPr>
            <w:r>
              <w:t xml:space="preserve">2032 (Yr 5)</w:t>
            </w:r>
          </w:p>
        </w:tc>
        <w:tc>
          <w:tcPr/>
          <w:p>
            <w:pPr>
              <w:pStyle w:val="Compact"/>
              <w:jc w:val="left"/>
              <w:suppressAutoHyphens/>
            </w:pPr>
            <w:r>
              <w:t xml:space="preserve">3,493 students / $1,290,784 revenue; reserves compounding on schedule</w:t>
            </w:r>
          </w:p>
        </w:tc>
        <w:tc>
          <w:tcPr/>
          <w:p>
            <w:pPr>
              <w:pStyle w:val="Compact"/>
              <w:jc w:val="left"/>
              <w:suppressAutoHyphens/>
            </w:pPr>
            <w:r>
              <w:t xml:space="preserve">1; 38</w:t>
            </w:r>
          </w:p>
        </w:tc>
      </w:tr>
      <w:tr>
        <w:trPr>
          <w:cantSplit/>
        </w:trPr>
        <w:tc>
          <w:tcPr/>
          <w:p>
            <w:pPr>
              <w:pStyle w:val="Compact"/>
              <w:jc w:val="left"/>
              <w:suppressAutoHyphens/>
            </w:pPr>
            <w:r>
              <w:t xml:space="preserve">2033 (Yr 6)</w:t>
            </w:r>
          </w:p>
        </w:tc>
        <w:tc>
          <w:tcPr/>
          <w:p>
            <w:pPr>
              <w:pStyle w:val="Compact"/>
              <w:jc w:val="left"/>
              <w:suppressAutoHyphens/>
            </w:pPr>
            <w:r>
              <w:t xml:space="preserve">Post-Doctoral Fellowship tier launches</w:t>
            </w:r>
          </w:p>
        </w:tc>
        <w:tc>
          <w:tcPr/>
          <w:p>
            <w:pPr>
              <w:pStyle w:val="Compact"/>
              <w:jc w:val="left"/>
              <w:suppressAutoHyphens/>
            </w:pPr>
            <w:r>
              <w:t xml:space="preserve">7; 16</w:t>
            </w:r>
          </w:p>
        </w:tc>
      </w:tr>
      <w:tr>
        <w:trPr>
          <w:cantSplit/>
        </w:trPr>
        <w:tc>
          <w:tcPr/>
          <w:p>
            <w:pPr>
              <w:pStyle w:val="Compact"/>
              <w:jc w:val="left"/>
              <w:suppressAutoHyphens/>
            </w:pPr>
            <w:r>
              <w:t xml:space="preserve">2033–2036 (Yr 6–9)</w:t>
            </w:r>
          </w:p>
        </w:tc>
        <w:tc>
          <w:tcPr/>
          <w:p>
            <w:pPr>
              <w:pStyle w:val="Compact"/>
              <w:jc w:val="left"/>
              <w:suppressAutoHyphens/>
            </w:pPr>
            <w:r>
              <w:t xml:space="preserve">Risk/Compliance coordinator scales to 1.0 FTE; Nigeria feasibility study initiated; steady-state compliance cycle in force</w:t>
            </w:r>
          </w:p>
        </w:tc>
        <w:tc>
          <w:tcPr/>
          <w:p>
            <w:pPr>
              <w:pStyle w:val="Compact"/>
              <w:jc w:val="left"/>
              <w:suppressAutoHyphens/>
            </w:pPr>
            <w:r>
              <w:t xml:space="preserve">31; 36–39</w:t>
            </w:r>
          </w:p>
        </w:tc>
      </w:tr>
      <w:tr>
        <w:trPr>
          <w:cantSplit/>
        </w:trPr>
        <w:tc>
          <w:tcPr/>
          <w:p>
            <w:pPr>
              <w:pStyle w:val="Compact"/>
              <w:jc w:val="left"/>
              <w:suppressAutoHyphens/>
            </w:pPr>
            <w:r>
              <w:t xml:space="preserve">2037 (Yr 10)</w:t>
            </w:r>
          </w:p>
        </w:tc>
        <w:tc>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suppressAutoHyphens/>
            </w:pPr>
            <w:r>
              <w:t xml:space="preserve">1; 31; 38–39</w:t>
            </w:r>
          </w:p>
        </w:tc>
      </w:tr>
      <w:tr>
        <w:trPr>
          <w:cantSplit/>
        </w:trPr>
        <w:tc>
          <w:tcPr/>
          <w:p>
            <w:pPr>
              <w:pStyle w:val="Compact"/>
              <w:jc w:val="left"/>
              <w:suppressAutoHyphens/>
            </w:pPr>
            <w:r>
              <w:t xml:space="preserve">2038 (Yr 11)</w:t>
            </w:r>
          </w:p>
        </w:tc>
        <w:tc>
          <w:tcPr/>
          <w:p>
            <w:pPr>
              <w:pStyle w:val="Compact"/>
              <w:jc w:val="left"/>
              <w:suppressAutoHyphens/>
            </w:pPr>
            <w:r>
              <w:t xml:space="preserve">Secular accreditation era begins: 28 secular programs (#72–99), 7 new schools, launch; revenue $8.36M; Risks 15–17 (licensure, NUC, Gulf recognition) formally added to register</w:t>
            </w:r>
          </w:p>
        </w:tc>
        <w:tc>
          <w:tcPr/>
          <w:p>
            <w:pPr>
              <w:pStyle w:val="Compact"/>
              <w:jc w:val="left"/>
              <w:suppressAutoHyphens/>
            </w:pPr>
            <w:r>
              <w:t xml:space="preserve">6–11; 19; 36–37</w:t>
            </w:r>
          </w:p>
        </w:tc>
      </w:tr>
      <w:tr>
        <w:trPr>
          <w:cantSplit/>
        </w:trPr>
        <w:tc>
          <w:tcPr/>
          <w:p>
            <w:pPr>
              <w:pStyle w:val="Compact"/>
              <w:jc w:val="left"/>
              <w:suppressAutoHyphens/>
            </w:pPr>
            <w:r>
              <w:t xml:space="preserve">2039 (Yr 12)</w:t>
            </w:r>
          </w:p>
        </w:tc>
        <w:tc>
          <w:tcPr/>
          <w:p>
            <w:pPr>
              <w:pStyle w:val="Compact"/>
              <w:jc w:val="left"/>
              <w:suppressAutoHyphens/>
            </w:pPr>
            <w:r>
              <w:t xml:space="preserve">Revenue $14.6M; Texas secular accreditation targeted complete</w:t>
            </w:r>
          </w:p>
        </w:tc>
        <w:tc>
          <w:tcPr/>
          <w:p>
            <w:pPr>
              <w:pStyle w:val="Compact"/>
              <w:jc w:val="left"/>
              <w:suppressAutoHyphens/>
            </w:pPr>
            <w:r>
              <w:t xml:space="preserve">19; 37</w:t>
            </w:r>
          </w:p>
        </w:tc>
      </w:tr>
      <w:tr>
        <w:trPr>
          <w:cantSplit/>
        </w:trPr>
        <w:tc>
          <w:tcPr/>
          <w:p>
            <w:pPr>
              <w:pStyle w:val="Compact"/>
              <w:jc w:val="left"/>
              <w:suppressAutoHyphens/>
            </w:pPr>
            <w:r>
              <w:t xml:space="preserve">2040 (Yr 13)</w:t>
            </w:r>
          </w:p>
        </w:tc>
        <w:tc>
          <w:tcPr/>
          <w:p>
            <w:pPr>
              <w:pStyle w:val="Compact"/>
              <w:jc w:val="left"/>
              <w:suppressAutoHyphens/>
            </w:pPr>
            <w:r>
              <w:t xml:space="preserve">Revenue $22.7M; first Gulf ministry recognition targeted</w:t>
            </w:r>
          </w:p>
        </w:tc>
        <w:tc>
          <w:tcPr/>
          <w:p>
            <w:pPr>
              <w:pStyle w:val="Compact"/>
              <w:jc w:val="left"/>
              <w:suppressAutoHyphens/>
            </w:pPr>
            <w:r>
              <w:t xml:space="preserve">19; 32</w:t>
            </w:r>
          </w:p>
        </w:tc>
      </w:tr>
      <w:tr>
        <w:trPr>
          <w:cantSplit/>
        </w:trPr>
        <w:tc>
          <w:tcPr/>
          <w:p>
            <w:pPr>
              <w:pStyle w:val="Compact"/>
              <w:jc w:val="left"/>
              <w:suppressAutoHyphens/>
            </w:pPr>
            <w:r>
              <w:t xml:space="preserve">2041 (Yr 14)</w:t>
            </w:r>
          </w:p>
        </w:tc>
        <w:tc>
          <w:tcPr/>
          <w:p>
            <w:pPr>
              <w:pStyle w:val="Compact"/>
              <w:jc w:val="left"/>
              <w:suppressAutoHyphens/>
            </w:pPr>
            <w:r>
              <w:t xml:space="preserve">Revenue $32.2M; Nigeria capital-deployment phase evaluated against Reserve sufficiency</w:t>
            </w:r>
          </w:p>
        </w:tc>
        <w:tc>
          <w:tcPr/>
          <w:p>
            <w:pPr>
              <w:pStyle w:val="Compact"/>
              <w:jc w:val="left"/>
              <w:suppressAutoHyphens/>
            </w:pPr>
            <w:r>
              <w:t xml:space="preserve">31; 39</w:t>
            </w:r>
          </w:p>
        </w:tc>
      </w:tr>
      <w:tr>
        <w:trPr>
          <w:cantSplit/>
        </w:trPr>
        <w:tc>
          <w:tcPr/>
          <w:p>
            <w:pPr>
              <w:pStyle w:val="Compact"/>
              <w:jc w:val="left"/>
              <w:suppressAutoHyphens/>
            </w:pPr>
            <w:r>
              <w:t xml:space="preserve">2042 (Yr 15)</w:t>
            </w:r>
          </w:p>
        </w:tc>
        <w:tc>
          <w:tcPr/>
          <w:p>
            <w:pPr>
              <w:pStyle w:val="Compact"/>
              <w:jc w:val="left"/>
              <w:suppressAutoHyphens/>
            </w:pPr>
            <w:r>
              <w:t xml:space="preserve">Revenue $43.1M; Vision trajectory re-forecast checkpoint; illustrative Tier-1-region Commercial Engine facilities phase begins (firewall-observant)</w:t>
            </w:r>
          </w:p>
        </w:tc>
        <w:tc>
          <w:tcPr/>
          <w:p>
            <w:pPr>
              <w:pStyle w:val="Compact"/>
              <w:jc w:val="left"/>
              <w:suppressAutoHyphens/>
            </w:pPr>
            <w:r>
              <w:t xml:space="preserve">1; 39</w:t>
            </w:r>
          </w:p>
        </w:tc>
      </w:tr>
      <w:tr>
        <w:trPr>
          <w:cantSplit/>
        </w:trPr>
        <w:tc>
          <w:tcPr/>
          <w:p>
            <w:pPr>
              <w:pStyle w:val="Compact"/>
              <w:jc w:val="left"/>
              <w:suppressAutoHyphens/>
            </w:pPr>
            <w:r>
              <w:t xml:space="preserve">2043–2046 (Yr 16–19)</w:t>
            </w:r>
          </w:p>
        </w:tc>
        <w:tc>
          <w:tcPr/>
          <w:p>
            <w:pPr>
              <w:pStyle w:val="Compact"/>
              <w:jc w:val="left"/>
              <w:suppressAutoHyphens/>
            </w:pPr>
            <w:r>
              <w:t xml:space="preserve">Revenue trajectory $54.8M → $86.1M; Nigeria Mega-University residential colleges/library targeted toward operational maturity</w:t>
            </w:r>
          </w:p>
        </w:tc>
        <w:tc>
          <w:tcPr/>
          <w:p>
            <w:pPr>
              <w:pStyle w:val="Compact"/>
              <w:jc w:val="left"/>
              <w:suppressAutoHyphens/>
            </w:pPr>
            <w:r>
              <w:t xml:space="preserve">31; 39</w:t>
            </w:r>
          </w:p>
        </w:tc>
      </w:tr>
      <w:tr>
        <w:trPr>
          <w:cantSplit/>
        </w:trPr>
        <w:tc>
          <w:tcPr/>
          <w:p>
            <w:pPr>
              <w:pStyle w:val="Compact"/>
              <w:jc w:val="left"/>
              <w:suppressAutoHyphens/>
            </w:pPr>
            <w:r>
              <w:t xml:space="preserve">2047 (Yr 20)</w:t>
            </w:r>
          </w:p>
        </w:tc>
        <w:tc>
          <w:tcPr/>
          <w:p>
            <w:pPr>
              <w:pStyle w:val="Compact"/>
              <w:jc w:val="left"/>
              <w:suppressAutoHyphens/>
            </w:pPr>
            <w:r>
              <w:t xml:space="preserve">Revenue $93.9M, within the $90–150M institutional-economy target; twenty-year audited firewall track record complete</w:t>
            </w:r>
          </w:p>
        </w:tc>
        <w:tc>
          <w:tcPr/>
          <w:p>
            <w:pPr>
              <w:pStyle w:val="Compact"/>
              <w:jc w:val="left"/>
              <w:suppressAutoHyphens/>
            </w:pPr>
            <w:r>
              <w:t xml:space="preserve">1; 38</w:t>
            </w:r>
          </w:p>
        </w:tc>
      </w:tr>
      <w:tr>
        <w:trPr>
          <w:cantSplit/>
        </w:trPr>
        <w:tc>
          <w:tcPr/>
          <w:p>
            <w:pPr>
              <w:pStyle w:val="Compact"/>
              <w:jc w:val="left"/>
              <w:suppressAutoHyphens/>
            </w:pPr>
            <w:r>
              <w:t xml:space="preserve">2048–2050</w:t>
            </w:r>
          </w:p>
        </w:tc>
        <w:tc>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Year</w:t>
            </w:r>
          </w:p>
        </w:tc>
        <w:tc>
          <w:tcPr/>
          <w:p>
            <w:pPr>
              <w:pStyle w:val="Compact"/>
              <w:jc w:val="left"/>
              <w:suppressAutoHyphens/>
            </w:pPr>
            <w:r>
              <w:t xml:space="preserve">Calendar</w:t>
            </w:r>
          </w:p>
        </w:tc>
        <w:tc>
          <w:tcPr/>
          <w:p>
            <w:pPr>
              <w:pStyle w:val="Compact"/>
              <w:jc w:val="left"/>
              <w:suppressAutoHyphens/>
            </w:pPr>
            <w:r>
              <w:t xml:space="preserve">Phase</w:t>
            </w:r>
          </w:p>
        </w:tc>
        <w:tc>
          <w:tcPr/>
          <w:p>
            <w:pPr>
              <w:pStyle w:val="Compact"/>
              <w:jc w:val="left"/>
              <w:suppressAutoHyphens/>
            </w:pPr>
            <w:r>
              <w:t xml:space="preserve">Status</w:t>
            </w:r>
          </w:p>
        </w:tc>
        <w:tc>
          <w:tcPr/>
          <w:p>
            <w:pPr>
              <w:pStyle w:val="Compact"/>
              <w:jc w:val="left"/>
              <w:suppressAutoHyphens/>
            </w:pPr>
            <w:r>
              <w:t xml:space="preserve">What This Means</w:t>
            </w:r>
          </w:p>
        </w:tc>
      </w:tr>
      <w:tr>
        <w:trPr>
          <w:cantSplit/>
        </w:trPr>
        <w:tc>
          <w:tcPr/>
          <w:p>
            <w:pPr>
              <w:pStyle w:val="Compact"/>
              <w:jc w:val="left"/>
              <w:suppressAutoHyphens/>
            </w:pPr>
            <w:r>
              <w:t xml:space="preserve">1</w:t>
            </w:r>
          </w:p>
        </w:tc>
        <w:tc>
          <w:tcPr/>
          <w:p>
            <w:pPr>
              <w:pStyle w:val="Compact"/>
              <w:jc w:val="left"/>
              <w:suppressAutoHyphens/>
            </w:pPr>
            <w:r>
              <w:t xml:space="preserve">2028</w:t>
            </w:r>
          </w:p>
        </w:tc>
        <w:tc>
          <w:tcPr/>
          <w:p>
            <w:pPr>
              <w:pStyle w:val="Compact"/>
              <w:jc w:val="left"/>
              <w:suppressAutoHyphens/>
            </w:pPr>
            <w:r>
              <w:t xml:space="preserve">Foundation &amp; Struggle</w:t>
            </w:r>
          </w:p>
        </w:tc>
        <w:tc>
          <w:tcPr/>
          <w:p>
            <w:pPr>
              <w:pStyle w:val="Compact"/>
              <w:jc w:val="left"/>
              <w:suppressAutoHyphens/>
            </w:pPr>
            <w:r>
              <w:t xml:space="preserve">RED</w:t>
            </w:r>
          </w:p>
        </w:tc>
        <w:tc>
          <w:tcPr/>
          <w:p>
            <w:pPr>
              <w:pStyle w:val="Compact"/>
              <w:jc w:val="left"/>
              <w:suppressAutoHyphens/>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p>
            <w:pPr>
              <w:pStyle w:val="Compact"/>
              <w:jc w:val="left"/>
              <w:suppressAutoHyphens/>
            </w:pPr>
            <w:r>
              <w:t xml:space="preserve">2</w:t>
            </w:r>
          </w:p>
        </w:tc>
        <w:tc>
          <w:tcPr/>
          <w:p>
            <w:pPr>
              <w:pStyle w:val="Compact"/>
              <w:jc w:val="left"/>
              <w:suppressAutoHyphens/>
            </w:pPr>
            <w:r>
              <w:t xml:space="preserve">2029</w:t>
            </w:r>
          </w:p>
        </w:tc>
        <w:tc>
          <w:tcPr/>
          <w:p>
            <w:pPr>
              <w:pStyle w:val="Compact"/>
              <w:jc w:val="left"/>
              <w:suppressAutoHyphens/>
            </w:pPr>
            <w:r>
              <w:t xml:space="preserve">Stabilization &amp; Survival</w:t>
            </w:r>
          </w:p>
        </w:tc>
        <w:tc>
          <w:tcPr/>
          <w:p>
            <w:pPr>
              <w:pStyle w:val="Compact"/>
              <w:jc w:val="left"/>
              <w:suppressAutoHyphens/>
            </w:pPr>
            <w:r>
              <w:t xml:space="preserve">RED</w:t>
            </w:r>
          </w:p>
        </w:tc>
        <w:tc>
          <w:tcPr/>
          <w:p>
            <w:pPr>
              <w:pStyle w:val="Compact"/>
              <w:jc w:val="left"/>
              <w:suppressAutoHyphens/>
            </w:pPr>
            <w:r>
              <w:t xml:space="preserve">Revenue nearly doubles ($451,397) while the institution is still pre-track-record: first accreditation candidacy (CPD), Gambia registration begins, risk-governance bodies newly seated (Sections 36–37).</w:t>
            </w:r>
          </w:p>
        </w:tc>
      </w:tr>
      <w:tr>
        <w:trPr>
          <w:cantSplit/>
        </w:trPr>
        <w:tc>
          <w:tcPr/>
          <w:p>
            <w:pPr>
              <w:pStyle w:val="Compact"/>
              <w:jc w:val="left"/>
              <w:suppressAutoHyphens/>
            </w:pPr>
            <w:r>
              <w:t xml:space="preserve">3</w:t>
            </w:r>
          </w:p>
        </w:tc>
        <w:tc>
          <w:tcPr/>
          <w:p>
            <w:pPr>
              <w:pStyle w:val="Compact"/>
              <w:jc w:val="left"/>
              <w:suppressAutoHyphens/>
            </w:pPr>
            <w:r>
              <w:t xml:space="preserve">2030</w:t>
            </w:r>
          </w:p>
        </w:tc>
        <w:tc>
          <w:tcPr/>
          <w:p>
            <w:pPr>
              <w:pStyle w:val="Compact"/>
              <w:jc w:val="left"/>
              <w:suppressAutoHyphens/>
            </w:pPr>
            <w:r>
              <w:t xml:space="preserve">Controlled Growth</w:t>
            </w:r>
          </w:p>
        </w:tc>
        <w:tc>
          <w:tcPr/>
          <w:p>
            <w:pPr>
              <w:pStyle w:val="Compact"/>
              <w:jc w:val="left"/>
              <w:suppressAutoHyphens/>
            </w:pPr>
            <w:r>
              <w:t xml:space="preserve">AMBER</w:t>
            </w:r>
          </w:p>
        </w:tc>
        <w:tc>
          <w:tcPr/>
          <w:p>
            <w:pPr>
              <w:pStyle w:val="Compact"/>
              <w:jc w:val="left"/>
              <w:suppressAutoHyphens/>
            </w:pPr>
            <w:r>
              <w:t xml:space="preserve">Formation stack complete; still zero tuition increase assumed (AMIU-MP-001 §5.8 — no fee review before Year 4).</w:t>
            </w:r>
          </w:p>
        </w:tc>
      </w:tr>
      <w:tr>
        <w:trPr>
          <w:cantSplit/>
        </w:trPr>
        <w:tc>
          <w:tcPr/>
          <w:p>
            <w:pPr>
              <w:pStyle w:val="Compact"/>
              <w:jc w:val="left"/>
              <w:suppressAutoHyphens/>
            </w:pPr>
            <w:r>
              <w:t xml:space="preserve">4–5</w:t>
            </w:r>
          </w:p>
        </w:tc>
        <w:tc>
          <w:tcPr/>
          <w:p>
            <w:pPr>
              <w:pStyle w:val="Compact"/>
              <w:jc w:val="left"/>
              <w:suppressAutoHyphens/>
            </w:pPr>
            <w:r>
              <w:t xml:space="preserve">2031–2032</w:t>
            </w:r>
          </w:p>
        </w:tc>
        <w:tc>
          <w:tcPr/>
          <w:p>
            <w:pPr>
              <w:pStyle w:val="Compact"/>
              <w:jc w:val="left"/>
              <w:suppressAutoHyphens/>
            </w:pPr>
            <w:r>
              <w:t xml:space="preserve">Institutional Consolidation</w:t>
            </w:r>
          </w:p>
        </w:tc>
        <w:tc>
          <w:tcPr/>
          <w:p>
            <w:pPr>
              <w:pStyle w:val="Compact"/>
              <w:jc w:val="left"/>
              <w:suppressAutoHyphens/>
            </w:pPr>
            <w:r>
              <w:t xml:space="preserve">AMBER→GREEN</w:t>
            </w:r>
          </w:p>
        </w:tc>
        <w:tc>
          <w:tcPr/>
          <w:p>
            <w:pPr>
              <w:pStyle w:val="Compact"/>
              <w:jc w:val="left"/>
              <w:suppressAutoHyphens/>
            </w:pPr>
            <w:r>
              <w:t xml:space="preserve">First governance-approved fee review; Liquidity Reserve crosses $1.29M cumulative.</w:t>
            </w:r>
          </w:p>
        </w:tc>
      </w:tr>
      <w:tr>
        <w:trPr>
          <w:cantSplit/>
        </w:trPr>
        <w:tc>
          <w:tcPr/>
          <w:p>
            <w:pPr>
              <w:pStyle w:val="Compact"/>
              <w:jc w:val="left"/>
              <w:suppressAutoHyphens/>
            </w:pPr>
            <w:r>
              <w:t xml:space="preserve">6–10</w:t>
            </w:r>
          </w:p>
        </w:tc>
        <w:tc>
          <w:tcPr/>
          <w:p>
            <w:pPr>
              <w:pStyle w:val="Compact"/>
              <w:jc w:val="left"/>
              <w:suppressAutoHyphens/>
            </w:pPr>
            <w:r>
              <w:t xml:space="preserve">2033–2037</w:t>
            </w:r>
          </w:p>
        </w:tc>
        <w:tc>
          <w:tcPr/>
          <w:p>
            <w:pPr>
              <w:pStyle w:val="Compact"/>
              <w:jc w:val="left"/>
              <w:suppressAutoHyphens/>
            </w:pPr>
            <w:r>
              <w:t xml:space="preserve">Expansion</w:t>
            </w:r>
          </w:p>
        </w:tc>
        <w:tc>
          <w:tcPr/>
          <w:p>
            <w:pPr>
              <w:pStyle w:val="Compact"/>
              <w:jc w:val="left"/>
              <w:suppressAutoHyphens/>
            </w:pPr>
            <w:r>
              <w:t xml:space="preserve">GREEN</w:t>
            </w:r>
          </w:p>
        </w:tc>
        <w:tc>
          <w:tcPr/>
          <w:p>
            <w:pPr>
              <w:pStyle w:val="Compact"/>
              <w:jc w:val="left"/>
              <w:suppressAutoHyphens/>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Window</w:t>
            </w:r>
          </w:p>
        </w:tc>
        <w:tc>
          <w:tcPr/>
          <w:p>
            <w:pPr>
              <w:pStyle w:val="Compact"/>
              <w:jc w:val="left"/>
              <w:suppressAutoHyphens/>
            </w:pPr>
            <w:r>
              <w:t xml:space="preserve">Designation</w:t>
            </w:r>
          </w:p>
        </w:tc>
        <w:tc>
          <w:tcPr/>
          <w:p>
            <w:pPr>
              <w:pStyle w:val="Compact"/>
              <w:jc w:val="left"/>
              <w:suppressAutoHyphens/>
            </w:pPr>
            <w:r>
              <w:t xml:space="preserve">Acting Party</w:t>
            </w:r>
          </w:p>
        </w:tc>
        <w:tc>
          <w:tcPr/>
          <w:p>
            <w:pPr>
              <w:pStyle w:val="Compact"/>
              <w:jc w:val="left"/>
              <w:suppressAutoHyphens/>
            </w:pPr>
            <w:r>
              <w:t xml:space="preserve">Cost to Registrant</w:t>
            </w:r>
          </w:p>
        </w:tc>
        <w:tc>
          <w:tcPr/>
          <w:p>
            <w:pPr>
              <w:pStyle w:val="Compact"/>
              <w:jc w:val="left"/>
              <w:suppressAutoHyphens/>
            </w:pPr>
            <w:r>
              <w:t xml:space="preserve">Purpose</w:t>
            </w:r>
          </w:p>
        </w:tc>
      </w:tr>
      <w:tr>
        <w:trPr>
          <w:cantSplit/>
        </w:trPr>
        <w:tc>
          <w:tcPr/>
          <w:p>
            <w:pPr>
              <w:pStyle w:val="Compact"/>
              <w:jc w:val="left"/>
              <w:suppressAutoHyphens/>
            </w:pPr>
            <w:r>
              <w:t xml:space="preserve">~Mid-2027 – 6 Dec 2027</w:t>
            </w:r>
          </w:p>
        </w:tc>
        <w:tc>
          <w:tcPr/>
          <w:p>
            <w:pPr>
              <w:pStyle w:val="Compact"/>
              <w:jc w:val="left"/>
              <w:suppressAutoHyphens/>
            </w:pPr>
            <w:r>
              <w:t xml:space="preserve">Founding Registration &amp; Outreach</w:t>
            </w:r>
          </w:p>
        </w:tc>
        <w:tc>
          <w:tcPr/>
          <w:p>
            <w:pPr>
              <w:pStyle w:val="Compact"/>
              <w:jc w:val="left"/>
              <w:suppressAutoHyphens/>
            </w:pPr>
            <w:r>
              <w:t xml:space="preserve">Founding Committee (pre-incorporation; trustees-designate, in a founding rather than institutional capacity)</w:t>
            </w:r>
          </w:p>
        </w:tc>
        <w:tc>
          <w:tcPr/>
          <w:p>
            <w:pPr>
              <w:pStyle w:val="Compact"/>
              <w:jc w:val="left"/>
              <w:suppressAutoHyphens/>
            </w:pPr>
            <w:r>
              <w:t xml:space="preserve">Free — registration of interest only; no admission decision issued</w:t>
            </w:r>
          </w:p>
        </w:tc>
        <w:tc>
          <w:tcPr/>
          <w:p>
            <w:pPr>
              <w:pStyle w:val="Compact"/>
              <w:jc w:val="left"/>
              <w:suppressAutoHyphens/>
            </w:pPr>
            <w:r>
              <w:t xml:space="preserve">Build a qualified applicant pipeline, mailing list, and ambassador network ahead of Day 1; success measured in qualified registrants and geographic reach, not revenue</w:t>
            </w:r>
          </w:p>
        </w:tc>
      </w:tr>
      <w:tr>
        <w:trPr>
          <w:cantSplit/>
        </w:trPr>
        <w:tc>
          <w:tcPr/>
          <w:p>
            <w:pPr>
              <w:pStyle w:val="Compact"/>
              <w:jc w:val="left"/>
              <w:suppressAutoHyphens/>
            </w:pPr>
            <w:r>
              <w:t xml:space="preserve">6 Dec 2027 – 31 Dec 2027</w:t>
            </w:r>
          </w:p>
        </w:tc>
        <w:tc>
          <w:tcPr/>
          <w:p>
            <w:pPr>
              <w:pStyle w:val="Compact"/>
              <w:jc w:val="left"/>
              <w:suppressAutoHyphens/>
            </w:pPr>
            <w:r>
              <w:t xml:space="preserve">Incorporation-to-Launch Bridge</w:t>
            </w:r>
          </w:p>
        </w:tc>
        <w:tc>
          <w:tcPr/>
          <w:p>
            <w:pPr>
              <w:pStyle w:val="Compact"/>
              <w:jc w:val="left"/>
              <w:suppressAutoHyphens/>
            </w:pPr>
            <w:r>
              <w:t xml:space="preserve">AMIU (newly incorporated)</w:t>
            </w:r>
          </w:p>
        </w:tc>
        <w:tc>
          <w:tcPr/>
          <w:p>
            <w:pPr>
              <w:pStyle w:val="Compact"/>
              <w:jc w:val="left"/>
              <w:suppressAutoHyphens/>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p>
            <w:pPr>
              <w:pStyle w:val="Compact"/>
              <w:jc w:val="left"/>
              <w:suppressAutoHyphens/>
            </w:pPr>
            <w:r>
              <w:t xml:space="preserve">Convert the registration pipeline into verified, fee-eligible applications; fund admissions-office setup ahead of Day 1</w:t>
            </w:r>
          </w:p>
        </w:tc>
      </w:tr>
      <w:tr>
        <w:trPr>
          <w:cantSplit/>
        </w:trPr>
        <w:tc>
          <w:tcPr/>
          <w:p>
            <w:pPr>
              <w:pStyle w:val="Compact"/>
              <w:jc w:val="left"/>
              <w:suppressAutoHyphens/>
            </w:pPr>
            <w:r>
              <w:t xml:space="preserve">1 Jan 2028 →</w:t>
            </w:r>
          </w:p>
        </w:tc>
        <w:tc>
          <w:tcPr/>
          <w:p>
            <w:pPr>
              <w:pStyle w:val="Compact"/>
              <w:jc w:val="left"/>
              <w:suppressAutoHyphens/>
            </w:pPr>
            <w:r>
              <w:t xml:space="preserve">Founding Academic Year</w:t>
            </w:r>
          </w:p>
        </w:tc>
        <w:tc>
          <w:tcPr/>
          <w:p>
            <w:pPr>
              <w:pStyle w:val="Compact"/>
              <w:jc w:val="left"/>
              <w:suppressAutoHyphens/>
            </w:pPr>
            <w:r>
              <w:t xml:space="preserve">AMIU</w:t>
            </w:r>
          </w:p>
        </w:tc>
        <w:tc>
          <w:tcPr/>
          <w:p>
            <w:pPr>
              <w:pStyle w:val="Compact"/>
              <w:jc w:val="left"/>
              <w:suppressAutoHyphens/>
            </w:pPr>
            <w:r>
              <w:t xml:space="preserve">Full Section 2 tuition architecture; the Founding Cohort incentive stack of AMIU-MP-001 §15 (15% upfront discount, 10%→15% affiliate commission in the first 90 days)</w:t>
            </w:r>
          </w:p>
        </w:tc>
        <w:tc>
          <w:tcPr/>
          <w:p>
            <w:pPr>
              <w:pStyle w:val="Compact"/>
              <w:jc w:val="left"/>
              <w:suppressAutoHyphens/>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suppressAutoHyphens/>
            </w:pPr>
          </w:p>
        </w:tc>
        <w:tc>
          <w:tcPr/>
          <w:p>
            <w:pPr>
              <w:pStyle w:val="Compact"/>
              <w:jc w:val="left"/>
              <w:suppressAutoHyphens/>
            </w:pPr>
            <w:r>
              <w:t xml:space="preserve">Standard Split (20% of Distributed Half)</w:t>
            </w:r>
          </w:p>
        </w:tc>
        <w:tc>
          <w:tcPr/>
          <w:p>
            <w:pPr>
              <w:pStyle w:val="Compact"/>
              <w:jc w:val="left"/>
              <w:suppressAutoHyphens/>
            </w:pPr>
            <w:r>
              <w:t xml:space="preserve">Reweighted for Yrs 1–2 (50% of Distributed Half)</w:t>
            </w:r>
          </w:p>
        </w:tc>
      </w:tr>
      <w:tr>
        <w:trPr>
          <w:cantSplit/>
        </w:trPr>
        <w:tc>
          <w:tcPr/>
          <w:p>
            <w:pPr>
              <w:pStyle w:val="Compact"/>
              <w:jc w:val="left"/>
              <w:suppressAutoHyphens/>
            </w:pPr>
            <w:r>
              <w:t xml:space="preserve">Year 1 Scholarship Block ($22,475 distributed)</w:t>
            </w:r>
          </w:p>
        </w:tc>
        <w:tc>
          <w:tcPr/>
          <w:p>
            <w:pPr>
              <w:pStyle w:val="Compact"/>
              <w:jc w:val="left"/>
              <w:suppressAutoHyphens/>
            </w:pPr>
            <w:r>
              <w:t xml:space="preserve">$4,495</w:t>
            </w:r>
          </w:p>
        </w:tc>
        <w:tc>
          <w:tcPr/>
          <w:p>
            <w:pPr>
              <w:pStyle w:val="Compact"/>
              <w:jc w:val="left"/>
              <w:suppressAutoHyphens/>
            </w:pPr>
            <w:r>
              <w:t xml:space="preserve">$11,238</w:t>
            </w:r>
          </w:p>
        </w:tc>
      </w:tr>
      <w:tr>
        <w:trPr>
          <w:cantSplit/>
        </w:trPr>
        <w:tc>
          <w:tcPr/>
          <w:p>
            <w:pPr>
              <w:pStyle w:val="Compact"/>
              <w:jc w:val="left"/>
              <w:suppressAutoHyphens/>
            </w:pPr>
            <w:r>
              <w:t xml:space="preserve">Year 2 Scholarship Block ($45,139 distributed)</w:t>
            </w:r>
          </w:p>
        </w:tc>
        <w:tc>
          <w:tcPr/>
          <w:p>
            <w:pPr>
              <w:pStyle w:val="Compact"/>
              <w:jc w:val="left"/>
              <w:suppressAutoHyphens/>
            </w:pPr>
            <w:r>
              <w:t xml:space="preserve">$9,028</w:t>
            </w:r>
          </w:p>
        </w:tc>
        <w:tc>
          <w:tcPr/>
          <w:p>
            <w:pPr>
              <w:pStyle w:val="Compact"/>
              <w:jc w:val="left"/>
              <w:suppressAutoHyphens/>
            </w:pPr>
            <w:r>
              <w:t xml:space="preserve">$22,570</w:t>
            </w:r>
          </w:p>
        </w:tc>
      </w:tr>
      <w:tr>
        <w:trPr>
          <w:cantSplit/>
        </w:trPr>
        <w:tc>
          <w:tcPr/>
          <w:p>
            <w:pPr>
              <w:pStyle w:val="Compact"/>
              <w:jc w:val="left"/>
              <w:suppressAutoHyphens/>
            </w:pPr>
            <w:r>
              <w:t xml:space="preserve">Two-Year Total</w:t>
            </w:r>
          </w:p>
        </w:tc>
        <w:tc>
          <w:tcPr/>
          <w:p>
            <w:pPr>
              <w:pStyle w:val="Compact"/>
              <w:jc w:val="left"/>
              <w:suppressAutoHyphens/>
            </w:pPr>
            <w:r>
              <w:t xml:space="preserve">$13,523</w:t>
            </w:r>
          </w:p>
        </w:tc>
        <w:tc>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suppressAutoHyphens/>
            </w:pPr>
          </w:p>
        </w:tc>
        <w:tc>
          <w:tcPr/>
          <w:p>
            <w:pPr>
              <w:pStyle w:val="Compact"/>
              <w:jc w:val="left"/>
              <w:suppressAutoHyphens/>
            </w:pPr>
            <w:r>
              <w:t xml:space="preserve">Low Estimate (Tier 3 Associate, $340/seat)</w:t>
            </w:r>
          </w:p>
        </w:tc>
        <w:tc>
          <w:tcPr/>
          <w:p>
            <w:pPr>
              <w:pStyle w:val="Compact"/>
              <w:jc w:val="left"/>
              <w:suppressAutoHyphens/>
            </w:pPr>
            <w:r>
              <w:t xml:space="preserve">Blended Estimate ($175/seat)</w:t>
            </w:r>
          </w:p>
        </w:tc>
        <w:tc>
          <w:tcPr/>
          <w:p>
            <w:pPr>
              <w:pStyle w:val="Compact"/>
              <w:jc w:val="left"/>
              <w:suppressAutoHyphens/>
            </w:pPr>
            <w:r>
              <w:t xml:space="preserve">High Estimate (Tier 4 Diploma, $80/seat)</w:t>
            </w:r>
          </w:p>
        </w:tc>
      </w:tr>
      <w:tr>
        <w:trPr>
          <w:cantSplit/>
        </w:trPr>
        <w:tc>
          <w:tcPr/>
          <w:p>
            <w:pPr>
              <w:pStyle w:val="Compact"/>
              <w:jc w:val="left"/>
              <w:suppressAutoHyphens/>
            </w:pPr>
            <w:r>
              <w:t xml:space="preserve">Year 1 (~33 to ~140 seats)</w:t>
            </w:r>
          </w:p>
        </w:tc>
        <w:tc>
          <w:tcPr/>
          <w:p>
            <w:pPr>
              <w:pStyle w:val="Compact"/>
              <w:jc w:val="left"/>
              <w:suppressAutoHyphens/>
            </w:pPr>
            <w:r>
              <w:t xml:space="preserve">33</w:t>
            </w:r>
          </w:p>
        </w:tc>
        <w:tc>
          <w:tcPr/>
          <w:p>
            <w:pPr>
              <w:pStyle w:val="Compact"/>
              <w:jc w:val="left"/>
              <w:suppressAutoHyphens/>
            </w:pPr>
            <w:r>
              <w:t xml:space="preserve">64</w:t>
            </w:r>
          </w:p>
        </w:tc>
        <w:tc>
          <w:tcPr/>
          <w:p>
            <w:pPr>
              <w:pStyle w:val="Compact"/>
              <w:jc w:val="left"/>
              <w:suppressAutoHyphens/>
            </w:pPr>
            <w:r>
              <w:t xml:space="preserve">140</w:t>
            </w:r>
          </w:p>
        </w:tc>
      </w:tr>
      <w:tr>
        <w:trPr>
          <w:cantSplit/>
        </w:trPr>
        <w:tc>
          <w:tcPr/>
          <w:p>
            <w:pPr>
              <w:pStyle w:val="Compact"/>
              <w:jc w:val="left"/>
              <w:suppressAutoHyphens/>
            </w:pPr>
            <w:r>
              <w:t xml:space="preserve">Year 2 (~66 to ~282 seats)</w:t>
            </w:r>
          </w:p>
        </w:tc>
        <w:tc>
          <w:tcPr/>
          <w:p>
            <w:pPr>
              <w:pStyle w:val="Compact"/>
              <w:jc w:val="left"/>
              <w:suppressAutoHyphens/>
            </w:pPr>
            <w:r>
              <w:t xml:space="preserve">66</w:t>
            </w:r>
          </w:p>
        </w:tc>
        <w:tc>
          <w:tcPr/>
          <w:p>
            <w:pPr>
              <w:pStyle w:val="Compact"/>
              <w:jc w:val="left"/>
              <w:suppressAutoHyphens/>
            </w:pPr>
            <w:r>
              <w:t xml:space="preserve">129</w:t>
            </w:r>
          </w:p>
        </w:tc>
        <w:tc>
          <w:tcPr/>
          <w:p>
            <w:pPr>
              <w:pStyle w:val="Compact"/>
              <w:jc w:val="left"/>
              <w:suppressAutoHyphens/>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Emergency Relief sub-line deferred in Years 1–2 leaves a mission-specific buffer thin</w:t>
            </w:r>
          </w:p>
        </w:tc>
        <w:tc>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p>
            <w:pPr>
              <w:pStyle w:val="Compact"/>
              <w:jc w:val="left"/>
              <w:suppressAutoHyphens/>
            </w:pPr>
            <w:r>
              <w:t xml:space="preserve">Nigeria Reserve deferred in Years 1–2</w:t>
            </w:r>
          </w:p>
        </w:tc>
        <w:tc>
          <w:tcPr/>
          <w:p>
            <w:pPr>
              <w:pStyle w:val="Compact"/>
              <w:jc w:val="left"/>
              <w:suppressAutoHyphens/>
            </w:pPr>
            <w:r>
              <w:t xml:space="preserve">No effect on the funding target, which is Year 10 (§6.2.1) — eight years of runway remain to rebuild the sub-line from Year 3</w:t>
            </w:r>
          </w:p>
        </w:tc>
      </w:tr>
      <w:tr>
        <w:trPr>
          <w:cantSplit/>
        </w:trPr>
        <w:tc>
          <w:tcPr/>
          <w:p>
            <w:pPr>
              <w:pStyle w:val="Compact"/>
              <w:jc w:val="left"/>
              <w:suppressAutoHyphens/>
            </w:pPr>
            <w:r>
              <w:t xml:space="preserve">Founding Registration pipeline overperforms, creating expectations the Founding Scholarship pool cannot meet at launch</w:t>
            </w:r>
          </w:p>
        </w:tc>
        <w:tc>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Ratifies (or declines) the illustrative bridge-phase fee; retains exclusive tuition-setting authority (§11.3)</w:t>
            </w:r>
          </w:p>
        </w:tc>
      </w:tr>
      <w:tr>
        <w:trPr>
          <w:cantSplit/>
        </w:trPr>
        <w:tc>
          <w:tcPr/>
          <w:p>
            <w:pPr>
              <w:pStyle w:val="Compact"/>
              <w:jc w:val="left"/>
              <w:suppressAutoHyphens/>
            </w:pPr>
            <w:r>
              <w:t xml:space="preserve">Waqf &amp; Endowment Board</w:t>
            </w:r>
          </w:p>
        </w:tc>
        <w:tc>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p>
            <w:pPr>
              <w:pStyle w:val="Compact"/>
              <w:jc w:val="left"/>
              <w:suppressAutoHyphens/>
            </w:pPr>
            <w:r>
              <w:t xml:space="preserve">Registrar / Admissions (Section 14)</w:t>
            </w:r>
          </w:p>
        </w:tc>
        <w:tc>
          <w:tcPr/>
          <w:p>
            <w:pPr>
              <w:pStyle w:val="Compact"/>
              <w:jc w:val="left"/>
              <w:suppressAutoHyphens/>
            </w:pPr>
            <w:r>
              <w:t xml:space="preserve">Administers Founding Registration and the transition to formal admissions</w:t>
            </w:r>
          </w:p>
        </w:tc>
      </w:tr>
      <w:tr>
        <w:trPr>
          <w:cantSplit/>
        </w:trPr>
        <w:tc>
          <w:tcPr/>
          <w:p>
            <w:pPr>
              <w:pStyle w:val="Compact"/>
              <w:jc w:val="left"/>
              <w:suppressAutoHyphens/>
            </w:pPr>
            <w:r>
              <w:t xml:space="preserve">University Senate</w:t>
            </w:r>
          </w:p>
        </w:tc>
        <w:tc>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Cormorant Garamond" w:hAnsi="Cormorant Garamond"/>
                <w:color w:val="B08625"/>
                <w:sz w:val="64"/>
              </w:rPr>
              <w:t>“</w:t>
            </w:r>
          </w:p>
          <w:p>
            <w:pPr>
              <w:jc w:val="center"/>
              <w:spacing w:before="0" w:after="320"/>
              <w:suppressAutoHyphens/>
            </w:pPr>
            <w:r>
              <w:rPr>
                <w:rFonts w:ascii="Cormorant Garamond" w:hAnsi="Cormorant Garamond"/>
                <w:i/>
                <w:color w:val="FFFFFF"/>
                <w:sz w:val="34"/>
              </w:rPr>
              <w:t>Every ambition in this Blueprint is priced against a revenue line AMIU has actually adopted — never a revenue line we wished it had.</w:t>
            </w:r>
          </w:p>
          <w:p>
            <w:pPr>
              <w:jc w:val="center"/>
              <w:spacing w:before="0" w:after="0"/>
              <w:suppressAutoHyphens/>
            </w:pPr>
            <w:r>
              <w:rPr>
                <w:rFonts w:ascii="Liberation Sans" w:hAnsi="Liberation Sans"/>
                <w:b/>
                <w:sz w:val="22"/>
                <w:color w:val="B08625"/>
                <w:spacing w:val="18"/>
                <w:caps/>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This Blueprint</w:t>
            </w:r>
          </w:p>
        </w:tc>
        <w:tc>
          <w:tcPr/>
          <w:p>
            <w:pPr>
              <w:pStyle w:val="Compact"/>
              <w:jc w:val="left"/>
              <w:suppressAutoHyphens/>
            </w:pPr>
            <w:r>
              <w:t xml:space="preserve">AMIU-MP-001 Reference</w:t>
            </w:r>
          </w:p>
        </w:tc>
        <w:tc>
          <w:tcPr/>
          <w:p>
            <w:pPr>
              <w:pStyle w:val="Compact"/>
              <w:jc w:val="left"/>
              <w:suppressAutoHyphens/>
            </w:pPr>
            <w:r>
              <w:t xml:space="preserve">Relationship</w:t>
            </w:r>
          </w:p>
        </w:tc>
      </w:tr>
      <w:tr>
        <w:trPr>
          <w:cantSplit/>
        </w:trPr>
        <w:tc>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p>
            <w:pPr>
              <w:pStyle w:val="Compact"/>
              <w:jc w:val="left"/>
              <w:suppressAutoHyphens/>
            </w:pPr>
            <w:r>
              <w:t xml:space="preserve">§10–11 (Governance: University Senate &amp; Delegation of Authority)</w:t>
            </w:r>
          </w:p>
        </w:tc>
        <w:tc>
          <w:tcPr/>
          <w:p>
            <w:pPr>
              <w:pStyle w:val="Compact"/>
              <w:jc w:val="left"/>
              <w:suppressAutoHyphens/>
            </w:pPr>
            <w:r>
              <w:t xml:space="preserve">Operationalizes committee structure, elections, and succession beneath the fixed 18-seat charter</w:t>
            </w:r>
          </w:p>
        </w:tc>
      </w:tr>
      <w:tr>
        <w:trPr>
          <w:cantSplit/>
        </w:trPr>
        <w:tc>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p>
            <w:pPr>
              <w:pStyle w:val="Compact"/>
              <w:jc w:val="left"/>
              <w:suppressAutoHyphens/>
            </w:pPr>
            <w:r>
              <w:t xml:space="preserve">§1 (Academic Credit-Hour Architecture)</w:t>
            </w:r>
          </w:p>
        </w:tc>
        <w:tc>
          <w:tcPr/>
          <w:p>
            <w:pPr>
              <w:pStyle w:val="Compact"/>
              <w:jc w:val="left"/>
              <w:suppressAutoHyphens/>
            </w:pPr>
            <w:r>
              <w:t xml:space="preserve">Operationalizes staffing, college, department, and faculty-rank structure beneath the 71-program catalog</w:t>
            </w:r>
          </w:p>
        </w:tc>
      </w:tr>
      <w:tr>
        <w:trPr>
          <w:cantSplit/>
        </w:trPr>
        <w:tc>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p>
            <w:pPr>
              <w:pStyle w:val="Compact"/>
              <w:jc w:val="left"/>
              <w:suppressAutoHyphens/>
            </w:pPr>
            <w:r>
              <w:t xml:space="preserve">§1–3 (Academic Architecture, Tuition &amp; Fees, Scholarships)</w:t>
            </w:r>
          </w:p>
        </w:tc>
        <w:tc>
          <w:tcPr/>
          <w:p>
            <w:pPr>
              <w:pStyle w:val="Compact"/>
              <w:jc w:val="left"/>
              <w:suppressAutoHyphens/>
            </w:pPr>
            <w:r>
              <w:t xml:space="preserve">Operationalizes admissions, curriculum mapping, and recruitment beneath fixed CH totals and tuition tiers</w:t>
            </w:r>
          </w:p>
        </w:tc>
      </w:tr>
      <w:tr>
        <w:trPr>
          <w:cantSplit/>
        </w:trPr>
        <w:tc>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p>
            <w:pPr>
              <w:pStyle w:val="Compact"/>
              <w:jc w:val="left"/>
              <w:suppressAutoHyphens/>
            </w:pPr>
            <w:r>
              <w:t xml:space="preserve">§9.4 (ISO 21001 &amp; CPD), §9.3 (Gambia), §16 (Twenty-Year Horizon)</w:t>
            </w:r>
          </w:p>
        </w:tc>
        <w:tc>
          <w:tcPr/>
          <w:p>
            <w:pPr>
              <w:pStyle w:val="Compact"/>
              <w:jc w:val="left"/>
              <w:suppressAutoHyphens/>
            </w:pPr>
            <w:r>
              <w:t xml:space="preserve">Operationalizes the accreditation pipeline within its adopted sequencing and cost figures</w:t>
            </w:r>
          </w:p>
        </w:tc>
      </w:tr>
      <w:tr>
        <w:trPr>
          <w:cantSplit/>
        </w:trPr>
        <w:tc>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p>
            <w:pPr>
              <w:pStyle w:val="Compact"/>
              <w:jc w:val="left"/>
              <w:suppressAutoHyphens/>
            </w:pPr>
            <w:r>
              <w:t xml:space="preserve">§5.4 (LMS &amp; Tech allocation), §6 (Waqf &amp; Endowment)</w:t>
            </w:r>
          </w:p>
        </w:tc>
        <w:tc>
          <w:tcPr/>
          <w:p>
            <w:pPr>
              <w:pStyle w:val="Compact"/>
              <w:jc w:val="left"/>
              <w:suppressAutoHyphens/>
            </w:pPr>
            <w:r>
              <w:t xml:space="preserve">Operationalizes digital infrastructure and Waqf development within fixed allocation lines</w:t>
            </w:r>
          </w:p>
        </w:tc>
      </w:tr>
      <w:tr>
        <w:trPr>
          <w:cantSplit/>
        </w:trPr>
        <w:tc>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p>
            <w:pPr>
              <w:pStyle w:val="Compact"/>
              <w:jc w:val="left"/>
              <w:suppressAutoHyphens/>
            </w:pPr>
            <w:r>
              <w:t xml:space="preserve">§2–3 (Tuition &amp; Fees, Scholarships), §5.4 (Marketing allocation)</w:t>
            </w:r>
          </w:p>
        </w:tc>
        <w:tc>
          <w:tcPr/>
          <w:p>
            <w:pPr>
              <w:pStyle w:val="Compact"/>
              <w:jc w:val="left"/>
              <w:suppressAutoHyphens/>
            </w:pPr>
            <w:r>
              <w:t xml:space="preserve">Operationalizes scholarship, marketing, and branding execution within fixed tuition and allocation architecture</w:t>
            </w:r>
          </w:p>
        </w:tc>
      </w:tr>
      <w:tr>
        <w:trPr>
          <w:cantSplit/>
        </w:trPr>
        <w:tc>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p>
            <w:pPr>
              <w:pStyle w:val="Compact"/>
              <w:jc w:val="left"/>
              <w:suppressAutoHyphens/>
            </w:pPr>
            <w:r>
              <w:t xml:space="preserve">§6.2.1 (Nigeria Mega-University), §9.3 (Gambia Branch)</w:t>
            </w:r>
          </w:p>
        </w:tc>
        <w:tc>
          <w:tcPr/>
          <w:p>
            <w:pPr>
              <w:pStyle w:val="Compact"/>
              <w:jc w:val="left"/>
              <w:suppressAutoHyphens/>
            </w:pPr>
            <w:r>
              <w:t xml:space="preserve">Operationalizes regional expansion within Waqf &amp; Stakeholder Reserve sub-lines and Board-approved ceilings</w:t>
            </w:r>
          </w:p>
        </w:tc>
      </w:tr>
      <w:tr>
        <w:trPr>
          <w:cantSplit/>
        </w:trPr>
        <w:tc>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p>
            <w:pPr>
              <w:pStyle w:val="Compact"/>
              <w:jc w:val="left"/>
              <w:suppressAutoHyphens/>
            </w:pPr>
            <w:r>
              <w:t xml:space="preserve">§14 (Risk Register), §5 (Financial Audit), §16 (Twenty-Year Horizon), §3 &amp; §6.3 (Scholarship &amp; External Waqf Donor Contributions)</w:t>
            </w:r>
          </w:p>
        </w:tc>
        <w:tc>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Exhibit</w:t>
            </w:r>
          </w:p>
        </w:tc>
        <w:tc>
          <w:tcPr/>
          <w:p>
            <w:pPr>
              <w:pStyle w:val="Compact"/>
              <w:jc w:val="left"/>
              <w:suppressAutoHyphens/>
            </w:pPr>
            <w:r>
              <w:t xml:space="preserve">Document</w:t>
            </w:r>
          </w:p>
        </w:tc>
        <w:tc>
          <w:tcPr/>
          <w:p>
            <w:pPr>
              <w:pStyle w:val="Compact"/>
              <w:jc w:val="left"/>
              <w:suppressAutoHyphens/>
            </w:pPr>
            <w:r>
              <w:t xml:space="preserve">Status</w:t>
            </w:r>
          </w:p>
        </w:tc>
      </w:tr>
      <w:tr>
        <w:trPr>
          <w:cantSplit/>
        </w:trPr>
        <w:tc>
          <w:tcPr/>
          <w:p>
            <w:pPr>
              <w:pStyle w:val="Compact"/>
              <w:jc w:val="left"/>
              <w:suppressAutoHyphens/>
            </w:pPr>
            <w:r>
              <w:t xml:space="preserve">A</w:t>
            </w:r>
          </w:p>
        </w:tc>
        <w:tc>
          <w:tcPr/>
          <w:p>
            <w:pPr>
              <w:pStyle w:val="Compact"/>
              <w:jc w:val="left"/>
              <w:suppressAutoHyphens/>
            </w:pPr>
            <w:r>
              <w:t xml:space="preserve">AMIU Constitution and Bylaws</w:t>
            </w:r>
          </w:p>
        </w:tc>
        <w:tc>
          <w:tcPr/>
          <w:p>
            <w:pPr>
              <w:pStyle w:val="Compact"/>
              <w:jc w:val="left"/>
              <w:suppressAutoHyphens/>
            </w:pPr>
            <w:r>
              <w:t xml:space="preserve">Attached to AMIU-MP-001</w:t>
            </w:r>
          </w:p>
        </w:tc>
      </w:tr>
      <w:tr>
        <w:trPr>
          <w:cantSplit/>
        </w:trPr>
        <w:tc>
          <w:tcPr/>
          <w:p>
            <w:pPr>
              <w:pStyle w:val="Compact"/>
              <w:jc w:val="left"/>
              <w:suppressAutoHyphens/>
            </w:pPr>
            <w:r>
              <w:t xml:space="preserve">B</w:t>
            </w:r>
          </w:p>
        </w:tc>
        <w:tc>
          <w:tcPr/>
          <w:p>
            <w:pPr>
              <w:pStyle w:val="Compact"/>
              <w:jc w:val="left"/>
              <w:suppressAutoHyphens/>
            </w:pPr>
            <w:r>
              <w:t xml:space="preserve">Institutional Governance Compendium</w:t>
            </w:r>
          </w:p>
        </w:tc>
        <w:tc>
          <w:tcPr/>
          <w:p>
            <w:pPr>
              <w:pStyle w:val="Compact"/>
              <w:jc w:val="left"/>
              <w:suppressAutoHyphens/>
            </w:pPr>
            <w:r>
              <w:t xml:space="preserve">Attached to AMIU-MP-001</w:t>
            </w:r>
          </w:p>
        </w:tc>
      </w:tr>
      <w:tr>
        <w:trPr>
          <w:cantSplit/>
        </w:trPr>
        <w:tc>
          <w:tcPr/>
          <w:p>
            <w:pPr>
              <w:pStyle w:val="Compact"/>
              <w:jc w:val="left"/>
              <w:suppressAutoHyphens/>
            </w:pPr>
            <w:r>
              <w:t xml:space="preserve">C</w:t>
            </w:r>
          </w:p>
        </w:tc>
        <w:tc>
          <w:tcPr/>
          <w:p>
            <w:pPr>
              <w:pStyle w:val="Compact"/>
              <w:jc w:val="left"/>
              <w:suppressAutoHyphens/>
            </w:pPr>
            <w:r>
              <w:t xml:space="preserve">Academic Program Syllabi — All 71 Named Programs</w:t>
            </w:r>
          </w:p>
        </w:tc>
        <w:tc>
          <w:tcPr/>
          <w:p>
            <w:pPr>
              <w:pStyle w:val="Compact"/>
              <w:jc w:val="left"/>
              <w:suppressAutoHyphens/>
            </w:pPr>
            <w:r>
              <w:t xml:space="preserve">Attached to AMIU-MP-001</w:t>
            </w:r>
          </w:p>
        </w:tc>
      </w:tr>
      <w:tr>
        <w:trPr>
          <w:cantSplit/>
        </w:trPr>
        <w:tc>
          <w:tcPr/>
          <w:p>
            <w:pPr>
              <w:pStyle w:val="Compact"/>
              <w:jc w:val="left"/>
              <w:suppressAutoHyphens/>
            </w:pPr>
            <w:r>
              <w:t xml:space="preserve">D</w:t>
            </w:r>
          </w:p>
        </w:tc>
        <w:tc>
          <w:tcPr/>
          <w:p>
            <w:pPr>
              <w:pStyle w:val="Compact"/>
              <w:jc w:val="left"/>
              <w:suppressAutoHyphens/>
            </w:pPr>
            <w:r>
              <w:t xml:space="preserve">AMIU Global Services LLC — Offering Documents</w:t>
            </w:r>
          </w:p>
        </w:tc>
        <w:tc>
          <w:tcPr/>
          <w:p>
            <w:pPr>
              <w:pStyle w:val="Compact"/>
              <w:jc w:val="left"/>
              <w:suppressAutoHyphens/>
            </w:pPr>
            <w:r>
              <w:t xml:space="preserve">Attached to AMIU-MP-001</w:t>
            </w:r>
          </w:p>
        </w:tc>
      </w:tr>
      <w:tr>
        <w:trPr>
          <w:cantSplit/>
        </w:trPr>
        <w:tc>
          <w:tcPr/>
          <w:p>
            <w:pPr>
              <w:pStyle w:val="Compact"/>
              <w:jc w:val="left"/>
              <w:suppressAutoHyphens/>
            </w:pPr>
            <w:r>
              <w:t xml:space="preserve">E</w:t>
            </w:r>
          </w:p>
        </w:tc>
        <w:tc>
          <w:tcPr/>
          <w:p>
            <w:pPr>
              <w:pStyle w:val="Compact"/>
              <w:jc w:val="left"/>
              <w:suppressAutoHyphens/>
            </w:pPr>
            <w:r>
              <w:t xml:space="preserve">Waqf &amp; Endowment Board Charter</w:t>
            </w:r>
          </w:p>
        </w:tc>
        <w:tc>
          <w:tcPr/>
          <w:p>
            <w:pPr>
              <w:pStyle w:val="Compact"/>
              <w:jc w:val="left"/>
              <w:suppressAutoHyphens/>
            </w:pPr>
            <w:r>
              <w:t xml:space="preserve">Attached to AMIU-MP-001</w:t>
            </w:r>
          </w:p>
        </w:tc>
      </w:tr>
      <w:tr>
        <w:trPr>
          <w:cantSplit/>
        </w:trPr>
        <w:tc>
          <w:tcPr/>
          <w:p>
            <w:pPr>
              <w:pStyle w:val="Compact"/>
              <w:jc w:val="left"/>
              <w:suppressAutoHyphens/>
            </w:pPr>
            <w:r>
              <w:t xml:space="preserve">F–G</w:t>
            </w:r>
          </w:p>
        </w:tc>
        <w:tc>
          <w:tcPr/>
          <w:p>
            <w:pPr>
              <w:pStyle w:val="Compact"/>
              <w:jc w:val="left"/>
              <w:suppressAutoHyphens/>
            </w:pPr>
            <w:r>
              <w:t xml:space="preserve">Certificates of Formation — University &amp; LLC (Texas)</w:t>
            </w:r>
          </w:p>
        </w:tc>
        <w:tc>
          <w:tcPr/>
          <w:p>
            <w:pPr>
              <w:pStyle w:val="Compact"/>
              <w:jc w:val="left"/>
              <w:suppressAutoHyphens/>
            </w:pPr>
            <w:r>
              <w:t xml:space="preserve">Attached to AMIU-MP-001</w:t>
            </w:r>
          </w:p>
        </w:tc>
      </w:tr>
      <w:tr>
        <w:trPr>
          <w:cantSplit/>
        </w:trPr>
        <w:tc>
          <w:tcPr/>
          <w:p>
            <w:pPr>
              <w:pStyle w:val="Compact"/>
              <w:jc w:val="left"/>
              <w:suppressAutoHyphens/>
            </w:pPr>
            <w:r>
              <w:t xml:space="preserve">H</w:t>
            </w:r>
          </w:p>
        </w:tc>
        <w:tc>
          <w:tcPr/>
          <w:p>
            <w:pPr>
              <w:pStyle w:val="Compact"/>
              <w:jc w:val="left"/>
              <w:suppressAutoHyphens/>
            </w:pPr>
            <w:r>
              <w:t xml:space="preserve">IRS Form 1023 Application — 501(c)(3) Status</w:t>
            </w:r>
          </w:p>
        </w:tc>
        <w:tc>
          <w:tcPr/>
          <w:p>
            <w:pPr>
              <w:pStyle w:val="Compact"/>
              <w:jc w:val="left"/>
              <w:suppressAutoHyphens/>
            </w:pPr>
            <w:r>
              <w:t xml:space="preserve">Filed / pending confirmation</w:t>
            </w:r>
          </w:p>
        </w:tc>
      </w:tr>
      <w:tr>
        <w:trPr>
          <w:cantSplit/>
        </w:trPr>
        <w:tc>
          <w:tcPr/>
          <w:p>
            <w:pPr>
              <w:pStyle w:val="Compact"/>
              <w:jc w:val="left"/>
              <w:suppressAutoHyphens/>
            </w:pPr>
            <w:r>
              <w:t xml:space="preserve">I</w:t>
            </w:r>
          </w:p>
        </w:tc>
        <w:tc>
          <w:tcPr/>
          <w:p>
            <w:pPr>
              <w:pStyle w:val="Compact"/>
              <w:jc w:val="left"/>
              <w:suppressAutoHyphens/>
            </w:pPr>
            <w:r>
              <w:t xml:space="preserve">Financial Model — Full Audited Workbook</w:t>
            </w:r>
          </w:p>
        </w:tc>
        <w:tc>
          <w:tcPr/>
          <w:p>
            <w:pPr>
              <w:pStyle w:val="Compact"/>
              <w:jc w:val="left"/>
              <w:suppressAutoHyphens/>
            </w:pPr>
            <w:r>
              <w:t xml:space="preserve">Attached to AMIU-MP-001</w:t>
            </w:r>
          </w:p>
        </w:tc>
      </w:tr>
      <w:tr>
        <w:trPr>
          <w:cantSplit/>
        </w:trPr>
        <w:tc>
          <w:tcPr/>
          <w:p>
            <w:pPr>
              <w:pStyle w:val="Compact"/>
              <w:jc w:val="left"/>
              <w:suppressAutoHyphens/>
            </w:pPr>
            <w:r>
              <w:t xml:space="preserve">J</w:t>
            </w:r>
          </w:p>
        </w:tc>
        <w:tc>
          <w:tcPr/>
          <w:p>
            <w:pPr>
              <w:pStyle w:val="Compact"/>
              <w:jc w:val="left"/>
              <w:suppressAutoHyphens/>
            </w:pPr>
            <w:r>
              <w:t xml:space="preserve">NAQAA Accreditation Application — Gambia Branch Campus</w:t>
            </w:r>
          </w:p>
        </w:tc>
        <w:tc>
          <w:tcPr/>
          <w:p>
            <w:pPr>
              <w:pStyle w:val="Compact"/>
              <w:jc w:val="left"/>
              <w:suppressAutoHyphens/>
            </w:pPr>
            <w:r>
              <w:t xml:space="preserve">Stage 3 preparation</w:t>
            </w:r>
          </w:p>
        </w:tc>
      </w:tr>
      <w:tr>
        <w:trPr>
          <w:cantSplit/>
        </w:trPr>
        <w:tc>
          <w:tcPr/>
          <w:p>
            <w:pPr>
              <w:pStyle w:val="Compact"/>
              <w:jc w:val="left"/>
              <w:suppressAutoHyphens/>
            </w:pPr>
            <w:r>
              <w:t xml:space="preserve">K</w:t>
            </w:r>
          </w:p>
        </w:tc>
        <w:tc>
          <w:tcPr/>
          <w:p>
            <w:pPr>
              <w:pStyle w:val="Compact"/>
              <w:jc w:val="left"/>
              <w:suppressAutoHyphens/>
            </w:pPr>
            <w:r>
              <w:t xml:space="preserve">Nigeria NUC Charter Application</w:t>
            </w:r>
          </w:p>
        </w:tc>
        <w:tc>
          <w:tcPr/>
          <w:p>
            <w:pPr>
              <w:pStyle w:val="Compact"/>
              <w:jc w:val="left"/>
              <w:suppressAutoHyphens/>
            </w:pPr>
            <w:r>
              <w:t xml:space="preserve">Preparation begins Year 8</w:t>
            </w:r>
          </w:p>
        </w:tc>
      </w:tr>
      <w:tr>
        <w:trPr>
          <w:cantSplit/>
        </w:trPr>
        <w:tc>
          <w:tcPr/>
          <w:p>
            <w:pPr>
              <w:pStyle w:val="Compact"/>
              <w:jc w:val="left"/>
              <w:suppressAutoHyphens/>
            </w:pPr>
            <w:r>
              <w:t xml:space="preserve">L–M</w:t>
            </w:r>
          </w:p>
        </w:tc>
        <w:tc>
          <w:tcPr/>
          <w:p>
            <w:pPr>
              <w:pStyle w:val="Compact"/>
              <w:jc w:val="left"/>
              <w:suppressAutoHyphens/>
            </w:pPr>
            <w:r>
              <w:t xml:space="preserve">ISO 21001 / CPD Accreditation Application Documentation</w:t>
            </w:r>
          </w:p>
        </w:tc>
        <w:tc>
          <w:tcPr/>
          <w:p>
            <w:pPr>
              <w:pStyle w:val="Compact"/>
              <w:jc w:val="left"/>
              <w:suppressAutoHyphens/>
            </w:pPr>
            <w:r>
              <w:t xml:space="preserve">Preparation per Blueprint Sections 19–20</w:t>
            </w:r>
          </w:p>
        </w:tc>
      </w:tr>
      <w:tr>
        <w:trPr>
          <w:cantSplit/>
        </w:trPr>
        <w:tc>
          <w:tcPr/>
          <w:p>
            <w:pPr>
              <w:pStyle w:val="Compact"/>
              <w:jc w:val="left"/>
              <w:suppressAutoHyphens/>
            </w:pPr>
            <w:r>
              <w:t xml:space="preserve">N</w:t>
            </w:r>
          </w:p>
        </w:tc>
        <w:tc>
          <w:tcPr/>
          <w:p>
            <w:pPr>
              <w:pStyle w:val="Compact"/>
              <w:jc w:val="left"/>
              <w:suppressAutoHyphens/>
            </w:pPr>
            <w:r>
              <w:t xml:space="preserve">Independent Sharī’ah Advisory Board Charter</w:t>
            </w:r>
          </w:p>
        </w:tc>
        <w:tc>
          <w:tcPr/>
          <w:p>
            <w:pPr>
              <w:pStyle w:val="Compact"/>
              <w:jc w:val="left"/>
              <w:suppressAutoHyphens/>
            </w:pPr>
            <w:r>
              <w:t xml:space="preserve">Attached to AMIU-MP-001</w:t>
            </w:r>
          </w:p>
        </w:tc>
      </w:tr>
      <w:tr>
        <w:trPr>
          <w:cantSplit/>
        </w:trPr>
        <w:tc>
          <w:tcPr/>
          <w:p>
            <w:pPr>
              <w:pStyle w:val="Compact"/>
              <w:jc w:val="left"/>
              <w:suppressAutoHyphens/>
            </w:pPr>
            <w:r>
              <w:t xml:space="preserve">O</w:t>
            </w:r>
          </w:p>
        </w:tc>
        <w:tc>
          <w:tcPr/>
          <w:p>
            <w:pPr>
              <w:pStyle w:val="Compact"/>
              <w:jc w:val="left"/>
              <w:suppressAutoHyphens/>
            </w:pPr>
            <w:r>
              <w:t xml:space="preserve">Student Handbook, Grading Policy &amp; Grievance Procedures</w:t>
            </w:r>
          </w:p>
        </w:tc>
        <w:tc>
          <w:tcPr/>
          <w:p>
            <w:pPr>
              <w:pStyle w:val="Compact"/>
              <w:jc w:val="left"/>
              <w:suppressAutoHyphens/>
            </w:pPr>
            <w:r>
              <w:t xml:space="preserve">Attached to AMIU-MP-001</w:t>
            </w:r>
          </w:p>
        </w:tc>
      </w:tr>
      <w:tr>
        <w:trPr>
          <w:cantSplit/>
        </w:trPr>
        <w:tc>
          <w:tcPr/>
          <w:p>
            <w:pPr>
              <w:pStyle w:val="Compact"/>
              <w:jc w:val="left"/>
              <w:suppressAutoHyphens/>
            </w:pPr>
            <w:r>
              <w:t xml:space="preserve">P</w:t>
            </w:r>
          </w:p>
        </w:tc>
        <w:tc>
          <w:tcPr/>
          <w:p>
            <w:pPr>
              <w:pStyle w:val="Compact"/>
              <w:jc w:val="left"/>
              <w:suppressAutoHyphens/>
            </w:pPr>
            <w:r>
              <w:t xml:space="preserve">Faculty Handbook &amp; Honoraria Schedule</w:t>
            </w:r>
          </w:p>
        </w:tc>
        <w:tc>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Category</w:t>
            </w:r>
          </w:p>
        </w:tc>
        <w:tc>
          <w:tcPr/>
          <w:p>
            <w:pPr>
              <w:pStyle w:val="Compact"/>
              <w:jc w:val="left"/>
              <w:suppressAutoHyphens/>
            </w:pPr>
            <w:r>
              <w:t xml:space="preserve">% of Gross Revenue</w:t>
            </w:r>
          </w:p>
        </w:tc>
        <w:tc>
          <w:tcPr/>
          <w:p>
            <w:pPr>
              <w:pStyle w:val="Compact"/>
              <w:jc w:val="left"/>
              <w:suppressAutoHyphens/>
            </w:pPr>
            <w:r>
              <w:t xml:space="preserve">Governing Body</w:t>
            </w:r>
          </w:p>
        </w:tc>
      </w:tr>
      <w:tr>
        <w:trPr>
          <w:cantSplit/>
        </w:trPr>
        <w:tc>
          <w:tcPr/>
          <w:p>
            <w:pPr>
              <w:pStyle w:val="Compact"/>
              <w:jc w:val="left"/>
              <w:suppressAutoHyphens/>
            </w:pPr>
            <w:r>
              <w:t xml:space="preserve">Liquidity Reserve</w:t>
            </w:r>
          </w:p>
        </w:tc>
        <w:tc>
          <w:tcPr/>
          <w:p>
            <w:pPr>
              <w:pStyle w:val="Compact"/>
              <w:jc w:val="left"/>
              <w:suppressAutoHyphens/>
            </w:pPr>
            <w:r>
              <w:t xml:space="preserve">35%</w:t>
            </w:r>
          </w:p>
        </w:tc>
        <w:tc>
          <w:tcPr/>
          <w:p>
            <w:pPr>
              <w:pStyle w:val="Compact"/>
              <w:jc w:val="left"/>
              <w:suppressAutoHyphens/>
            </w:pPr>
            <w:r>
              <w:t xml:space="preserve">Board of Trustees</w:t>
            </w:r>
          </w:p>
        </w:tc>
      </w:tr>
      <w:tr>
        <w:trPr>
          <w:cantSplit/>
        </w:trPr>
        <w:tc>
          <w:tcPr/>
          <w:p>
            <w:pPr>
              <w:pStyle w:val="Compact"/>
              <w:jc w:val="left"/>
              <w:suppressAutoHyphens/>
            </w:pPr>
            <w:r>
              <w:t xml:space="preserve">Payroll (Faculty Honoraria 40% · Founders 24% · Senate 18% · Core Admin 18%)</w:t>
            </w:r>
          </w:p>
        </w:tc>
        <w:tc>
          <w:tcPr/>
          <w:p>
            <w:pPr>
              <w:pStyle w:val="Compact"/>
              <w:jc w:val="left"/>
              <w:suppressAutoHyphens/>
            </w:pPr>
            <w:r>
              <w:t xml:space="preserve">20%</w:t>
            </w:r>
          </w:p>
        </w:tc>
        <w:tc>
          <w:tcPr/>
          <w:p>
            <w:pPr>
              <w:pStyle w:val="Compact"/>
              <w:jc w:val="left"/>
              <w:suppressAutoHyphens/>
            </w:pPr>
            <w:r>
              <w:t xml:space="preserve">Board (budget) / Senate (stipends, 4-independent-seat compensation check)</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20%</w:t>
            </w:r>
          </w:p>
        </w:tc>
        <w:tc>
          <w:tcPr/>
          <w:p>
            <w:pPr>
              <w:pStyle w:val="Compact"/>
              <w:jc w:val="left"/>
              <w:suppressAutoHyphens/>
            </w:pPr>
            <w:r>
              <w:t xml:space="preserve">Waqf &amp; Endowment Board (fiduciary)</w:t>
            </w:r>
          </w:p>
        </w:tc>
      </w:tr>
      <w:tr>
        <w:trPr>
          <w:cantSplit/>
        </w:trPr>
        <w:tc>
          <w:tcPr/>
          <w:p>
            <w:pPr>
              <w:pStyle w:val="Compact"/>
              <w:jc w:val="left"/>
              <w:suppressAutoHyphens/>
            </w:pPr>
            <w:r>
              <w:t xml:space="preserve">Marketing &amp; Student Acquisition</w:t>
            </w:r>
          </w:p>
        </w:tc>
        <w:tc>
          <w:tcPr/>
          <w:p>
            <w:pPr>
              <w:pStyle w:val="Compact"/>
              <w:jc w:val="left"/>
              <w:suppressAutoHyphens/>
            </w:pPr>
            <w:r>
              <w:t xml:space="preserve">10%</w:t>
            </w:r>
          </w:p>
        </w:tc>
        <w:tc>
          <w:tcPr/>
          <w:p>
            <w:pPr>
              <w:pStyle w:val="Compact"/>
              <w:jc w:val="left"/>
              <w:suppressAutoHyphens/>
            </w:pPr>
            <w:r>
              <w:t xml:space="preserve">DVC Admin &amp; Finance</w:t>
            </w:r>
          </w:p>
        </w:tc>
      </w:tr>
      <w:tr>
        <w:trPr>
          <w:cantSplit/>
        </w:trPr>
        <w:tc>
          <w:tcPr/>
          <w:p>
            <w:pPr>
              <w:pStyle w:val="Compact"/>
              <w:jc w:val="left"/>
              <w:suppressAutoHyphens/>
            </w:pPr>
            <w:r>
              <w:t xml:space="preserve">Operating Expenses</w:t>
            </w:r>
          </w:p>
        </w:tc>
        <w:tc>
          <w:tcPr/>
          <w:p>
            <w:pPr>
              <w:pStyle w:val="Compact"/>
              <w:jc w:val="left"/>
              <w:suppressAutoHyphens/>
            </w:pPr>
            <w:r>
              <w:t xml:space="preserve">5%</w:t>
            </w:r>
          </w:p>
        </w:tc>
        <w:tc>
          <w:tcPr/>
          <w:p>
            <w:pPr>
              <w:pStyle w:val="Compact"/>
              <w:jc w:val="left"/>
              <w:suppressAutoHyphens/>
            </w:pPr>
            <w:r>
              <w:t xml:space="preserve">DVC Admin &amp; Finance</w:t>
            </w:r>
          </w:p>
        </w:tc>
      </w:tr>
      <w:tr>
        <w:trPr>
          <w:cantSplit/>
        </w:trPr>
        <w:tc>
          <w:tcPr/>
          <w:p>
            <w:pPr>
              <w:pStyle w:val="Compact"/>
              <w:jc w:val="left"/>
              <w:suppressAutoHyphens/>
            </w:pPr>
            <w:r>
              <w:t xml:space="preserve">LMS &amp; Technology Infrastructure</w:t>
            </w:r>
          </w:p>
        </w:tc>
        <w:tc>
          <w:tcPr/>
          <w:p>
            <w:pPr>
              <w:pStyle w:val="Compact"/>
              <w:jc w:val="left"/>
              <w:suppressAutoHyphens/>
            </w:pPr>
            <w:r>
              <w:t xml:space="preserve">5%</w:t>
            </w:r>
          </w:p>
        </w:tc>
        <w:tc>
          <w:tcPr/>
          <w:p>
            <w:pPr>
              <w:pStyle w:val="Compact"/>
              <w:jc w:val="left"/>
              <w:suppressAutoHyphens/>
            </w:pPr>
            <w:r>
              <w:t xml:space="preserve">Senate Group IV</w:t>
            </w:r>
          </w:p>
        </w:tc>
      </w:tr>
      <w:tr>
        <w:trPr>
          <w:cantSplit/>
        </w:trPr>
        <w:tc>
          <w:tcPr/>
          <w:p>
            <w:pPr>
              <w:pStyle w:val="Compact"/>
              <w:jc w:val="left"/>
              <w:suppressAutoHyphens/>
            </w:pPr>
            <w:r>
              <w:t xml:space="preserve">Da’wah &amp; Community Outreach</w:t>
            </w:r>
          </w:p>
        </w:tc>
        <w:tc>
          <w:tcPr/>
          <w:p>
            <w:pPr>
              <w:pStyle w:val="Compact"/>
              <w:jc w:val="left"/>
              <w:suppressAutoHyphens/>
            </w:pPr>
            <w:r>
              <w:t xml:space="preserve">5%</w:t>
            </w:r>
          </w:p>
        </w:tc>
        <w:tc>
          <w:tcPr/>
          <w:p>
            <w:pPr>
              <w:pStyle w:val="Compact"/>
              <w:jc w:val="left"/>
              <w:suppressAutoHyphens/>
            </w:pPr>
            <w:r>
              <w:t xml:space="preserve">DVC Admin &amp; Finance</w:t>
            </w:r>
          </w:p>
        </w:tc>
      </w:tr>
      <w:tr>
        <w:trPr>
          <w:cantSplit/>
        </w:trPr>
        <w:tc>
          <w:tcPr/>
          <w:p>
            <w:pPr>
              <w:pStyle w:val="Compact"/>
              <w:jc w:val="left"/>
              <w:suppressAutoHyphens/>
            </w:pPr>
            <w:r>
              <w:rPr>
                <w:bCs/>
                <w:b/>
                <w:color w:val="B08625"/>
                <w:sz w:val="22"/>
                <w:caps/>
                <w:spacing w:val="18"/>
              </w:rPr>
              <w:t xml:space="preserve">Total</w:t>
            </w:r>
          </w:p>
        </w:tc>
        <w:tc>
          <w:tcPr/>
          <w:p>
            <w:pPr>
              <w:pStyle w:val="Compact"/>
              <w:jc w:val="left"/>
              <w:suppressAutoHyphens/>
            </w:pPr>
            <w:r>
              <w:rPr>
                <w:bCs/>
                <w:b/>
                <w:color w:val="B08625"/>
                <w:sz w:val="22"/>
                <w:caps/>
                <w:spacing w:val="18"/>
              </w:rPr>
              <w:t xml:space="preserve">100%, zero unallocated residual</w:t>
            </w:r>
          </w:p>
        </w:tc>
        <w:tc>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4"/>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4"/>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4"/>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4"/>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4"/>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4"/>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4"/>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4"/>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4"/>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4"/>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4"/>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4"/>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4"/>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4"/>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4"/>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4"/>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Cinzel" w:hAnsi="Cinzel"/>
                <w:b/>
                <w:color w:val="B08625"/>
                <w:sz w:val="22"/>
                <w:caps/>
                <w:spacing w:val="18"/>
              </w:rPr>
              <w:t>AL-MULK INTERNATIONAL UNIVERSITY</w:t>
            </w:r>
          </w:p>
          <w:p>
            <w:pPr>
              <w:jc w:val="center"/>
              <w:spacing w:before="0" w:after="500"/>
              <w:suppressAutoHyphens/>
            </w:pPr>
            <w:r>
              <w:rPr>
                <w:rFonts w:ascii="Cormorant Garamond" w:hAnsi="Cormorant Garamond"/>
                <w:i/>
                <w:color w:val="DCE3F0"/>
                <w:sz w:val="22"/>
              </w:rPr>
              <w:t>“Spreading Islamic Education Worldwide, at Every Pace”</w:t>
            </w:r>
          </w:p>
          <w:p>
            <w:pPr>
              <w:jc w:val="center"/>
              <w:spacing w:before="0" w:after="80"/>
              <w:suppressAutoHyphens/>
            </w:pPr>
            <w:r>
              <w:rPr>
                <w:rFonts w:ascii="Liberation Sans" w:hAnsi="Liberation Sans"/>
                <w:color w:val="B08625"/>
                <w:sz w:val="18"/>
              </w:rPr>
              <w:t>Strategic Implementation Blueprint · 2028–2050 · AMIU-SB-002</w:t>
            </w:r>
          </w:p>
          <w:p>
            <w:pPr>
              <w:jc w:val="center"/>
              <w:spacing w:before="0" w:after="0"/>
              <w:suppressAutoHyphens/>
            </w:pPr>
            <w:r>
              <w:rPr>
                <w:rFonts w:ascii="Liberation Sans" w:hAnsi="Liberation Sans"/>
                <w:color w:val="8C97AB"/>
                <w:sz w:val="16"/>
              </w:rPr>
              <w:t>edu.amiu.com  ·  info@edu.amiu.com  ·  Texas-Domiciled, Religiously Exempt  ·  Incorporated 6 December 2027</w:t>
            </w:r>
          </w:p>
          <w:p>
            <w:pPr>
              <w:jc w:val="center"/>
              <w:spacing w:before="240" w:after="0"/>
              <w:suppressAutoHyphens/>
            </w:pPr>
            <w:r>
              <w:rPr>
                <w:rFonts w:ascii="Liberation Sans" w:hAnsi="Liberation Sans"/>
                <w:i/>
                <w:color w:val="8C97AB"/>
                <w:sz w:val="15"/>
              </w:rPr>
              <w:t>This document is a strategic planning model prepared for Board, Senate, and accreditation-body decision-making.</w:t>
            </w:r>
          </w:p>
          <w:p>
            <w:pPr>
              <w:jc w:val="center"/>
              <w:spacing w:before="0" w:after="0"/>
              <w:suppressAutoHyphens/>
            </w:pPr>
            <w:r>
              <w:rPr>
                <w:rFonts w:ascii="Liberation Sans" w:hAnsi="Liberation Sans"/>
                <w:i/>
                <w:color w:val="8C97AB"/>
                <w:sz w:val="15"/>
              </w:rPr>
              <w:t>It does not constitute a certified financial audit or an offer of investment.</w:t>
            </w:r>
          </w:p>
        </w:tc>
      </w:tr>
    </w:tbl>
    <w:bookmarkEnd w:id="121"/>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24" w:lineRule="auto"/>
    </w:pPr>
    <w:rPr>
      <w:rFonts w:ascii="EB Garamond" w:cs="EB Garamond" w:eastAsia="EB Garamond" w:hAnsi="EB Garamond"/>
      <w:b w:val="0"/>
      <w:i w:val="0"/>
      <w:caps w:val="0"/>
      <w:smallCaps w:val="0"/>
      <w:color w:val="1A1F2B"/>
      <w:sz w:val="23"/>
      <w:lang w:val="en-US"/>
    </w:rPr>
  </w:style>
  <w:style w:styleId="BodyText" w:type="paragraph">
    <w:name w:val="Body Text"/>
    <w:basedOn w:val="Normal"/>
    <w:link w:val="BodyTextChar"/>
    <w:pPr>
      <w:keepNext w:val="0"/>
      <w:widowControl/>
      <w:spacing w:after="140" w:before="0" w:line="317" w:lineRule="auto"/>
    </w:pPr>
    <w:qFormat/>
    <w:rPr>
      <w:rFonts w:ascii="EB Garamond" w:cs="EB Garamond" w:eastAsia="EB Garamond" w:hAnsi="EB Garamond"/>
      <w:b w:val="0"/>
      <w:i w:val="0"/>
      <w:caps w:val="0"/>
      <w:smallCaps w:val="0"/>
      <w:color w:val="1A1F2B"/>
      <w:sz w:val="23"/>
      <w:lang w:val="en-US"/>
    </w:rPr>
  </w:style>
  <w:style w:customStyle="1" w:styleId="FirstParagraph" w:type="paragraph">
    <w:name w:val="First Paragraph"/>
    <w:basedOn w:val="BodyText"/>
    <w:next w:val="BodyText"/>
    <w:qFormat/>
    <w:pPr>
      <w:keepNext w:val="0"/>
      <w:widowControl/>
      <w:spacing w:after="140" w:before="0" w:line="317" w:lineRule="auto"/>
    </w:pPr>
    <w:rPr>
      <w:rFonts w:ascii="EB Garamond" w:cs="EB Garamond" w:eastAsia="EB Garamond" w:hAnsi="EB Garamond"/>
      <w:b w:val="0"/>
      <w:i w:val="0"/>
      <w:caps w:val="0"/>
      <w:smallCaps w:val="0"/>
      <w:color w:val="1A1F2B"/>
      <w:sz w:val="23"/>
      <w:lang w:val="en-US"/>
    </w:rPr>
  </w:style>
  <w:style w:customStyle="1" w:styleId="Compact" w:type="paragraph">
    <w:name w:val="Compact"/>
    <w:basedOn w:val="BodyText"/>
    <w:qFormat/>
    <w:pPr>
      <w:keepNext w:val="0"/>
      <w:widowControl/>
      <w:spacing w:after="140" w:before="0" w:line="317" w:lineRule="auto"/>
    </w:pPr>
    <w:rPr>
      <w:rFonts w:ascii="EB Garamond" w:cs="EB Garamond" w:eastAsia="EB Garamond" w:hAnsi="EB Garamond"/>
      <w:b w:val="0"/>
      <w:i w:val="0"/>
      <w:caps w:val="0"/>
      <w:smallCaps w:val="0"/>
      <w:color w:val="1A1F2B"/>
      <w:sz w:val="23"/>
      <w:lang w:val="en-US"/>
    </w:rPr>
  </w:style>
  <w:style w:styleId="Title" w:type="paragraph">
    <w:name w:val="Title"/>
    <w:basedOn w:val="Normal"/>
    <w:next w:val="BodyText"/>
    <w:qFormat/>
    <w:pPr>
      <w:keepNext w:val="0"/>
      <w:keepLines/>
      <w:spacing w:after="120" w:before="0" w:line="252" w:lineRule="auto"/>
      <w:jc w:val="left"/>
      <w:suppressAutoHyphens w:val="true"/>
    </w:pPr>
    <w:rPr>
      <w:rFonts w:ascii="Cormorant Garamond" w:cs="Cormorant Garamond" w:eastAsia="Cormorant Garamond" w:hAnsi="Cormorant Garamond"/>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Cormorant Garamond" w:cs="Cormorant Garamond" w:eastAsia="Cormorant Garamond" w:hAnsi="Cormorant Garamond"/>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Cormorant Garamond" w:cs="Cormorant Garamond" w:eastAsia="Cormorant Garamond" w:hAnsi="Cormorant Garamond"/>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Cormorant Garamond SemiBold" w:cs="Cormorant Garamond SemiBold" w:eastAsia="Cormorant Garamond SemiBold" w:hAnsi="Cormorant Garamond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Liberation Sans" w:cs="Liberation Sans" w:eastAsia="Liberation Sans" w:hAnsi="Liberation Sans"/>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Liberation Sans" w:cs="Liberation Sans" w:eastAsia="Liberation Sans" w:hAnsi="Liberation Sans"/>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Cormorant Garamond" w:cs="Cormorant Garamond" w:eastAsia="Cormorant Garamond" w:hAnsi="Cormorant Garamond"/>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Liberation Sans" w:cs="Liberation Sans" w:eastAsia="Liberation Sans" w:hAnsi="Liberation Sans"/>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Cormorant Garamond" w:cs="Cormorant Garamond" w:eastAsia="Cormorant Garamond" w:hAnsi="Cormorant Garamond"/>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Cormorant Garamond" w:cs="Cormorant Garamond" w:eastAsia="Cormorant Garamond" w:hAnsi="Cormorant Garamond"/>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Cinzel" w:cs="Cinzel" w:eastAsia="Cinzel" w:hAnsi="Cinzel"/>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Cinzel" w:cs="Cinzel" w:eastAsia="Cinzel" w:hAnsi="Cinzel"/>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Cormorant Garamond" w:cs="Cormorant Garamond" w:eastAsia="Cormorant Garamond" w:hAnsi="Cormorant Garamond"/>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2026-07-25T10:03:55Z</dcterms:created>
  <dcterms:modified xsi:type="dcterms:W3CDTF">2026-07-25T10:03:55Z</dcterms:modified>
</cp:coreProperties>
</file>

<file path=docProps/custom.xml><?xml version="1.0" encoding="utf-8"?>
<Properties xmlns="http://schemas.openxmlformats.org/officeDocument/2006/custom-properties" xmlns:vt="http://schemas.openxmlformats.org/officeDocument/2006/docPropsVTypes"/>
</file>