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 except as granted on the Rights and Permissions page that follows.</w:t>
      </w:r>
    </w:p>
    <w:p>
      <w:pPr>
        <w:spacing w:after="150" w:before="0" w:line="300"/>
      </w:pPr>
      <w:r>
        <w:rPr>
          <w:rFonts w:ascii="Calibri" w:cs="Calibri" w:eastAsia="Calibri" w:hAnsi="Calibri"/>
          <w:color w:val="4B5768"/>
          <w:sz w:val="16"/>
          <w:szCs w:val="16"/>
        </w:rPr>
        <w:t xml:space="preserve">ISBN [to be assigned]  ·  DOI [not registered]</w:t>
      </w:r>
    </w:p>
    <w:p>
      <w:pPr>
        <w:spacing w:after="150" w:before="0" w:line="300"/>
      </w:pPr>
      <w:r>
        <w:rPr>
          <w:rFonts w:ascii="Calibri" w:cs="Calibri" w:eastAsia="Calibri" w:hAnsi="Calibri"/>
          <w:color w:val="4B5768"/>
          <w:sz w:val="16"/>
          <w:szCs w:val="16"/>
        </w:rPr>
        <w:t xml:space="preserve">Edition mark WEC-LC·AHDC-FGQP — printed in the foot of every page. See Rights and Permissions.</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pageBreakBefore/>
        <w:spacing w:after="120" w:before="0"/>
      </w:pPr>
      <w:r>
        <w:rPr>
          <w:rFonts w:ascii="Cambria" w:cs="Cambria" w:eastAsia="Cambria" w:hAnsi="Cambria"/>
          <w:b/>
          <w:bCs/>
          <w:color w:val="14264A"/>
          <w:sz w:val="32"/>
          <w:szCs w:val="32"/>
        </w:rPr>
        <w:t xml:space="preserve">Rights and Permissions</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Read it, print it, photocopy it, quote it and teach from it, freely and without asking. Do not stand it up as another institution’s programme, sell it, or take the College’s name off it.</w:t>
      </w:r>
    </w:p>
    <w:p>
      <w:pPr>
        <w:spacing w:after="70" w:before="260" w:line="300"/>
      </w:pPr>
      <w:r>
        <w:rPr>
          <w:rFonts w:ascii="Calibri" w:cs="Calibri" w:eastAsia="Calibri" w:hAnsi="Calibri"/>
          <w:b/>
          <w:bCs/>
          <w:caps/>
          <w:color w:val="9A7A38"/>
          <w:spacing w:val="60"/>
          <w:sz w:val="15"/>
          <w:szCs w:val="15"/>
        </w:rPr>
        <w:t xml:space="preserve">Granted, without asking and without conditions</w:t>
      </w:r>
    </w:p>
    <w:p>
      <w:pPr>
        <w:pStyle w:val="ListParagraph"/>
        <w:numPr>
          <w:ilvl w:val="0"/>
          <w:numId w:val="2"/>
        </w:numPr>
        <w:spacing w:after="100" w:line="290"/>
      </w:pPr>
      <w:r>
        <w:rPr>
          <w:rFonts w:ascii="Cambria" w:cs="Cambria" w:eastAsia="Cambria" w:hAnsi="Cambria"/>
          <w:sz w:val="21"/>
          <w:szCs w:val="21"/>
        </w:rPr>
        <w:t xml:space="preserve">Read it, download it, keep it, and print it.</w:t>
      </w:r>
    </w:p>
    <w:p>
      <w:pPr>
        <w:pStyle w:val="ListParagraph"/>
        <w:numPr>
          <w:ilvl w:val="0"/>
          <w:numId w:val="2"/>
        </w:numPr>
        <w:spacing w:after="100" w:line="290"/>
      </w:pPr>
      <w:r>
        <w:rPr>
          <w:rFonts w:ascii="Cambria" w:cs="Cambria" w:eastAsia="Cambria" w:hAnsi="Cambria"/>
          <w:sz w:val="21"/>
          <w:szCs w:val="21"/>
        </w:rPr>
        <w:t xml:space="preserve">Photocopy it, in whole or in part, for a class you teach.</w:t>
      </w:r>
    </w:p>
    <w:p>
      <w:pPr>
        <w:pStyle w:val="ListParagraph"/>
        <w:numPr>
          <w:ilvl w:val="0"/>
          <w:numId w:val="2"/>
        </w:numPr>
        <w:spacing w:after="100" w:line="290"/>
      </w:pPr>
      <w:r>
        <w:rPr>
          <w:rFonts w:ascii="Cambria" w:cs="Cambria" w:eastAsia="Cambria" w:hAnsi="Cambria"/>
          <w:sz w:val="21"/>
          <w:szCs w:val="21"/>
        </w:rPr>
        <w:t xml:space="preserve">Quote from it, at any length reasonable to your argument, with the volume named.</w:t>
      </w:r>
    </w:p>
    <w:p>
      <w:pPr>
        <w:pStyle w:val="ListParagraph"/>
        <w:numPr>
          <w:ilvl w:val="0"/>
          <w:numId w:val="2"/>
        </w:numPr>
        <w:spacing w:after="100" w:line="290"/>
      </w:pPr>
      <w:r>
        <w:rPr>
          <w:rFonts w:ascii="Cambria" w:cs="Cambria" w:eastAsia="Cambria" w:hAnsi="Cambria"/>
          <w:sz w:val="21"/>
          <w:szCs w:val="21"/>
        </w:rPr>
        <w:t xml:space="preserve">Cite it, set it on a reading list, and hand it to a colleague.</w:t>
      </w:r>
    </w:p>
    <w:p>
      <w:pPr>
        <w:pStyle w:val="ListParagraph"/>
        <w:numPr>
          <w:ilvl w:val="0"/>
          <w:numId w:val="2"/>
        </w:numPr>
        <w:spacing w:after="100" w:line="290"/>
      </w:pPr>
      <w:r>
        <w:rPr>
          <w:rFonts w:ascii="Cambria" w:cs="Cambria" w:eastAsia="Cambria" w:hAnsi="Cambria"/>
          <w:sz w:val="21"/>
          <w:szCs w:val="21"/>
        </w:rPr>
        <w:t xml:space="preserve">Teach from it, including in another institution’s classroom.</w:t>
      </w:r>
    </w:p>
    <w:p>
      <w:pPr>
        <w:pStyle w:val="ListParagraph"/>
        <w:numPr>
          <w:ilvl w:val="0"/>
          <w:numId w:val="2"/>
        </w:numPr>
        <w:spacing w:after="100" w:line="290"/>
      </w:pPr>
      <w:r>
        <w:rPr>
          <w:rFonts w:ascii="Cambria" w:cs="Cambria" w:eastAsia="Cambria" w:hAnsi="Cambria"/>
          <w:sz w:val="21"/>
          <w:szCs w:val="21"/>
        </w:rPr>
        <w:t xml:space="preserve">Translate a passage for a learner who needs it in their own language.</w:t>
      </w:r>
    </w:p>
    <w:p>
      <w:pPr>
        <w:spacing w:after="70" w:before="260" w:line="300"/>
      </w:pPr>
      <w:r>
        <w:rPr>
          <w:rFonts w:ascii="Calibri" w:cs="Calibri" w:eastAsia="Calibri" w:hAnsi="Calibri"/>
          <w:b/>
          <w:bCs/>
          <w:caps/>
          <w:color w:val="9A7A38"/>
          <w:spacing w:val="60"/>
          <w:sz w:val="15"/>
          <w:szCs w:val="15"/>
        </w:rPr>
        <w:t xml:space="preserve">Reserved to the College</w:t>
      </w:r>
    </w:p>
    <w:p>
      <w:pPr>
        <w:pStyle w:val="ListParagraph"/>
        <w:numPr>
          <w:ilvl w:val="0"/>
          <w:numId w:val="2"/>
        </w:numPr>
        <w:spacing w:after="100" w:line="290"/>
      </w:pPr>
      <w:r>
        <w:rPr>
          <w:rFonts w:ascii="Cambria" w:cs="Cambria" w:eastAsia="Cambria" w:hAnsi="Cambria"/>
          <w:sz w:val="21"/>
          <w:szCs w:val="21"/>
        </w:rPr>
        <w:t xml:space="preserve">Adopting a volume, or the curriculum it sets out, as the syllabus or scheme of work of another institution, programme or course of study.</w:t>
      </w:r>
    </w:p>
    <w:p>
      <w:pPr>
        <w:pStyle w:val="ListParagraph"/>
        <w:numPr>
          <w:ilvl w:val="0"/>
          <w:numId w:val="2"/>
        </w:numPr>
        <w:spacing w:after="100" w:line="290"/>
      </w:pPr>
      <w:r>
        <w:rPr>
          <w:rFonts w:ascii="Cambria" w:cs="Cambria" w:eastAsia="Cambria" w:hAnsi="Cambria"/>
          <w:sz w:val="21"/>
          <w:szCs w:val="21"/>
        </w:rPr>
        <w:t xml:space="preserve">Republishing, mirroring, hosting or redistributing a volume, whole or in part, anywhere other than from the College’s own address.</w:t>
      </w:r>
    </w:p>
    <w:p>
      <w:pPr>
        <w:pStyle w:val="ListParagraph"/>
        <w:numPr>
          <w:ilvl w:val="0"/>
          <w:numId w:val="2"/>
        </w:numPr>
        <w:spacing w:after="100" w:line="290"/>
      </w:pPr>
      <w:r>
        <w:rPr>
          <w:rFonts w:ascii="Cambria" w:cs="Cambria" w:eastAsia="Cambria" w:hAnsi="Cambria"/>
          <w:sz w:val="21"/>
          <w:szCs w:val="21"/>
        </w:rPr>
        <w:t xml:space="preserve">Selling a volume, charging for access to it, or bundling it with anything sold.</w:t>
      </w:r>
    </w:p>
    <w:p>
      <w:pPr>
        <w:pStyle w:val="ListParagraph"/>
        <w:numPr>
          <w:ilvl w:val="0"/>
          <w:numId w:val="2"/>
        </w:numPr>
        <w:spacing w:after="100" w:line="290"/>
      </w:pPr>
      <w:r>
        <w:rPr>
          <w:rFonts w:ascii="Cambria" w:cs="Cambria" w:eastAsia="Cambria" w:hAnsi="Cambria"/>
          <w:sz w:val="21"/>
          <w:szCs w:val="21"/>
        </w:rPr>
        <w:t xml:space="preserve">Producing an adapted, abridged, re-sequenced or derivative curriculum from it, or a translated edition of a whole volume.</w:t>
      </w:r>
    </w:p>
    <w:p>
      <w:pPr>
        <w:pStyle w:val="ListParagraph"/>
        <w:numPr>
          <w:ilvl w:val="0"/>
          <w:numId w:val="2"/>
        </w:numPr>
        <w:spacing w:after="100" w:line="290"/>
      </w:pPr>
      <w:r>
        <w:rPr>
          <w:rFonts w:ascii="Cambria" w:cs="Cambria" w:eastAsia="Cambria" w:hAnsi="Cambria"/>
          <w:sz w:val="21"/>
          <w:szCs w:val="21"/>
        </w:rPr>
        <w:t xml:space="preserve">Removing or obscuring the College’s name, the running attribution, the edition mark, or this notice.</w:t>
      </w:r>
    </w:p>
    <w:p>
      <w:pPr>
        <w:pStyle w:val="ListParagraph"/>
        <w:numPr>
          <w:ilvl w:val="0"/>
          <w:numId w:val="2"/>
        </w:numPr>
        <w:spacing w:after="100" w:line="290"/>
      </w:pPr>
      <w:r>
        <w:rPr>
          <w:rFonts w:ascii="Cambria" w:cs="Cambria" w:eastAsia="Cambria" w:hAnsi="Cambria"/>
          <w:sz w:val="21"/>
          <w:szCs w:val="21"/>
        </w:rPr>
        <w:t xml:space="preserve">Using a volume as training data for a machine-learning model, or ingesting it into a dataset offered to others.</w:t>
      </w:r>
    </w:p>
    <w:p>
      <w:pPr>
        <w:pStyle w:val="ListParagraph"/>
        <w:numPr>
          <w:ilvl w:val="0"/>
          <w:numId w:val="2"/>
        </w:numPr>
        <w:spacing w:after="100" w:line="290"/>
      </w:pPr>
      <w:r>
        <w:rPr>
          <w:rFonts w:ascii="Cambria" w:cs="Cambria" w:eastAsia="Cambria" w:hAnsi="Cambria"/>
          <w:sz w:val="21"/>
          <w:szCs w:val="21"/>
        </w:rPr>
        <w:t xml:space="preserve">Issuing any award, certificate, level statement or transcript in reliance on these volumes. The qualification is the College’s to confer and nobody else’s.</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Asking is the short route</w:t>
            </w:r>
          </w:p>
          <w:p>
            <w:pPr>
              <w:spacing w:after="0" w:before="0" w:line="290"/>
            </w:pPr>
            <w:r>
              <w:rPr>
                <w:rFonts w:ascii="Cambria" w:cs="Cambria" w:eastAsia="Cambria" w:hAnsi="Cambria"/>
                <w:b w:val="false"/>
                <w:bCs w:val="false"/>
                <w:caps w:val="false"/>
                <w:color w:val="1A1A1A"/>
                <w:sz w:val="20"/>
                <w:szCs w:val="20"/>
              </w:rPr>
              <w:t xml:space="preserve">Permission for any reserved use is given in writing, and is usually given. Write to info@worldwencollege.co.uk with the volume, the use and the institution. A school that asks is a colleague; the College has no interest in refusing a teacher who wants to do the work properly.</w:t>
            </w:r>
          </w:p>
        </w:tc>
      </w:tr>
    </w:tbl>
    <w:p>
      <w:pPr>
        <w:spacing w:after="220" w:before="0" w:line="300"/>
      </w:pPr>
      <w:r>
        <w:rPr>
          <w:rFonts w:ascii="Cambria" w:cs="Cambria" w:eastAsia="Cambria" w:hAnsi="Cambria"/>
          <w:color w:val="1A1A1A"/>
          <w:sz w:val="21"/>
          <w:szCs w:val="21"/>
        </w:rPr>
        <w:t xml:space="preserve"/>
      </w:r>
    </w:p>
    <w:p>
      <w:pPr>
        <w:spacing w:after="70" w:before="260" w:line="300"/>
      </w:pPr>
      <w:r>
        <w:rPr>
          <w:rFonts w:ascii="Calibri" w:cs="Calibri" w:eastAsia="Calibri" w:hAnsi="Calibri"/>
          <w:b/>
          <w:bCs/>
          <w:caps/>
          <w:color w:val="9A7A38"/>
          <w:spacing w:val="60"/>
          <w:sz w:val="15"/>
          <w:szCs w:val="15"/>
        </w:rPr>
        <w:t xml:space="preserve">Traceability</w:t>
      </w:r>
    </w:p>
    <w:p>
      <w:pPr>
        <w:spacing w:after="150" w:before="0" w:line="300"/>
      </w:pPr>
      <w:r>
        <w:rPr>
          <w:rFonts w:ascii="Cambria" w:cs="Cambria" w:eastAsia="Cambria" w:hAnsi="Cambria"/>
          <w:color w:val="1A1A1A"/>
          <w:sz w:val="21"/>
          <w:szCs w:val="21"/>
        </w:rPr>
        <w:t xml:space="preserve">Every page of every volume carries the volume title, the College’s name and an edition mark computed from the curriculum content of that edition. Material taken from these volumes is therefore identifiable as to volume, edition and page, whether it is reproduced, retyped or paraphrased around. The College reads the field it publishes into, and it will pursue a reserved use it finds unlicensed.</w:t>
      </w:r>
    </w:p>
    <w:p>
      <w:pPr>
        <w:spacing w:after="70" w:before="260" w:line="300"/>
      </w:pPr>
      <w:r>
        <w:rPr>
          <w:rFonts w:ascii="Calibri" w:cs="Calibri" w:eastAsia="Calibri" w:hAnsi="Calibri"/>
          <w:b/>
          <w:bCs/>
          <w:caps/>
          <w:color w:val="9A7A38"/>
          <w:spacing w:val="60"/>
          <w:sz w:val="15"/>
          <w:szCs w:val="15"/>
        </w:rPr>
        <w:t xml:space="preserve">What is not claimed</w:t>
      </w:r>
    </w:p>
    <w:p>
      <w:pPr>
        <w:spacing w:after="150" w:before="0" w:line="300"/>
      </w:pPr>
      <w:r>
        <w:rPr>
          <w:rFonts w:ascii="Calibri" w:cs="Calibri" w:eastAsia="Calibri" w:hAnsi="Calibri"/>
          <w:color w:val="4B5768"/>
          <w:sz w:val="16"/>
          <w:szCs w:val="16"/>
        </w:rPr>
        <w:t xml:space="preserve">This volume is not encrypted and its text is not disabled against selection, extraction or printing. The College considers a document that a reader cannot copy to be a document a reader cannot use, and considers the permission flags a file can carry to be advisory rather than protective. The protection here is a stated licence, attribution on every page, and a traceable edition mark — not a lock.</w:t>
      </w:r>
    </w:p>
    <w:p>
      <w:pPr>
        <w:spacing w:after="150" w:before="0" w:line="300"/>
      </w:pPr>
      <w:r>
        <w:rPr>
          <w:rFonts w:ascii="Calibri" w:cs="Calibri" w:eastAsia="Calibri" w:hAnsi="Calibri"/>
          <w:color w:val="4B5768"/>
          <w:sz w:val="16"/>
          <w:szCs w:val="16"/>
        </w:rPr>
        <w:t xml:space="preserve">The International English Fluency Certificate · First edition, 2026. Published by WorldWide English College Press, London Campus. © 2026 WorldWide English College. All rights reserved except as granted above. Edition mark WEC-LC·AHDC-FGQP.</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WorldWide English College  ·  ApWEC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WorldWide English College (ApWEC).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WorldWide English College  ·  CnWEC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WorldWide English College (CnWEC).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WorldWide English College  ·  AsWEC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WorldWide English College (AsWEC).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WorldWide English College  ·  EnWEC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WorldWide English College (EnWEC).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WorldWide English College  ·  OrWEC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WorldWide English College (OrWEC).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WorldWide English College  ·  LrWEC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WorldWide English College (LrWEC).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8812"/>
      </w:tabs>
    </w:pPr>
    <w:r>
      <w:rPr>
        <w:rFonts w:ascii="Calibri" w:cs="Calibri" w:eastAsia="Calibri" w:hAnsi="Calibri"/>
        <w:color w:val="4B5768"/>
        <w:sz w:val="13"/>
        <w:szCs w:val="13"/>
      </w:rPr>
      <w:t xml:space="preserve">The International English Fluency Certificate  ·  © WorldWide English College	</w:t>
    </w:r>
    <w:r>
      <w:rPr>
        <w:rFonts w:ascii="Calibri" w:cs="Calibri" w:eastAsia="Calibri" w:hAnsi="Calibri"/>
        <w:color w:val="4B5768"/>
        <w:sz w:val="13"/>
        <w:szCs w:val="13"/>
      </w:rPr>
      <w:t xml:space="preserve">WEC-LC·AHDC-FGQP  ·  </w:t>
    </w:r>
    <w:r>
      <w:rPr>
        <w:rFonts w:ascii="Calibri" w:cs="Calibri" w:eastAsia="Calibri" w:hAnsi="Calibri"/>
        <w:color w:val="4B5768"/>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2026-09-04T08:58:58.985Z</dcterms:created>
  <dcterms:modified xsi:type="dcterms:W3CDTF">2026-09-04T08:58:58.985Z</dcterms:modified>
</cp:coreProperties>
</file>

<file path=docProps/custom.xml><?xml version="1.0" encoding="utf-8"?>
<Properties xmlns="http://schemas.openxmlformats.org/officeDocument/2006/custom-properties" xmlns:vt="http://schemas.openxmlformats.org/officeDocument/2006/docPropsVTypes"/>
</file>