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14264A"/>
          <w:spacing w:val="130"/>
          <w:sz w:val="22"/>
          <w:szCs w:val="22"/>
        </w:rPr>
        <w:t xml:space="preserve">The International English Fluency Certificate</w:t>
      </w:r>
    </w:p>
    <w:p>
      <w:r>
        <w:br w:type="page"/>
      </w:r>
    </w:p>
    <w:p>
      <w:pPr>
        <w:spacing w:after="1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9A7A38"/>
          <w:spacing w:val="180"/>
          <w:sz w:val="18"/>
          <w:szCs w:val="18"/>
        </w:rPr>
        <w:t xml:space="preserve">Worldwide English College</w:t>
      </w:r>
    </w:p>
    <w:p>
      <w:pPr>
        <w:spacing w:after="720" w:before="0" w:line="300"/>
        <w:jc w:val="center"/>
      </w:pPr>
      <w:r>
        <w:rPr>
          <w:rFonts w:ascii="Cambria" w:cs="Cambria" w:eastAsia="Cambria" w:hAnsi="Cambria"/>
          <w:i/>
          <w:iCs/>
          <w:color w:val="4B5768"/>
          <w:sz w:val="20"/>
          <w:szCs w:val="20"/>
        </w:rPr>
        <w:t xml:space="preserve">London Campus</w:t>
      </w:r>
    </w:p>
    <w:p>
      <w:pPr>
        <w:spacing w:after="40" w:before="0" w:line="580"/>
        <w:jc w:val="center"/>
      </w:pPr>
      <w:r>
        <w:rPr>
          <w:rFonts w:ascii="Cambria" w:cs="Cambria" w:eastAsia="Cambria" w:hAnsi="Cambria"/>
          <w:b/>
          <w:bCs/>
          <w:color w:val="14264A"/>
          <w:sz w:val="52"/>
          <w:szCs w:val="52"/>
        </w:rPr>
        <w:t xml:space="preserve">The International</w:t>
      </w:r>
    </w:p>
    <w:p>
      <w:pPr>
        <w:spacing w:after="40" w:before="0" w:line="580"/>
        <w:jc w:val="center"/>
      </w:pPr>
      <w:r>
        <w:rPr>
          <w:rFonts w:ascii="Cambria" w:cs="Cambria" w:eastAsia="Cambria" w:hAnsi="Cambria"/>
          <w:b/>
          <w:bCs/>
          <w:color w:val="14264A"/>
          <w:sz w:val="52"/>
          <w:szCs w:val="52"/>
        </w:rPr>
        <w:t xml:space="preserve">English Fluency</w:t>
      </w:r>
    </w:p>
    <w:p>
      <w:pPr>
        <w:spacing w:after="280" w:before="0" w:line="580"/>
        <w:jc w:val="center"/>
      </w:pPr>
      <w:r>
        <w:rPr>
          <w:rFonts w:ascii="Cambria" w:cs="Cambria" w:eastAsia="Cambria" w:hAnsi="Cambria"/>
          <w:b/>
          <w:bCs/>
          <w:color w:val="14264A"/>
          <w:sz w:val="52"/>
          <w:szCs w:val="52"/>
        </w:rPr>
        <w:t xml:space="preserve">Certificate</w:t>
      </w:r>
    </w:p>
    <w:p>
      <w:pPr>
        <w:pBdr>
          <w:bottom w:val="single" w:color="C9CEDA" w:sz="4" w:space="6"/>
        </w:pBdr>
        <w:spacing w:after="220" w:before="40"/>
      </w:pPr>
      <w:r>
        <w:t xml:space="preserve"/>
      </w:r>
    </w:p>
    <w:p>
      <w:pPr>
        <w:spacing w:after="1500" w:before="0" w:line="300"/>
        <w:jc w:val="center"/>
      </w:pPr>
      <w:r>
        <w:rPr>
          <w:rFonts w:ascii="Cambria" w:cs="Cambria" w:eastAsia="Cambria" w:hAnsi="Cambria"/>
          <w:i/>
          <w:iCs/>
          <w:color w:val="4B5768"/>
          <w:sz w:val="24"/>
          <w:szCs w:val="24"/>
        </w:rPr>
        <w:t xml:space="preserve">The Curriculum, Award Architecture and Academic Framework</w:t>
      </w:r>
    </w:p>
    <w:p>
      <w:pPr>
        <w:spacing w:after="150" w:before="0" w:line="300"/>
        <w:jc w:val="center"/>
      </w:pPr>
      <w:r>
        <w:rPr>
          <w:rFonts w:ascii="Calibri" w:cs="Calibri" w:eastAsia="Calibri" w:hAnsi="Calibri"/>
          <w:b/>
          <w:bCs/>
          <w:caps/>
          <w:color w:val="14264A"/>
          <w:spacing w:val="120"/>
          <w:sz w:val="17"/>
          <w:szCs w:val="17"/>
        </w:rPr>
        <w:t xml:space="preserve">First Edition</w:t>
      </w:r>
    </w:p>
    <w:p>
      <w:pPr>
        <w:spacing w:after="900" w:before="0" w:line="300"/>
        <w:jc w:val="center"/>
      </w:pPr>
      <w:r>
        <w:rPr>
          <w:rFonts w:ascii="Calibri" w:cs="Calibri" w:eastAsia="Calibri" w:hAnsi="Calibri"/>
          <w:color w:val="4B5768"/>
          <w:sz w:val="17"/>
          <w:szCs w:val="17"/>
        </w:rPr>
        <w:t xml:space="preserve">Reference Edition</w:t>
      </w:r>
    </w:p>
    <w:p>
      <w:pPr>
        <w:spacing w:after="150" w:before="0" w:line="300"/>
        <w:jc w:val="center"/>
      </w:pPr>
      <w:r>
        <w:rPr>
          <w:rFonts w:ascii="Calibri" w:cs="Calibri" w:eastAsia="Calibri" w:hAnsi="Calibri"/>
          <w:caps/>
          <w:color w:val="4B5768"/>
          <w:spacing w:val="90"/>
          <w:sz w:val="15"/>
          <w:szCs w:val="15"/>
        </w:rPr>
        <w:t xml:space="preserve">Worldwide English College Press</w:t>
      </w:r>
    </w:p>
    <w:p>
      <w:r>
        <w:br w:type="page"/>
      </w:r>
    </w:p>
    <w:p>
      <w:pPr>
        <w:pStyle w:val="Heading1"/>
        <w:spacing w:after="120" w:before="0"/>
      </w:pPr>
      <w:r>
        <w:rPr>
          <w:rFonts w:ascii="Cambria" w:cs="Cambria" w:eastAsia="Cambria" w:hAnsi="Cambria"/>
          <w:b/>
          <w:bCs/>
          <w:color w:val="14264A"/>
          <w:sz w:val="32"/>
          <w:szCs w:val="32"/>
        </w:rPr>
        <w:t xml:space="preserve">Publication Information</w:t>
      </w:r>
    </w:p>
    <w:p>
      <w:pPr>
        <w:pBdr>
          <w:bottom w:val="single" w:color="C9CEDA" w:sz="4" w:space="6"/>
        </w:pBdr>
        <w:spacing w:after="220" w:before="40"/>
      </w:pPr>
      <w:r>
        <w:t xml:space="preserve"/>
      </w:r>
    </w:p>
    <w:p>
      <w:pPr>
        <w:spacing w:after="150" w:before="0" w:line="300"/>
      </w:pPr>
      <w:r>
        <w:rPr>
          <w:rFonts w:ascii="Cambria" w:cs="Cambria" w:eastAsia="Cambria" w:hAnsi="Cambria"/>
          <w:b/>
          <w:bCs/>
          <w:color w:val="1A1A1A"/>
          <w:sz w:val="21"/>
          <w:szCs w:val="21"/>
        </w:rPr>
        <w:t xml:space="preserve">The International English Fluency Certificate</w:t>
      </w:r>
    </w:p>
    <w:p>
      <w:pPr>
        <w:spacing w:after="150" w:before="0" w:line="300"/>
      </w:pPr>
      <w:r>
        <w:rPr>
          <w:rFonts w:ascii="Cambria" w:cs="Cambria" w:eastAsia="Cambria" w:hAnsi="Cambria"/>
          <w:i/>
          <w:iCs/>
          <w:color w:val="1A1A1A"/>
          <w:sz w:val="21"/>
          <w:szCs w:val="21"/>
        </w:rPr>
        <w:t xml:space="preserve">The Curriculum, Award Architecture and Academic Framework</w:t>
      </w:r>
    </w:p>
    <w:p>
      <w:pPr>
        <w:spacing w:after="150" w:before="0" w:line="300"/>
      </w:pPr>
      <w:r>
        <w:rPr>
          <w:rFonts w:ascii="Cambria" w:cs="Cambria" w:eastAsia="Cambria" w:hAnsi="Cambria"/>
          <w:color w:val="1A1A1A"/>
          <w:sz w:val="21"/>
          <w:szCs w:val="21"/>
        </w:rPr>
        <w:t xml:space="preserve">First edition, reference edition.</w:t>
      </w:r>
    </w:p>
    <w:p>
      <w:pPr>
        <w:spacing w:after="150" w:before="0" w:line="300"/>
      </w:pPr>
      <w:r>
        <w:rPr>
          <w:rFonts w:ascii="Cambria" w:cs="Cambria" w:eastAsia="Cambria" w:hAnsi="Cambria"/>
          <w:color w:val="1A1A1A"/>
          <w:sz w:val="21"/>
          <w:szCs w:val="21"/>
        </w:rPr>
        <w:t xml:space="preserve">Published by Worldwide English College Press, London Campus.</w:t>
      </w:r>
    </w:p>
    <w:p>
      <w:pPr>
        <w:spacing w:after="150" w:before="0" w:line="300"/>
      </w:pPr>
      <w:r>
        <w:rPr>
          <w:rFonts w:ascii="Cambria" w:cs="Cambria" w:eastAsia="Cambria" w:hAnsi="Cambria"/>
          <w:color w:val="1A1A1A"/>
          <w:sz w:val="21"/>
          <w:szCs w:val="21"/>
        </w:rPr>
        <w:t xml:space="preserve">© Worldwide English College. All rights reserved except as granted on the Rights and Permissions page that follows.</w:t>
      </w:r>
    </w:p>
    <w:p>
      <w:pPr>
        <w:spacing w:after="150" w:before="0" w:line="300"/>
      </w:pPr>
      <w:r>
        <w:rPr>
          <w:rFonts w:ascii="Calibri" w:cs="Calibri" w:eastAsia="Calibri" w:hAnsi="Calibri"/>
          <w:color w:val="4B5768"/>
          <w:sz w:val="16"/>
          <w:szCs w:val="16"/>
        </w:rPr>
        <w:t xml:space="preserve">ISBN [to be assigned]  ·  DOI [not registered]</w:t>
      </w:r>
    </w:p>
    <w:p>
      <w:pPr>
        <w:spacing w:after="150" w:before="0" w:line="300"/>
      </w:pPr>
      <w:r>
        <w:rPr>
          <w:rFonts w:ascii="Calibri" w:cs="Calibri" w:eastAsia="Calibri" w:hAnsi="Calibri"/>
          <w:color w:val="4B5768"/>
          <w:sz w:val="16"/>
          <w:szCs w:val="16"/>
        </w:rPr>
        <w:t xml:space="preserve">Edition mark WEC-LC·AHDC-FGQP — printed in the foot of every page. See Rights and Permissions.</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 note on this edition</w:t>
            </w:r>
          </w:p>
          <w:p>
            <w:pPr>
              <w:spacing w:after="130" w:before="0" w:line="290"/>
            </w:pPr>
            <w:r>
              <w:rPr>
                <w:rFonts w:ascii="Cambria" w:cs="Cambria" w:eastAsia="Cambria" w:hAnsi="Cambria"/>
                <w:b w:val="false"/>
                <w:bCs w:val="false"/>
                <w:caps w:val="false"/>
                <w:color w:val="1A1A1A"/>
                <w:sz w:val="20"/>
                <w:szCs w:val="20"/>
              </w:rPr>
              <w:t xml:space="preserve">This edition is generated directly from the College's academic database and its approved institutional documents. Every figure in it is counted from that source at the moment of generation rather than transcribed by hand, and the generator refuses to publish a figure it cannot count.</w:t>
            </w:r>
          </w:p>
          <w:p>
            <w:pPr>
              <w:spacing w:after="0" w:before="0" w:line="290"/>
            </w:pPr>
            <w:r>
              <w:rPr>
                <w:rFonts w:ascii="Cambria" w:cs="Cambria" w:eastAsia="Cambria" w:hAnsi="Cambria"/>
                <w:b w:val="false"/>
                <w:bCs w:val="false"/>
                <w:caps w:val="false"/>
                <w:color w:val="1A1A1A"/>
                <w:sz w:val="20"/>
                <w:szCs w:val="20"/>
              </w:rPr>
              <w:t xml:space="preserve">The College is not an accredited institution and this publication makes no claim of accreditation, recognition, or external approval. Where the College cannot yet evidence something it states, the shortfall is named in the text rather than omitted.</w:t>
            </w:r>
          </w:p>
        </w:tc>
      </w:tr>
    </w:tbl>
    <w:p>
      <w:pPr>
        <w:spacing w:after="220" w:before="0" w:line="300"/>
      </w:pPr>
      <w:r>
        <w:rPr>
          <w:rFonts w:ascii="Cambria" w:cs="Cambria" w:eastAsia="Cambria" w:hAnsi="Cambria"/>
          <w:color w:val="1A1A1A"/>
          <w:sz w:val="21"/>
          <w:szCs w:val="21"/>
        </w:rPr>
        <w:t xml:space="preserve"/>
      </w:r>
    </w:p>
    <w:p>
      <w:pPr>
        <w:spacing w:after="150" w:before="0" w:line="300"/>
      </w:pPr>
      <w:r>
        <w:rPr>
          <w:rFonts w:ascii="Calibri" w:cs="Calibri" w:eastAsia="Calibri" w:hAnsi="Calibri"/>
          <w:color w:val="4B5768"/>
          <w:sz w:val="16"/>
          <w:szCs w:val="16"/>
        </w:rPr>
        <w:t xml:space="preserve">Generated from: sql/schema.sql + sql/seed-curriculum-level-1..6.sql + docs/curriculum-framework.md + docs/iefc-award-architecture.md + docs/governance-decisions.md</w:t>
      </w:r>
    </w:p>
    <w:p>
      <w:r>
        <w:br w:type="page"/>
      </w:r>
    </w:p>
    <w:p>
      <w:pPr>
        <w:pStyle w:val="Heading1"/>
        <w:pageBreakBefore/>
        <w:spacing w:after="120" w:before="0"/>
      </w:pPr>
      <w:r>
        <w:rPr>
          <w:rFonts w:ascii="Cambria" w:cs="Cambria" w:eastAsia="Cambria" w:hAnsi="Cambria"/>
          <w:b/>
          <w:bCs/>
          <w:color w:val="14264A"/>
          <w:sz w:val="32"/>
          <w:szCs w:val="32"/>
        </w:rPr>
        <w:t xml:space="preserve">Rights and Permissions</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Read it, print it, photocopy it, quote it and teach from it, freely and without asking. Do not stand it up as another institution’s programme, sell it, or take the College’s name off it.</w:t>
      </w:r>
    </w:p>
    <w:p>
      <w:pPr>
        <w:spacing w:after="70" w:before="260" w:line="300"/>
      </w:pPr>
      <w:r>
        <w:rPr>
          <w:rFonts w:ascii="Calibri" w:cs="Calibri" w:eastAsia="Calibri" w:hAnsi="Calibri"/>
          <w:b/>
          <w:bCs/>
          <w:caps/>
          <w:color w:val="9A7A38"/>
          <w:spacing w:val="60"/>
          <w:sz w:val="15"/>
          <w:szCs w:val="15"/>
        </w:rPr>
        <w:t xml:space="preserve">Granted, without asking and without conditions</w:t>
      </w:r>
    </w:p>
    <w:p>
      <w:pPr>
        <w:pStyle w:val="ListParagraph"/>
        <w:numPr>
          <w:ilvl w:val="0"/>
          <w:numId w:val="2"/>
        </w:numPr>
        <w:spacing w:after="100" w:line="290"/>
      </w:pPr>
      <w:r>
        <w:rPr>
          <w:rFonts w:ascii="Cambria" w:cs="Cambria" w:eastAsia="Cambria" w:hAnsi="Cambria"/>
          <w:sz w:val="21"/>
          <w:szCs w:val="21"/>
        </w:rPr>
        <w:t xml:space="preserve">Read it, download it, keep it, and print it.</w:t>
      </w:r>
    </w:p>
    <w:p>
      <w:pPr>
        <w:pStyle w:val="ListParagraph"/>
        <w:numPr>
          <w:ilvl w:val="0"/>
          <w:numId w:val="2"/>
        </w:numPr>
        <w:spacing w:after="100" w:line="290"/>
      </w:pPr>
      <w:r>
        <w:rPr>
          <w:rFonts w:ascii="Cambria" w:cs="Cambria" w:eastAsia="Cambria" w:hAnsi="Cambria"/>
          <w:sz w:val="21"/>
          <w:szCs w:val="21"/>
        </w:rPr>
        <w:t xml:space="preserve">Photocopy it, in whole or in part, for a class you teach.</w:t>
      </w:r>
    </w:p>
    <w:p>
      <w:pPr>
        <w:pStyle w:val="ListParagraph"/>
        <w:numPr>
          <w:ilvl w:val="0"/>
          <w:numId w:val="2"/>
        </w:numPr>
        <w:spacing w:after="100" w:line="290"/>
      </w:pPr>
      <w:r>
        <w:rPr>
          <w:rFonts w:ascii="Cambria" w:cs="Cambria" w:eastAsia="Cambria" w:hAnsi="Cambria"/>
          <w:sz w:val="21"/>
          <w:szCs w:val="21"/>
        </w:rPr>
        <w:t xml:space="preserve">Quote from it, at any length reasonable to your argument, with the volume named.</w:t>
      </w:r>
    </w:p>
    <w:p>
      <w:pPr>
        <w:pStyle w:val="ListParagraph"/>
        <w:numPr>
          <w:ilvl w:val="0"/>
          <w:numId w:val="2"/>
        </w:numPr>
        <w:spacing w:after="100" w:line="290"/>
      </w:pPr>
      <w:r>
        <w:rPr>
          <w:rFonts w:ascii="Cambria" w:cs="Cambria" w:eastAsia="Cambria" w:hAnsi="Cambria"/>
          <w:sz w:val="21"/>
          <w:szCs w:val="21"/>
        </w:rPr>
        <w:t xml:space="preserve">Cite it, set it on a reading list, and hand it to a colleague.</w:t>
      </w:r>
    </w:p>
    <w:p>
      <w:pPr>
        <w:pStyle w:val="ListParagraph"/>
        <w:numPr>
          <w:ilvl w:val="0"/>
          <w:numId w:val="2"/>
        </w:numPr>
        <w:spacing w:after="100" w:line="290"/>
      </w:pPr>
      <w:r>
        <w:rPr>
          <w:rFonts w:ascii="Cambria" w:cs="Cambria" w:eastAsia="Cambria" w:hAnsi="Cambria"/>
          <w:sz w:val="21"/>
          <w:szCs w:val="21"/>
        </w:rPr>
        <w:t xml:space="preserve">Teach from it, including in another institution’s classroom.</w:t>
      </w:r>
    </w:p>
    <w:p>
      <w:pPr>
        <w:pStyle w:val="ListParagraph"/>
        <w:numPr>
          <w:ilvl w:val="0"/>
          <w:numId w:val="2"/>
        </w:numPr>
        <w:spacing w:after="100" w:line="290"/>
      </w:pPr>
      <w:r>
        <w:rPr>
          <w:rFonts w:ascii="Cambria" w:cs="Cambria" w:eastAsia="Cambria" w:hAnsi="Cambria"/>
          <w:sz w:val="21"/>
          <w:szCs w:val="21"/>
        </w:rPr>
        <w:t xml:space="preserve">Translate a passage for a learner who needs it in their own language.</w:t>
      </w:r>
    </w:p>
    <w:p>
      <w:pPr>
        <w:spacing w:after="70" w:before="260" w:line="300"/>
      </w:pPr>
      <w:r>
        <w:rPr>
          <w:rFonts w:ascii="Calibri" w:cs="Calibri" w:eastAsia="Calibri" w:hAnsi="Calibri"/>
          <w:b/>
          <w:bCs/>
          <w:caps/>
          <w:color w:val="9A7A38"/>
          <w:spacing w:val="60"/>
          <w:sz w:val="15"/>
          <w:szCs w:val="15"/>
        </w:rPr>
        <w:t xml:space="preserve">Reserved to the College</w:t>
      </w:r>
    </w:p>
    <w:p>
      <w:pPr>
        <w:pStyle w:val="ListParagraph"/>
        <w:numPr>
          <w:ilvl w:val="0"/>
          <w:numId w:val="2"/>
        </w:numPr>
        <w:spacing w:after="100" w:line="290"/>
      </w:pPr>
      <w:r>
        <w:rPr>
          <w:rFonts w:ascii="Cambria" w:cs="Cambria" w:eastAsia="Cambria" w:hAnsi="Cambria"/>
          <w:sz w:val="21"/>
          <w:szCs w:val="21"/>
        </w:rPr>
        <w:t xml:space="preserve">Adopting a volume, or the curriculum it sets out, as the syllabus or scheme of work of another institution, programme or course of study.</w:t>
      </w:r>
    </w:p>
    <w:p>
      <w:pPr>
        <w:pStyle w:val="ListParagraph"/>
        <w:numPr>
          <w:ilvl w:val="0"/>
          <w:numId w:val="2"/>
        </w:numPr>
        <w:spacing w:after="100" w:line="290"/>
      </w:pPr>
      <w:r>
        <w:rPr>
          <w:rFonts w:ascii="Cambria" w:cs="Cambria" w:eastAsia="Cambria" w:hAnsi="Cambria"/>
          <w:sz w:val="21"/>
          <w:szCs w:val="21"/>
        </w:rPr>
        <w:t xml:space="preserve">Republishing, mirroring, hosting or redistributing a volume, whole or in part, anywhere other than from the College’s own address.</w:t>
      </w:r>
    </w:p>
    <w:p>
      <w:pPr>
        <w:pStyle w:val="ListParagraph"/>
        <w:numPr>
          <w:ilvl w:val="0"/>
          <w:numId w:val="2"/>
        </w:numPr>
        <w:spacing w:after="100" w:line="290"/>
      </w:pPr>
      <w:r>
        <w:rPr>
          <w:rFonts w:ascii="Cambria" w:cs="Cambria" w:eastAsia="Cambria" w:hAnsi="Cambria"/>
          <w:sz w:val="21"/>
          <w:szCs w:val="21"/>
        </w:rPr>
        <w:t xml:space="preserve">Selling a volume, charging for access to it, or bundling it with anything sold.</w:t>
      </w:r>
    </w:p>
    <w:p>
      <w:pPr>
        <w:pStyle w:val="ListParagraph"/>
        <w:numPr>
          <w:ilvl w:val="0"/>
          <w:numId w:val="2"/>
        </w:numPr>
        <w:spacing w:after="100" w:line="290"/>
      </w:pPr>
      <w:r>
        <w:rPr>
          <w:rFonts w:ascii="Cambria" w:cs="Cambria" w:eastAsia="Cambria" w:hAnsi="Cambria"/>
          <w:sz w:val="21"/>
          <w:szCs w:val="21"/>
        </w:rPr>
        <w:t xml:space="preserve">Producing an adapted, abridged, re-sequenced or derivative curriculum from it, or a translated edition of a whole volume.</w:t>
      </w:r>
    </w:p>
    <w:p>
      <w:pPr>
        <w:pStyle w:val="ListParagraph"/>
        <w:numPr>
          <w:ilvl w:val="0"/>
          <w:numId w:val="2"/>
        </w:numPr>
        <w:spacing w:after="100" w:line="290"/>
      </w:pPr>
      <w:r>
        <w:rPr>
          <w:rFonts w:ascii="Cambria" w:cs="Cambria" w:eastAsia="Cambria" w:hAnsi="Cambria"/>
          <w:sz w:val="21"/>
          <w:szCs w:val="21"/>
        </w:rPr>
        <w:t xml:space="preserve">Removing or obscuring the College’s name, the running attribution, the edition mark, or this notice.</w:t>
      </w:r>
    </w:p>
    <w:p>
      <w:pPr>
        <w:pStyle w:val="ListParagraph"/>
        <w:numPr>
          <w:ilvl w:val="0"/>
          <w:numId w:val="2"/>
        </w:numPr>
        <w:spacing w:after="100" w:line="290"/>
      </w:pPr>
      <w:r>
        <w:rPr>
          <w:rFonts w:ascii="Cambria" w:cs="Cambria" w:eastAsia="Cambria" w:hAnsi="Cambria"/>
          <w:sz w:val="21"/>
          <w:szCs w:val="21"/>
        </w:rPr>
        <w:t xml:space="preserve">Using a volume as training data for a machine-learning model, or ingesting it into a dataset offered to others.</w:t>
      </w:r>
    </w:p>
    <w:p>
      <w:pPr>
        <w:pStyle w:val="ListParagraph"/>
        <w:numPr>
          <w:ilvl w:val="0"/>
          <w:numId w:val="2"/>
        </w:numPr>
        <w:spacing w:after="100" w:line="290"/>
      </w:pPr>
      <w:r>
        <w:rPr>
          <w:rFonts w:ascii="Cambria" w:cs="Cambria" w:eastAsia="Cambria" w:hAnsi="Cambria"/>
          <w:sz w:val="21"/>
          <w:szCs w:val="21"/>
        </w:rPr>
        <w:t xml:space="preserve">Issuing any award, certificate, level statement or transcript in reliance on these volumes. The qualification is the College’s to confer and nobody else’s.</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Asking is the short route</w:t>
            </w:r>
          </w:p>
          <w:p>
            <w:pPr>
              <w:spacing w:after="0" w:before="0" w:line="290"/>
            </w:pPr>
            <w:r>
              <w:rPr>
                <w:rFonts w:ascii="Cambria" w:cs="Cambria" w:eastAsia="Cambria" w:hAnsi="Cambria"/>
                <w:b w:val="false"/>
                <w:bCs w:val="false"/>
                <w:caps w:val="false"/>
                <w:color w:val="1A1A1A"/>
                <w:sz w:val="20"/>
                <w:szCs w:val="20"/>
              </w:rPr>
              <w:t xml:space="preserve">Permission for any reserved use is given in writing, and is usually given. Write to rights@worldwideenglishcollege.com with the volume, the use and the institution. A school that asks is a colleague; the College has no interest in refusing a teacher who wants to do the work properly.</w:t>
            </w:r>
          </w:p>
        </w:tc>
      </w:tr>
    </w:tbl>
    <w:p>
      <w:pPr>
        <w:spacing w:after="220" w:before="0" w:line="300"/>
      </w:pPr>
      <w:r>
        <w:rPr>
          <w:rFonts w:ascii="Cambria" w:cs="Cambria" w:eastAsia="Cambria" w:hAnsi="Cambria"/>
          <w:color w:val="1A1A1A"/>
          <w:sz w:val="21"/>
          <w:szCs w:val="21"/>
        </w:rPr>
        <w:t xml:space="preserve"/>
      </w:r>
    </w:p>
    <w:p>
      <w:pPr>
        <w:spacing w:after="70" w:before="260" w:line="300"/>
      </w:pPr>
      <w:r>
        <w:rPr>
          <w:rFonts w:ascii="Calibri" w:cs="Calibri" w:eastAsia="Calibri" w:hAnsi="Calibri"/>
          <w:b/>
          <w:bCs/>
          <w:caps/>
          <w:color w:val="9A7A38"/>
          <w:spacing w:val="60"/>
          <w:sz w:val="15"/>
          <w:szCs w:val="15"/>
        </w:rPr>
        <w:t xml:space="preserve">Traceability</w:t>
      </w:r>
    </w:p>
    <w:p>
      <w:pPr>
        <w:spacing w:after="150" w:before="0" w:line="300"/>
      </w:pPr>
      <w:r>
        <w:rPr>
          <w:rFonts w:ascii="Cambria" w:cs="Cambria" w:eastAsia="Cambria" w:hAnsi="Cambria"/>
          <w:color w:val="1A1A1A"/>
          <w:sz w:val="21"/>
          <w:szCs w:val="21"/>
        </w:rPr>
        <w:t xml:space="preserve">Every page of every volume carries the volume title, the College’s name and an edition mark computed from the curriculum content of that edition. Material taken from these volumes is therefore identifiable as to volume, edition and page, whether it is reproduced, retyped or paraphrased around. The College reads the field it publishes into, and it will pursue a reserved use it finds unlicensed.</w:t>
      </w:r>
    </w:p>
    <w:p>
      <w:pPr>
        <w:spacing w:after="70" w:before="260" w:line="300"/>
      </w:pPr>
      <w:r>
        <w:rPr>
          <w:rFonts w:ascii="Calibri" w:cs="Calibri" w:eastAsia="Calibri" w:hAnsi="Calibri"/>
          <w:b/>
          <w:bCs/>
          <w:caps/>
          <w:color w:val="9A7A38"/>
          <w:spacing w:val="60"/>
          <w:sz w:val="15"/>
          <w:szCs w:val="15"/>
        </w:rPr>
        <w:t xml:space="preserve">What is not claimed</w:t>
      </w:r>
    </w:p>
    <w:p>
      <w:pPr>
        <w:spacing w:after="150" w:before="0" w:line="300"/>
      </w:pPr>
      <w:r>
        <w:rPr>
          <w:rFonts w:ascii="Calibri" w:cs="Calibri" w:eastAsia="Calibri" w:hAnsi="Calibri"/>
          <w:color w:val="4B5768"/>
          <w:sz w:val="16"/>
          <w:szCs w:val="16"/>
        </w:rPr>
        <w:t xml:space="preserve">This volume is not encrypted and its text is not disabled against selection, extraction or printing. The College considers a document that a reader cannot copy to be a document a reader cannot use, and considers the permission flags a file can carry to be advisory rather than protective. The protection here is a stated licence, attribution on every page, and a traceable edition mark — not a lock.</w:t>
      </w:r>
    </w:p>
    <w:p>
      <w:pPr>
        <w:spacing w:after="150" w:before="0" w:line="300"/>
      </w:pPr>
      <w:r>
        <w:rPr>
          <w:rFonts w:ascii="Calibri" w:cs="Calibri" w:eastAsia="Calibri" w:hAnsi="Calibri"/>
          <w:color w:val="4B5768"/>
          <w:sz w:val="16"/>
          <w:szCs w:val="16"/>
        </w:rPr>
        <w:t xml:space="preserve">The International English Fluency Certificate · First edition, 2026. Published by Worldwide English College Press, London Campus. © 2026 Worldwide English College. All rights reserved except as granted above. Edition mark WEC-LC·AHDC-FGQP.</w:t>
      </w:r>
    </w:p>
    <w:p>
      <w:r>
        <w:br w:type="page"/>
      </w:r>
    </w:p>
    <w:p>
      <w:pPr>
        <w:pStyle w:val="Heading1"/>
        <w:spacing w:after="120" w:before="0"/>
      </w:pPr>
      <w:r>
        <w:rPr>
          <w:rFonts w:ascii="Cambria" w:cs="Cambria" w:eastAsia="Cambria" w:hAnsi="Cambria"/>
          <w:b/>
          <w:bCs/>
          <w:color w:val="14264A"/>
          <w:sz w:val="32"/>
          <w:szCs w:val="32"/>
        </w:rPr>
        <w:t xml:space="preserve">Contents</w:t>
      </w:r>
    </w:p>
    <w:p>
      <w:pPr>
        <w:pBdr>
          <w:bottom w:val="single" w:color="C9CEDA" w:sz="4" w:space="6"/>
        </w:pBdr>
        <w:spacing w:after="220" w:before="40"/>
      </w:pPr>
      <w:r>
        <w:t xml:space="preserve"/>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spacing w:after="120" w:before="0"/>
      </w:pPr>
      <w:r>
        <w:rPr>
          <w:rFonts w:ascii="Cambria" w:cs="Cambria" w:eastAsia="Cambria" w:hAnsi="Cambria"/>
          <w:b/>
          <w:bCs/>
          <w:color w:val="14264A"/>
          <w:sz w:val="32"/>
          <w:szCs w:val="32"/>
        </w:rPr>
        <w:t xml:space="preserve">Editorial Note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This publication was prepared to the standards of a scholarly reference edition. Its governing rule is the one stated in the commissioning directive: where a claim cannot be supported, it is qualified or omitted rather than overstated.</w:t>
      </w:r>
    </w:p>
    <w:p>
      <w:pPr>
        <w:spacing w:after="150" w:before="0" w:line="300"/>
      </w:pPr>
      <w:r>
        <w:rPr>
          <w:rFonts w:ascii="Cambria" w:cs="Cambria" w:eastAsia="Cambria" w:hAnsi="Cambria"/>
          <w:color w:val="1A1A1A"/>
          <w:sz w:val="21"/>
          <w:szCs w:val="21"/>
        </w:rPr>
        <w:t xml:space="preserve">Three consequences of that rule are visible in the pages that follow, and are stated here so that a reader does not have to infer them.</w:t>
      </w:r>
    </w:p>
    <w:p>
      <w:pPr>
        <w:spacing w:after="70" w:before="260" w:line="300"/>
      </w:pPr>
      <w:r>
        <w:rPr>
          <w:rFonts w:ascii="Calibri" w:cs="Calibri" w:eastAsia="Calibri" w:hAnsi="Calibri"/>
          <w:b/>
          <w:bCs/>
          <w:caps/>
          <w:color w:val="9A7A38"/>
          <w:spacing w:val="60"/>
          <w:sz w:val="15"/>
          <w:szCs w:val="15"/>
        </w:rPr>
        <w:t xml:space="preserve">One — Sections that would require inventing people</w:t>
      </w:r>
    </w:p>
    <w:p>
      <w:pPr>
        <w:spacing w:after="150" w:before="0" w:line="300"/>
      </w:pPr>
      <w:r>
        <w:rPr>
          <w:rFonts w:ascii="Cambria" w:cs="Cambria" w:eastAsia="Cambria" w:hAnsi="Cambria"/>
          <w:color w:val="1A1A1A"/>
          <w:sz w:val="21"/>
          <w:szCs w:val="21"/>
        </w:rPr>
        <w:t xml:space="preserve">A publication of this kind conventionally opens with a Foreword, a Presidential Message and a message from the Academic Senate. Those are signed statements by named officers. Worldwide English College has no appointed President, and its Academic Senate and its Board of Academic Standards and Curriculum Excellence are established but not yet constituted — no members have been appointed to either. Composing those sections would mean writing the words of officers who do not exist. They are omitted. The institutional voice in this edition is the College's own, unsigned, and it does not pretend otherwise.</w:t>
      </w:r>
    </w:p>
    <w:p>
      <w:pPr>
        <w:spacing w:after="70" w:before="260" w:line="300"/>
      </w:pPr>
      <w:r>
        <w:rPr>
          <w:rFonts w:ascii="Calibri" w:cs="Calibri" w:eastAsia="Calibri" w:hAnsi="Calibri"/>
          <w:b/>
          <w:bCs/>
          <w:caps/>
          <w:color w:val="9A7A38"/>
          <w:spacing w:val="60"/>
          <w:sz w:val="15"/>
          <w:szCs w:val="15"/>
        </w:rPr>
        <w:t xml:space="preserve">Two — The extent of the curriculum</w:t>
      </w:r>
    </w:p>
    <w:p>
      <w:pPr>
        <w:spacing w:after="150" w:before="0" w:line="300"/>
      </w:pPr>
      <w:r>
        <w:rPr>
          <w:rFonts w:ascii="Cambria" w:cs="Cambria" w:eastAsia="Cambria" w:hAnsi="Cambria"/>
          <w:color w:val="1A1A1A"/>
          <w:sz w:val="21"/>
          <w:szCs w:val="21"/>
        </w:rPr>
        <w:t xml:space="preserve">The College's public materials state 120 learning units per level, which would be 720 across the qualification. The academic database holds 294 authored learning items, approximately 49 per level. Both figures are counted, not estimated.</w:t>
      </w:r>
    </w:p>
    <w:p>
      <w:pPr>
        <w:spacing w:after="150" w:before="0" w:line="300"/>
      </w:pPr>
      <w:r>
        <w:rPr>
          <w:rFonts w:ascii="Cambria" w:cs="Cambria" w:eastAsia="Cambria" w:hAnsi="Cambria"/>
          <w:color w:val="1A1A1A"/>
          <w:sz w:val="21"/>
          <w:szCs w:val="21"/>
        </w:rPr>
        <w:t xml:space="preserve">What is complete is the module structure: 60 modules, ten at every one of the six levels, each with an assessed assignment and an assessed quiz. What is in progress is lesson-level depth within those modules. This edition presents the module architecture in full and describes lesson-level content as it stands. It does not repeat the 720 figure, which the College cannot presently evidence.</w:t>
      </w:r>
    </w:p>
    <w:p>
      <w:pPr>
        <w:spacing w:after="70" w:before="260" w:line="300"/>
      </w:pPr>
      <w:r>
        <w:rPr>
          <w:rFonts w:ascii="Calibri" w:cs="Calibri" w:eastAsia="Calibri" w:hAnsi="Calibri"/>
          <w:b/>
          <w:bCs/>
          <w:caps/>
          <w:color w:val="9A7A38"/>
          <w:spacing w:val="60"/>
          <w:sz w:val="15"/>
          <w:szCs w:val="15"/>
        </w:rPr>
        <w:t xml:space="preserve">Three — What the qualification claims about itself</w:t>
      </w:r>
    </w:p>
    <w:p>
      <w:pPr>
        <w:spacing w:after="150" w:before="0" w:line="300"/>
      </w:pPr>
      <w:r>
        <w:rPr>
          <w:rFonts w:ascii="Cambria" w:cs="Cambria" w:eastAsia="Cambria" w:hAnsi="Cambria"/>
          <w:color w:val="1A1A1A"/>
          <w:sz w:val="21"/>
          <w:szCs w:val="21"/>
        </w:rPr>
        <w:t xml:space="preserve">The College's definition of the IEFC asserts seven things. Six are evidenced by the platform today and one is not. Rather than soften the definition or bury the gap, both are printed together in the chapter that follows, with the evidence for each element and the shortfall where there is one.</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On generated editions</w:t>
            </w:r>
          </w:p>
          <w:p>
            <w:pPr>
              <w:spacing w:after="0" w:before="0" w:line="290"/>
            </w:pPr>
            <w:r>
              <w:rPr>
                <w:rFonts w:ascii="Cambria" w:cs="Cambria" w:eastAsia="Cambria" w:hAnsi="Cambria"/>
                <w:b w:val="false"/>
                <w:bCs w:val="false"/>
                <w:caps w:val="false"/>
                <w:color w:val="1A1A1A"/>
                <w:sz w:val="20"/>
                <w:szCs w:val="20"/>
              </w:rPr>
              <w:t xml:space="preserve">Because this edition is generated from the academic database, it is a snapshot. Every count in it was true at the moment of generation and will change as the curriculum grows. A reader comparing this edition against the College's live systems should expect the systems to be ahead of the page, never behind it.</w:t>
            </w:r>
          </w:p>
        </w:tc>
      </w:tr>
    </w:tbl>
    <w:p>
      <w:pPr>
        <w:spacing w:after="220" w:before="0" w:line="300"/>
      </w:pPr>
      <w:r>
        <w:rPr>
          <w:rFonts w:ascii="Cambria" w:cs="Cambria" w:eastAsia="Cambria" w:hAnsi="Cambria"/>
          <w:color w:val="1A1A1A"/>
          <w:sz w:val="21"/>
          <w:szCs w:val="21"/>
        </w:rPr>
        <w:t xml:space="preserve"/>
      </w:r>
    </w:p>
    <w:p>
      <w:pPr>
        <w:sectPr>
          <w:pgSz w:w="11908" w:h="16833" w:orient="portrait"/>
          <w:pgMar w:top="1584" w:right="1440" w:bottom="1440" w:left="1656" w:header="708" w:footer="708" w:gutter="0"/>
          <w:pgNumType/>
          <w:docGrid w:linePitch="360"/>
        </w:sectPr>
      </w:pPr>
    </w:p>
    <w:p>
      <w:pPr>
        <w:pStyle w:val="Heading1"/>
        <w:pageBreakBefore/>
        <w:spacing w:after="120" w:before="0"/>
      </w:pPr>
      <w:r>
        <w:rPr>
          <w:rFonts w:ascii="Cambria" w:cs="Cambria" w:eastAsia="Cambria" w:hAnsi="Cambria"/>
          <w:b/>
          <w:bCs/>
          <w:color w:val="14264A"/>
          <w:sz w:val="32"/>
          <w:szCs w:val="32"/>
        </w:rPr>
        <w:t xml:space="preserve">About Worldwide English College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Worldwide English College, London Campus, is an online institution teaching English as an international language. It confers its own awards, maintains its own Graduate Register, and publishes the architecture of its qualification so that the awards can be read and checked by people who have never met the College.</w:t>
      </w:r>
    </w:p>
    <w:p>
      <w:pPr>
        <w:spacing w:after="150" w:before="0" w:line="300"/>
      </w:pPr>
      <w:r>
        <w:rPr>
          <w:rFonts w:ascii="Cambria" w:cs="Cambria" w:eastAsia="Cambria" w:hAnsi="Cambria"/>
          <w:color w:val="1A1A1A"/>
          <w:sz w:val="21"/>
          <w:szCs w:val="21"/>
        </w:rPr>
        <w:t xml:space="preserve">The College is not accredited by any external body, and makes no claim to be. Its academic architecture is built so that accreditation could be sought on the evidence the platform already produces — a hash-chained register, signed credentials, published assessment policy, and an evidence centre that records what is missing as carefully as what exists.</w:t>
      </w:r>
    </w:p>
    <w:p>
      <w:pPr>
        <w:pStyle w:val="Heading2"/>
        <w:spacing w:after="150" w:before="380"/>
      </w:pPr>
      <w:r>
        <w:rPr>
          <w:rFonts w:ascii="Cambria" w:cs="Cambria" w:eastAsia="Cambria" w:hAnsi="Cambria"/>
          <w:b/>
          <w:bCs/>
          <w:color w:val="14264A"/>
          <w:sz w:val="26"/>
          <w:szCs w:val="26"/>
        </w:rPr>
        <w:t xml:space="preserve">Governance</w:t>
      </w:r>
    </w:p>
    <w:p>
      <w:pPr>
        <w:spacing w:after="150" w:before="0" w:line="300"/>
      </w:pPr>
      <w:r>
        <w:rPr>
          <w:rFonts w:ascii="Cambria" w:cs="Cambria" w:eastAsia="Cambria" w:hAnsi="Cambria"/>
          <w:color w:val="1A1A1A"/>
          <w:sz w:val="21"/>
          <w:szCs w:val="21"/>
        </w:rPr>
        <w:t xml:space="preserve">Academic authority rests with two bodies, both established by the Executive and recorded in the College's governance ledger.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4950"/>
        <w:gridCol w:w="189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Body</w:t>
            </w:r>
          </w:p>
        </w:tc>
        <w:tc>
          <w:tcPr>
            <w:tcW w:type="dxa" w:w="49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Remit</w:t>
            </w:r>
          </w:p>
        </w:tc>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Status</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Board of Academic Standards and Curriculum Excellence (BASCE)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Defines institutional competencies; maps every assessment to one or more competencies; ensures each competency is assessed multiple times across each level; approves competency …</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Academic Senate (SENATE)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Approves the mapping between assessments and the four language skills, and the descriptor thresholds that turn assessed evidence into a skill descriptor.</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 members appointed</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Established is not constituted</w:t>
            </w:r>
          </w:p>
          <w:p>
            <w:pPr>
              <w:spacing w:after="0" w:before="0" w:line="290"/>
            </w:pPr>
            <w:r>
              <w:rPr>
                <w:rFonts w:ascii="Cambria" w:cs="Cambria" w:eastAsia="Cambria" w:hAnsi="Cambria"/>
                <w:b w:val="false"/>
                <w:bCs w:val="false"/>
                <w:caps w:val="false"/>
                <w:color w:val="1A1A1A"/>
                <w:sz w:val="20"/>
                <w:szCs w:val="20"/>
              </w:rPr>
              <w:t xml:space="preserve">Both bodies exist as offices with defined remits. Neither has appointed members. Until they do, the academic judgements reserved to them — principally the mapping of assessments to the competency framework — cannot be made, and the platform reports them as outstanding rather than as complete.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About the IEFC</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The definition, as adopted</w:t>
      </w:r>
    </w:p>
    <w:p>
      <w:pPr>
        <w:spacing w:after="200" w:before="0" w:line="340"/>
      </w:pPr>
      <w:r>
        <w:rPr>
          <w:rFonts w:ascii="Cambria" w:cs="Cambria" w:eastAsia="Cambria" w:hAnsi="Cambria"/>
          <w:i/>
          <w:iCs/>
          <w:color w:val="14264A"/>
          <w:sz w:val="21"/>
          <w:szCs w:val="21"/>
        </w:rPr>
        <w:t xml:space="preserve">IEFC is an advanced academic qualification built on CEFR proficiency, extending it through competency verification, leadership, professional communication, critical thinking, authentic assessment, and independently verifiable digital credentials.</w:t>
      </w:r>
    </w:p>
    <w:p>
      <w:pPr>
        <w:spacing w:after="150" w:before="0" w:line="300"/>
      </w:pPr>
      <w:r>
        <w:rPr>
          <w:rFonts w:ascii="Calibri" w:cs="Calibri" w:eastAsia="Calibri" w:hAnsi="Calibri"/>
          <w:color w:val="4B5768"/>
          <w:sz w:val="16"/>
          <w:szCs w:val="16"/>
        </w:rPr>
        <w:t xml:space="preserve">Adopted 2026-08-04 by the Executive.</w:t>
      </w:r>
    </w:p>
    <w:p>
      <w:pPr>
        <w:pStyle w:val="Heading2"/>
        <w:spacing w:after="150" w:before="380"/>
      </w:pPr>
      <w:r>
        <w:rPr>
          <w:rFonts w:ascii="Cambria" w:cs="Cambria" w:eastAsia="Cambria" w:hAnsi="Cambria"/>
          <w:b/>
          <w:bCs/>
          <w:color w:val="14264A"/>
          <w:sz w:val="26"/>
          <w:szCs w:val="26"/>
        </w:rPr>
        <w:t xml:space="preserve">What supports each element</w:t>
      </w:r>
    </w:p>
    <w:p>
      <w:pPr>
        <w:spacing w:after="150" w:before="0" w:line="300"/>
      </w:pPr>
      <w:r>
        <w:rPr>
          <w:rFonts w:ascii="Cambria" w:cs="Cambria" w:eastAsia="Cambria" w:hAnsi="Cambria"/>
          <w:color w:val="1A1A1A"/>
          <w:sz w:val="21"/>
          <w:szCs w:val="21"/>
        </w:rPr>
        <w:t xml:space="preserve">A definition cannot be verified as a sentence. The College therefore decomposes its own definition into the seven things it asserts, and records the evidence for each. The states below are derived from the academic database, not asserted.</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6480"/>
        <w:gridCol w:w="2520"/>
      </w:tblGrid>
      <w:tr>
        <w:trPr>
          <w:tblHeader/>
        </w:trPr>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Element</w:t>
            </w:r>
          </w:p>
        </w:tc>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Position</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Built on CEFR proficiency</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competency verification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leadership</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professional communication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critical thinking</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authentic assessment</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Independently verifiable digital credentials</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bl>
    <w:p>
      <w:pPr>
        <w:spacing w:after="20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Built on CEFR proficiency</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 programme levels mapped A1 to C2 in programme_levels, each with an award definition carrying the same CEFR band (award_definitions). Sixty modules authored across the six levels.</w:t>
      </w:r>
    </w:p>
    <w:p>
      <w:pPr>
        <w:pStyle w:val="Heading3"/>
        <w:spacing w:after="80" w:before="320"/>
      </w:pPr>
      <w:r>
        <w:rPr>
          <w:rFonts w:ascii="Cambria" w:cs="Cambria" w:eastAsia="Cambria" w:hAnsi="Cambria"/>
          <w:b/>
          <w:bCs/>
          <w:color w:val="14264A"/>
          <w:sz w:val="22"/>
          <w:szCs w:val="22"/>
        </w:rPr>
        <w:t xml:space="preserve">Extended through competency verification</w:t>
      </w:r>
    </w:p>
    <w:p>
      <w:pPr>
        <w:spacing w:after="100" w:before="0" w:line="300"/>
      </w:pPr>
      <w:r>
        <w:rPr>
          <w:rFonts w:ascii="Calibri" w:cs="Calibri" w:eastAsia="Calibri" w:hAnsi="Calibri"/>
          <w:b/>
          <w:bCs/>
          <w:caps/>
          <w:color w:val="8C1F2F"/>
          <w:spacing w:val="60"/>
          <w:sz w:val="15"/>
          <w:szCs w:val="15"/>
        </w:rPr>
        <w:t xml:space="preserve">Not evidenced</w:t>
      </w:r>
    </w:p>
    <w:p>
      <w:pPr>
        <w:spacing w:after="150" w:before="0" w:line="300"/>
      </w:pPr>
      <w:r>
        <w:rPr>
          <w:rFonts w:ascii="Cambria" w:cs="Cambria" w:eastAsia="Cambria" w:hAnsi="Cambria"/>
          <w:color w:val="1A1A1A"/>
          <w:sz w:val="21"/>
          <w:szCs w:val="21"/>
        </w:rPr>
        <w:t xml:space="preserve">The framework exists: six competencies defined in `competencies`, a mapping table (assessment_competencies) and a marking table (competency_marks) with per-submission marks from named markers. The Board of Academic Standards and Curriculum Excellence (BASCE) is established as its authority.</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ZERO of the sixty assessments are mapped to any competency, so no competency has been verified for any graduate. This is the element that distinguishes an advanced academic qualification from a well-built CEFR course, and it is the reason BASCE exists. BASCE is established but not yet constituted; until it is appointed and completes the mapping, the College cannot evidence this part of its own definition.</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leadership</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Leadership is taught: dedicated modules at Level V (Leadership and Persuasion, Professional Advocacy) and Level IV (Meetings and Negotiation), with presentation modules across levels. Leadership contribution outside assessment is recordable in academic_distinctions, approved by a named person.</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Taught and recordable, but not yet ASSESSED against a framework: leadership sits within the BEARING and REACH competencies, which share the mapping gap above. A distinction record is evidence that somebody led something; it is not a verified attainment.</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professional communication</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Professional communication is the spine of Levels IV to VI: The World of Work, Meetings and Negotiation, Professional Advocacy, Research and Presentation, and the academic writing sequence. Assessed by assignment against published rubrics.</w:t>
      </w:r>
    </w:p>
    <w:p>
      <w:pPr>
        <w:pStyle w:val="Heading3"/>
        <w:spacing w:after="80" w:before="320"/>
      </w:pPr>
      <w:r>
        <w:rPr>
          <w:rFonts w:ascii="Cambria" w:cs="Cambria" w:eastAsia="Cambria" w:hAnsi="Cambria"/>
          <w:b/>
          <w:bCs/>
          <w:color w:val="14264A"/>
          <w:sz w:val="22"/>
          <w:szCs w:val="22"/>
        </w:rPr>
        <w:t xml:space="preserve">Extended through critical thinking</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Taught and assessed from Level III upward: Opinions and Debate, Arguing a Position, Media Literacy and Critical Reading, and the critical-thinking element normalised across quizzes in the V1.0 consistency sweep.</w:t>
      </w:r>
    </w:p>
    <w:p>
      <w:pPr>
        <w:pStyle w:val="Heading3"/>
        <w:spacing w:after="80" w:before="320"/>
      </w:pPr>
      <w:r>
        <w:rPr>
          <w:rFonts w:ascii="Cambria" w:cs="Cambria" w:eastAsia="Cambria" w:hAnsi="Cambria"/>
          <w:b/>
          <w:bCs/>
          <w:color w:val="14264A"/>
          <w:sz w:val="22"/>
          <w:szCs w:val="22"/>
        </w:rPr>
        <w:t xml:space="preserve">Extended through authentic assessment</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Sixty assignments, one per module, each marked by a person against a published rubric normalised to the WEC-LC rubric policy — not auto-scored. Spoken work is captured as learner recordings and reviewed in the instructor workspace.</w:t>
      </w:r>
    </w:p>
    <w:p>
      <w:pPr>
        <w:pStyle w:val="Heading3"/>
        <w:spacing w:after="80" w:before="320"/>
      </w:pPr>
      <w:r>
        <w:rPr>
          <w:rFonts w:ascii="Cambria" w:cs="Cambria" w:eastAsia="Cambria" w:hAnsi="Cambria"/>
          <w:b/>
          <w:bCs/>
          <w:color w:val="14264A"/>
          <w:sz w:val="22"/>
          <w:szCs w:val="22"/>
        </w:rPr>
        <w:t xml:space="preserve">Independently verifiable digital credentials</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A hash-chained Graduate Register; ES256 credential signing with published JWKS; QR codes verified against an independent decoder; issued documents frozen at issue; and a public verification portal answering across identity, integrity and standing without requiring the verifier to hold an account or the issuer to participate.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The signing key is held in development key management, not a production HSM or KMS. Under Executive decision P2.1 the signing layer therefore claims no production-grade assurance, and every verification says so on its face. The Graduate Register remains the authoritative record until a production KMS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Qualification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The IEFC is a six-level ascent, mapped to the Common European Framework of Reference from A1 to C2. Each level confers its own award, and each award is complete in itself: a learner who stops at Level III has not failed to become something. They are an English Associate of Worldwide English College, permanently, and the College says so in those words.</w:t>
      </w:r>
    </w:p>
    <w:p>
      <w:pPr>
        <w:spacing w:after="150" w:before="0" w:line="300"/>
      </w:pPr>
      <w:r>
        <w:rPr>
          <w:rFonts w:ascii="Cambria" w:cs="Cambria" w:eastAsia="Cambria" w:hAnsi="Cambria"/>
          <w:color w:val="1A1A1A"/>
          <w:sz w:val="21"/>
          <w:szCs w:val="21"/>
        </w:rPr>
        <w:t xml:space="preserve">That is the load-bearing decision of the architecture. An award that only means something as a step toward the next is not an award; it is a receipt.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430"/>
        <w:gridCol w:w="810"/>
        <w:gridCol w:w="4230"/>
        <w:gridCol w:w="1530"/>
      </w:tblGrid>
      <w:tr>
        <w:trPr>
          <w:tblHeader/>
        </w:trPr>
        <w:tc>
          <w:tcPr>
            <w:tcW w:type="dxa" w:w="24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Level</w:t>
            </w:r>
          </w:p>
        </w:tc>
        <w:tc>
          <w:tcPr>
            <w:tcW w:type="dxa" w:w="8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CEFR</w:t>
            </w:r>
          </w:p>
        </w:tc>
        <w:tc>
          <w:tcPr>
            <w:tcW w:type="dxa" w:w="42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15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Post-nominal</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 — Foundation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Aspirant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 — Elementary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Candidate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III —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Associate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IV — Upper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Envoy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 — Advanced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Orator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VI — English Mastery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Laureate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The standing each award confers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620"/>
        <w:gridCol w:w="7380"/>
      </w:tblGrid>
      <w:tr>
        <w:trPr>
          <w:tblHeader/>
        </w:trPr>
        <w:tc>
          <w:tcPr>
            <w:tcW w:type="dxa" w:w="16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73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Standing conferred</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Entry into the tradition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Recognised learner of the College</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member of the academic community</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Trusted representative and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High-level intellectual and professional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 master of the programme</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Competency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competencies describe what a communicator can do, independently of the language level at which they do it. They are the College's own contribution and are not derived from CEFR, which describes proficiency rather than conduct.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Competency</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means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Clarity</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Understood the first time, by the audience actually present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Command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Controls the language rather than being carried by it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Judgement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Chooses register, channel and moment; knows what not to say</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Reason</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Constructs an argument, tests it, concedes what should be conceded</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Bearing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Holds a room, a call, a difficult conversation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Reach</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Communicates across cultures, and across the distance between expert and layperson</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C1F2F" w:sz="18"/>
          <w:bottom w:val="none" w:color="FFFFFF" w:sz="0"/>
          <w:right w:val="none" w:color="FFFFFF" w:sz="0"/>
          <w:insideH w:val="none" w:color="FFFFFF" w:sz="0"/>
          <w:insideV w:val="none" w:color="FFFFFF" w:sz="0"/>
        </w:tblBorders>
      </w:tblPr>
      <w:tblGrid>
        <w:gridCol w:w="9000"/>
      </w:tblGrid>
      <w:tr>
        <w:tc>
          <w:tcPr>
            <w:tcW w:type="dxa" w:w="9000"/>
            <w:shd w:fill="FBF0F1" w:val="clear"/>
            <w:tcMar>
              <w:top w:type="dxa" w:w="220"/>
              <w:left w:type="dxa" w:w="280"/>
              <w:bottom w:type="dxa" w:w="220"/>
              <w:right w:type="dxa" w:w="260"/>
            </w:tcMar>
          </w:tcPr>
          <w:p>
            <w:pPr>
              <w:spacing w:after="130" w:before="0" w:line="290"/>
            </w:pPr>
            <w:r>
              <w:rPr>
                <w:rFonts w:ascii="Calibri" w:cs="Calibri" w:eastAsia="Calibri" w:hAnsi="Calibri"/>
                <w:b/>
                <w:bCs/>
                <w:caps/>
                <w:color w:val="8C1F2F"/>
                <w:spacing w:val="50"/>
                <w:sz w:val="19"/>
                <w:szCs w:val="19"/>
              </w:rPr>
              <w:t xml:space="preserve">The framework is defined and not yet applied</w:t>
            </w:r>
          </w:p>
          <w:p>
            <w:pPr>
              <w:spacing w:after="130" w:before="0" w:line="290"/>
            </w:pPr>
            <w:r>
              <w:rPr>
                <w:rFonts w:ascii="Cambria" w:cs="Cambria" w:eastAsia="Cambria" w:hAnsi="Cambria"/>
                <w:b w:val="false"/>
                <w:bCs w:val="false"/>
                <w:caps w:val="false"/>
                <w:color w:val="1A1A1A"/>
                <w:sz w:val="20"/>
                <w:szCs w:val="20"/>
              </w:rPr>
              <w:t xml:space="preserve">0 of the 120 assessments in the curriculum are mapped to any competency. No competency has therefore been verified for any graduate, and no competency attainment appears on any record.</w:t>
            </w:r>
          </w:p>
          <w:p>
            <w:pPr>
              <w:spacing w:after="0" w:before="0" w:line="290"/>
            </w:pPr>
            <w:r>
              <w:rPr>
                <w:rFonts w:ascii="Cambria" w:cs="Cambria" w:eastAsia="Cambria" w:hAnsi="Cambria"/>
                <w:b w:val="false"/>
                <w:bCs w:val="false"/>
                <w:caps w:val="false"/>
                <w:color w:val="1A1A1A"/>
                <w:sz w:val="20"/>
                <w:szCs w:val="20"/>
              </w:rPr>
              <w:t xml:space="preserve">This is the element of the College's own definition that it cannot currently evidence, and it is the founding task of the Board of Academic Standards and Curriculum Excellence. Mapping an assessment to a competency is an academic judgement; the platform records such judgements for review and approval and does not make them.</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Language Skill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CEFR is defined skill by skill: a reader at B2 may be a speaker at B1. A qualification reporting a single level without saying which skills stood where would hide the most useful thing it knows.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350"/>
        <w:gridCol w:w="1350"/>
        <w:gridCol w:w="6300"/>
      </w:tblGrid>
      <w:tr>
        <w:trPr>
          <w:tblHeader/>
        </w:trPr>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Skill</w:t>
            </w:r>
          </w:p>
        </w:tc>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Mode</w:t>
            </w:r>
          </w:p>
        </w:tc>
        <w:tc>
          <w:tcPr>
            <w:tcW w:type="dxa" w:w="63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certifies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Listening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Understands speech at natural pace, including unfamiliar accents and imperfect conditions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Reads for argument and detail, not only for gist, across registers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Speaks with control of grammar, pronunciation and register, in real time</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Writes to a purpose and an audience, and revises</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Attainment descriptors</w:t>
      </w:r>
    </w:p>
    <w:p>
      <w:pPr>
        <w:spacing w:after="150" w:before="0" w:line="300"/>
      </w:pPr>
      <w:r>
        <w:rPr>
          <w:rFonts w:ascii="Cambria" w:cs="Cambria" w:eastAsia="Cambria" w:hAnsi="Cambria"/>
          <w:color w:val="1A1A1A"/>
          <w:sz w:val="21"/>
          <w:szCs w:val="21"/>
        </w:rPr>
        <w:t xml:space="preserve">Attainment is reported as one of five ordered descriptors, never as a percentage. "Writing: 82%" claims a precision that no rubric supports and invites comparisons between graduates that the marks cannot bear.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Descriptor</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Emerging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Beginning to operate in the skill, with support and in familiar conditions.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independently in familiar conditions; still effortful in unfamiliar ones.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Proficient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reliably across the range the level describes.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with control and range beyond what the level requires.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at a standard that would be recognised well outside the College.</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descriptors are decided; the thresholds are not</w:t>
            </w:r>
          </w:p>
          <w:p>
            <w:pPr>
              <w:spacing w:after="0" w:before="0" w:line="290"/>
            </w:pPr>
            <w:r>
              <w:rPr>
                <w:rFonts w:ascii="Cambria" w:cs="Cambria" w:eastAsia="Cambria" w:hAnsi="Cambria"/>
                <w:b w:val="false"/>
                <w:bCs w:val="false"/>
                <w:caps w:val="false"/>
                <w:color w:val="1A1A1A"/>
                <w:sz w:val="20"/>
                <w:szCs w:val="20"/>
              </w:rPr>
              <w:t xml:space="preserve">The Executive has named the five bands. Nobody has yet determined what evidence earns a graduate Proficient rather than Developing — a harder academic question than naming the bands, and one reserved to the Academic Senate. Until both the assessment mapping and the thresholds are approved, no skill descriptor is reported for any graduate.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Assessment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Assessment in the IEFC is authentic: learners are asked to do the thing, and a person judges how well they did it against a published rubric.</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340"/>
        <w:gridCol w:w="990"/>
        <w:gridCol w:w="5670"/>
      </w:tblGrid>
      <w:tr>
        <w:trPr>
          <w:tblHeader/>
        </w:trPr>
        <w:tc>
          <w:tcPr>
            <w:tcW w:type="dxa" w:w="23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Instrument</w:t>
            </w:r>
          </w:p>
        </w:tc>
        <w:tc>
          <w:tcPr>
            <w:tcW w:type="dxa" w:w="9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Count</w:t>
            </w:r>
          </w:p>
        </w:tc>
        <w:tc>
          <w:tcPr>
            <w:tcW w:type="dxa" w:w="567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How it is judged</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Marked by a person against a published rubric normalised to the College rubric policy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Scored server-side at submission</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Quiz questions authored</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per module and reviewed for consistency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174</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Formative; not separately assessed</w:t>
            </w:r>
          </w:p>
        </w:tc>
      </w:tr>
    </w:tbl>
    <w:p>
      <w:pPr>
        <w:spacing w:after="200" w:before="0" w:line="300"/>
      </w:pPr>
      <w:r>
        <w:rPr>
          <w:rFonts w:ascii="Cambria" w:cs="Cambria" w:eastAsia="Cambria" w:hAnsi="Cambria"/>
          <w:color w:val="1A1A1A"/>
          <w:sz w:val="21"/>
          <w:szCs w:val="21"/>
        </w:rPr>
        <w:t xml:space="preserve"/>
      </w:r>
    </w:p>
    <w:p>
      <w:pPr>
        <w:pStyle w:val="ListParagraph"/>
        <w:numPr>
          <w:ilvl w:val="0"/>
          <w:numId w:val="2"/>
        </w:numPr>
        <w:spacing w:after="100" w:line="290"/>
      </w:pPr>
      <w:r>
        <w:rPr>
          <w:rFonts w:ascii="Cambria" w:cs="Cambria" w:eastAsia="Cambria" w:hAnsi="Cambria"/>
          <w:sz w:val="21"/>
          <w:szCs w:val="21"/>
        </w:rPr>
        <w:t xml:space="preserve">Every module carries exactly one assessed assignment and one assessed quiz, at every level.</w:t>
      </w:r>
    </w:p>
    <w:p>
      <w:pPr>
        <w:pStyle w:val="ListParagraph"/>
        <w:numPr>
          <w:ilvl w:val="0"/>
          <w:numId w:val="2"/>
        </w:numPr>
        <w:spacing w:after="100" w:line="290"/>
      </w:pPr>
      <w:r>
        <w:rPr>
          <w:rFonts w:ascii="Cambria" w:cs="Cambria" w:eastAsia="Cambria" w:hAnsi="Cambria"/>
          <w:sz w:val="21"/>
          <w:szCs w:val="21"/>
        </w:rPr>
        <w:t xml:space="preserve">Assignment marks are recorded on a 0 to 1 scale by a named marker, with written feedback, and are never auto-generated.</w:t>
      </w:r>
    </w:p>
    <w:p>
      <w:pPr>
        <w:pStyle w:val="ListParagraph"/>
        <w:numPr>
          <w:ilvl w:val="0"/>
          <w:numId w:val="2"/>
        </w:numPr>
        <w:spacing w:after="100" w:line="290"/>
      </w:pPr>
      <w:r>
        <w:rPr>
          <w:rFonts w:ascii="Cambria" w:cs="Cambria" w:eastAsia="Cambria" w:hAnsi="Cambria"/>
          <w:sz w:val="21"/>
          <w:szCs w:val="21"/>
        </w:rPr>
        <w:t xml:space="preserve">Spoken work is captured as learner recordings and reviewed in the instructor workspace, so speaking is assessed on evidence rather than on impression.</w:t>
      </w:r>
    </w:p>
    <w:p>
      <w:pPr>
        <w:pStyle w:val="ListParagraph"/>
        <w:numPr>
          <w:ilvl w:val="0"/>
          <w:numId w:val="2"/>
        </w:numPr>
        <w:spacing w:after="100" w:line="290"/>
      </w:pPr>
      <w:r>
        <w:rPr>
          <w:rFonts w:ascii="Cambria" w:cs="Cambria" w:eastAsia="Cambria" w:hAnsi="Cambria"/>
          <w:sz w:val="21"/>
          <w:szCs w:val="21"/>
        </w:rPr>
        <w:t xml:space="preserve">A moderated mark and a first-marker mark are recorded distinctly, so an assessment board can tell them apart.</w:t>
      </w:r>
    </w:p>
    <w:p>
      <w:pPr>
        <w:pStyle w:val="Heading1"/>
        <w:pageBreakBefore/>
        <w:spacing w:after="120" w:before="0"/>
      </w:pPr>
      <w:r>
        <w:rPr>
          <w:rFonts w:ascii="Cambria" w:cs="Cambria" w:eastAsia="Cambria" w:hAnsi="Cambria"/>
          <w:b/>
          <w:bCs/>
          <w:color w:val="14264A"/>
          <w:sz w:val="32"/>
          <w:szCs w:val="32"/>
        </w:rPr>
        <w:t xml:space="preserve">Credentials and Verification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An award is worth what it can be checked against. The College therefore publishes a verification service that answers a stranger — an employer, a registrar — without requiring them to hold an account, and without requiring the College to participate in the check.</w:t>
      </w:r>
    </w:p>
    <w:p>
      <w:pPr>
        <w:pStyle w:val="Heading2"/>
        <w:spacing w:after="150" w:before="380"/>
      </w:pPr>
      <w:r>
        <w:rPr>
          <w:rFonts w:ascii="Cambria" w:cs="Cambria" w:eastAsia="Cambria" w:hAnsi="Cambria"/>
          <w:b/>
          <w:bCs/>
          <w:color w:val="14264A"/>
          <w:sz w:val="26"/>
          <w:szCs w:val="26"/>
        </w:rPr>
        <w:t xml:space="preserve">The Principle of Institutional Verification</w:t>
      </w:r>
    </w:p>
    <w:p>
      <w:pPr>
        <w:spacing w:after="150" w:before="0" w:line="300"/>
      </w:pPr>
      <w:r>
        <w:rPr>
          <w:rFonts w:ascii="Cambria" w:cs="Cambria" w:eastAsia="Cambria" w:hAnsi="Cambria"/>
          <w:color w:val="1A1A1A"/>
          <w:sz w:val="21"/>
          <w:szCs w:val="21"/>
        </w:rPr>
        <w:t xml:space="preserve">Every verification answers across three independent layers, and the answers are never averaged into one verdict.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520"/>
        <w:gridCol w:w="6480"/>
      </w:tblGrid>
      <w:tr>
        <w:trPr>
          <w:tblHeader/>
        </w:trPr>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Layer</w:t>
            </w:r>
          </w:p>
        </w:tc>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The question it answers</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Identity authenticity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Is this the person the College awarded?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Credential integrity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Has this credential been altered?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Institutional standing</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What is the status of this award today?</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They are separated because they genuinely disagree. A withdrawn award reports identity verified, integrity verified and standing failed, simultaneously. A single verdict cannot express that, and every way of collapsing it misleads somebody: "invalid" tells an employer a genuine certificate is a forgery, which is a serious accusation about a real person; "valid" admits a candidate on a qualification the College has withdrawn.</w:t>
      </w:r>
    </w:p>
    <w:p>
      <w:pPr>
        <w:pStyle w:val="Heading2"/>
        <w:spacing w:after="150" w:before="380"/>
      </w:pPr>
      <w:r>
        <w:rPr>
          <w:rFonts w:ascii="Cambria" w:cs="Cambria" w:eastAsia="Cambria" w:hAnsi="Cambria"/>
          <w:b/>
          <w:bCs/>
          <w:color w:val="14264A"/>
          <w:sz w:val="26"/>
          <w:szCs w:val="26"/>
        </w:rPr>
        <w:t xml:space="preserve">What the College operates today</w:t>
      </w:r>
    </w:p>
    <w:p>
      <w:pPr>
        <w:pStyle w:val="ListParagraph"/>
        <w:numPr>
          <w:ilvl w:val="0"/>
          <w:numId w:val="2"/>
        </w:numPr>
        <w:spacing w:after="100" w:line="290"/>
      </w:pPr>
      <w:r>
        <w:rPr>
          <w:rFonts w:ascii="Cambria" w:cs="Cambria" w:eastAsia="Cambria" w:hAnsi="Cambria"/>
          <w:sz w:val="21"/>
          <w:szCs w:val="21"/>
        </w:rPr>
        <w:t xml:space="preserve">A Graduate Register in which every award is hash-chained to its predecessor, so an altered record breaks the chain and says so.</w:t>
      </w:r>
    </w:p>
    <w:p>
      <w:pPr>
        <w:pStyle w:val="ListParagraph"/>
        <w:numPr>
          <w:ilvl w:val="0"/>
          <w:numId w:val="2"/>
        </w:numPr>
        <w:spacing w:after="100" w:line="290"/>
      </w:pPr>
      <w:r>
        <w:rPr>
          <w:rFonts w:ascii="Cambria" w:cs="Cambria" w:eastAsia="Cambria" w:hAnsi="Cambria"/>
          <w:sz w:val="21"/>
          <w:szCs w:val="21"/>
        </w:rPr>
        <w:t xml:space="preserve">ES256 credential signing, with the public keys published so that verification does not require the College's cooperation.</w:t>
      </w:r>
    </w:p>
    <w:p>
      <w:pPr>
        <w:pStyle w:val="ListParagraph"/>
        <w:numPr>
          <w:ilvl w:val="0"/>
          <w:numId w:val="2"/>
        </w:numPr>
        <w:spacing w:after="100" w:line="290"/>
      </w:pPr>
      <w:r>
        <w:rPr>
          <w:rFonts w:ascii="Cambria" w:cs="Cambria" w:eastAsia="Cambria" w:hAnsi="Cambria"/>
          <w:sz w:val="21"/>
          <w:szCs w:val="21"/>
        </w:rPr>
        <w:t xml:space="preserve">QR codes on credentials, verified against an independently written decoder across every version and error-correction level.</w:t>
      </w:r>
    </w:p>
    <w:p>
      <w:pPr>
        <w:pStyle w:val="ListParagraph"/>
        <w:numPr>
          <w:ilvl w:val="0"/>
          <w:numId w:val="2"/>
        </w:numPr>
        <w:spacing w:after="100" w:line="290"/>
      </w:pPr>
      <w:r>
        <w:rPr>
          <w:rFonts w:ascii="Cambria" w:cs="Cambria" w:eastAsia="Cambria" w:hAnsi="Cambria"/>
          <w:sz w:val="21"/>
          <w:szCs w:val="21"/>
        </w:rPr>
        <w:t xml:space="preserve">Issued transcripts and diploma supplements frozen at the moment of issue, so a document keeps saying what it said on the day it was issued.</w:t>
      </w:r>
    </w:p>
    <w:p>
      <w:pPr>
        <w:pStyle w:val="ListParagraph"/>
        <w:numPr>
          <w:ilvl w:val="0"/>
          <w:numId w:val="2"/>
        </w:numPr>
        <w:spacing w:after="100" w:line="290"/>
      </w:pPr>
      <w:r>
        <w:rPr>
          <w:rFonts w:ascii="Cambria" w:cs="Cambria" w:eastAsia="Cambria" w:hAnsi="Cambria"/>
          <w:sz w:val="21"/>
          <w:szCs w:val="21"/>
        </w:rPr>
        <w:t xml:space="preserve">A public verification portal, and a separate key-authenticated service for institutions verifying in volume.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signing layer is in development mode</w:t>
            </w:r>
          </w:p>
          <w:p>
            <w:pPr>
              <w:spacing w:after="0" w:before="0" w:line="290"/>
            </w:pPr>
            <w:r>
              <w:rPr>
                <w:rFonts w:ascii="Cambria" w:cs="Cambria" w:eastAsia="Cambria" w:hAnsi="Cambria"/>
                <w:b w:val="false"/>
                <w:bCs w:val="false"/>
                <w:caps w:val="false"/>
                <w:color w:val="1A1A1A"/>
                <w:sz w:val="20"/>
                <w:szCs w:val="20"/>
              </w:rPr>
              <w:t xml:space="preserve">The College's signing key is held in development key management rather than a production hardware security module. Under the Executive decision governing credential trust, the signing layer therefore claims no production-grade assurance, and every verification says so on its face. The Graduate Register — not the signature — remains the authoritative record until a production key management service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Curriculum</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levels, 60 modules, 294 authored learning items. The module architecture is complete: ten modules at every level, each with an assessed assignment and an assessed quiz. Lesson-level depth within those modules is in progress, and the per-level tables state what each level currently holds.</w:t>
      </w:r>
    </w:p>
    <w:p>
      <w:pPr>
        <w:pStyle w:val="Heading1"/>
        <w:pageBreakBefore/>
        <w:spacing w:after="120" w:before="0"/>
      </w:pPr>
      <w:r>
        <w:rPr>
          <w:rFonts w:ascii="Cambria" w:cs="Cambria" w:eastAsia="Cambria" w:hAnsi="Cambria"/>
          <w:b/>
          <w:bCs/>
          <w:color w:val="14264A"/>
          <w:sz w:val="32"/>
          <w:szCs w:val="32"/>
        </w:rPr>
        <w:t xml:space="preserve">Level I — Foundation Programme</w:t>
      </w:r>
    </w:p>
    <w:p>
      <w:pPr>
        <w:spacing w:after="150" w:before="0" w:line="300"/>
      </w:pPr>
      <w:r>
        <w:rPr>
          <w:rFonts w:ascii="Calibri" w:cs="Calibri" w:eastAsia="Calibri" w:hAnsi="Calibri"/>
          <w:b/>
          <w:bCs/>
          <w:color w:val="14264A"/>
          <w:sz w:val="21"/>
          <w:szCs w:val="21"/>
        </w:rPr>
        <w:t xml:space="preserve">English Aspirant of Worldwide English College  ·  ApWEC  ·  CEFR A1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 the learner can: introduce themselves and others; ask/answer simple personal questions; describe their home, family, and daily routine in simple sentences; make simple purchases and requests; tell the time and discuss simple schedules; ask for and give basic directions; write a short personal message or form; understand short, simple spoken instructions given slowly and clearly.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Aspirant of Worldwide English College (ApWEC). Entry into the tradition.</w:t>
      </w:r>
    </w:p>
    <w:p>
      <w:pPr>
        <w:spacing w:after="150" w:before="0" w:line="300"/>
      </w:pPr>
      <w:r>
        <w:rPr>
          <w:rFonts w:ascii="Cambria" w:cs="Cambria" w:eastAsia="Cambria" w:hAnsi="Cambria"/>
          <w:color w:val="1A1A1A"/>
          <w:sz w:val="21"/>
          <w:szCs w:val="21"/>
        </w:rPr>
        <w:t xml:space="preserve">honours the decision, which at A1 is the achievement. Beginning a language in adulthood is harder than any later step and is where most people stop. Overclaims nothing.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Meeting People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Everyday Objects &amp; Places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Family &amp; Routines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Food &amp; Shopping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Around Town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Describing People &amp; Things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Past Experiences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Plans &amp; Abilities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Health &amp; Feelings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 — Elementary Programme</w:t>
      </w:r>
    </w:p>
    <w:p>
      <w:pPr>
        <w:spacing w:after="150" w:before="0" w:line="300"/>
      </w:pPr>
      <w:r>
        <w:rPr>
          <w:rFonts w:ascii="Calibri" w:cs="Calibri" w:eastAsia="Calibri" w:hAnsi="Calibri"/>
          <w:b/>
          <w:bCs/>
          <w:color w:val="14264A"/>
          <w:sz w:val="21"/>
          <w:szCs w:val="21"/>
        </w:rPr>
        <w:t xml:space="preserve">English Candidate of Worldwide English College  ·  CnWEC  ·  CEFR A2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 the learner can: describe past experiences and events in simple terms; express likes, dislikes, and simple opinions; make and respond to invitations, suggestions, and apologies; describe future plans and intentions; compare people, places, and things; give simple reasons and explanations; handle simple phone/service conversations; write short connected texts (a short email, a simple description, a short story).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Candidate of Worldwide English College (CnWEC). Recognised learner of the College.</w:t>
      </w:r>
    </w:p>
    <w:p>
      <w:pPr>
        <w:spacing w:after="150" w:before="0" w:line="300"/>
      </w:pPr>
      <w:r>
        <w:rPr>
          <w:rFonts w:ascii="Cambria" w:cs="Cambria" w:eastAsia="Cambria" w:hAnsi="Cambria"/>
          <w:color w:val="1A1A1A"/>
          <w:sz w:val="21"/>
          <w:szCs w:val="21"/>
        </w:rPr>
        <w:t xml:space="preserve">formal admission to candidature. The moment the College recognises someone as its own.</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Life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Travel &amp; Transport</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&amp; Study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Likes, Dislikes &amp; Opinions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Making Plans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Homes &amp; Neighbourhoods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Food, Health &amp; Habits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Shopping &amp; Services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Telling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III — Intermediate Programme</w:t>
      </w:r>
    </w:p>
    <w:p>
      <w:pPr>
        <w:spacing w:after="150" w:before="0" w:line="300"/>
      </w:pPr>
      <w:r>
        <w:rPr>
          <w:rFonts w:ascii="Calibri" w:cs="Calibri" w:eastAsia="Calibri" w:hAnsi="Calibri"/>
          <w:b/>
          <w:bCs/>
          <w:color w:val="14264A"/>
          <w:sz w:val="21"/>
          <w:szCs w:val="21"/>
        </w:rPr>
        <w:t xml:space="preserve">English Associate of Worldwide English College  ·  AsWEC  ·  CEFR B1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III, the learner can: describe experiences, hopes, and ambitions with reasons; give a structured opinion and respond to a counter-opinion; write a structured paragraph/short essay with a clear topic sentence; handle unscripted, moderately complex conversations on familiar and some unfamiliar topics; understand the main points of clear standard input on work, school, or leisure; produce simple connected text on familiar topics; ask clarifying questions to manage a conversation.</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Associate of Worldwide English College (AsWEC). Established member of the academic community.</w:t>
      </w:r>
    </w:p>
    <w:p>
      <w:pPr>
        <w:spacing w:after="150" w:before="0" w:line="300"/>
      </w:pPr>
      <w:r>
        <w:rPr>
          <w:rFonts w:ascii="Cambria" w:cs="Cambria" w:eastAsia="Cambria" w:hAnsi="Cambria"/>
          <w:color w:val="1A1A1A"/>
          <w:sz w:val="21"/>
          <w:szCs w:val="21"/>
        </w:rPr>
        <w:t xml:space="preserve">membership. Not "can do B1 things"; belongs. This is the point on the Ascent where a learner stops being someone taking a course and becomes a member of an academic community, and the word says exactly that.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Present Perfect &amp; Life Experience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Education &amp; Learning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Careers &amp; Entrepreneurship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Opinions &amp; Debate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Environment, Ethics &amp; Global Citizenship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Technology &amp; Media</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Health, Body &amp; Mind</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Travel &amp; Culture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Foundations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IV — Upper Intermediate Programme</w:t>
      </w:r>
    </w:p>
    <w:p>
      <w:pPr>
        <w:spacing w:after="150" w:before="0" w:line="300"/>
      </w:pPr>
      <w:r>
        <w:rPr>
          <w:rFonts w:ascii="Calibri" w:cs="Calibri" w:eastAsia="Calibri" w:hAnsi="Calibri"/>
          <w:b/>
          <w:bCs/>
          <w:color w:val="14264A"/>
          <w:sz w:val="21"/>
          <w:szCs w:val="21"/>
        </w:rPr>
        <w:t xml:space="preserve">English Envoy of Worldwide English College  ·  EnWEC  ·  CEFR B2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IV, the learner can: understand extended speech and complex argumentation on familiar and abstract topics; interact with a degree of fluency that makes regular interaction with native speakers possible without strain on either party; produce clear, detailed text on a wide range of subjects; explain a viewpoint, weighing advantages/disadvantages; write a structured 4-5 paragraph essay with a clear thesis and evidence; participate in a structured meeting/seminar-style discussion; write a professional email/report in an appropriate register.</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Envoy of Worldwide English College (EnWEC). Trusted representative and communicator.</w:t>
      </w:r>
    </w:p>
    <w:p>
      <w:pPr>
        <w:spacing w:after="150" w:before="0" w:line="300"/>
      </w:pPr>
      <w:r>
        <w:rPr>
          <w:rFonts w:ascii="Cambria" w:cs="Cambria" w:eastAsia="Cambria" w:hAnsi="Cambria"/>
          <w:color w:val="1A1A1A"/>
          <w:sz w:val="21"/>
          <w:szCs w:val="21"/>
        </w:rPr>
        <w:t xml:space="preserve">one who can be sent: to the meeting, the client, the interview, to speak for someone other than themselves. B2 is precisely the representation threshold, and representation is what an employer is buying.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Advanced Present &amp; Past Systems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The World of Work</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Arguing a Position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Science, Technology &amp; Ethics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Global Issues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Literacy &amp; Critical Reading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Meetings &amp; Negotiation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Writing 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 — Advanced Programme</w:t>
      </w:r>
    </w:p>
    <w:p>
      <w:pPr>
        <w:spacing w:after="150" w:before="0" w:line="300"/>
      </w:pPr>
      <w:r>
        <w:rPr>
          <w:rFonts w:ascii="Calibri" w:cs="Calibri" w:eastAsia="Calibri" w:hAnsi="Calibri"/>
          <w:b/>
          <w:bCs/>
          <w:color w:val="14264A"/>
          <w:sz w:val="21"/>
          <w:szCs w:val="21"/>
        </w:rPr>
        <w:t xml:space="preserve">English Orator of Worldwide English College  ·  OrWEC  ·  CEFR C1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 the learner can: understand a wide range of demanding, longer texts and recognise implicit meaning; express ideas fluently and spontaneously without much obvious searching for expression; use language flexibly and effectively for social, academic, and professional purposes; produce clear, well-structured, detailed text on complex subjects, controlling organisational patterns and cohesive devices; understand and produce nuanced, idiomatic, register-appropriate language; lead a discussion or negotiation to a productive outcome.</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Orator of Worldwide English College (OrWEC). High-level intellectual and professional communicator.</w:t>
      </w:r>
    </w:p>
    <w:p>
      <w:pPr>
        <w:spacing w:after="150" w:before="0" w:line="300"/>
      </w:pPr>
      <w:r>
        <w:rPr>
          <w:rFonts w:ascii="Cambria" w:cs="Cambria" w:eastAsia="Cambria" w:hAnsi="Cambria"/>
          <w:color w:val="1A1A1A"/>
          <w:sz w:val="21"/>
          <w:szCs w:val="21"/>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Nuance &amp; Idiom</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Leadership &amp; Persuasion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Complex Systems (Science, Economics,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Cross-Cultural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Advanced Media &amp; Discourse Analysis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Research &amp; Presentation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Professional Advocacy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Style &amp; Voice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VI — English Mastery Programme</w:t>
      </w:r>
    </w:p>
    <w:p>
      <w:pPr>
        <w:spacing w:after="150" w:before="0" w:line="300"/>
      </w:pPr>
      <w:r>
        <w:rPr>
          <w:rFonts w:ascii="Calibri" w:cs="Calibri" w:eastAsia="Calibri" w:hAnsi="Calibri"/>
          <w:b/>
          <w:bCs/>
          <w:color w:val="14264A"/>
          <w:sz w:val="21"/>
          <w:szCs w:val="21"/>
        </w:rPr>
        <w:t xml:space="preserve">English Laureate of Worldwide English College  ·  LrWEC  ·  CEFR C2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VI, the learner can: understand with ease virtually everything heard or read; summarise information from different spoken and written sources, reconstructing arguments and accounts coherently; express themselves spontaneously, very fluently, and precisely, differentiating finer shades of meaning even in complex situations; produce publication- quality written work; represent a position or organisation persuasively at a senior/leadership level; mentor or coach another learner's English development, demonstrating command of the language as a system, not just as a skill.</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Laureate of Worldwide English College (LrWEC). Distinguished master of the programme.</w:t>
      </w:r>
    </w:p>
    <w:p>
      <w:pPr>
        <w:spacing w:after="150" w:before="0" w:line="300"/>
      </w:pPr>
      <w:r>
        <w:rPr>
          <w:rFonts w:ascii="Cambria" w:cs="Cambria" w:eastAsia="Cambria" w:hAnsi="Cambria"/>
          <w:color w:val="1A1A1A"/>
          <w:sz w:val="21"/>
          <w:szCs w:val="21"/>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Mastery Diagnostic &amp; Executive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Diplomacy &amp; International Relations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Global Business Strategy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Public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Law &amp; Justice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Innovation &amp; Emerging Technologies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&amp; Public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Research &amp; Scholarship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Ethics &amp; Responsible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Capstone -- Global Challenges &amp; Mastery Examination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Alumni Society</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Every graduate belongs to the Worldwide English College Alumni Society, and within it to the chapter of their highest award. Membership is not applied for and is not recorded separately: it follows from the award, and it moves when the award does.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880"/>
        <w:gridCol w:w="3060"/>
        <w:gridCol w:w="3060"/>
      </w:tblGrid>
      <w:tr>
        <w:trPr>
          <w:tblHeader/>
        </w:trPr>
        <w:tc>
          <w:tcPr>
            <w:tcW w:type="dxa" w:w="28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Chapter</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Officers</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Aspirant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Candidate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Associate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Envoy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Orator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Laureate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No chapter has elected officers. The Society is newly established, and officers are elected by members rather than appointed — a chapter elects when it has members enough to hold an election.</w:t>
      </w:r>
    </w:p>
    <w:p>
      <w:pPr>
        <w:pStyle w:val="Heading1"/>
        <w:pageBreakBefore/>
        <w:spacing w:after="120" w:before="0"/>
      </w:pPr>
      <w:r>
        <w:rPr>
          <w:rFonts w:ascii="Cambria" w:cs="Cambria" w:eastAsia="Cambria" w:hAnsi="Cambria"/>
          <w:b/>
          <w:bCs/>
          <w:color w:val="14264A"/>
          <w:sz w:val="32"/>
          <w:szCs w:val="32"/>
        </w:rPr>
        <w:t xml:space="preserve">Glossary</w:t>
      </w:r>
    </w:p>
    <w:p>
      <w:pPr>
        <w:pBdr>
          <w:bottom w:val="single" w:color="C9CEDA" w:sz="4" w:space="6"/>
        </w:pBdr>
        <w:spacing w:after="220" w:before="40"/>
      </w:pPr>
      <w:r>
        <w:t xml:space="preserve"/>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684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Term</w:t>
            </w:r>
          </w:p>
        </w:tc>
        <w:tc>
          <w:tcPr>
            <w:tcW w:type="dxa" w:w="68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IEFC</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International English Fluency Certificate, the College's qualification.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CEFR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Common European Framework of Reference for Languages, the international scale from A1 to C2 against which the six levels are mapped.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WEC Credit</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unit of academic credit, recorded on each award at conferral.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Total Qualification Time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design figure for the hours a level represents. It is the same for every holder and is not a measure of any individual's effort.</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Guided Learning Hours</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portion of Total Qualification Time delivered under instruction.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Post-nominal</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abbreviation a holder may place after their name, conferred with the award.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Graduate Register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hash-chained record of every award conferred, publicly checkable by verification code.</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Verification code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permanent identifier printed on a credential, carrying a check character so a mistyped code is refused rather than misread.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Competency</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College's six descriptions of what a communicator can do, independent of language level.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Descriptor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five ordered bands in which skill attainment is reported.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BASCE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Board of Academic Standards and Curriculum Excellence, the authority for the competency framework.</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Colophon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1"/>
          <w:szCs w:val="21"/>
        </w:rPr>
        <w:t xml:space="preserve">This edition was generated from the College's academic database and its approved institutional documents. Both the editable and the print editions are rendered from one content definition, and their text is compared token by token before release, so they are identical by verification rather than by proofreading.</w:t>
      </w:r>
    </w:p>
    <w:p>
      <w:pPr>
        <w:spacing w:after="150" w:before="0" w:line="300"/>
      </w:pPr>
      <w:r>
        <w:rPr>
          <w:rFonts w:ascii="Cambria" w:cs="Cambria" w:eastAsia="Cambria" w:hAnsi="Cambria"/>
          <w:color w:val="1A1A1A"/>
          <w:sz w:val="21"/>
          <w:szCs w:val="21"/>
        </w:rPr>
        <w:t xml:space="preserve">Set in Cambria and Calibri in the editable edition, and in their metric equivalents in the print edition. Faces were chosen because they are present wherever this document will be opened; a more distinguished face that is substituted silently at the printer is a worse choice than a plainer one that renders as set.</w:t>
      </w:r>
    </w:p>
    <w:p>
      <w:pPr>
        <w:spacing w:after="150" w:before="0" w:line="300"/>
      </w:pPr>
      <w:r>
        <w:rPr>
          <w:rFonts w:ascii="Calibri" w:cs="Calibri" w:eastAsia="Calibri" w:hAnsi="Calibri"/>
          <w:color w:val="4B5768"/>
          <w:sz w:val="16"/>
          <w:szCs w:val="16"/>
        </w:rPr>
        <w:t xml:space="preserve">Counts in this edition: 6 levels · 60 modules · 294 learning items · 660 quiz questions.</w:t>
      </w:r>
    </w:p>
    <w:p>
      <w:pPr>
        <w:spacing w:after="150" w:before="0" w:line="300"/>
      </w:pPr>
      <w:r>
        <w:rPr>
          <w:rFonts w:ascii="Calibri" w:cs="Calibri" w:eastAsia="Calibri" w:hAnsi="Calibri"/>
          <w:color w:val="4B5768"/>
          <w:sz w:val="16"/>
          <w:szCs w:val="16"/>
        </w:rPr>
        <w:t xml:space="preserve">Worldwide English College Press · London Campus</w:t>
      </w:r>
    </w:p>
    <w:sectPr>
      <w:headerReference w:type="default" r:id="rId7"/>
      <w:footerReference w:type="default" r:id="rId8"/>
      <w:pgSz w:w="11908" w:h="16833" w:orient="portrait"/>
      <w:pgMar w:top="1584" w:right="1440"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8812"/>
      </w:tabs>
    </w:pPr>
    <w:r>
      <w:rPr>
        <w:rFonts w:ascii="Calibri" w:cs="Calibri" w:eastAsia="Calibri" w:hAnsi="Calibri"/>
        <w:color w:val="4B5768"/>
        <w:sz w:val="13"/>
        <w:szCs w:val="13"/>
      </w:rPr>
      <w:t xml:space="preserve">The International English Fluency Certificate  ·  © Worldwide English College	</w:t>
    </w:r>
    <w:r>
      <w:rPr>
        <w:rFonts w:ascii="Calibri" w:cs="Calibri" w:eastAsia="Calibri" w:hAnsi="Calibri"/>
        <w:color w:val="4B5768"/>
        <w:sz w:val="13"/>
        <w:szCs w:val="13"/>
      </w:rPr>
      <w:t xml:space="preserve">WEC-LC·AHDC-FGQP  ·  </w:t>
    </w:r>
    <w:r>
      <w:rPr>
        <w:rFonts w:ascii="Calibri" w:cs="Calibri" w:eastAsia="Calibri" w:hAnsi="Calibri"/>
        <w:color w:val="4B5768"/>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A" w:sz="2" w:space="6"/>
      </w:pBdr>
      <w:spacing w:after="220"/>
      <w:jc w:val="right"/>
    </w:pPr>
    <w:r>
      <w:rPr>
        <w:rFonts w:ascii="Calibri" w:cs="Calibri" w:eastAsia="Calibri" w:hAnsi="Calibri"/>
        <w:caps/>
        <w:color w:val="4B5768"/>
        <w:spacing w:val="40"/>
        <w:sz w:val="14"/>
        <w:szCs w:val="14"/>
      </w:rPr>
      <w:t xml:space="preserve">The International English Fluency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2"/>
      <w:szCs w:val="32"/>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Curriculum, Award Architecture and Academic Framework</dc:title>
  <dc:subject>English language qualification; curriculum; academic framework</dc:subject>
  <dc:creator>Worldwide English College</dc:creator>
  <cp:keywords>IEFC, Worldwide English College, CEFR, English, curriculum, qualification</cp:keywords>
  <dc:description>The reference edition of the IEFC curriculum and academic framework, generated from the College's academic database.</dc:description>
  <cp:lastModifiedBy>Un-named</cp:lastModifiedBy>
  <cp:revision>1</cp:revision>
  <dcterms:created xsi:type="dcterms:W3CDTF">2026-08-17T11:55:24.848Z</dcterms:created>
  <dcterms:modified xsi:type="dcterms:W3CDTF">2026-08-17T11:55:24.849Z</dcterms:modified>
</cp:coreProperties>
</file>

<file path=docProps/custom.xml><?xml version="1.0" encoding="utf-8"?>
<Properties xmlns="http://schemas.openxmlformats.org/officeDocument/2006/custom-properties" xmlns:vt="http://schemas.openxmlformats.org/officeDocument/2006/docPropsVTypes"/>
</file>