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per-level colour identity, drawn ornament and typographic apparatus that DOCX cannot reproduce. This edition exists so the curriculum can be edited, not only read.</w:t>
      </w:r>
    </w:p>
    <w:p>
      <w:pPr>
        <w:pStyle w:val="Heading1"/>
        <w:pageBreakBefore/>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 · 4 items</w:t>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Style w:val="Heading1"/>
        <w:pageBreakBefore/>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 · 4 items</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Style w:val="Heading1"/>
        <w:pageBreakBefore/>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III · 4 items</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Style w:val="Heading1"/>
        <w:pageBreakBefore/>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IV · 4 items</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Style w:val="Heading1"/>
        <w:pageBreakBefore/>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V · 4 items</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Style w:val="Heading1"/>
        <w:pageBreakBefore/>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160" w:before="0" w:line="280"/>
      </w:pPr>
      <w:r>
        <w:rPr>
          <w:rFonts w:ascii="Calibri" w:cs="Calibri" w:eastAsia="Calibri" w:hAnsi="Calibri"/>
          <w:color w:val="6B7280"/>
          <w:sz w:val="15"/>
          <w:szCs w:val="15"/>
        </w:rPr>
        <w:t xml:space="preserve">Level VI · 4 items</w:t>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Register of Omissions</w:t>
      </w:r>
    </w:p>
    <w:p>
      <w:pPr>
        <w:spacing w:after="110" w:before="0" w:line="280"/>
      </w:pPr>
      <w:r>
        <w:rPr>
          <w:rFonts w:ascii="Cambria" w:cs="Cambria" w:eastAsia="Cambria" w:hAnsi="Cambria"/>
          <w:color w:val="1A1A1A"/>
          <w:sz w:val="20"/>
          <w:szCs w:val="20"/>
        </w:rPr>
        <w:t xml:space="preserve">Components specified for this edition for which no source exists in the curriculum, and what is printed in their place. Each entry below could have been written convincingly enough that no reader would have questioned it; that is the reason none of them has been.</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Level philosophy</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Each level opener prints its academic purpose and graduate profile, both held in the award definitions and written by the College.</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Career opportunities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No career-outcome data exists. Naming the roles a CEFR band qualifies someone for would be a claim about the labour market that the College has not made and cannot support.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Professional and leadership outcomes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The graduate profile states what a graduate of the level can do linguistically. It does not extend to professional or leadership claims.</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Credit value and total qualification time</w:t>
      </w:r>
    </w:p>
    <w:p>
      <w:pPr>
        <w:spacing w:after="40" w:before="0" w:line="280"/>
        <w:ind w:left="200"/>
      </w:pPr>
      <w:r>
        <w:rPr>
          <w:rFonts w:ascii="Calibri" w:cs="Calibri" w:eastAsia="Calibri" w:hAnsi="Calibri"/>
          <w:b/>
          <w:bCs/>
          <w:color w:val="8C1F2F"/>
          <w:sz w:val="15"/>
          <w:szCs w:val="15"/>
        </w:rPr>
        <w:t xml:space="preserve">Not assigned. </w:t>
      </w:r>
      <w:r>
        <w:rPr>
          <w:rFonts w:ascii="Cambria" w:cs="Cambria" w:eastAsia="Cambria" w:hAnsi="Cambria"/>
          <w:color w:val="1A1A1A"/>
          <w:sz w:val="19"/>
          <w:szCs w:val="19"/>
        </w:rPr>
        <w:t xml:space="preserve">Duration in months is printed. Credits and TQT are assigned by an awarding framework the College has not entered; printing a figure would imply a framework that does not exist.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Portfolio requirement and per-skill expectations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Skill work appears inside lessons — speaking, listening, reading and writing stages are set as stages. There is no level-wide statement of expectation to print.</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Professional applications; recommended resources; prerequisites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Module titles, sequence and item counts are printed. Prerequisite knowledge, where a lesson declares it, is printed as a stage of that lesson.</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Assessment map to competencies</w:t>
      </w:r>
    </w:p>
    <w:p>
      <w:pPr>
        <w:spacing w:after="40" w:before="0" w:line="280"/>
        <w:ind w:left="200"/>
      </w:pPr>
      <w:r>
        <w:rPr>
          <w:rFonts w:ascii="Calibri" w:cs="Calibri" w:eastAsia="Calibri" w:hAnsi="Calibri"/>
          <w:b/>
          <w:bCs/>
          <w:color w:val="8C1F2F"/>
          <w:sz w:val="15"/>
          <w:szCs w:val="15"/>
        </w:rPr>
        <w:t xml:space="preserve">Not mapped. </w:t>
      </w:r>
      <w:r>
        <w:rPr>
          <w:rFonts w:ascii="Cambria" w:cs="Cambria" w:eastAsia="Cambria" w:hAnsi="Cambria"/>
          <w:color w:val="1A1A1A"/>
          <w:sz w:val="19"/>
          <w:szCs w:val="19"/>
        </w:rPr>
        <w:t xml:space="preserve">Every module's assessed quiz and assessed assignment are printed in full with their answer keys and rubrics. None of the 120 assessments is currently mapped to a named competency; establishing that mapping is the founding task of the Board of Academic Standards and Curriculum Excellence.</w:t>
      </w:r>
    </w:p>
    <w:p>
      <w:pPr>
        <w:spacing w:after="30" w:before="140" w:line="280"/>
      </w:pPr>
      <w:r>
        <w:rPr>
          <w:rFonts w:ascii="Calibri" w:cs="Calibri" w:eastAsia="Calibri" w:hAnsi="Calibri"/>
          <w:b/>
          <w:bCs/>
          <w:color w:val="7A5C2E"/>
          <w:spacing w:val="40"/>
          <w:sz w:val="13"/>
          <w:szCs w:val="13"/>
        </w:rPr>
        <w:t xml:space="preserve">LESSON  </w:t>
      </w:r>
      <w:r>
        <w:rPr>
          <w:rFonts w:ascii="Cambria" w:cs="Cambria" w:eastAsia="Cambria" w:hAnsi="Cambria"/>
          <w:b/>
          <w:bCs/>
          <w:color w:val="1F3E7C"/>
          <w:sz w:val="19"/>
          <w:szCs w:val="19"/>
        </w:rPr>
        <w:t xml:space="preserve">Reflection; self-assessment; portfolio task; digital task; collaborative activity; mastery checklist</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Lessons carry between fourteen and eighteen stages each, printed in full. These six stage types are not among the house structure and no lesson contains one.</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Foreword and message from the head of the institution</w:t>
      </w:r>
    </w:p>
    <w:p>
      <w:pPr>
        <w:spacing w:after="40" w:before="0" w:line="280"/>
        <w:ind w:left="200"/>
      </w:pPr>
      <w:r>
        <w:rPr>
          <w:rFonts w:ascii="Calibri" w:cs="Calibri" w:eastAsia="Calibri" w:hAnsi="Calibri"/>
          <w:b/>
          <w:bCs/>
          <w:color w:val="8C1F2F"/>
          <w:sz w:val="15"/>
          <w:szCs w:val="15"/>
        </w:rPr>
        <w:t xml:space="preserve">No officer appointed. </w:t>
      </w:r>
      <w:r>
        <w:rPr>
          <w:rFonts w:ascii="Cambria" w:cs="Cambria" w:eastAsia="Cambria" w:hAnsi="Cambria"/>
          <w:color w:val="1A1A1A"/>
          <w:sz w:val="19"/>
          <w:szCs w:val="19"/>
        </w:rPr>
        <w:t xml:space="preserve">A publisher's preface, unsigned, appears in the front matter with the reason stated.</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Editorial photography</w:t>
      </w:r>
    </w:p>
    <w:p>
      <w:pPr>
        <w:spacing w:after="40" w:before="0" w:line="280"/>
        <w:ind w:left="200"/>
      </w:pPr>
      <w:r>
        <w:rPr>
          <w:rFonts w:ascii="Calibri" w:cs="Calibri" w:eastAsia="Calibri" w:hAnsi="Calibri"/>
          <w:b/>
          <w:bCs/>
          <w:color w:val="8C1F2F"/>
          <w:sz w:val="15"/>
          <w:szCs w:val="15"/>
        </w:rPr>
        <w:t xml:space="preserve">Not commissioned. </w:t>
      </w:r>
      <w:r>
        <w:rPr>
          <w:rFonts w:ascii="Cambria" w:cs="Cambria" w:eastAsia="Cambria" w:hAnsi="Cambria"/>
          <w:color w:val="1A1A1A"/>
          <w:sz w:val="19"/>
          <w:szCs w:val="19"/>
        </w:rPr>
        <w:t xml:space="preserve">The visual system is drawn: guilloché, girih geometry, crest and ornament are generated from their own construction. No stock image of a person is used, because a photograph of a model captioned as a student of this College would be a fabrication.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2026-08-04</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2026-08-04T11:00:07.733Z</dcterms:created>
  <dcterms:modified xsi:type="dcterms:W3CDTF">2026-08-04T11:00:07.733Z</dcterms:modified>
</cp:coreProperties>
</file>

<file path=docProps/custom.xml><?xml version="1.0" encoding="utf-8"?>
<Properties xmlns="http://schemas.openxmlformats.org/officeDocument/2006/custom-properties" xmlns:vt="http://schemas.openxmlformats.org/officeDocument/2006/docPropsVTypes"/>
</file>