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14264A"/>
          <w:spacing w:val="130"/>
          <w:sz w:val="22"/>
          <w:szCs w:val="22"/>
        </w:rPr>
        <w:t xml:space="preserve">The International English Fluency Certificate</w:t>
      </w:r>
    </w:p>
    <w:p>
      <w:r>
        <w:br w:type="page"/>
      </w:r>
    </w:p>
    <w:p>
      <w:pPr>
        <w:spacing w:after="1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9A7A38"/>
          <w:spacing w:val="180"/>
          <w:sz w:val="18"/>
          <w:szCs w:val="18"/>
        </w:rPr>
        <w:t xml:space="preserve">Worldwide English College</w:t>
      </w:r>
    </w:p>
    <w:p>
      <w:pPr>
        <w:spacing w:after="720" w:before="0" w:line="300"/>
        <w:jc w:val="center"/>
      </w:pPr>
      <w:r>
        <w:rPr>
          <w:rFonts w:ascii="Cambria" w:cs="Cambria" w:eastAsia="Cambria" w:hAnsi="Cambria"/>
          <w:i/>
          <w:iCs/>
          <w:color w:val="4B5768"/>
          <w:sz w:val="20"/>
          <w:szCs w:val="20"/>
        </w:rPr>
        <w:t xml:space="preserve">London Campus</w:t>
      </w:r>
    </w:p>
    <w:p>
      <w:pPr>
        <w:spacing w:after="40" w:before="0" w:line="580"/>
        <w:jc w:val="center"/>
      </w:pPr>
      <w:r>
        <w:rPr>
          <w:rFonts w:ascii="Cambria" w:cs="Cambria" w:eastAsia="Cambria" w:hAnsi="Cambria"/>
          <w:b/>
          <w:bCs/>
          <w:color w:val="14264A"/>
          <w:sz w:val="52"/>
          <w:szCs w:val="52"/>
        </w:rPr>
        <w:t xml:space="preserve">The International</w:t>
      </w:r>
    </w:p>
    <w:p>
      <w:pPr>
        <w:spacing w:after="40" w:before="0" w:line="580"/>
        <w:jc w:val="center"/>
      </w:pPr>
      <w:r>
        <w:rPr>
          <w:rFonts w:ascii="Cambria" w:cs="Cambria" w:eastAsia="Cambria" w:hAnsi="Cambria"/>
          <w:b/>
          <w:bCs/>
          <w:color w:val="14264A"/>
          <w:sz w:val="52"/>
          <w:szCs w:val="52"/>
        </w:rPr>
        <w:t xml:space="preserve">English Fluency</w:t>
      </w:r>
    </w:p>
    <w:p>
      <w:pPr>
        <w:spacing w:after="280" w:before="0" w:line="580"/>
        <w:jc w:val="center"/>
      </w:pPr>
      <w:r>
        <w:rPr>
          <w:rFonts w:ascii="Cambria" w:cs="Cambria" w:eastAsia="Cambria" w:hAnsi="Cambria"/>
          <w:b/>
          <w:bCs/>
          <w:color w:val="14264A"/>
          <w:sz w:val="52"/>
          <w:szCs w:val="52"/>
        </w:rPr>
        <w:t xml:space="preserve">Certificate</w:t>
      </w:r>
    </w:p>
    <w:p>
      <w:pPr>
        <w:pBdr>
          <w:bottom w:val="single" w:color="C9CEDA" w:sz="4" w:space="6"/>
        </w:pBdr>
        <w:spacing w:after="220" w:before="40"/>
      </w:pPr>
      <w:r>
        <w:t xml:space="preserve"/>
      </w:r>
    </w:p>
    <w:p>
      <w:pPr>
        <w:spacing w:after="1500" w:before="0" w:line="300"/>
        <w:jc w:val="center"/>
      </w:pPr>
      <w:r>
        <w:rPr>
          <w:rFonts w:ascii="Cambria" w:cs="Cambria" w:eastAsia="Cambria" w:hAnsi="Cambria"/>
          <w:i/>
          <w:iCs/>
          <w:color w:val="4B5768"/>
          <w:sz w:val="24"/>
          <w:szCs w:val="24"/>
        </w:rPr>
        <w:t xml:space="preserve">The Curriculum, Award Architecture and Academic Framework</w:t>
      </w:r>
    </w:p>
    <w:p>
      <w:pPr>
        <w:spacing w:after="150" w:before="0" w:line="300"/>
        <w:jc w:val="center"/>
      </w:pPr>
      <w:r>
        <w:rPr>
          <w:rFonts w:ascii="Calibri" w:cs="Calibri" w:eastAsia="Calibri" w:hAnsi="Calibri"/>
          <w:b/>
          <w:bCs/>
          <w:caps/>
          <w:color w:val="14264A"/>
          <w:spacing w:val="120"/>
          <w:sz w:val="17"/>
          <w:szCs w:val="17"/>
        </w:rPr>
        <w:t xml:space="preserve">First Edition</w:t>
      </w:r>
    </w:p>
    <w:p>
      <w:pPr>
        <w:spacing w:after="900" w:before="0" w:line="300"/>
        <w:jc w:val="center"/>
      </w:pPr>
      <w:r>
        <w:rPr>
          <w:rFonts w:ascii="Calibri" w:cs="Calibri" w:eastAsia="Calibri" w:hAnsi="Calibri"/>
          <w:color w:val="4B5768"/>
          <w:sz w:val="17"/>
          <w:szCs w:val="17"/>
        </w:rPr>
        <w:t xml:space="preserve">Reference Edition</w:t>
      </w:r>
    </w:p>
    <w:p>
      <w:pPr>
        <w:spacing w:after="150" w:before="0" w:line="300"/>
        <w:jc w:val="center"/>
      </w:pPr>
      <w:r>
        <w:rPr>
          <w:rFonts w:ascii="Calibri" w:cs="Calibri" w:eastAsia="Calibri" w:hAnsi="Calibri"/>
          <w:caps/>
          <w:color w:val="4B5768"/>
          <w:spacing w:val="90"/>
          <w:sz w:val="15"/>
          <w:szCs w:val="15"/>
        </w:rPr>
        <w:t xml:space="preserve">Worldwide English College Press</w:t>
      </w:r>
    </w:p>
    <w:p>
      <w:r>
        <w:br w:type="page"/>
      </w:r>
    </w:p>
    <w:p>
      <w:pPr>
        <w:pStyle w:val="Heading1"/>
        <w:spacing w:after="120" w:before="0"/>
      </w:pPr>
      <w:r>
        <w:rPr>
          <w:rFonts w:ascii="Cambria" w:cs="Cambria" w:eastAsia="Cambria" w:hAnsi="Cambria"/>
          <w:b/>
          <w:bCs/>
          <w:color w:val="14264A"/>
          <w:sz w:val="32"/>
          <w:szCs w:val="32"/>
        </w:rPr>
        <w:t xml:space="preserve">Publication Information</w:t>
      </w:r>
    </w:p>
    <w:p>
      <w:pPr>
        <w:pBdr>
          <w:bottom w:val="single" w:color="C9CEDA" w:sz="4" w:space="6"/>
        </w:pBdr>
        <w:spacing w:after="220" w:before="40"/>
      </w:pPr>
      <w:r>
        <w:t xml:space="preserve"/>
      </w:r>
    </w:p>
    <w:p>
      <w:pPr>
        <w:spacing w:after="150" w:before="0" w:line="300"/>
      </w:pPr>
      <w:r>
        <w:rPr>
          <w:rFonts w:ascii="Cambria" w:cs="Cambria" w:eastAsia="Cambria" w:hAnsi="Cambria"/>
          <w:b/>
          <w:bCs/>
          <w:color w:val="1A1A1A"/>
          <w:sz w:val="21"/>
          <w:szCs w:val="21"/>
        </w:rPr>
        <w:t xml:space="preserve">The International English Fluency Certificate</w:t>
      </w:r>
    </w:p>
    <w:p>
      <w:pPr>
        <w:spacing w:after="150" w:before="0" w:line="300"/>
      </w:pPr>
      <w:r>
        <w:rPr>
          <w:rFonts w:ascii="Cambria" w:cs="Cambria" w:eastAsia="Cambria" w:hAnsi="Cambria"/>
          <w:i/>
          <w:iCs/>
          <w:color w:val="1A1A1A"/>
          <w:sz w:val="21"/>
          <w:szCs w:val="21"/>
        </w:rPr>
        <w:t xml:space="preserve">The Curriculum, Award Architecture and Academic Framework</w:t>
      </w:r>
    </w:p>
    <w:p>
      <w:pPr>
        <w:spacing w:after="150" w:before="0" w:line="300"/>
      </w:pPr>
      <w:r>
        <w:rPr>
          <w:rFonts w:ascii="Cambria" w:cs="Cambria" w:eastAsia="Cambria" w:hAnsi="Cambria"/>
          <w:color w:val="1A1A1A"/>
          <w:sz w:val="21"/>
          <w:szCs w:val="21"/>
        </w:rPr>
        <w:t xml:space="preserve">First edition, reference edition.</w:t>
      </w:r>
    </w:p>
    <w:p>
      <w:pPr>
        <w:spacing w:after="150" w:before="0" w:line="300"/>
      </w:pPr>
      <w:r>
        <w:rPr>
          <w:rFonts w:ascii="Cambria" w:cs="Cambria" w:eastAsia="Cambria" w:hAnsi="Cambria"/>
          <w:color w:val="1A1A1A"/>
          <w:sz w:val="21"/>
          <w:szCs w:val="21"/>
        </w:rPr>
        <w:t xml:space="preserve">Published by Worldwide English College Press, London Campus.</w:t>
      </w:r>
    </w:p>
    <w:p>
      <w:pPr>
        <w:spacing w:after="150" w:before="0" w:line="300"/>
      </w:pPr>
      <w:r>
        <w:rPr>
          <w:rFonts w:ascii="Cambria" w:cs="Cambria" w:eastAsia="Cambria" w:hAnsi="Cambria"/>
          <w:color w:val="1A1A1A"/>
          <w:sz w:val="21"/>
          <w:szCs w:val="21"/>
        </w:rPr>
        <w:t xml:space="preserve">© Worldwide English College. All rights reserved.</w:t>
      </w:r>
    </w:p>
    <w:p>
      <w:pPr>
        <w:spacing w:after="150" w:before="0" w:line="300"/>
      </w:pPr>
      <w:r>
        <w:rPr>
          <w:rFonts w:ascii="Calibri" w:cs="Calibri" w:eastAsia="Calibri" w:hAnsi="Calibri"/>
          <w:color w:val="4B5768"/>
          <w:sz w:val="16"/>
          <w:szCs w:val="16"/>
        </w:rPr>
        <w:t xml:space="preserve">ISBN [to be assigned]  ·  DOI [not registered]</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A note on this edition</w:t>
            </w:r>
          </w:p>
          <w:p>
            <w:pPr>
              <w:spacing w:after="130" w:before="0" w:line="290"/>
            </w:pPr>
            <w:r>
              <w:rPr>
                <w:rFonts w:ascii="Cambria" w:cs="Cambria" w:eastAsia="Cambria" w:hAnsi="Cambria"/>
                <w:b w:val="false"/>
                <w:bCs w:val="false"/>
                <w:caps w:val="false"/>
                <w:color w:val="1A1A1A"/>
                <w:sz w:val="20"/>
                <w:szCs w:val="20"/>
              </w:rPr>
              <w:t xml:space="preserve">This edition is generated directly from the College's academic database and its approved institutional documents. Every figure in it is counted from that source at the moment of generation rather than transcribed by hand, and the generator refuses to publish a figure it cannot count.</w:t>
            </w:r>
          </w:p>
          <w:p>
            <w:pPr>
              <w:spacing w:after="0" w:before="0" w:line="290"/>
            </w:pPr>
            <w:r>
              <w:rPr>
                <w:rFonts w:ascii="Cambria" w:cs="Cambria" w:eastAsia="Cambria" w:hAnsi="Cambria"/>
                <w:b w:val="false"/>
                <w:bCs w:val="false"/>
                <w:caps w:val="false"/>
                <w:color w:val="1A1A1A"/>
                <w:sz w:val="20"/>
                <w:szCs w:val="20"/>
              </w:rPr>
              <w:t xml:space="preserve">The College is not an accredited institution and this publication makes no claim of accreditation, recognition, or external approval. Where the College cannot yet evidence something it states, the shortfall is named in the text rather than omitted.</w:t>
            </w:r>
          </w:p>
        </w:tc>
      </w:tr>
    </w:tbl>
    <w:p>
      <w:pPr>
        <w:spacing w:after="220" w:before="0" w:line="300"/>
      </w:pPr>
      <w:r>
        <w:rPr>
          <w:rFonts w:ascii="Cambria" w:cs="Cambria" w:eastAsia="Cambria" w:hAnsi="Cambria"/>
          <w:color w:val="1A1A1A"/>
          <w:sz w:val="21"/>
          <w:szCs w:val="21"/>
        </w:rPr>
        <w:t xml:space="preserve"/>
      </w:r>
    </w:p>
    <w:p>
      <w:pPr>
        <w:spacing w:after="150" w:before="0" w:line="300"/>
      </w:pPr>
      <w:r>
        <w:rPr>
          <w:rFonts w:ascii="Calibri" w:cs="Calibri" w:eastAsia="Calibri" w:hAnsi="Calibri"/>
          <w:color w:val="4B5768"/>
          <w:sz w:val="16"/>
          <w:szCs w:val="16"/>
        </w:rPr>
        <w:t xml:space="preserve">Generated from: sql/schema.sql + sql/seed-curriculum-level-1..6.sql + docs/curriculum-framework.md + docs/iefc-award-architecture.md + docs/governance-decisions.md</w:t>
      </w:r>
    </w:p>
    <w:p>
      <w:r>
        <w:br w:type="page"/>
      </w:r>
    </w:p>
    <w:p>
      <w:pPr>
        <w:pStyle w:val="Heading1"/>
        <w:spacing w:after="120" w:before="0"/>
      </w:pPr>
      <w:r>
        <w:rPr>
          <w:rFonts w:ascii="Cambria" w:cs="Cambria" w:eastAsia="Cambria" w:hAnsi="Cambria"/>
          <w:b/>
          <w:bCs/>
          <w:color w:val="14264A"/>
          <w:sz w:val="32"/>
          <w:szCs w:val="32"/>
        </w:rPr>
        <w:t xml:space="preserve">Contents</w:t>
      </w:r>
    </w:p>
    <w:p>
      <w:pPr>
        <w:pBdr>
          <w:bottom w:val="single" w:color="C9CEDA" w:sz="4" w:space="6"/>
        </w:pBdr>
        <w:spacing w:after="220" w:before="40"/>
      </w:pPr>
      <w:r>
        <w:t xml:space="preserve"/>
      </w:r>
    </w:p>
    <w:sdt>
      <w:sdtPr>
        <w:alias w:val="Contents"/>
      </w:sdtPr>
      <w:sdtContent>
        <w:p>
          <w:r>
            <w:fldChar w:fldCharType="begin" w:dirty="true"/>
            <w:instrText xml:space="preserve">TOC \o "1-2"</w:instrText>
            <w:fldChar w:fldCharType="separate"/>
          </w:r>
        </w:p>
        <w:p>
          <w:r>
            <w:fldChar w:fldCharType="end"/>
          </w:r>
        </w:p>
      </w:sdtContent>
    </w:sdt>
    <w:p>
      <w:r>
        <w:br w:type="page"/>
      </w:r>
    </w:p>
    <w:p>
      <w:pPr>
        <w:pStyle w:val="Heading1"/>
        <w:spacing w:after="120" w:before="0"/>
      </w:pPr>
      <w:r>
        <w:rPr>
          <w:rFonts w:ascii="Cambria" w:cs="Cambria" w:eastAsia="Cambria" w:hAnsi="Cambria"/>
          <w:b/>
          <w:bCs/>
          <w:color w:val="14264A"/>
          <w:sz w:val="32"/>
          <w:szCs w:val="32"/>
        </w:rPr>
        <w:t xml:space="preserve">Editorial Note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This publication was prepared to the standards of a scholarly reference edition. Its governing rule is the one stated in the commissioning directive: where a claim cannot be supported, it is qualified or omitted rather than overstated.</w:t>
      </w:r>
    </w:p>
    <w:p>
      <w:pPr>
        <w:spacing w:after="150" w:before="0" w:line="300"/>
      </w:pPr>
      <w:r>
        <w:rPr>
          <w:rFonts w:ascii="Cambria" w:cs="Cambria" w:eastAsia="Cambria" w:hAnsi="Cambria"/>
          <w:color w:val="1A1A1A"/>
          <w:sz w:val="21"/>
          <w:szCs w:val="21"/>
        </w:rPr>
        <w:t xml:space="preserve">Three consequences of that rule are visible in the pages that follow, and are stated here so that a reader does not have to infer them.</w:t>
      </w:r>
    </w:p>
    <w:p>
      <w:pPr>
        <w:spacing w:after="70" w:before="260" w:line="300"/>
      </w:pPr>
      <w:r>
        <w:rPr>
          <w:rFonts w:ascii="Calibri" w:cs="Calibri" w:eastAsia="Calibri" w:hAnsi="Calibri"/>
          <w:b/>
          <w:bCs/>
          <w:caps/>
          <w:color w:val="9A7A38"/>
          <w:spacing w:val="60"/>
          <w:sz w:val="15"/>
          <w:szCs w:val="15"/>
        </w:rPr>
        <w:t xml:space="preserve">One — Sections that would require inventing people</w:t>
      </w:r>
    </w:p>
    <w:p>
      <w:pPr>
        <w:spacing w:after="150" w:before="0" w:line="300"/>
      </w:pPr>
      <w:r>
        <w:rPr>
          <w:rFonts w:ascii="Cambria" w:cs="Cambria" w:eastAsia="Cambria" w:hAnsi="Cambria"/>
          <w:color w:val="1A1A1A"/>
          <w:sz w:val="21"/>
          <w:szCs w:val="21"/>
        </w:rPr>
        <w:t xml:space="preserve">A publication of this kind conventionally opens with a Foreword, a Presidential Message and a message from the Academic Senate. Those are signed statements by named officers. Worldwide English College has no appointed President, and its Academic Senate and its Board of Academic Standards and Curriculum Excellence are established but not yet constituted — no members have been appointed to either. Composing those sections would mean writing the words of officers who do not exist. They are omitted. The institutional voice in this edition is the College's own, unsigned, and it does not pretend otherwise.</w:t>
      </w:r>
    </w:p>
    <w:p>
      <w:pPr>
        <w:spacing w:after="70" w:before="260" w:line="300"/>
      </w:pPr>
      <w:r>
        <w:rPr>
          <w:rFonts w:ascii="Calibri" w:cs="Calibri" w:eastAsia="Calibri" w:hAnsi="Calibri"/>
          <w:b/>
          <w:bCs/>
          <w:caps/>
          <w:color w:val="9A7A38"/>
          <w:spacing w:val="60"/>
          <w:sz w:val="15"/>
          <w:szCs w:val="15"/>
        </w:rPr>
        <w:t xml:space="preserve">Two — The extent of the curriculum</w:t>
      </w:r>
    </w:p>
    <w:p>
      <w:pPr>
        <w:spacing w:after="150" w:before="0" w:line="300"/>
      </w:pPr>
      <w:r>
        <w:rPr>
          <w:rFonts w:ascii="Cambria" w:cs="Cambria" w:eastAsia="Cambria" w:hAnsi="Cambria"/>
          <w:color w:val="1A1A1A"/>
          <w:sz w:val="21"/>
          <w:szCs w:val="21"/>
        </w:rPr>
        <w:t xml:space="preserve">The College's public materials state 120 learning units per level, which would be 720 across the qualification. The academic database holds 294 authored learning items, approximately 49 per level. Both figures are counted, not estimated.</w:t>
      </w:r>
    </w:p>
    <w:p>
      <w:pPr>
        <w:spacing w:after="150" w:before="0" w:line="300"/>
      </w:pPr>
      <w:r>
        <w:rPr>
          <w:rFonts w:ascii="Cambria" w:cs="Cambria" w:eastAsia="Cambria" w:hAnsi="Cambria"/>
          <w:color w:val="1A1A1A"/>
          <w:sz w:val="21"/>
          <w:szCs w:val="21"/>
        </w:rPr>
        <w:t xml:space="preserve">What is complete is the module structure: 60 modules, ten at every one of the six levels, each with an assessed assignment and an assessed quiz. What is in progress is lesson-level depth within those modules. This edition presents the module architecture in full and describes lesson-level content as it stands. It does not repeat the 720 figure, which the College cannot presently evidence.</w:t>
      </w:r>
    </w:p>
    <w:p>
      <w:pPr>
        <w:spacing w:after="70" w:before="260" w:line="300"/>
      </w:pPr>
      <w:r>
        <w:rPr>
          <w:rFonts w:ascii="Calibri" w:cs="Calibri" w:eastAsia="Calibri" w:hAnsi="Calibri"/>
          <w:b/>
          <w:bCs/>
          <w:caps/>
          <w:color w:val="9A7A38"/>
          <w:spacing w:val="60"/>
          <w:sz w:val="15"/>
          <w:szCs w:val="15"/>
        </w:rPr>
        <w:t xml:space="preserve">Three — What the qualification claims about itself</w:t>
      </w:r>
    </w:p>
    <w:p>
      <w:pPr>
        <w:spacing w:after="150" w:before="0" w:line="300"/>
      </w:pPr>
      <w:r>
        <w:rPr>
          <w:rFonts w:ascii="Cambria" w:cs="Cambria" w:eastAsia="Cambria" w:hAnsi="Cambria"/>
          <w:color w:val="1A1A1A"/>
          <w:sz w:val="21"/>
          <w:szCs w:val="21"/>
        </w:rPr>
        <w:t xml:space="preserve">The College's definition of the IEFC asserts seven things. Six are evidenced by the platform today and one is not. Rather than soften the definition or bury the gap, both are printed together in the chapter that follows, with the evidence for each element and the shortfall where there is one.</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On generated editions</w:t>
            </w:r>
          </w:p>
          <w:p>
            <w:pPr>
              <w:spacing w:after="0" w:before="0" w:line="290"/>
            </w:pPr>
            <w:r>
              <w:rPr>
                <w:rFonts w:ascii="Cambria" w:cs="Cambria" w:eastAsia="Cambria" w:hAnsi="Cambria"/>
                <w:b w:val="false"/>
                <w:bCs w:val="false"/>
                <w:caps w:val="false"/>
                <w:color w:val="1A1A1A"/>
                <w:sz w:val="20"/>
                <w:szCs w:val="20"/>
              </w:rPr>
              <w:t xml:space="preserve">Because this edition is generated from the academic database, it is a snapshot. Every count in it was true at the moment of generation and will change as the curriculum grows. A reader comparing this edition against the College's live systems should expect the systems to be ahead of the page, never behind it.</w:t>
            </w:r>
          </w:p>
        </w:tc>
      </w:tr>
    </w:tbl>
    <w:p>
      <w:pPr>
        <w:spacing w:after="220" w:before="0" w:line="300"/>
      </w:pPr>
      <w:r>
        <w:rPr>
          <w:rFonts w:ascii="Cambria" w:cs="Cambria" w:eastAsia="Cambria" w:hAnsi="Cambria"/>
          <w:color w:val="1A1A1A"/>
          <w:sz w:val="21"/>
          <w:szCs w:val="21"/>
        </w:rPr>
        <w:t xml:space="preserve"/>
      </w:r>
    </w:p>
    <w:p>
      <w:pPr>
        <w:sectPr>
          <w:pgSz w:w="11908" w:h="16833" w:orient="portrait"/>
          <w:pgMar w:top="1584" w:right="1440" w:bottom="1440" w:left="1656" w:header="708" w:footer="708" w:gutter="0"/>
          <w:pgNumType/>
          <w:docGrid w:linePitch="360"/>
        </w:sectPr>
      </w:pPr>
    </w:p>
    <w:p>
      <w:pPr>
        <w:pStyle w:val="Heading1"/>
        <w:pageBreakBefore/>
        <w:spacing w:after="120" w:before="0"/>
      </w:pPr>
      <w:r>
        <w:rPr>
          <w:rFonts w:ascii="Cambria" w:cs="Cambria" w:eastAsia="Cambria" w:hAnsi="Cambria"/>
          <w:b/>
          <w:bCs/>
          <w:color w:val="14264A"/>
          <w:sz w:val="32"/>
          <w:szCs w:val="32"/>
        </w:rPr>
        <w:t xml:space="preserve">About Worldwide English College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Worldwide English College — London Campus, is an online institution teaching English as an international language. It confers its own awards, maintains its own Graduate Register, and publishes the architecture of its qualification so that the awards can be read and checked by people who have never met the College.</w:t>
      </w:r>
    </w:p>
    <w:p>
      <w:pPr>
        <w:spacing w:after="150" w:before="0" w:line="300"/>
      </w:pPr>
      <w:r>
        <w:rPr>
          <w:rFonts w:ascii="Cambria" w:cs="Cambria" w:eastAsia="Cambria" w:hAnsi="Cambria"/>
          <w:color w:val="1A1A1A"/>
          <w:sz w:val="21"/>
          <w:szCs w:val="21"/>
        </w:rPr>
        <w:t xml:space="preserve">The College is not accredited by any external body, and makes no claim to be. Its academic architecture is built so that accreditation could be sought on the evidence the platform already produces — a hash-chained register, signed credentials, published assessment policy, and an evidence centre that records what is missing as carefully as what exists.</w:t>
      </w:r>
    </w:p>
    <w:p>
      <w:pPr>
        <w:pStyle w:val="Heading2"/>
        <w:spacing w:after="150" w:before="380"/>
      </w:pPr>
      <w:r>
        <w:rPr>
          <w:rFonts w:ascii="Cambria" w:cs="Cambria" w:eastAsia="Cambria" w:hAnsi="Cambria"/>
          <w:b/>
          <w:bCs/>
          <w:color w:val="14264A"/>
          <w:sz w:val="26"/>
          <w:szCs w:val="26"/>
        </w:rPr>
        <w:t xml:space="preserve">Governance</w:t>
      </w:r>
    </w:p>
    <w:p>
      <w:pPr>
        <w:spacing w:after="150" w:before="0" w:line="300"/>
      </w:pPr>
      <w:r>
        <w:rPr>
          <w:rFonts w:ascii="Cambria" w:cs="Cambria" w:eastAsia="Cambria" w:hAnsi="Cambria"/>
          <w:color w:val="1A1A1A"/>
          <w:sz w:val="21"/>
          <w:szCs w:val="21"/>
        </w:rPr>
        <w:t xml:space="preserve">Academic authority rests with two bodies, both established by the Executive and recorded in the College's governance ledger.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4950"/>
        <w:gridCol w:w="189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Body</w:t>
            </w:r>
          </w:p>
        </w:tc>
        <w:tc>
          <w:tcPr>
            <w:tcW w:type="dxa" w:w="49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Remit</w:t>
            </w:r>
          </w:p>
        </w:tc>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Status</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Board of Academic Standards and Curriculum Excellence (BASCE)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Defines institutional competencies; maps every assessment to one or more competencies; ensures each competency is assessed multiple times across each level; approves competency …</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not yet constituted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Academic Senate (SENATE)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Approves the mapping between assessments and the four language skills, and the descriptor thresholds that turn assessed evidence into a skill descriptor.</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 members appointed</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Established is not constituted</w:t>
            </w:r>
          </w:p>
          <w:p>
            <w:pPr>
              <w:spacing w:after="0" w:before="0" w:line="290"/>
            </w:pPr>
            <w:r>
              <w:rPr>
                <w:rFonts w:ascii="Cambria" w:cs="Cambria" w:eastAsia="Cambria" w:hAnsi="Cambria"/>
                <w:b w:val="false"/>
                <w:bCs w:val="false"/>
                <w:caps w:val="false"/>
                <w:color w:val="1A1A1A"/>
                <w:sz w:val="20"/>
                <w:szCs w:val="20"/>
              </w:rPr>
              <w:t xml:space="preserve">Both bodies exist as offices with defined remits. Neither has appointed members. Until they do, the academic judgements reserved to them — principally the mapping of assessments to the competency framework — cannot be made, and the platform reports them as outstanding rather than as complete.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About the IEFC</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The definition, as adopted</w:t>
      </w:r>
    </w:p>
    <w:p>
      <w:pPr>
        <w:spacing w:after="200" w:before="0" w:line="340"/>
      </w:pPr>
      <w:r>
        <w:rPr>
          <w:rFonts w:ascii="Cambria" w:cs="Cambria" w:eastAsia="Cambria" w:hAnsi="Cambria"/>
          <w:i/>
          <w:iCs/>
          <w:color w:val="14264A"/>
          <w:sz w:val="21"/>
          <w:szCs w:val="21"/>
        </w:rPr>
        <w:t xml:space="preserve">IEFC is an advanced academic qualification built on CEFR proficiency, extending it through competency verification, leadership, professional communication, critical thinking, authentic assessment, and independently verifiable digital credentials.</w:t>
      </w:r>
    </w:p>
    <w:p>
      <w:pPr>
        <w:spacing w:after="150" w:before="0" w:line="300"/>
      </w:pPr>
      <w:r>
        <w:rPr>
          <w:rFonts w:ascii="Calibri" w:cs="Calibri" w:eastAsia="Calibri" w:hAnsi="Calibri"/>
          <w:color w:val="4B5768"/>
          <w:sz w:val="16"/>
          <w:szCs w:val="16"/>
        </w:rPr>
        <w:t xml:space="preserve">Adopted 2026-08-04 by the Executive.</w:t>
      </w:r>
    </w:p>
    <w:p>
      <w:pPr>
        <w:pStyle w:val="Heading2"/>
        <w:spacing w:after="150" w:before="380"/>
      </w:pPr>
      <w:r>
        <w:rPr>
          <w:rFonts w:ascii="Cambria" w:cs="Cambria" w:eastAsia="Cambria" w:hAnsi="Cambria"/>
          <w:b/>
          <w:bCs/>
          <w:color w:val="14264A"/>
          <w:sz w:val="26"/>
          <w:szCs w:val="26"/>
        </w:rPr>
        <w:t xml:space="preserve">What supports each element</w:t>
      </w:r>
    </w:p>
    <w:p>
      <w:pPr>
        <w:spacing w:after="150" w:before="0" w:line="300"/>
      </w:pPr>
      <w:r>
        <w:rPr>
          <w:rFonts w:ascii="Cambria" w:cs="Cambria" w:eastAsia="Cambria" w:hAnsi="Cambria"/>
          <w:color w:val="1A1A1A"/>
          <w:sz w:val="21"/>
          <w:szCs w:val="21"/>
        </w:rPr>
        <w:t xml:space="preserve">A definition cannot be verified as a sentence. The College therefore decomposes its own definition into the seven things it asserts, and records the evidence for each. The states below are derived from the academic database, not asserted.</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6480"/>
        <w:gridCol w:w="2520"/>
      </w:tblGrid>
      <w:tr>
        <w:trPr>
          <w:tblHeader/>
        </w:trPr>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Element</w:t>
            </w:r>
          </w:p>
        </w:tc>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Position</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Built on CEFR proficiency</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competency verification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leadership</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professional communication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critical thinking</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authentic assessment</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Independently verifiable digital credentials</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bl>
    <w:p>
      <w:pPr>
        <w:spacing w:after="20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Built on CEFR proficiency</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 programme levels mapped A1 to C2 in programme_levels, each with an award definition carrying the same CEFR band (award_definitions). Sixty modules authored across the six levels.</w:t>
      </w:r>
    </w:p>
    <w:p>
      <w:pPr>
        <w:pStyle w:val="Heading3"/>
        <w:spacing w:after="80" w:before="320"/>
      </w:pPr>
      <w:r>
        <w:rPr>
          <w:rFonts w:ascii="Cambria" w:cs="Cambria" w:eastAsia="Cambria" w:hAnsi="Cambria"/>
          <w:b/>
          <w:bCs/>
          <w:color w:val="14264A"/>
          <w:sz w:val="22"/>
          <w:szCs w:val="22"/>
        </w:rPr>
        <w:t xml:space="preserve">Extended through competency verification</w:t>
      </w:r>
    </w:p>
    <w:p>
      <w:pPr>
        <w:spacing w:after="100" w:before="0" w:line="300"/>
      </w:pPr>
      <w:r>
        <w:rPr>
          <w:rFonts w:ascii="Calibri" w:cs="Calibri" w:eastAsia="Calibri" w:hAnsi="Calibri"/>
          <w:b/>
          <w:bCs/>
          <w:caps/>
          <w:color w:val="8C1F2F"/>
          <w:spacing w:val="60"/>
          <w:sz w:val="15"/>
          <w:szCs w:val="15"/>
        </w:rPr>
        <w:t xml:space="preserve">Not evidenced</w:t>
      </w:r>
    </w:p>
    <w:p>
      <w:pPr>
        <w:spacing w:after="150" w:before="0" w:line="300"/>
      </w:pPr>
      <w:r>
        <w:rPr>
          <w:rFonts w:ascii="Cambria" w:cs="Cambria" w:eastAsia="Cambria" w:hAnsi="Cambria"/>
          <w:color w:val="1A1A1A"/>
          <w:sz w:val="21"/>
          <w:szCs w:val="21"/>
        </w:rPr>
        <w:t xml:space="preserve">The framework exists: six competencies defined in `competencies`, a mapping table (assessment_competencies) and a marking table (competency_marks) with per-submission marks from named markers. The Board of Academic Standards and Curriculum Excellence (BASCE) is established as its authority.</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ZERO of the sixty assessments are mapped to any competency, so no competency has been verified for any graduate. This is the element that distinguishes an advanced academic qualification from a well-built CEFR course, and it is the reason BASCE exists. BASCE is established but not yet constituted; until it is appointed and completes the mapping, the College cannot evidence this part of its own definition.</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leadership</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Leadership is taught: dedicated modules at Level V (Leadership and Persuasion, Professional Advocacy) and Level IV (Meetings and Negotiation), with presentation modules across levels. Leadership contribution outside assessment is recordable in academic_distinctions, approved by a named person.</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Taught and recordable, but not yet ASSESSED against a framework: leadership sits within the BEARING and REACH competencies, which share the mapping gap above. A distinction record is evidence that somebody led something; it is not a verified attainment.</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professional communication</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Professional communication is the spine of Levels IV to VI: The World of Work, Meetings and Negotiation, Professional Advocacy, Research and Presentation, and the academic writing sequence. Assessed by assignment against published rubrics.</w:t>
      </w:r>
    </w:p>
    <w:p>
      <w:pPr>
        <w:pStyle w:val="Heading3"/>
        <w:spacing w:after="80" w:before="320"/>
      </w:pPr>
      <w:r>
        <w:rPr>
          <w:rFonts w:ascii="Cambria" w:cs="Cambria" w:eastAsia="Cambria" w:hAnsi="Cambria"/>
          <w:b/>
          <w:bCs/>
          <w:color w:val="14264A"/>
          <w:sz w:val="22"/>
          <w:szCs w:val="22"/>
        </w:rPr>
        <w:t xml:space="preserve">Extended through critical thinking</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Taught and assessed from Level III upward: Opinions and Debate, Arguing a Position, Media Literacy and Critical Reading, and the critical-thinking element normalised across quizzes in the V1.0 consistency sweep.</w:t>
      </w:r>
    </w:p>
    <w:p>
      <w:pPr>
        <w:pStyle w:val="Heading3"/>
        <w:spacing w:after="80" w:before="320"/>
      </w:pPr>
      <w:r>
        <w:rPr>
          <w:rFonts w:ascii="Cambria" w:cs="Cambria" w:eastAsia="Cambria" w:hAnsi="Cambria"/>
          <w:b/>
          <w:bCs/>
          <w:color w:val="14264A"/>
          <w:sz w:val="22"/>
          <w:szCs w:val="22"/>
        </w:rPr>
        <w:t xml:space="preserve">Extended through authentic assessment</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Sixty assignments, one per module, each marked by a person against a published rubric normalised to the WEC rubric policy — not auto-scored. Spoken work is captured as learner recordings and reviewed in the instructor workspace.</w:t>
      </w:r>
    </w:p>
    <w:p>
      <w:pPr>
        <w:pStyle w:val="Heading3"/>
        <w:spacing w:after="80" w:before="320"/>
      </w:pPr>
      <w:r>
        <w:rPr>
          <w:rFonts w:ascii="Cambria" w:cs="Cambria" w:eastAsia="Cambria" w:hAnsi="Cambria"/>
          <w:b/>
          <w:bCs/>
          <w:color w:val="14264A"/>
          <w:sz w:val="22"/>
          <w:szCs w:val="22"/>
        </w:rPr>
        <w:t xml:space="preserve">Independently verifiable digital credentials</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A hash-chained Graduate Register; ES256 credential signing with published JWKS; QR codes verified against an independent decoder; issued documents frozen at issue; and a public verification portal answering across identity, integrity and standing without requiring the verifier to hold an account or the issuer to participate.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The signing key is held in development key management, not a production HSM or KMS. Under Executive decision P2.1 the signing layer therefore claims no production-grade assurance, and every verification says so on its face. The Graduate Register remains the authoritative record until a production KMS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Qualification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The IEFC is a six-level ascent, mapped to the Common European Framework of Reference from A1 to C2. Each level confers its own award, and each award is complete in itself: a learner who stops at Level III has not failed to become something. They are an English Associate of Worldwide English College, permanently, and the College says so in those words.</w:t>
      </w:r>
    </w:p>
    <w:p>
      <w:pPr>
        <w:spacing w:after="150" w:before="0" w:line="300"/>
      </w:pPr>
      <w:r>
        <w:rPr>
          <w:rFonts w:ascii="Cambria" w:cs="Cambria" w:eastAsia="Cambria" w:hAnsi="Cambria"/>
          <w:color w:val="1A1A1A"/>
          <w:sz w:val="21"/>
          <w:szCs w:val="21"/>
        </w:rPr>
        <w:t xml:space="preserve">That is the load-bearing decision of the architecture. An award that only means something as a step toward the next is not an award; it is a receipt.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430"/>
        <w:gridCol w:w="810"/>
        <w:gridCol w:w="4230"/>
        <w:gridCol w:w="1530"/>
      </w:tblGrid>
      <w:tr>
        <w:trPr>
          <w:tblHeader/>
        </w:trPr>
        <w:tc>
          <w:tcPr>
            <w:tcW w:type="dxa" w:w="24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Level</w:t>
            </w:r>
          </w:p>
        </w:tc>
        <w:tc>
          <w:tcPr>
            <w:tcW w:type="dxa" w:w="8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CEFR</w:t>
            </w:r>
          </w:p>
        </w:tc>
        <w:tc>
          <w:tcPr>
            <w:tcW w:type="dxa" w:w="42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15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Post-nominal</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 — Foundation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Essential Certificate in English Communication</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ECIC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 — Elementary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Higher Certificate in English Communication</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HCIC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III —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Certificate in Applied English Communication</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CAEC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IV — Upper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Higher Certificate in Applied English Communication</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HCAEC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 — Advanced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Advanced Certificate in English Communication</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ACEC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VI — English Mastery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Worldwide English Proficiency Certificate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WEPC</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The standing each award confers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620"/>
        <w:gridCol w:w="7380"/>
      </w:tblGrid>
      <w:tr>
        <w:trPr>
          <w:tblHeader/>
        </w:trPr>
        <w:tc>
          <w:tcPr>
            <w:tcW w:type="dxa" w:w="16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73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Standing conferred</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ECIC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 complete qualification in essential English communication</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HCIC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 complete qualification in independent everyday English communication</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CAEC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 complete qualification in applied English for work and study</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HCAEC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 complete qualification in professional and academic English</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ACEC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 complete qualification in advanced English across academic and professional contexts</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WEPC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highest qualification: comprehensive proficiency in English</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Competency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competencies describe what a communicator can do, independently of the language level at which they do it. They are the College's own contribution and are not derived from CEFR, which describes proficiency rather than conduct.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Competency</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means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Clarity</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Understood the first time, by the audience actually present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Command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Controls the language rather than being carried by it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Judgement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Chooses register, channel and moment; knows what not to say</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Reason</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Constructs an argument, tests it, concedes what should be conceded</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Bearing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Holds a room, a call, a difficult conversation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Reach</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Communicates across cultures, and across the distance between expert and layperson</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C1F2F" w:sz="18"/>
          <w:bottom w:val="none" w:color="FFFFFF" w:sz="0"/>
          <w:right w:val="none" w:color="FFFFFF" w:sz="0"/>
          <w:insideH w:val="none" w:color="FFFFFF" w:sz="0"/>
          <w:insideV w:val="none" w:color="FFFFFF" w:sz="0"/>
        </w:tblBorders>
      </w:tblPr>
      <w:tblGrid>
        <w:gridCol w:w="9000"/>
      </w:tblGrid>
      <w:tr>
        <w:tc>
          <w:tcPr>
            <w:tcW w:type="dxa" w:w="9000"/>
            <w:shd w:fill="FBF0F1" w:val="clear"/>
            <w:tcMar>
              <w:top w:type="dxa" w:w="220"/>
              <w:left w:type="dxa" w:w="280"/>
              <w:bottom w:type="dxa" w:w="220"/>
              <w:right w:type="dxa" w:w="260"/>
            </w:tcMar>
          </w:tcPr>
          <w:p>
            <w:pPr>
              <w:spacing w:after="130" w:before="0" w:line="290"/>
            </w:pPr>
            <w:r>
              <w:rPr>
                <w:rFonts w:ascii="Calibri" w:cs="Calibri" w:eastAsia="Calibri" w:hAnsi="Calibri"/>
                <w:b/>
                <w:bCs/>
                <w:caps/>
                <w:color w:val="8C1F2F"/>
                <w:spacing w:val="50"/>
                <w:sz w:val="19"/>
                <w:szCs w:val="19"/>
              </w:rPr>
              <w:t xml:space="preserve">The framework is defined and not yet applied</w:t>
            </w:r>
          </w:p>
          <w:p>
            <w:pPr>
              <w:spacing w:after="130" w:before="0" w:line="290"/>
            </w:pPr>
            <w:r>
              <w:rPr>
                <w:rFonts w:ascii="Cambria" w:cs="Cambria" w:eastAsia="Cambria" w:hAnsi="Cambria"/>
                <w:b w:val="false"/>
                <w:bCs w:val="false"/>
                <w:caps w:val="false"/>
                <w:color w:val="1A1A1A"/>
                <w:sz w:val="20"/>
                <w:szCs w:val="20"/>
              </w:rPr>
              <w:t xml:space="preserve">0 of the 120 assessments in the curriculum are mapped to any competency. No competency has therefore been verified for any graduate, and no competency attainment appears on any record.</w:t>
            </w:r>
          </w:p>
          <w:p>
            <w:pPr>
              <w:spacing w:after="0" w:before="0" w:line="290"/>
            </w:pPr>
            <w:r>
              <w:rPr>
                <w:rFonts w:ascii="Cambria" w:cs="Cambria" w:eastAsia="Cambria" w:hAnsi="Cambria"/>
                <w:b w:val="false"/>
                <w:bCs w:val="false"/>
                <w:caps w:val="false"/>
                <w:color w:val="1A1A1A"/>
                <w:sz w:val="20"/>
                <w:szCs w:val="20"/>
              </w:rPr>
              <w:t xml:space="preserve">This is the element of the College's own definition that it cannot currently evidence, and it is the founding task of the Board of Academic Standards and Curriculum Excellence. Mapping an assessment to a competency is an academic judgement; the platform records such judgements for review and approval and does not make them.</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Language Skill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CEFR is defined skill by skill: a reader at B2 may be a speaker at B1. A qualification reporting a single level without saying which skills stood where would hide the most useful thing it knows.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350"/>
        <w:gridCol w:w="1350"/>
        <w:gridCol w:w="6300"/>
      </w:tblGrid>
      <w:tr>
        <w:trPr>
          <w:tblHeader/>
        </w:trPr>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Skill</w:t>
            </w:r>
          </w:p>
        </w:tc>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Mode</w:t>
            </w:r>
          </w:p>
        </w:tc>
        <w:tc>
          <w:tcPr>
            <w:tcW w:type="dxa" w:w="63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certifies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Listening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Understands speech at natural pace, including unfamiliar accents and imperfect conditions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Reads for argument and detail, not only for gist, across registers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Speaks with control of grammar, pronunciation and register, in real time</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Writes to a purpose and an audience, and revises</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Attainment descriptors</w:t>
      </w:r>
    </w:p>
    <w:p>
      <w:pPr>
        <w:spacing w:after="150" w:before="0" w:line="300"/>
      </w:pPr>
      <w:r>
        <w:rPr>
          <w:rFonts w:ascii="Cambria" w:cs="Cambria" w:eastAsia="Cambria" w:hAnsi="Cambria"/>
          <w:color w:val="1A1A1A"/>
          <w:sz w:val="21"/>
          <w:szCs w:val="21"/>
        </w:rPr>
        <w:t xml:space="preserve">Attainment is reported as one of five ordered descriptors, never as a percentage. "Writing: 82%" claims a precision that no rubric supports and invites comparisons between graduates that the marks cannot bear.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Descriptor</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Emerging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Beginning to operate in the skill, with support and in familiar conditions.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Developing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independently in familiar conditions; still effortful in unfamiliar ones.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Proficient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reliably across the range the level describes.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Advanced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with control and range beyond what the level requires.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at a standard that would be recognised well outside the College.</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descriptors are decided; the thresholds are not</w:t>
            </w:r>
          </w:p>
          <w:p>
            <w:pPr>
              <w:spacing w:after="0" w:before="0" w:line="290"/>
            </w:pPr>
            <w:r>
              <w:rPr>
                <w:rFonts w:ascii="Cambria" w:cs="Cambria" w:eastAsia="Cambria" w:hAnsi="Cambria"/>
                <w:b w:val="false"/>
                <w:bCs w:val="false"/>
                <w:caps w:val="false"/>
                <w:color w:val="1A1A1A"/>
                <w:sz w:val="20"/>
                <w:szCs w:val="20"/>
              </w:rPr>
              <w:t xml:space="preserve">The Executive has named the five bands. Nobody has yet determined what evidence earns a graduate Proficient rather than Developing — a harder academic question than naming the bands, and one reserved to the Academic Senate. Until both the assessment mapping and the thresholds are approved, no skill descriptor is reported for any graduate.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Assessment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Assessment in the IEFC is authentic: learners are asked to do the thing, and a person judges how well they did it against a published rubric.</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340"/>
        <w:gridCol w:w="990"/>
        <w:gridCol w:w="5670"/>
      </w:tblGrid>
      <w:tr>
        <w:trPr>
          <w:tblHeader/>
        </w:trPr>
        <w:tc>
          <w:tcPr>
            <w:tcW w:type="dxa" w:w="23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Instrument</w:t>
            </w:r>
          </w:p>
        </w:tc>
        <w:tc>
          <w:tcPr>
            <w:tcW w:type="dxa" w:w="9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Count</w:t>
            </w:r>
          </w:p>
        </w:tc>
        <w:tc>
          <w:tcPr>
            <w:tcW w:type="dxa" w:w="567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How it is judged</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Marked by a person against a published rubric normalised to the College rubric policy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Scored server-side at submission</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Quiz questions authored</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per module and reviewed for consistency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174</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Formative; not separately assessed</w:t>
            </w:r>
          </w:p>
        </w:tc>
      </w:tr>
    </w:tbl>
    <w:p>
      <w:pPr>
        <w:spacing w:after="200" w:before="0" w:line="300"/>
      </w:pPr>
      <w:r>
        <w:rPr>
          <w:rFonts w:ascii="Cambria" w:cs="Cambria" w:eastAsia="Cambria" w:hAnsi="Cambria"/>
          <w:color w:val="1A1A1A"/>
          <w:sz w:val="21"/>
          <w:szCs w:val="21"/>
        </w:rPr>
        <w:t xml:space="preserve"/>
      </w:r>
    </w:p>
    <w:p>
      <w:pPr>
        <w:pStyle w:val="ListParagraph"/>
        <w:numPr>
          <w:ilvl w:val="0"/>
          <w:numId w:val="2"/>
        </w:numPr>
        <w:spacing w:after="100" w:line="290"/>
      </w:pPr>
      <w:r>
        <w:rPr>
          <w:rFonts w:ascii="Cambria" w:cs="Cambria" w:eastAsia="Cambria" w:hAnsi="Cambria"/>
          <w:sz w:val="21"/>
          <w:szCs w:val="21"/>
        </w:rPr>
        <w:t xml:space="preserve">Every module carries exactly one assessed assignment and one assessed quiz, at every level.</w:t>
      </w:r>
    </w:p>
    <w:p>
      <w:pPr>
        <w:pStyle w:val="ListParagraph"/>
        <w:numPr>
          <w:ilvl w:val="0"/>
          <w:numId w:val="2"/>
        </w:numPr>
        <w:spacing w:after="100" w:line="290"/>
      </w:pPr>
      <w:r>
        <w:rPr>
          <w:rFonts w:ascii="Cambria" w:cs="Cambria" w:eastAsia="Cambria" w:hAnsi="Cambria"/>
          <w:sz w:val="21"/>
          <w:szCs w:val="21"/>
        </w:rPr>
        <w:t xml:space="preserve">Assignment marks are recorded on a 0 to 1 scale by a named marker, with written feedback, and are never auto-generated.</w:t>
      </w:r>
    </w:p>
    <w:p>
      <w:pPr>
        <w:pStyle w:val="ListParagraph"/>
        <w:numPr>
          <w:ilvl w:val="0"/>
          <w:numId w:val="2"/>
        </w:numPr>
        <w:spacing w:after="100" w:line="290"/>
      </w:pPr>
      <w:r>
        <w:rPr>
          <w:rFonts w:ascii="Cambria" w:cs="Cambria" w:eastAsia="Cambria" w:hAnsi="Cambria"/>
          <w:sz w:val="21"/>
          <w:szCs w:val="21"/>
        </w:rPr>
        <w:t xml:space="preserve">Spoken work is captured as learner recordings and reviewed in the instructor workspace, so speaking is assessed on evidence rather than on impression.</w:t>
      </w:r>
    </w:p>
    <w:p>
      <w:pPr>
        <w:pStyle w:val="ListParagraph"/>
        <w:numPr>
          <w:ilvl w:val="0"/>
          <w:numId w:val="2"/>
        </w:numPr>
        <w:spacing w:after="100" w:line="290"/>
      </w:pPr>
      <w:r>
        <w:rPr>
          <w:rFonts w:ascii="Cambria" w:cs="Cambria" w:eastAsia="Cambria" w:hAnsi="Cambria"/>
          <w:sz w:val="21"/>
          <w:szCs w:val="21"/>
        </w:rPr>
        <w:t xml:space="preserve">A moderated mark and a first-marker mark are recorded distinctly, so an assessment board can tell them apart.</w:t>
      </w:r>
    </w:p>
    <w:p>
      <w:pPr>
        <w:pStyle w:val="Heading1"/>
        <w:pageBreakBefore/>
        <w:spacing w:after="120" w:before="0"/>
      </w:pPr>
      <w:r>
        <w:rPr>
          <w:rFonts w:ascii="Cambria" w:cs="Cambria" w:eastAsia="Cambria" w:hAnsi="Cambria"/>
          <w:b/>
          <w:bCs/>
          <w:color w:val="14264A"/>
          <w:sz w:val="32"/>
          <w:szCs w:val="32"/>
        </w:rPr>
        <w:t xml:space="preserve">Credentials and Verification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An award is worth what it can be checked against. The College therefore publishes a verification service that answers a stranger — an employer, a registrar — without requiring them to hold an account, and without requiring the College to participate in the check.</w:t>
      </w:r>
    </w:p>
    <w:p>
      <w:pPr>
        <w:pStyle w:val="Heading2"/>
        <w:spacing w:after="150" w:before="380"/>
      </w:pPr>
      <w:r>
        <w:rPr>
          <w:rFonts w:ascii="Cambria" w:cs="Cambria" w:eastAsia="Cambria" w:hAnsi="Cambria"/>
          <w:b/>
          <w:bCs/>
          <w:color w:val="14264A"/>
          <w:sz w:val="26"/>
          <w:szCs w:val="26"/>
        </w:rPr>
        <w:t xml:space="preserve">The Principle of Institutional Verification</w:t>
      </w:r>
    </w:p>
    <w:p>
      <w:pPr>
        <w:spacing w:after="150" w:before="0" w:line="300"/>
      </w:pPr>
      <w:r>
        <w:rPr>
          <w:rFonts w:ascii="Cambria" w:cs="Cambria" w:eastAsia="Cambria" w:hAnsi="Cambria"/>
          <w:color w:val="1A1A1A"/>
          <w:sz w:val="21"/>
          <w:szCs w:val="21"/>
        </w:rPr>
        <w:t xml:space="preserve">Every verification answers across three independent layers, and the answers are never averaged into one verdict.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520"/>
        <w:gridCol w:w="6480"/>
      </w:tblGrid>
      <w:tr>
        <w:trPr>
          <w:tblHeader/>
        </w:trPr>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Layer</w:t>
            </w:r>
          </w:p>
        </w:tc>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The question it answers</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Identity authenticity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Is this the person the College awarded?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Credential integrity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Has this credential been altered?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Institutional standing</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What is the status of this award today?</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They are separated because they genuinely disagree. A withdrawn award reports identity verified, integrity verified and standing failed, simultaneously. A single verdict cannot express that, and every way of collapsing it misleads somebody: "invalid" tells an employer a genuine certificate is a forgery, which is a serious accusation about a real person; "valid" admits a candidate on a qualification the College has withdrawn.</w:t>
      </w:r>
    </w:p>
    <w:p>
      <w:pPr>
        <w:pStyle w:val="Heading2"/>
        <w:spacing w:after="150" w:before="380"/>
      </w:pPr>
      <w:r>
        <w:rPr>
          <w:rFonts w:ascii="Cambria" w:cs="Cambria" w:eastAsia="Cambria" w:hAnsi="Cambria"/>
          <w:b/>
          <w:bCs/>
          <w:color w:val="14264A"/>
          <w:sz w:val="26"/>
          <w:szCs w:val="26"/>
        </w:rPr>
        <w:t xml:space="preserve">What the College operates today</w:t>
      </w:r>
    </w:p>
    <w:p>
      <w:pPr>
        <w:pStyle w:val="ListParagraph"/>
        <w:numPr>
          <w:ilvl w:val="0"/>
          <w:numId w:val="2"/>
        </w:numPr>
        <w:spacing w:after="100" w:line="290"/>
      </w:pPr>
      <w:r>
        <w:rPr>
          <w:rFonts w:ascii="Cambria" w:cs="Cambria" w:eastAsia="Cambria" w:hAnsi="Cambria"/>
          <w:sz w:val="21"/>
          <w:szCs w:val="21"/>
        </w:rPr>
        <w:t xml:space="preserve">A Graduate Register in which every award is hash-chained to its predecessor, so an altered record breaks the chain and says so.</w:t>
      </w:r>
    </w:p>
    <w:p>
      <w:pPr>
        <w:pStyle w:val="ListParagraph"/>
        <w:numPr>
          <w:ilvl w:val="0"/>
          <w:numId w:val="2"/>
        </w:numPr>
        <w:spacing w:after="100" w:line="290"/>
      </w:pPr>
      <w:r>
        <w:rPr>
          <w:rFonts w:ascii="Cambria" w:cs="Cambria" w:eastAsia="Cambria" w:hAnsi="Cambria"/>
          <w:sz w:val="21"/>
          <w:szCs w:val="21"/>
        </w:rPr>
        <w:t xml:space="preserve">ES256 credential signing, with the public keys published so that verification does not require the College's cooperation.</w:t>
      </w:r>
    </w:p>
    <w:p>
      <w:pPr>
        <w:pStyle w:val="ListParagraph"/>
        <w:numPr>
          <w:ilvl w:val="0"/>
          <w:numId w:val="2"/>
        </w:numPr>
        <w:spacing w:after="100" w:line="290"/>
      </w:pPr>
      <w:r>
        <w:rPr>
          <w:rFonts w:ascii="Cambria" w:cs="Cambria" w:eastAsia="Cambria" w:hAnsi="Cambria"/>
          <w:sz w:val="21"/>
          <w:szCs w:val="21"/>
        </w:rPr>
        <w:t xml:space="preserve">QR codes on credentials, verified against an independently written decoder across every version and error-correction level.</w:t>
      </w:r>
    </w:p>
    <w:p>
      <w:pPr>
        <w:pStyle w:val="ListParagraph"/>
        <w:numPr>
          <w:ilvl w:val="0"/>
          <w:numId w:val="2"/>
        </w:numPr>
        <w:spacing w:after="100" w:line="290"/>
      </w:pPr>
      <w:r>
        <w:rPr>
          <w:rFonts w:ascii="Cambria" w:cs="Cambria" w:eastAsia="Cambria" w:hAnsi="Cambria"/>
          <w:sz w:val="21"/>
          <w:szCs w:val="21"/>
        </w:rPr>
        <w:t xml:space="preserve">Issued transcripts and diploma supplements frozen at the moment of issue, so a document keeps saying what it said on the day it was issued.</w:t>
      </w:r>
    </w:p>
    <w:p>
      <w:pPr>
        <w:pStyle w:val="ListParagraph"/>
        <w:numPr>
          <w:ilvl w:val="0"/>
          <w:numId w:val="2"/>
        </w:numPr>
        <w:spacing w:after="100" w:line="290"/>
      </w:pPr>
      <w:r>
        <w:rPr>
          <w:rFonts w:ascii="Cambria" w:cs="Cambria" w:eastAsia="Cambria" w:hAnsi="Cambria"/>
          <w:sz w:val="21"/>
          <w:szCs w:val="21"/>
        </w:rPr>
        <w:t xml:space="preserve">A public verification portal, and a separate key-authenticated service for institutions verifying in volume.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signing layer is in development mode</w:t>
            </w:r>
          </w:p>
          <w:p>
            <w:pPr>
              <w:spacing w:after="0" w:before="0" w:line="290"/>
            </w:pPr>
            <w:r>
              <w:rPr>
                <w:rFonts w:ascii="Cambria" w:cs="Cambria" w:eastAsia="Cambria" w:hAnsi="Cambria"/>
                <w:b w:val="false"/>
                <w:bCs w:val="false"/>
                <w:caps w:val="false"/>
                <w:color w:val="1A1A1A"/>
                <w:sz w:val="20"/>
                <w:szCs w:val="20"/>
              </w:rPr>
              <w:t xml:space="preserve">The College's signing key is held in development key management rather than a production hardware security module. Under the Executive decision governing credential trust, the signing layer therefore claims no production-grade assurance, and every verification says so on its face. The Graduate Register — not the signature — remains the authoritative record until a production key management service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Curriculum</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levels, 60 modules, 294 authored learning items. The module architecture is complete: ten modules at every level, each with an assessed assignment and an assessed quiz. Lesson-level depth within those modules is in progress, and the per-level tables state what each level currently holds.</w:t>
      </w:r>
    </w:p>
    <w:p>
      <w:pPr>
        <w:pStyle w:val="Heading1"/>
        <w:pageBreakBefore/>
        <w:spacing w:after="120" w:before="0"/>
      </w:pPr>
      <w:r>
        <w:rPr>
          <w:rFonts w:ascii="Cambria" w:cs="Cambria" w:eastAsia="Cambria" w:hAnsi="Cambria"/>
          <w:b/>
          <w:bCs/>
          <w:color w:val="14264A"/>
          <w:sz w:val="32"/>
          <w:szCs w:val="32"/>
        </w:rPr>
        <w:t xml:space="preserve">Level I — Foundation Programme</w:t>
      </w:r>
    </w:p>
    <w:p>
      <w:pPr>
        <w:spacing w:after="150" w:before="0" w:line="300"/>
      </w:pPr>
      <w:r>
        <w:rPr>
          <w:rFonts w:ascii="Calibri" w:cs="Calibri" w:eastAsia="Calibri" w:hAnsi="Calibri"/>
          <w:b/>
          <w:bCs/>
          <w:color w:val="14264A"/>
          <w:sz w:val="21"/>
          <w:szCs w:val="21"/>
        </w:rPr>
        <w:t xml:space="preserve">Essential Certificate in English Communication  ·  ECIC  ·  CEFR A1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 the learner can: introduce themselves and others; ask/answer simple personal questions; describe their home, family, and daily routine in simple sentences; make simple purchases and requests; tell the time and discuss simple schedules; ask for and give basic directions; write a short personal message or form; understand short, simple spoken instructions given slowly and clearly.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Essential Certificate in English Communication (ECIC). A complete qualification in essential English communication.</w:t>
      </w:r>
    </w:p>
    <w:p>
      <w:pPr>
        <w:spacing w:after="150" w:before="0" w:line="300"/>
      </w:pPr>
      <w:r>
        <w:rPr>
          <w:rFonts w:ascii="Cambria" w:cs="Cambria" w:eastAsia="Cambria" w:hAnsi="Cambria"/>
          <w:color w:val="1A1A1A"/>
          <w:sz w:val="21"/>
          <w:szCs w:val="21"/>
        </w:rPr>
        <w:t xml:space="preserve">names what it certifies and nothing else. A learner who arrives with no English and leaves able to introduce themselves, shop, ask directions, and understand slow clear speech has acquired the essential layer of a language — the layer everything else is built on and the layer most adult learners never reach, because beginning a language in adulthood is where most people stop. The word Essential is doing two jobs: it is the floor of the framework, and it is the part without which none of the rest functions.</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Meeting People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Everyday Objects &amp; Places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Family &amp; Routines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Food &amp; Shopping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Around Town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Describing People &amp; Things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Past Experiences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Plans &amp; Abilities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Health &amp; Feelings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 — Elementary Programme</w:t>
      </w:r>
    </w:p>
    <w:p>
      <w:pPr>
        <w:spacing w:after="150" w:before="0" w:line="300"/>
      </w:pPr>
      <w:r>
        <w:rPr>
          <w:rFonts w:ascii="Calibri" w:cs="Calibri" w:eastAsia="Calibri" w:hAnsi="Calibri"/>
          <w:b/>
          <w:bCs/>
          <w:color w:val="14264A"/>
          <w:sz w:val="21"/>
          <w:szCs w:val="21"/>
        </w:rPr>
        <w:t xml:space="preserve">Higher Certificate in English Communication  ·  HCIC  ·  CEFR A2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 the learner can: describe past experiences and events in simple terms; express likes, dislikes, and simple opinions; make and respond to invitations, suggestions, and apologies; describe future plans and intentions; compare people, places, and things; give simple reasons and explanations; handle simple phone/service conversations; write short connected texts (a short email, a simple description, a short story).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Higher Certificate in English Communication (HCIC). A complete qualification in independent everyday English communication.</w:t>
      </w:r>
    </w:p>
    <w:p>
      <w:pPr>
        <w:spacing w:after="150" w:before="0" w:line="300"/>
      </w:pPr>
      <w:r>
        <w:rPr>
          <w:rFonts w:ascii="Cambria" w:cs="Cambria" w:eastAsia="Cambria" w:hAnsi="Cambria"/>
          <w:color w:val="1A1A1A"/>
          <w:sz w:val="21"/>
          <w:szCs w:val="21"/>
        </w:rPr>
        <w:t xml:space="preserve">marks the point at which a learner stops assembling phrases and starts using a language. The Development Stage is where survival English becomes independent English: describing what happened, saying what one thinks, making arrangements, handling the service conversation that goes wrong. Higher is used in its ordinary sense — the second certificate in a sequence of certificates — and the College notes plainly that in some national vocabularies a Higher Certificate sits above a Certificate. Here it does not; the order of this framework is the order of the stages, and every page that names a qualification names its stage beside it.</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Life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Travel &amp; Transport</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&amp; Study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Likes, Dislikes &amp; Opinions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Making Plans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Homes &amp; Neighbourhoods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Food, Health &amp; Habits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Shopping &amp; Services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Telling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III — Intermediate Programme</w:t>
      </w:r>
    </w:p>
    <w:p>
      <w:pPr>
        <w:spacing w:after="150" w:before="0" w:line="300"/>
      </w:pPr>
      <w:r>
        <w:rPr>
          <w:rFonts w:ascii="Calibri" w:cs="Calibri" w:eastAsia="Calibri" w:hAnsi="Calibri"/>
          <w:b/>
          <w:bCs/>
          <w:color w:val="14264A"/>
          <w:sz w:val="21"/>
          <w:szCs w:val="21"/>
        </w:rPr>
        <w:t xml:space="preserve">Certificate in Applied English Communication  ·  CAEC  ·  CEFR B1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III, the learner can: describe experiences, hopes, and ambitions with reasons; give a structured opinion and respond to a counter-opinion; write a structured paragraph/short essay with a clear topic sentence; handle unscripted, moderately complex conversations on familiar and some unfamiliar topics; understand the main points of clear standard input on work, school, or leisure; produce simple connected text on familiar topics; ask clarifying questions to manage a conversation.</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Certificate in Applied English Communication (CAEC). A complete qualification in applied English for work and study.</w:t>
      </w:r>
    </w:p>
    <w:p>
      <w:pPr>
        <w:spacing w:after="150" w:before="0" w:line="300"/>
      </w:pPr>
      <w:r>
        <w:rPr>
          <w:rFonts w:ascii="Cambria" w:cs="Cambria" w:eastAsia="Cambria" w:hAnsi="Cambria"/>
          <w:color w:val="1A1A1A"/>
          <w:sz w:val="21"/>
          <w:szCs w:val="21"/>
        </w:rPr>
        <w:t xml:space="preserve">is the hinge of the framework, and Applied is the word that says so. Up to here the learner has been acquiring English. From here they are using it for something: structuring an argument, writing a paragraph that holds together, following a discussion on a subject they did not choose. Academic English begins at this stage, deliberately early, rather than being held back until a learner is nearly finished and has to learn a second register in a hurry.</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Present Perfect &amp; Life Experience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Education &amp; Learning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Careers &amp; Entrepreneurship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Opinions &amp; Debate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Environment, Ethics &amp; Global Citizenship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Technology &amp; Media</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Health, Body &amp; Mind</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Travel &amp; Culture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Foundations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IV — Upper Intermediate Programme</w:t>
      </w:r>
    </w:p>
    <w:p>
      <w:pPr>
        <w:spacing w:after="150" w:before="0" w:line="300"/>
      </w:pPr>
      <w:r>
        <w:rPr>
          <w:rFonts w:ascii="Calibri" w:cs="Calibri" w:eastAsia="Calibri" w:hAnsi="Calibri"/>
          <w:b/>
          <w:bCs/>
          <w:color w:val="14264A"/>
          <w:sz w:val="21"/>
          <w:szCs w:val="21"/>
        </w:rPr>
        <w:t xml:space="preserve">Higher Certificate in Applied English Communication  ·  HCAEC  ·  CEFR B2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IV, the learner can: understand extended speech and complex argumentation on familiar and abstract topics; interact with a degree of fluency that makes regular interaction with native speakers possible without strain on either party; produce clear, detailed text on a wide range of subjects; explain a viewpoint, weighing advantages/disadvantages; write a structured 4-5 paragraph essay with a clear thesis and evidence; participate in a structured meeting/seminar-style discussion; write a professional email/report in an appropriate register.</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Higher Certificate in Applied English Communication (HCAEC). A complete qualification in professional and academic English.</w:t>
      </w:r>
    </w:p>
    <w:p>
      <w:pPr>
        <w:spacing w:after="150" w:before="0" w:line="300"/>
      </w:pPr>
      <w:r>
        <w:rPr>
          <w:rFonts w:ascii="Cambria" w:cs="Cambria" w:eastAsia="Cambria" w:hAnsi="Cambria"/>
          <w:color w:val="1A1A1A"/>
          <w:sz w:val="21"/>
          <w:szCs w:val="21"/>
        </w:rPr>
        <w:t xml:space="preserve">certifies the standard at which a person can be sent — to the meeting, the client, the interview, the seminar — to speak for someone other than themselves. This is the heaviest step in the framework and the College says so rather than smoothing it: the jump in register and complexity between the Application and Professional Stages is larger than any other, and it is the stage learners most often need to repeat.</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Advanced Present &amp; Past Systems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The World of Work</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Arguing a Position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Science, Technology &amp; Ethics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Global Issues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Literacy &amp; Critical Reading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Meetings &amp; Negotiation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Writing 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 — Advanced Programme</w:t>
      </w:r>
    </w:p>
    <w:p>
      <w:pPr>
        <w:spacing w:after="150" w:before="0" w:line="300"/>
      </w:pPr>
      <w:r>
        <w:rPr>
          <w:rFonts w:ascii="Calibri" w:cs="Calibri" w:eastAsia="Calibri" w:hAnsi="Calibri"/>
          <w:b/>
          <w:bCs/>
          <w:color w:val="14264A"/>
          <w:sz w:val="21"/>
          <w:szCs w:val="21"/>
        </w:rPr>
        <w:t xml:space="preserve">Advanced Certificate in English Communication  ·  ACEC  ·  CEFR C1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 the learner can: understand a wide range of demanding, longer texts and recognise implicit meaning; express ideas fluently and spontaneously without much obvious searching for expression; use language flexibly and effectively for social, academic, and professional purposes; produce clear, well-structured, detailed text on complex subjects, controlling organisational patterns and cohesive devices; understand and produce nuanced, idiomatic, register-appropriate language; lead a discussion or negotiation to a productive outcome.</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Advanced Certificate in English Communication (ACEC). A complete qualification in advanced English across academic and professional contexts.</w:t>
      </w:r>
    </w:p>
    <w:p>
      <w:pPr>
        <w:spacing w:after="150" w:before="0" w:line="300"/>
      </w:pPr>
      <w:r>
        <w:rPr>
          <w:rFonts w:ascii="Cambria" w:cs="Cambria" w:eastAsia="Cambria" w:hAnsi="Cambria"/>
          <w:color w:val="1A1A1A"/>
          <w:sz w:val="21"/>
          <w:szCs w:val="21"/>
        </w:rPr>
        <w:t xml:space="preserve">certifies precision. Fluency was settled at the Professional Stage; the Advanced Stage is about control — of nuance, of implication, of register, of the difference between a sentence that is correct and one that is right. Advanced is used in its plain sense and is not a superlative: the framework has a stage above it.</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Nuance &amp; Idiom</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Leadership &amp; Persuasion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Complex Systems (Science, Economics,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Cross-Cultural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Advanced Media &amp; Discourse Analysis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Research &amp; Presentation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Professional Advocacy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Style &amp; Voice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VI — English Mastery Programme</w:t>
      </w:r>
    </w:p>
    <w:p>
      <w:pPr>
        <w:spacing w:after="150" w:before="0" w:line="300"/>
      </w:pPr>
      <w:r>
        <w:rPr>
          <w:rFonts w:ascii="Calibri" w:cs="Calibri" w:eastAsia="Calibri" w:hAnsi="Calibri"/>
          <w:b/>
          <w:bCs/>
          <w:color w:val="14264A"/>
          <w:sz w:val="21"/>
          <w:szCs w:val="21"/>
        </w:rPr>
        <w:t xml:space="preserve">Worldwide English Proficiency Certificate  ·  WEPC  ·  CEFR C2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VI, the learner can: understand with ease virtually everything heard or read; summarise information from different spoken and written sources, reconstructing arguments and accounts coherently; express themselves spontaneously, very fluently, and precisely, differentiating finer shades of meaning even in complex situations; produce publication- quality written work; represent a position or organisation persuasively at a senior/leadership level; mentor or coach another learner's English development, demonstrating command of the language as a system, not just as a skill.</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Worldwide English Proficiency Certificate (WEPC). The College's highest qualification: comprehensive proficiency in English.</w:t>
      </w:r>
    </w:p>
    <w:p>
      <w:pPr>
        <w:spacing w:after="150" w:before="0" w:line="300"/>
      </w:pPr>
      <w:r>
        <w:rPr>
          <w:rFonts w:ascii="Cambria" w:cs="Cambria" w:eastAsia="Cambria" w:hAnsi="Cambria"/>
          <w:color w:val="1A1A1A"/>
          <w:sz w:val="21"/>
          <w:szCs w:val="21"/>
        </w:rPr>
        <w:t xml:space="preserve">carries the College's own name because it is the qualification the College is willing to be judged by. It does not say Certificate in something; it says proficiency, without qualification, because at this stage there is no remaining domain of English in which the holder is a learner. It is the only qualification in the framework named for the institution, and that is deliberate: a holder of the WEPC is presenting Worldwide English College's judgement of them, not a module count.</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Mastery Diagnostic &amp; Executive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Diplomacy &amp; International Relations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Global Business Strategy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Public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Law &amp; Justice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Innovation &amp; Emerging Technologies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&amp; Public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Research &amp; Scholarship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Ethics &amp; Responsible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Capstone -- Global Challenges &amp; Mastery Examination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Alumni Society</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Every graduate belongs to the Worldwide English College Alumni Society, and within it to the chapter of their highest award. Membership is not applied for and is not recorded separately: it follows from the award, and it moves when the award does.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880"/>
        <w:gridCol w:w="3060"/>
        <w:gridCol w:w="3060"/>
      </w:tblGrid>
      <w:tr>
        <w:trPr>
          <w:tblHeader/>
        </w:trPr>
        <w:tc>
          <w:tcPr>
            <w:tcW w:type="dxa" w:w="28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Chapter</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Officers</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Foundation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ECIC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Development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HCIC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Application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CAEC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Professional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HCAEC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Advanced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ACEC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Mastery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WEPC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No chapter has elected officers. The Society is newly established, and officers are elected by members rather than appointed — a chapter elects when it has members enough to hold an election.</w:t>
      </w:r>
    </w:p>
    <w:p>
      <w:pPr>
        <w:pStyle w:val="Heading1"/>
        <w:pageBreakBefore/>
        <w:spacing w:after="120" w:before="0"/>
      </w:pPr>
      <w:r>
        <w:rPr>
          <w:rFonts w:ascii="Cambria" w:cs="Cambria" w:eastAsia="Cambria" w:hAnsi="Cambria"/>
          <w:b/>
          <w:bCs/>
          <w:color w:val="14264A"/>
          <w:sz w:val="32"/>
          <w:szCs w:val="32"/>
        </w:rPr>
        <w:t xml:space="preserve">Glossary</w:t>
      </w:r>
    </w:p>
    <w:p>
      <w:pPr>
        <w:pBdr>
          <w:bottom w:val="single" w:color="C9CEDA" w:sz="4" w:space="6"/>
        </w:pBdr>
        <w:spacing w:after="220" w:before="40"/>
      </w:pPr>
      <w:r>
        <w:t xml:space="preserve"/>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684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Term</w:t>
            </w:r>
          </w:p>
        </w:tc>
        <w:tc>
          <w:tcPr>
            <w:tcW w:type="dxa" w:w="68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IEFC</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International English Fluency Certificate, the College's qualification.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CEFR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Common European Framework of Reference for Languages, the international scale from A1 to C2 against which the six levels are mapped.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WEC Credit</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unit of academic credit, recorded on each award at conferral.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Total Qualification Time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design figure for the hours a level represents. It is the same for every holder and is not a measure of any individual's effort.</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Guided Learning Hours</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portion of Total Qualification Time delivered under instruction.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Post-nominal</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abbreviation a holder may place after their name, conferred with the award.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Graduate Register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hash-chained record of every award conferred, publicly checkable by verification code.</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Verification code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permanent identifier printed on a credential, carrying a check character so a mistyped code is refused rather than misread.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Competency</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College's six descriptions of what a communicator can do, independent of language level.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Descriptor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five ordered bands in which skill attainment is reported.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BASCE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Board of Academic Standards and Curriculum Excellence, the authority for the competency framework.</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Colophon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1"/>
          <w:szCs w:val="21"/>
        </w:rPr>
        <w:t xml:space="preserve">This edition was generated from the College's academic database and its approved institutional documents. Both the editable and the print editions are rendered from one content definition, and their text is compared token by token before release, so they are identical by verification rather than by proofreading.</w:t>
      </w:r>
    </w:p>
    <w:p>
      <w:pPr>
        <w:spacing w:after="150" w:before="0" w:line="300"/>
      </w:pPr>
      <w:r>
        <w:rPr>
          <w:rFonts w:ascii="Cambria" w:cs="Cambria" w:eastAsia="Cambria" w:hAnsi="Cambria"/>
          <w:color w:val="1A1A1A"/>
          <w:sz w:val="21"/>
          <w:szCs w:val="21"/>
        </w:rPr>
        <w:t xml:space="preserve">Set in Cambria and Calibri in the editable edition, and in their metric equivalents in the print edition. Faces were chosen because they are present wherever this document will be opened; a more distinguished face that is substituted silently at the printer is a worse choice than a plainer one that renders as set.</w:t>
      </w:r>
    </w:p>
    <w:p>
      <w:pPr>
        <w:spacing w:after="150" w:before="0" w:line="300"/>
      </w:pPr>
      <w:r>
        <w:rPr>
          <w:rFonts w:ascii="Calibri" w:cs="Calibri" w:eastAsia="Calibri" w:hAnsi="Calibri"/>
          <w:color w:val="4B5768"/>
          <w:sz w:val="16"/>
          <w:szCs w:val="16"/>
        </w:rPr>
        <w:t xml:space="preserve">Counts in this edition: 6 levels · 60 modules · 294 learning items · 660 quiz questions.</w:t>
      </w:r>
    </w:p>
    <w:p>
      <w:pPr>
        <w:spacing w:after="150" w:before="0" w:line="300"/>
      </w:pPr>
      <w:r>
        <w:rPr>
          <w:rFonts w:ascii="Calibri" w:cs="Calibri" w:eastAsia="Calibri" w:hAnsi="Calibri"/>
          <w:color w:val="4B5768"/>
          <w:sz w:val="16"/>
          <w:szCs w:val="16"/>
        </w:rPr>
        <w:t xml:space="preserve">Worldwide English College Press · London Campus</w:t>
      </w:r>
    </w:p>
    <w:sectPr>
      <w:headerReference w:type="default" r:id="rId7"/>
      <w:footerReference w:type="default" r:id="rId8"/>
      <w:pgSz w:w="11908" w:h="16833" w:orient="portrait"/>
      <w:pgMar w:top="1584" w:right="1440"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B57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A" w:sz="2" w:space="6"/>
      </w:pBdr>
      <w:spacing w:after="220"/>
      <w:jc w:val="right"/>
    </w:pPr>
    <w:r>
      <w:rPr>
        <w:rFonts w:ascii="Calibri" w:cs="Calibri" w:eastAsia="Calibri" w:hAnsi="Calibri"/>
        <w:caps/>
        <w:color w:val="4B5768"/>
        <w:spacing w:val="40"/>
        <w:sz w:val="14"/>
        <w:szCs w:val="14"/>
      </w:rPr>
      <w:t xml:space="preserve">The International English Fluency Certificate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2"/>
      <w:szCs w:val="32"/>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Curriculum, Award Architecture and Academic Framework</dc:title>
  <dc:subject>English language qualification; curriculum; academic framework</dc:subject>
  <dc:creator>Worldwide English College</dc:creator>
  <cp:keywords>IEFC, Worldwide English College, CEFR, English, curriculum, qualification</cp:keywords>
  <dc:description>The reference edition of the IEFC curriculum and academic framework, generated from the College's academic database.</dc:description>
  <cp:lastModifiedBy>Un-named</cp:lastModifiedBy>
  <cp:revision>1</cp:revision>
  <dcterms:created xsi:type="dcterms:W3CDTF">2026-08-22T08:12:49.434Z</dcterms:created>
  <dcterms:modified xsi:type="dcterms:W3CDTF">2026-08-22T08:12:49.434Z</dcterms:modified>
</cp:coreProperties>
</file>

<file path=docProps/custom.xml><?xml version="1.0" encoding="utf-8"?>
<Properties xmlns="http://schemas.openxmlformats.org/officeDocument/2006/custom-properties" xmlns:vt="http://schemas.openxmlformats.org/officeDocument/2006/docPropsVTypes"/>
</file>