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Pr="009F6D2C" w:rsidRDefault="00F212ED" w:rsidP="00A23739">
      <w:pPr>
        <w:snapToGrid w:val="0"/>
        <w:spacing w:before="0"/>
        <w:jc w:val="center"/>
      </w:pPr>
      <w:r w:rsidRPr="009F6D2C">
        <w:t>Date: 0</w:t>
      </w:r>
      <w:r w:rsidR="00CF58ED">
        <w:t>9</w:t>
      </w:r>
      <w:r w:rsidRPr="009F6D2C">
        <w:t>.01.2026</w:t>
      </w:r>
    </w:p>
    <w:p w14:paraId="2506B2B0" w14:textId="77777777" w:rsidR="005065B3" w:rsidRPr="00077F58" w:rsidRDefault="008D416F" w:rsidP="00077F58">
      <w:pPr>
        <w:pStyle w:val="berschrift1"/>
      </w:pPr>
      <w:r w:rsidRPr="00077F58">
        <w:t>Introduction</w:t>
      </w:r>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r w:rsidRPr="009F6D2C">
        <w:lastRenderedPageBreak/>
        <w:t>State of Research</w:t>
      </w:r>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r w:rsidRPr="009F6D2C">
        <w:t>Theor</w:t>
      </w:r>
      <w:r w:rsidR="007B67E6" w:rsidRPr="009F6D2C">
        <w:t>etical Framework</w:t>
      </w:r>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39298007" w14:textId="77777777" w:rsidR="001C5163" w:rsidRDefault="001C5163" w:rsidP="006308E3">
      <w:pPr>
        <w:snapToGrid w:val="0"/>
        <w:spacing w:before="0"/>
      </w:pPr>
    </w:p>
    <w:p w14:paraId="022B48C1" w14:textId="77777777" w:rsidR="001C5163" w:rsidRPr="009F6D2C" w:rsidRDefault="001C5163" w:rsidP="006308E3">
      <w:pPr>
        <w:snapToGrid w:val="0"/>
        <w:spacing w:before="0"/>
      </w:pPr>
    </w:p>
    <w:p w14:paraId="583C07CE" w14:textId="45EFAC09" w:rsidR="00443A3A" w:rsidRPr="009F6D2C" w:rsidRDefault="00443A3A" w:rsidP="00077F58">
      <w:pPr>
        <w:pStyle w:val="berschrift1"/>
      </w:pPr>
      <w:r w:rsidRPr="009F6D2C">
        <w:lastRenderedPageBreak/>
        <w:t>Methodol</w:t>
      </w:r>
      <w:r w:rsidR="001C5163">
        <w:t>o</w:t>
      </w:r>
      <w:r w:rsidRPr="009F6D2C">
        <w:t>gy</w:t>
      </w:r>
    </w:p>
    <w:p w14:paraId="00649EDD" w14:textId="69F8BD43" w:rsidR="00443A3A" w:rsidRPr="00077F58" w:rsidRDefault="00443A3A" w:rsidP="00077F58">
      <w:pPr>
        <w:pStyle w:val="berschrift2"/>
      </w:pPr>
      <w:r w:rsidRPr="00077F58">
        <w:t>Study Design</w:t>
      </w:r>
    </w:p>
    <w:p w14:paraId="23B56520" w14:textId="78FCF03C" w:rsidR="00746219" w:rsidRDefault="00746219" w:rsidP="006871AC">
      <w:pPr>
        <w:snapToGrid w:val="0"/>
        <w:spacing w:before="0" w:after="24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p>
    <w:p w14:paraId="55AE9B3B" w14:textId="77777777" w:rsidR="006871AC" w:rsidRDefault="006871AC" w:rsidP="006871AC">
      <w:pPr>
        <w:pStyle w:val="Beschriftung"/>
        <w:keepNext/>
        <w:jc w:val="center"/>
      </w:pPr>
      <w:r>
        <w:t xml:space="preserve">Table </w:t>
      </w:r>
      <w:fldSimple w:instr=" SEQ Table \* ARABIC ">
        <w:r>
          <w:rPr>
            <w:noProof/>
          </w:rPr>
          <w:t>1</w:t>
        </w:r>
      </w:fldSimple>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3"/>
        <w:gridCol w:w="5560"/>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t>RQ3:</w:t>
      </w:r>
      <w:r w:rsidRPr="009F6D2C">
        <w:t xml:space="preserve"> 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1A99272F"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 xml:space="preserve">review. </w:t>
      </w:r>
    </w:p>
    <w:p w14:paraId="057E9042" w14:textId="77777777" w:rsidR="006871AC" w:rsidRDefault="006871AC" w:rsidP="006871AC">
      <w:pPr>
        <w:keepNext/>
        <w:jc w:val="center"/>
      </w:pPr>
      <w:r w:rsidRPr="00775DFC">
        <w:rPr>
          <w:noProof/>
        </w:rPr>
        <w:lastRenderedPageBreak/>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Beschriftung"/>
        <w:jc w:val="center"/>
      </w:pPr>
      <w:r>
        <w:t xml:space="preserve">Figure </w:t>
      </w:r>
      <w:fldSimple w:instr=" SEQ Figure \* ARABIC ">
        <w:r>
          <w:rPr>
            <w:noProof/>
          </w:rPr>
          <w:t>1</w:t>
        </w:r>
      </w:fldSimple>
      <w:r>
        <w:t xml:space="preserve">: </w:t>
      </w:r>
      <w:r w:rsidRPr="006E464D">
        <w:t>PRISMA 2020 Flow Diagram of the Study Selection Process</w:t>
      </w:r>
    </w:p>
    <w:p w14:paraId="564D700C" w14:textId="4788CC17" w:rsidR="00DA0267" w:rsidRPr="009F6D2C" w:rsidRDefault="00DA0267" w:rsidP="00077F58">
      <w:pPr>
        <w:pStyle w:val="berschrift1"/>
      </w:pPr>
      <w:r w:rsidRPr="009F6D2C">
        <w:t>Results</w:t>
      </w:r>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w:t>
      </w:r>
      <w:r w:rsidRPr="009F6D2C">
        <w:lastRenderedPageBreak/>
        <w:t>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berschrift2"/>
      </w:pPr>
      <w:r w:rsidRPr="009F6D2C">
        <w:t>Evaluation Metrics and Performance</w:t>
      </w:r>
    </w:p>
    <w:p w14:paraId="4DAD3420" w14:textId="7A0F3287" w:rsidR="00775DFC" w:rsidRDefault="00DA0267" w:rsidP="006308E3">
      <w:pPr>
        <w:snapToGrid w:val="0"/>
        <w:spacing w:before="0"/>
      </w:pPr>
      <w:r w:rsidRPr="009F6D2C">
        <w:t>Accuracy, F</w:t>
      </w:r>
      <w:r w:rsidRPr="00DB547D">
        <w:rPr>
          <w:vertAlign w:val="subscript"/>
        </w:rPr>
        <w:t>1</w:t>
      </w:r>
      <w:r w:rsidRPr="009F6D2C">
        <w:t>-score</w:t>
      </w:r>
      <w:r w:rsidR="007A54FB">
        <w:rPr>
          <w:rStyle w:val="Funotenzeichen"/>
        </w:rPr>
        <w:footnoteReference w:id="1"/>
      </w:r>
      <w:r w:rsidRPr="009F6D2C">
        <w:t>, and AUC-ROC</w:t>
      </w:r>
      <w:r w:rsidR="007A54FB">
        <w:rPr>
          <w:rStyle w:val="Funotenzeichen"/>
        </w:rPr>
        <w:footnoteReference w:id="2"/>
      </w:r>
      <w:r w:rsidRPr="009F6D2C">
        <w:t xml:space="preserve">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w:t>
      </w:r>
      <w:r w:rsidR="00775DFC" w:rsidRPr="00A5657A">
        <w:rPr>
          <w:vertAlign w:val="subscript"/>
        </w:rPr>
        <w:t>1</w:t>
      </w:r>
      <w:r w:rsidR="00775DFC" w:rsidRPr="009F6D2C">
        <w:t>-score and AUC-ROC over accuracy alone (Fernández-García et al., 2021). These metrics are particularly relevant for learning analytics contexts, where the reliable identification of at-risk students is essential for timely intervention.</w:t>
      </w:r>
    </w:p>
    <w:p w14:paraId="3E6FE89C" w14:textId="67A51AAD" w:rsidR="00DA0267" w:rsidRPr="009F6D2C" w:rsidRDefault="00DA0267" w:rsidP="00077F58">
      <w:pPr>
        <w:pStyle w:val="berschrift1"/>
      </w:pPr>
      <w:r w:rsidRPr="009F6D2C">
        <w:t>Discussion</w:t>
      </w:r>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077F58">
      <w:pPr>
        <w:pStyle w:val="berschrift1"/>
      </w:pPr>
      <w:r w:rsidRPr="009F6D2C">
        <w:t>Conclusion</w:t>
      </w:r>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r w:rsidRPr="009F6D2C">
        <w:lastRenderedPageBreak/>
        <w:t>References</w:t>
      </w:r>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9"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0"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1"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2"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3">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4"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5"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6">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Study with a Technical Distance Education Course. Applied Sciences, 10(11), 3998. </w:t>
      </w:r>
      <w:hyperlink r:id="rId17"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8"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lastRenderedPageBreak/>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9"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20" w:tgtFrame="_new">
        <w:r w:rsidRPr="009F6D2C">
          <w:rPr>
            <w:rStyle w:val="Hyperlink"/>
          </w:rPr>
          <w:t>https://doi.org/10.1109/TLT.2024.3425959</w:t>
        </w:r>
      </w:hyperlink>
    </w:p>
    <w:sectPr w:rsidR="005065B3" w:rsidRPr="009F6D2C">
      <w:footerReference w:type="default" r:id="rId21"/>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DC2E9" w14:textId="77777777" w:rsidR="000A1B91" w:rsidRDefault="000A1B91">
      <w:pPr>
        <w:spacing w:before="0" w:line="240" w:lineRule="auto"/>
      </w:pPr>
      <w:r>
        <w:separator/>
      </w:r>
    </w:p>
  </w:endnote>
  <w:endnote w:type="continuationSeparator" w:id="0">
    <w:p w14:paraId="1966EAA7" w14:textId="77777777" w:rsidR="000A1B91" w:rsidRDefault="000A1B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A00D" w14:textId="77777777" w:rsidR="000A1B91" w:rsidRDefault="000A1B91">
      <w:pPr>
        <w:spacing w:before="0" w:line="240" w:lineRule="auto"/>
      </w:pPr>
      <w:r>
        <w:separator/>
      </w:r>
    </w:p>
  </w:footnote>
  <w:footnote w:type="continuationSeparator" w:id="0">
    <w:p w14:paraId="2480C6C5" w14:textId="77777777" w:rsidR="000A1B91" w:rsidRDefault="000A1B91">
      <w:pPr>
        <w:spacing w:before="0" w:line="240" w:lineRule="auto"/>
      </w:pPr>
      <w:r>
        <w:continuationSeparator/>
      </w:r>
    </w:p>
  </w:footnote>
  <w:footnote w:id="1">
    <w:p w14:paraId="2772280A" w14:textId="711ACFB8" w:rsidR="007A54FB" w:rsidRPr="007A54FB" w:rsidRDefault="007A54FB" w:rsidP="007A54FB">
      <w:pPr>
        <w:pStyle w:val="Funotentext"/>
        <w:ind w:left="0" w:right="0"/>
        <w:jc w:val="left"/>
      </w:pPr>
      <w:r>
        <w:rPr>
          <w:rStyle w:val="Funotenzeichen"/>
        </w:rPr>
        <w:footnoteRef/>
      </w:r>
      <w:r>
        <w:t xml:space="preserve"> </w:t>
      </w:r>
      <w:r w:rsidRPr="007A54FB">
        <w:t>The F</w:t>
      </w:r>
      <w:r w:rsidRPr="007A54FB">
        <w:rPr>
          <w:vertAlign w:val="subscript"/>
        </w:rPr>
        <w:t>1</w:t>
      </w:r>
      <w:r w:rsidRPr="007A54FB">
        <w:t xml:space="preserve">-score is defined as follows: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br/>
      </w:r>
      <w:r w:rsidRPr="007A54FB">
        <w:t>Its highest possible value is 1.0, indicating perfect precision and recall. The lowest possible value is 0, if the precision or the recall is zero.</w:t>
      </w:r>
    </w:p>
  </w:footnote>
  <w:footnote w:id="2">
    <w:p w14:paraId="3412555D" w14:textId="363BC093" w:rsidR="007A54FB" w:rsidRPr="007A54FB" w:rsidRDefault="007A54FB" w:rsidP="007A54FB">
      <w:pPr>
        <w:snapToGrid w:val="0"/>
        <w:spacing w:before="0" w:line="240" w:lineRule="auto"/>
        <w:ind w:left="0" w:right="0"/>
        <w:rPr>
          <w:sz w:val="20"/>
          <w:szCs w:val="20"/>
        </w:rPr>
      </w:pPr>
      <w:r>
        <w:rPr>
          <w:rStyle w:val="Funotenzeichen"/>
        </w:rPr>
        <w:footnoteRef/>
      </w:r>
      <w:r w:rsidRPr="007A54FB">
        <w:rPr>
          <w:sz w:val="20"/>
          <w:szCs w:val="20"/>
        </w:rPr>
        <w:t xml:space="preserve"> The Receiver Operating Characteristics (ROC) curve plots the True Positive Rate (TPR) against the False Positive Rate (FPR) for all possible classification thresholds. The Area Under the Curve (AUC) summarises this curve into a single value between 0 and 1. An AUC close to 1 indicates excellent discriminatory ability, while a value near 0.5 reflects random guessing.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1"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3" w15:restartNumberingAfterBreak="0">
    <w:nsid w:val="14FB0B3F"/>
    <w:multiLevelType w:val="multilevel"/>
    <w:tmpl w:val="C8A84E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C9B182E"/>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DD522DA"/>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8" w15:restartNumberingAfterBreak="0">
    <w:nsid w:val="3FE7475C"/>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0"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9"/>
  </w:num>
  <w:num w:numId="2" w16cid:durableId="1583176243">
    <w:abstractNumId w:val="7"/>
  </w:num>
  <w:num w:numId="3" w16cid:durableId="1979721170">
    <w:abstractNumId w:val="2"/>
  </w:num>
  <w:num w:numId="4" w16cid:durableId="1191532803">
    <w:abstractNumId w:val="6"/>
  </w:num>
  <w:num w:numId="5" w16cid:durableId="1684673666">
    <w:abstractNumId w:val="10"/>
  </w:num>
  <w:num w:numId="6" w16cid:durableId="1628466490">
    <w:abstractNumId w:val="3"/>
  </w:num>
  <w:num w:numId="7" w16cid:durableId="1398017951">
    <w:abstractNumId w:val="0"/>
  </w:num>
  <w:num w:numId="8" w16cid:durableId="513768175">
    <w:abstractNumId w:val="11"/>
  </w:num>
  <w:num w:numId="9" w16cid:durableId="1831602006">
    <w:abstractNumId w:val="1"/>
  </w:num>
  <w:num w:numId="10" w16cid:durableId="848257655">
    <w:abstractNumId w:val="8"/>
  </w:num>
  <w:num w:numId="11" w16cid:durableId="346828199">
    <w:abstractNumId w:val="4"/>
  </w:num>
  <w:num w:numId="12" w16cid:durableId="1367486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67CA4"/>
    <w:rsid w:val="00077F58"/>
    <w:rsid w:val="000A1B91"/>
    <w:rsid w:val="00105430"/>
    <w:rsid w:val="00136AA5"/>
    <w:rsid w:val="00165D41"/>
    <w:rsid w:val="001822B6"/>
    <w:rsid w:val="00194FBD"/>
    <w:rsid w:val="001C5163"/>
    <w:rsid w:val="001D4B78"/>
    <w:rsid w:val="00241C9B"/>
    <w:rsid w:val="002821E6"/>
    <w:rsid w:val="002C0523"/>
    <w:rsid w:val="002E5E4B"/>
    <w:rsid w:val="00352E84"/>
    <w:rsid w:val="00397FA8"/>
    <w:rsid w:val="003B1210"/>
    <w:rsid w:val="003B5B04"/>
    <w:rsid w:val="003C42FF"/>
    <w:rsid w:val="0040322C"/>
    <w:rsid w:val="004057E7"/>
    <w:rsid w:val="004239CD"/>
    <w:rsid w:val="00425D72"/>
    <w:rsid w:val="00443A3A"/>
    <w:rsid w:val="00451FED"/>
    <w:rsid w:val="00471083"/>
    <w:rsid w:val="004E7DE5"/>
    <w:rsid w:val="005065B3"/>
    <w:rsid w:val="005A4F33"/>
    <w:rsid w:val="005C3B10"/>
    <w:rsid w:val="005D04E2"/>
    <w:rsid w:val="006308E3"/>
    <w:rsid w:val="00631BEC"/>
    <w:rsid w:val="00652D18"/>
    <w:rsid w:val="006871AC"/>
    <w:rsid w:val="006E0A31"/>
    <w:rsid w:val="006E4570"/>
    <w:rsid w:val="006F7B8E"/>
    <w:rsid w:val="00726146"/>
    <w:rsid w:val="00746219"/>
    <w:rsid w:val="007727C6"/>
    <w:rsid w:val="00775DFC"/>
    <w:rsid w:val="007A54FB"/>
    <w:rsid w:val="007B67E6"/>
    <w:rsid w:val="008252AC"/>
    <w:rsid w:val="00831264"/>
    <w:rsid w:val="00833F94"/>
    <w:rsid w:val="008A785C"/>
    <w:rsid w:val="008B6CEC"/>
    <w:rsid w:val="008C013F"/>
    <w:rsid w:val="008D416F"/>
    <w:rsid w:val="008D4417"/>
    <w:rsid w:val="008F7D27"/>
    <w:rsid w:val="00914CCE"/>
    <w:rsid w:val="00916C76"/>
    <w:rsid w:val="00923541"/>
    <w:rsid w:val="00937A8B"/>
    <w:rsid w:val="00947EF0"/>
    <w:rsid w:val="0097257E"/>
    <w:rsid w:val="009F6D2C"/>
    <w:rsid w:val="00A017BA"/>
    <w:rsid w:val="00A13A89"/>
    <w:rsid w:val="00A23739"/>
    <w:rsid w:val="00A5657A"/>
    <w:rsid w:val="00A74285"/>
    <w:rsid w:val="00AC3B96"/>
    <w:rsid w:val="00B12E11"/>
    <w:rsid w:val="00B21ED1"/>
    <w:rsid w:val="00B52945"/>
    <w:rsid w:val="00B5648A"/>
    <w:rsid w:val="00BB0C69"/>
    <w:rsid w:val="00BD0D31"/>
    <w:rsid w:val="00BD2A5B"/>
    <w:rsid w:val="00BD535C"/>
    <w:rsid w:val="00BF6495"/>
    <w:rsid w:val="00C04F32"/>
    <w:rsid w:val="00C05E34"/>
    <w:rsid w:val="00C8513D"/>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67D83"/>
    <w:rsid w:val="00E70FC8"/>
    <w:rsid w:val="00E845A3"/>
    <w:rsid w:val="00E95F32"/>
    <w:rsid w:val="00E967F1"/>
    <w:rsid w:val="00EB08B2"/>
    <w:rsid w:val="00F04D86"/>
    <w:rsid w:val="00F212ED"/>
    <w:rsid w:val="00F26BE8"/>
    <w:rsid w:val="00F340F6"/>
    <w:rsid w:val="00F76748"/>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4E7DE5"/>
    <w:pPr>
      <w:spacing w:before="240" w:after="120"/>
      <w:ind w:left="0"/>
      <w:outlineLvl w:val="0"/>
    </w:pPr>
    <w:rPr>
      <w:b/>
      <w:bCs/>
      <w:sz w:val="28"/>
      <w:szCs w:val="28"/>
    </w:rPr>
  </w:style>
  <w:style w:type="paragraph" w:styleId="berschrift2">
    <w:name w:val="heading 2"/>
    <w:basedOn w:val="Standard"/>
    <w:uiPriority w:val="9"/>
    <w:unhideWhenUsed/>
    <w:qFormat/>
    <w:rsid w:val="004E7DE5"/>
    <w:pPr>
      <w:spacing w:before="240" w:after="120"/>
      <w:ind w:left="0"/>
      <w:outlineLvl w:val="1"/>
    </w:pPr>
    <w:rPr>
      <w:b/>
      <w:bCs/>
      <w:sz w:val="24"/>
      <w:szCs w:val="24"/>
    </w:rPr>
  </w:style>
  <w:style w:type="paragraph" w:styleId="berschrift3">
    <w:name w:val="heading 3"/>
    <w:basedOn w:val="Standard"/>
    <w:next w:val="Standard"/>
    <w:link w:val="berschrift3Zchn"/>
    <w:uiPriority w:val="9"/>
    <w:semiHidden/>
    <w:unhideWhenUsed/>
    <w:qFormat/>
    <w:rsid w:val="004E7DE5"/>
    <w:pPr>
      <w:keepNext/>
      <w:keepLines/>
      <w:spacing w:before="40"/>
      <w:ind w:left="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914CCE"/>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14CC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14CC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14CC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14CC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14CC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spacing w:before="238"/>
      <w:ind w:left="263" w:hanging="240"/>
    </w:pPr>
    <w:rPr>
      <w:sz w:val="24"/>
      <w:szCs w:val="24"/>
    </w:rPr>
  </w:style>
  <w:style w:type="paragraph" w:styleId="Verzeichnis2">
    <w:name w:val="toc 2"/>
    <w:basedOn w:val="Standard"/>
    <w:uiPriority w:val="1"/>
    <w:qFormat/>
    <w:pPr>
      <w:spacing w:before="238"/>
      <w:ind w:left="623" w:hanging="360"/>
    </w:pPr>
    <w:rPr>
      <w:sz w:val="24"/>
      <w:szCs w:val="24"/>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3B5B04"/>
    <w:rPr>
      <w:rFonts w:asciiTheme="majorHAnsi" w:eastAsiaTheme="majorEastAsia" w:hAnsiTheme="majorHAnsi" w:cstheme="majorBidi"/>
      <w:color w:val="243F60" w:themeColor="accent1" w:themeShade="7F"/>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A5657A"/>
    <w:rPr>
      <w:color w:val="666666"/>
    </w:rPr>
  </w:style>
  <w:style w:type="numbering" w:customStyle="1" w:styleId="AktuelleListe1">
    <w:name w:val="Aktuelle Liste1"/>
    <w:uiPriority w:val="99"/>
    <w:rsid w:val="004E7DE5"/>
    <w:pPr>
      <w:numPr>
        <w:numId w:val="10"/>
      </w:numPr>
    </w:pPr>
  </w:style>
  <w:style w:type="numbering" w:customStyle="1" w:styleId="AktuelleListe2">
    <w:name w:val="Aktuelle Liste2"/>
    <w:uiPriority w:val="99"/>
    <w:rsid w:val="004E7DE5"/>
    <w:pPr>
      <w:numPr>
        <w:numId w:val="11"/>
      </w:numPr>
    </w:pPr>
  </w:style>
  <w:style w:type="numbering" w:customStyle="1" w:styleId="AktuelleListe3">
    <w:name w:val="Aktuelle Liste3"/>
    <w:uiPriority w:val="99"/>
    <w:rsid w:val="004E7DE5"/>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app11073130" TargetMode="External"/><Relationship Id="rId18" Type="http://schemas.openxmlformats.org/officeDocument/2006/relationships/hyperlink" Target="https://doi.org/10.1002/widm.13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09/ACCESS.2021.3115851" TargetMode="External"/><Relationship Id="rId17" Type="http://schemas.openxmlformats.org/officeDocument/2006/relationships/hyperlink" Target="https://doi.org/10.3390/app10113998" TargetMode="External"/><Relationship Id="rId2" Type="http://schemas.openxmlformats.org/officeDocument/2006/relationships/numbering" Target="numbering.xml"/><Relationship Id="rId16" Type="http://schemas.openxmlformats.org/officeDocument/2006/relationships/hyperlink" Target="https://doi.org/10.1109/ACCESS.2024.3486762" TargetMode="External"/><Relationship Id="rId20" Type="http://schemas.openxmlformats.org/officeDocument/2006/relationships/hyperlink" Target="https://doi.org/10.1109/TLT.2024.3425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tit.org/" TargetMode="External"/><Relationship Id="rId5" Type="http://schemas.openxmlformats.org/officeDocument/2006/relationships/webSettings" Target="webSettings.xml"/><Relationship Id="rId15" Type="http://schemas.openxmlformats.org/officeDocument/2006/relationships/hyperlink" Target="https://doi.org/10.1109/INES.2018.8523888" TargetMode="External"/><Relationship Id="rId23" Type="http://schemas.openxmlformats.org/officeDocument/2006/relationships/theme" Target="theme/theme1.xml"/><Relationship Id="rId10" Type="http://schemas.openxmlformats.org/officeDocument/2006/relationships/hyperlink" Target="https://doi.org/10.61310/mndjsteect.1028.21" TargetMode="External"/><Relationship Id="rId19" Type="http://schemas.openxmlformats.org/officeDocument/2006/relationships/hyperlink" Target="https://doi.org/10.3390/electronics11030468" TargetMode="External"/><Relationship Id="rId4" Type="http://schemas.openxmlformats.org/officeDocument/2006/relationships/settings" Target="settings.xml"/><Relationship Id="rId9" Type="http://schemas.openxmlformats.org/officeDocument/2006/relationships/hyperlink" Target="https://doi.org/10.1080/03075079.2021.2018415" TargetMode="External"/><Relationship Id="rId14" Type="http://schemas.openxmlformats.org/officeDocument/2006/relationships/hyperlink" Target="https://doi.org/10.1007/s11162-017-9473-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1996</Words>
  <Characters>12579</Characters>
  <Application>Microsoft Office Word</Application>
  <DocSecurity>0</DocSecurity>
  <Lines>104</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5</cp:revision>
  <dcterms:created xsi:type="dcterms:W3CDTF">2026-01-17T19:03:00Z</dcterms:created>
  <dcterms:modified xsi:type="dcterms:W3CDTF">2026-02-05T08:00:00Z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