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1490" w14:textId="2624F30B" w:rsidR="00B12E11" w:rsidRPr="008D4417" w:rsidRDefault="00833F94" w:rsidP="008D4417">
      <w:pPr>
        <w:snapToGrid w:val="0"/>
        <w:spacing w:before="0" w:line="240" w:lineRule="auto"/>
        <w:jc w:val="left"/>
        <w:rPr>
          <w:sz w:val="28"/>
          <w:szCs w:val="28"/>
        </w:rPr>
      </w:pPr>
      <w:r w:rsidRPr="008D4417">
        <w:rPr>
          <w:sz w:val="28"/>
          <w:szCs w:val="28"/>
        </w:rPr>
        <w:t>Ilmenau Technical University</w:t>
      </w:r>
    </w:p>
    <w:p w14:paraId="1998C0C0" w14:textId="5FE65CDE" w:rsidR="00833F94" w:rsidRPr="008D4417" w:rsidRDefault="00833F94" w:rsidP="006308E3">
      <w:pPr>
        <w:snapToGrid w:val="0"/>
        <w:spacing w:before="0"/>
        <w:jc w:val="left"/>
        <w:rPr>
          <w:sz w:val="18"/>
          <w:szCs w:val="18"/>
        </w:rPr>
      </w:pPr>
      <w:r w:rsidRPr="008D4417">
        <w:rPr>
          <w:sz w:val="18"/>
          <w:szCs w:val="18"/>
        </w:rPr>
        <w:t>Institute for Media and Communication Science</w:t>
      </w:r>
    </w:p>
    <w:p w14:paraId="1165DE04" w14:textId="2ECAE4CA" w:rsidR="002C0523" w:rsidRPr="00A23739" w:rsidRDefault="00923541" w:rsidP="00077F58">
      <w:pPr>
        <w:pStyle w:val="Titel"/>
      </w:pPr>
      <w:r w:rsidRPr="00A23739">
        <w:t>Predicting Student Dropout in Higher Education Using Machine Learning</w:t>
      </w:r>
    </w:p>
    <w:p w14:paraId="7DF09D32" w14:textId="42B0BD95" w:rsidR="00923541" w:rsidRPr="009F6D2C" w:rsidRDefault="00923541" w:rsidP="00077F58">
      <w:pPr>
        <w:pStyle w:val="Untertitel"/>
      </w:pPr>
      <w:r w:rsidRPr="009F6D2C">
        <w:t>A Systematic Literature Review Grounded in Learning Analytics</w:t>
      </w:r>
    </w:p>
    <w:p w14:paraId="33CFF87E" w14:textId="77777777" w:rsidR="00BD2A5B" w:rsidRPr="009F6D2C" w:rsidRDefault="00F212ED" w:rsidP="00A23739">
      <w:pPr>
        <w:snapToGrid w:val="0"/>
        <w:spacing w:before="0"/>
        <w:jc w:val="center"/>
      </w:pPr>
      <w:r w:rsidRPr="009F6D2C">
        <w:t>By:</w:t>
      </w:r>
      <w:r w:rsidR="00BD2A5B" w:rsidRPr="009F6D2C">
        <w:t xml:space="preserve"> </w:t>
      </w:r>
      <w:r w:rsidRPr="009F6D2C">
        <w:t xml:space="preserve">Moritz </w:t>
      </w:r>
      <w:proofErr w:type="spellStart"/>
      <w:r w:rsidRPr="009F6D2C">
        <w:t>Tesel</w:t>
      </w:r>
      <w:proofErr w:type="spellEnd"/>
      <w:r w:rsidR="00BD2A5B" w:rsidRPr="009F6D2C">
        <w:t xml:space="preserve">, </w:t>
      </w:r>
      <w:proofErr w:type="spellStart"/>
      <w:r w:rsidRPr="009F6D2C">
        <w:t>Ehrenbergstr</w:t>
      </w:r>
      <w:proofErr w:type="spellEnd"/>
      <w:r w:rsidRPr="009F6D2C">
        <w:t>. 29</w:t>
      </w:r>
      <w:r w:rsidR="00BD2A5B" w:rsidRPr="009F6D2C">
        <w:t xml:space="preserve">, </w:t>
      </w:r>
      <w:r w:rsidRPr="009F6D2C">
        <w:t>98693 Ilmenau</w:t>
      </w:r>
      <w:r w:rsidR="00BD2A5B" w:rsidRPr="009F6D2C">
        <w:t xml:space="preserve">, </w:t>
      </w:r>
      <w:r w:rsidRPr="009F6D2C">
        <w:t>Matriculation Number: 99999</w:t>
      </w:r>
    </w:p>
    <w:p w14:paraId="383B3968" w14:textId="2017C59F" w:rsidR="00F212ED" w:rsidRPr="009F6D2C" w:rsidRDefault="00F212ED" w:rsidP="00A23739">
      <w:pPr>
        <w:snapToGrid w:val="0"/>
        <w:spacing w:before="0"/>
        <w:jc w:val="center"/>
      </w:pPr>
      <w:r w:rsidRPr="009F6D2C">
        <w:t>Date: 0</w:t>
      </w:r>
      <w:r w:rsidR="00CF58ED">
        <w:t>9</w:t>
      </w:r>
      <w:r w:rsidRPr="009F6D2C">
        <w:t>.01.2026</w:t>
      </w:r>
    </w:p>
    <w:p w14:paraId="2506B2B0" w14:textId="77777777" w:rsidR="005065B3" w:rsidRPr="00077F58" w:rsidRDefault="008D416F" w:rsidP="00077F58">
      <w:pPr>
        <w:pStyle w:val="berschrift1"/>
      </w:pPr>
      <w:r w:rsidRPr="00077F58">
        <w:t>Introduction</w:t>
      </w:r>
    </w:p>
    <w:p w14:paraId="099F21BA" w14:textId="2A78BDDC" w:rsidR="002C0523" w:rsidRPr="009F6D2C" w:rsidRDefault="00397FA8" w:rsidP="006308E3">
      <w:pPr>
        <w:snapToGrid w:val="0"/>
        <w:spacing w:before="0"/>
      </w:pPr>
      <w:r w:rsidRPr="009F6D2C">
        <w:t>Student dropout represents a persistent challenge for higher education institutions worldwide, with consequences for students, universities, and society. From an institutional perspective, high dropout rates are associated with financial losses and reduced completion indicators, while for students, discontinuing studies often leads to long-term academic and professional disadvantages (</w:t>
      </w:r>
      <w:proofErr w:type="spellStart"/>
      <w:r w:rsidRPr="009F6D2C">
        <w:t>Aulck</w:t>
      </w:r>
      <w:proofErr w:type="spellEnd"/>
      <w:r w:rsidRPr="009F6D2C">
        <w:t xml:space="preserve"> et al., 2019). Consequently, early identification of students at risk of dropout has become a central concern in educational research and policy.</w:t>
      </w:r>
    </w:p>
    <w:p w14:paraId="65354625" w14:textId="07AA8870" w:rsidR="00397FA8" w:rsidRPr="009F6D2C" w:rsidRDefault="00397FA8" w:rsidP="006308E3">
      <w:pPr>
        <w:snapToGrid w:val="0"/>
        <w:spacing w:before="0"/>
      </w:pPr>
      <w:r w:rsidRPr="009F6D2C">
        <w:t xml:space="preserve">The increasing digitalization of higher education has fundamentally </w:t>
      </w:r>
      <w:r w:rsidR="002C0523" w:rsidRPr="009F6D2C">
        <w:t>changed</w:t>
      </w:r>
      <w:r w:rsidRPr="009F6D2C">
        <w:t xml:space="preserve"> how learning processes are documented. Learning management systems (LMS), online assessments, and digital communication platforms generate detailed traces of student behavior. These data </w:t>
      </w:r>
      <w:r w:rsidR="002C0523" w:rsidRPr="009F6D2C">
        <w:t>allow</w:t>
      </w:r>
      <w:r w:rsidRPr="009F6D2C">
        <w:t xml:space="preserve"> researchers to </w:t>
      </w:r>
      <w:r w:rsidR="002C0523" w:rsidRPr="009F6D2C">
        <w:t>analyze</w:t>
      </w:r>
      <w:r w:rsidRPr="009F6D2C">
        <w:t xml:space="preserve"> learning processes beyond final grades and to </w:t>
      </w:r>
      <w:r w:rsidR="002C0523" w:rsidRPr="009F6D2C">
        <w:t>observe</w:t>
      </w:r>
      <w:r w:rsidRPr="009F6D2C">
        <w:t xml:space="preserve"> engagement patterns over time. Within this context, learning analytics has emerged as a </w:t>
      </w:r>
      <w:r w:rsidR="002C0523" w:rsidRPr="009F6D2C">
        <w:t xml:space="preserve">research </w:t>
      </w:r>
      <w:r w:rsidRPr="009F6D2C">
        <w:t xml:space="preserve">field </w:t>
      </w:r>
      <w:r w:rsidR="00BD535C" w:rsidRPr="009F6D2C">
        <w:t>for</w:t>
      </w:r>
      <w:r w:rsidR="002C0523" w:rsidRPr="009F6D2C">
        <w:t xml:space="preserve"> us</w:t>
      </w:r>
      <w:r w:rsidR="00BD535C" w:rsidRPr="009F6D2C">
        <w:t>ing</w:t>
      </w:r>
      <w:r w:rsidRPr="009F6D2C">
        <w:t xml:space="preserve"> educational data to understand and improve learning and learning environments (Siemens &amp; Long, 2011).</w:t>
      </w:r>
    </w:p>
    <w:p w14:paraId="537497B4" w14:textId="77777777" w:rsidR="00BD535C" w:rsidRPr="009F6D2C" w:rsidRDefault="00BD535C" w:rsidP="006308E3">
      <w:pPr>
        <w:snapToGrid w:val="0"/>
        <w:spacing w:before="0"/>
      </w:pPr>
      <w:r w:rsidRPr="009F6D2C">
        <w:t>Machine learning techniques have gained prominence in dropout prediction research due to their ability to process large, heterogeneous datasets and model complex, non-linear relationships. Numerous empirical studies report high predictive performance when machine learning models are applied to academic and engagement data (</w:t>
      </w:r>
      <w:proofErr w:type="spellStart"/>
      <w:r w:rsidRPr="009F6D2C">
        <w:t>Kabathova</w:t>
      </w:r>
      <w:proofErr w:type="spellEnd"/>
      <w:r w:rsidRPr="009F6D2C">
        <w:t xml:space="preserve"> &amp; Drlik, 2021; </w:t>
      </w:r>
      <w:proofErr w:type="spellStart"/>
      <w:r w:rsidRPr="009F6D2C">
        <w:t>Cannistrà</w:t>
      </w:r>
      <w:proofErr w:type="spellEnd"/>
      <w:r w:rsidRPr="009F6D2C">
        <w:t xml:space="preserve"> et al., 2022). However, the rapid expansion of this research area has led to fragmented findings across disciplines and methodological approaches. Systematic syntheses are therefore required to identify overarching trends and theoretically meaningful patterns.</w:t>
      </w:r>
    </w:p>
    <w:p w14:paraId="6D4BEFCB" w14:textId="77777777" w:rsidR="00BD535C" w:rsidRPr="009F6D2C" w:rsidRDefault="00BD535C" w:rsidP="006308E3">
      <w:pPr>
        <w:snapToGrid w:val="0"/>
        <w:spacing w:before="0"/>
      </w:pPr>
      <w:r w:rsidRPr="009F6D2C">
        <w:t>To address this gap, the present paper conducts a systematic literature review (SLR) of machine learning–based student dropout prediction studies in higher education. Designed as a methodological exemplar for Bachelor-level education, the paper demonstrates how theory, research design, and systematic review methods can be coherently integrated.</w:t>
      </w:r>
    </w:p>
    <w:p w14:paraId="75137810" w14:textId="77777777" w:rsidR="005065B3" w:rsidRPr="009F6D2C" w:rsidRDefault="008D416F" w:rsidP="00077F58">
      <w:pPr>
        <w:pStyle w:val="berschrift1"/>
      </w:pPr>
      <w:r w:rsidRPr="009F6D2C">
        <w:lastRenderedPageBreak/>
        <w:t>State of Research</w:t>
      </w:r>
    </w:p>
    <w:p w14:paraId="53A44C87" w14:textId="79FDE36A" w:rsidR="00F04D86" w:rsidRPr="009F6D2C" w:rsidRDefault="00F04D86" w:rsidP="006308E3">
      <w:pPr>
        <w:snapToGrid w:val="0"/>
        <w:spacing w:before="0"/>
      </w:pPr>
      <w:r w:rsidRPr="009F6D2C">
        <w:t>Early research on student dropout prediction relied primarily on statistical methods such as logistic regression and survival analysis, using demographic</w:t>
      </w:r>
      <w:r w:rsidR="00BD535C" w:rsidRPr="009F6D2C">
        <w:t xml:space="preserve"> variables</w:t>
      </w:r>
      <w:r w:rsidRPr="009F6D2C">
        <w:t xml:space="preserve"> and academic performance indicators as predictors (Mason et al., 2018). While these approaches offered interpretability, they were limited in captur</w:t>
      </w:r>
      <w:r w:rsidR="00BD535C" w:rsidRPr="009F6D2C">
        <w:t>ing</w:t>
      </w:r>
      <w:r w:rsidRPr="009F6D2C">
        <w:t xml:space="preserve"> complex interactions and temporal learning behaviors.</w:t>
      </w:r>
    </w:p>
    <w:p w14:paraId="42867358" w14:textId="313201A2" w:rsidR="00F04D86" w:rsidRPr="009F6D2C" w:rsidRDefault="00F04D86" w:rsidP="006308E3">
      <w:pPr>
        <w:snapToGrid w:val="0"/>
        <w:spacing w:before="0"/>
      </w:pPr>
      <w:r w:rsidRPr="009F6D2C">
        <w:t xml:space="preserve">More recent studies </w:t>
      </w:r>
      <w:r w:rsidR="00BD535C" w:rsidRPr="009F6D2C">
        <w:t>show</w:t>
      </w:r>
      <w:r w:rsidRPr="009F6D2C">
        <w:t xml:space="preserve"> a clear shift toward machine learning models, including random forests, support vector machines, neural networks, and ensemble approaches (</w:t>
      </w:r>
      <w:proofErr w:type="spellStart"/>
      <w:r w:rsidRPr="009F6D2C">
        <w:t>Kabathova</w:t>
      </w:r>
      <w:proofErr w:type="spellEnd"/>
      <w:r w:rsidRPr="009F6D2C">
        <w:t xml:space="preserve"> &amp; Drlik, 2021). These models are </w:t>
      </w:r>
      <w:r w:rsidR="00BD535C" w:rsidRPr="009F6D2C">
        <w:t>well</w:t>
      </w:r>
      <w:r w:rsidRPr="009F6D2C">
        <w:t xml:space="preserve"> suited to educational datasets that combine academic, behavioral, and contextual features. In parallel, the growing availability of LMS data has enabled </w:t>
      </w:r>
      <w:r w:rsidR="00BD535C" w:rsidRPr="009F6D2C">
        <w:t>the</w:t>
      </w:r>
      <w:r w:rsidRPr="009F6D2C">
        <w:t xml:space="preserve"> incorporat</w:t>
      </w:r>
      <w:r w:rsidR="00BD535C" w:rsidRPr="009F6D2C">
        <w:t>ion of</w:t>
      </w:r>
      <w:r w:rsidRPr="009F6D2C">
        <w:t xml:space="preserve"> fine-grained engagement indicators, such as login frequency, assignment submission</w:t>
      </w:r>
      <w:r w:rsidR="00BD535C" w:rsidRPr="009F6D2C">
        <w:t>s</w:t>
      </w:r>
      <w:r w:rsidRPr="009F6D2C">
        <w:t>, and forum participation (Queiroga et al., 2020; Tamada et al., 2022).</w:t>
      </w:r>
    </w:p>
    <w:p w14:paraId="0ED55468" w14:textId="548DD2B0" w:rsidR="00F04D86" w:rsidRPr="009F6D2C" w:rsidRDefault="00F04D86" w:rsidP="006308E3">
      <w:pPr>
        <w:snapToGrid w:val="0"/>
        <w:spacing w:before="0"/>
      </w:pPr>
      <w:r w:rsidRPr="009F6D2C">
        <w:t xml:space="preserve">Despite promising results, the literature also highlights challenges related to class imbalance, limited generalizability across institutions, and ethical concerns </w:t>
      </w:r>
      <w:r w:rsidR="007B67E6" w:rsidRPr="009F6D2C">
        <w:t>regarding</w:t>
      </w:r>
      <w:r w:rsidRPr="009F6D2C">
        <w:t xml:space="preserve"> student data use (</w:t>
      </w:r>
      <w:proofErr w:type="spellStart"/>
      <w:r w:rsidRPr="009F6D2C">
        <w:t>Zanellati</w:t>
      </w:r>
      <w:proofErr w:type="spellEnd"/>
      <w:r w:rsidRPr="009F6D2C">
        <w:t xml:space="preserve"> et al., 2024). These issues under</w:t>
      </w:r>
      <w:r w:rsidR="007B67E6" w:rsidRPr="009F6D2C">
        <w:t>line</w:t>
      </w:r>
      <w:r w:rsidRPr="009F6D2C">
        <w:t xml:space="preserve"> the </w:t>
      </w:r>
      <w:r w:rsidR="007B67E6" w:rsidRPr="009F6D2C">
        <w:t>need for</w:t>
      </w:r>
      <w:r w:rsidRPr="009F6D2C">
        <w:t xml:space="preserve"> systematic reviews that </w:t>
      </w:r>
      <w:r w:rsidR="007B67E6" w:rsidRPr="009F6D2C">
        <w:t>go</w:t>
      </w:r>
      <w:r w:rsidRPr="009F6D2C">
        <w:t xml:space="preserve"> beyond performance comparisons to examine methodological trends and theoretical implications.</w:t>
      </w:r>
    </w:p>
    <w:p w14:paraId="35B3A165" w14:textId="597B06EA" w:rsidR="005065B3" w:rsidRPr="009F6D2C" w:rsidRDefault="008D416F" w:rsidP="00077F58">
      <w:pPr>
        <w:pStyle w:val="berschrift1"/>
      </w:pPr>
      <w:r w:rsidRPr="009F6D2C">
        <w:t>Theor</w:t>
      </w:r>
      <w:r w:rsidR="007B67E6" w:rsidRPr="009F6D2C">
        <w:t>etical Framework</w:t>
      </w:r>
    </w:p>
    <w:p w14:paraId="70C18D54" w14:textId="77777777" w:rsidR="007B67E6" w:rsidRPr="009F6D2C" w:rsidRDefault="007B67E6" w:rsidP="006308E3">
      <w:pPr>
        <w:snapToGrid w:val="0"/>
        <w:spacing w:before="0"/>
      </w:pPr>
      <w:r w:rsidRPr="009F6D2C">
        <w:t>This study conceptualizes student dropout as a data-driven yet theory-informed phenomenon by integrating Educational Data Mining (EDM), Learning Analytics theory (Siemens &amp; Long, 2011), and Student Integration Theory (Tinto, 1993).</w:t>
      </w:r>
    </w:p>
    <w:p w14:paraId="5D02A338" w14:textId="77777777" w:rsidR="007B67E6" w:rsidRPr="009F6D2C" w:rsidRDefault="007B67E6" w:rsidP="006308E3">
      <w:pPr>
        <w:snapToGrid w:val="0"/>
        <w:spacing w:before="0"/>
      </w:pPr>
      <w:r w:rsidRPr="009F6D2C">
        <w:t>Learning analytics provides the conceptual foundation for understanding how digital traces of learner behavior can be systematically collected, analyzed, and interpreted to support educational decision-making. Within this framework, student engagement is treated as a measurable construct reflected in interaction patterns with digital learning environments.</w:t>
      </w:r>
    </w:p>
    <w:p w14:paraId="33E3B5A0" w14:textId="77777777" w:rsidR="007B67E6" w:rsidRPr="009F6D2C" w:rsidRDefault="007B67E6" w:rsidP="006308E3">
      <w:pPr>
        <w:snapToGrid w:val="0"/>
        <w:spacing w:before="0"/>
      </w:pPr>
      <w:r w:rsidRPr="009F6D2C">
        <w:t>EDM complements this perspective by emphasizing computational and algorithmic approaches to educational data analysis (Romero &amp; Ventura, 2020). While EDM research often prioritizes predictive accuracy, learning analytics stresses interpretability and educational actionability. This distinction is particularly relevant for dropout prediction, where models are intended to inform interventions rather than serve purely technical objectives.</w:t>
      </w:r>
    </w:p>
    <w:p w14:paraId="612F48C4" w14:textId="24B70F54" w:rsidR="00F876D2" w:rsidRDefault="00F876D2" w:rsidP="006308E3">
      <w:pPr>
        <w:snapToGrid w:val="0"/>
        <w:spacing w:before="0"/>
      </w:pPr>
      <w:r w:rsidRPr="009F6D2C">
        <w:t xml:space="preserve">Student Integration Theory further informs the interpretation of predictive features by emphasizing the role of academic and social integration in student persistence (Tinto, 1993). </w:t>
      </w:r>
      <w:r w:rsidR="00471083" w:rsidRPr="009F6D2C">
        <w:t xml:space="preserve">In digital learning contexts, </w:t>
      </w:r>
      <w:r w:rsidRPr="009F6D2C">
        <w:t xml:space="preserve">LMS engagement variables can therefore be understood as proxies for academic integration. Together, these </w:t>
      </w:r>
      <w:r w:rsidR="00A13A89" w:rsidRPr="009F6D2C">
        <w:t xml:space="preserve">theoretical </w:t>
      </w:r>
      <w:r w:rsidRPr="009F6D2C">
        <w:t xml:space="preserve">perspectives define what constitutes meaningful dropout prediction and </w:t>
      </w:r>
      <w:r w:rsidR="00746219" w:rsidRPr="009F6D2C">
        <w:t>guide</w:t>
      </w:r>
      <w:r w:rsidRPr="009F6D2C">
        <w:t xml:space="preserve"> the analytical focus of th</w:t>
      </w:r>
      <w:r w:rsidR="00746219" w:rsidRPr="009F6D2C">
        <w:t>is</w:t>
      </w:r>
      <w:r w:rsidR="00A13A89" w:rsidRPr="009F6D2C">
        <w:t xml:space="preserve"> </w:t>
      </w:r>
      <w:r w:rsidRPr="009F6D2C">
        <w:t>review.</w:t>
      </w:r>
    </w:p>
    <w:p w14:paraId="7B2F4138" w14:textId="77777777" w:rsidR="00122B6B" w:rsidRDefault="00122B6B" w:rsidP="006308E3">
      <w:pPr>
        <w:snapToGrid w:val="0"/>
        <w:spacing w:before="0"/>
      </w:pPr>
    </w:p>
    <w:p w14:paraId="37663A29" w14:textId="77777777" w:rsidR="00122B6B" w:rsidRPr="009F6D2C" w:rsidRDefault="00122B6B" w:rsidP="006308E3">
      <w:pPr>
        <w:snapToGrid w:val="0"/>
        <w:spacing w:before="0"/>
      </w:pPr>
    </w:p>
    <w:p w14:paraId="583C07CE" w14:textId="67D20DA9" w:rsidR="00443A3A" w:rsidRPr="009F6D2C" w:rsidRDefault="00443A3A" w:rsidP="00077F58">
      <w:pPr>
        <w:pStyle w:val="berschrift1"/>
      </w:pPr>
      <w:r w:rsidRPr="009F6D2C">
        <w:lastRenderedPageBreak/>
        <w:t>Methodol</w:t>
      </w:r>
      <w:r w:rsidR="00122B6B">
        <w:t>o</w:t>
      </w:r>
      <w:r w:rsidRPr="009F6D2C">
        <w:t>gy</w:t>
      </w:r>
    </w:p>
    <w:p w14:paraId="00649EDD" w14:textId="69F8BD43" w:rsidR="00443A3A" w:rsidRPr="00077F58" w:rsidRDefault="00443A3A" w:rsidP="00077F58">
      <w:pPr>
        <w:pStyle w:val="berschrift2"/>
      </w:pPr>
      <w:r w:rsidRPr="00077F58">
        <w:t>Study Design</w:t>
      </w:r>
    </w:p>
    <w:p w14:paraId="23B56520" w14:textId="78FCF03C" w:rsidR="00746219" w:rsidRDefault="00746219" w:rsidP="006871AC">
      <w:pPr>
        <w:snapToGrid w:val="0"/>
        <w:spacing w:before="0" w:after="240"/>
      </w:pPr>
      <w:r w:rsidRPr="009F6D2C">
        <w:t>The study adopts a systematic literature review (SLR) design and follows the PRISMA guidelines to ensure transparency and replicability. The scope and research questions are structured using the PICOC framework and derived directly from the theoretical framework.</w:t>
      </w:r>
    </w:p>
    <w:p w14:paraId="55AE9B3B" w14:textId="77777777" w:rsidR="006871AC" w:rsidRDefault="006871AC" w:rsidP="006871AC">
      <w:pPr>
        <w:pStyle w:val="Beschriftung"/>
        <w:keepNext/>
        <w:jc w:val="center"/>
      </w:pPr>
      <w:r>
        <w:t xml:space="preserve">Table </w:t>
      </w:r>
      <w:fldSimple w:instr=" SEQ Table \* ARABIC ">
        <w:r>
          <w:rPr>
            <w:noProof/>
          </w:rPr>
          <w:t>1</w:t>
        </w:r>
      </w:fldSimple>
      <w:r>
        <w:t xml:space="preserve">: </w:t>
      </w:r>
      <w:r w:rsidRPr="004E2C0A">
        <w:t>PICOC framework for the systematic literature review</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33"/>
        <w:gridCol w:w="5560"/>
      </w:tblGrid>
      <w:tr w:rsidR="006871AC" w:rsidRPr="00775DFC" w14:paraId="777BB797" w14:textId="77777777" w:rsidTr="003B1DB9">
        <w:trPr>
          <w:tblHeader/>
          <w:tblCellSpacing w:w="15" w:type="dxa"/>
          <w:jc w:val="center"/>
        </w:trPr>
        <w:tc>
          <w:tcPr>
            <w:tcW w:w="0" w:type="auto"/>
            <w:tcBorders>
              <w:top w:val="single" w:sz="4" w:space="0" w:color="auto"/>
              <w:bottom w:val="single" w:sz="4" w:space="0" w:color="auto"/>
            </w:tcBorders>
            <w:vAlign w:val="center"/>
            <w:hideMark/>
          </w:tcPr>
          <w:p w14:paraId="26861242" w14:textId="77777777" w:rsidR="006871AC" w:rsidRPr="00775DFC" w:rsidRDefault="006871AC" w:rsidP="003B1DB9">
            <w:r w:rsidRPr="00775DFC">
              <w:t>Element</w:t>
            </w:r>
          </w:p>
        </w:tc>
        <w:tc>
          <w:tcPr>
            <w:tcW w:w="0" w:type="auto"/>
            <w:tcBorders>
              <w:top w:val="single" w:sz="4" w:space="0" w:color="auto"/>
              <w:bottom w:val="single" w:sz="4" w:space="0" w:color="auto"/>
            </w:tcBorders>
            <w:vAlign w:val="center"/>
            <w:hideMark/>
          </w:tcPr>
          <w:p w14:paraId="00773011" w14:textId="77777777" w:rsidR="006871AC" w:rsidRPr="00775DFC" w:rsidRDefault="006871AC" w:rsidP="003B1DB9">
            <w:r w:rsidRPr="00775DFC">
              <w:t>Description</w:t>
            </w:r>
          </w:p>
        </w:tc>
      </w:tr>
      <w:tr w:rsidR="006871AC" w:rsidRPr="00775DFC" w14:paraId="46CB0370" w14:textId="77777777" w:rsidTr="003B1DB9">
        <w:trPr>
          <w:tblCellSpacing w:w="15" w:type="dxa"/>
          <w:jc w:val="center"/>
        </w:trPr>
        <w:tc>
          <w:tcPr>
            <w:tcW w:w="0" w:type="auto"/>
            <w:vAlign w:val="center"/>
            <w:hideMark/>
          </w:tcPr>
          <w:p w14:paraId="603F1DA1" w14:textId="77777777" w:rsidR="006871AC" w:rsidRPr="00775DFC" w:rsidRDefault="006871AC" w:rsidP="003B1DB9">
            <w:pPr>
              <w:rPr>
                <w:b/>
                <w:bCs/>
              </w:rPr>
            </w:pPr>
            <w:r w:rsidRPr="00775DFC">
              <w:t>Population</w:t>
            </w:r>
          </w:p>
        </w:tc>
        <w:tc>
          <w:tcPr>
            <w:tcW w:w="0" w:type="auto"/>
            <w:vAlign w:val="center"/>
            <w:hideMark/>
          </w:tcPr>
          <w:p w14:paraId="7060A5F1" w14:textId="77777777" w:rsidR="006871AC" w:rsidRPr="00775DFC" w:rsidRDefault="006871AC" w:rsidP="003B1DB9">
            <w:pPr>
              <w:rPr>
                <w:b/>
                <w:bCs/>
              </w:rPr>
            </w:pPr>
            <w:r w:rsidRPr="00775DFC">
              <w:t>Students in higher education institutions</w:t>
            </w:r>
          </w:p>
        </w:tc>
      </w:tr>
      <w:tr w:rsidR="006871AC" w:rsidRPr="00775DFC" w14:paraId="1EBAFEC1" w14:textId="77777777" w:rsidTr="003B1DB9">
        <w:trPr>
          <w:tblCellSpacing w:w="15" w:type="dxa"/>
          <w:jc w:val="center"/>
        </w:trPr>
        <w:tc>
          <w:tcPr>
            <w:tcW w:w="0" w:type="auto"/>
            <w:vAlign w:val="center"/>
            <w:hideMark/>
          </w:tcPr>
          <w:p w14:paraId="754FC74F" w14:textId="77777777" w:rsidR="006871AC" w:rsidRPr="00775DFC" w:rsidRDefault="006871AC" w:rsidP="003B1DB9">
            <w:pPr>
              <w:rPr>
                <w:b/>
                <w:bCs/>
              </w:rPr>
            </w:pPr>
            <w:r w:rsidRPr="00775DFC">
              <w:t>Intervention</w:t>
            </w:r>
          </w:p>
        </w:tc>
        <w:tc>
          <w:tcPr>
            <w:tcW w:w="0" w:type="auto"/>
            <w:vAlign w:val="center"/>
            <w:hideMark/>
          </w:tcPr>
          <w:p w14:paraId="109E29EC" w14:textId="77777777" w:rsidR="006871AC" w:rsidRPr="00775DFC" w:rsidRDefault="006871AC" w:rsidP="003B1DB9">
            <w:pPr>
              <w:rPr>
                <w:b/>
                <w:bCs/>
              </w:rPr>
            </w:pPr>
            <w:r w:rsidRPr="00775DFC">
              <w:t>Machine learning–based dropout prediction models</w:t>
            </w:r>
          </w:p>
        </w:tc>
      </w:tr>
      <w:tr w:rsidR="006871AC" w:rsidRPr="00775DFC" w14:paraId="6EABF1C5" w14:textId="77777777" w:rsidTr="003B1DB9">
        <w:trPr>
          <w:tblCellSpacing w:w="15" w:type="dxa"/>
          <w:jc w:val="center"/>
        </w:trPr>
        <w:tc>
          <w:tcPr>
            <w:tcW w:w="0" w:type="auto"/>
            <w:vAlign w:val="center"/>
            <w:hideMark/>
          </w:tcPr>
          <w:p w14:paraId="06CBF88D" w14:textId="77777777" w:rsidR="006871AC" w:rsidRPr="00775DFC" w:rsidRDefault="006871AC" w:rsidP="003B1DB9">
            <w:pPr>
              <w:rPr>
                <w:b/>
                <w:bCs/>
              </w:rPr>
            </w:pPr>
            <w:r w:rsidRPr="00775DFC">
              <w:t>Comparison</w:t>
            </w:r>
          </w:p>
        </w:tc>
        <w:tc>
          <w:tcPr>
            <w:tcW w:w="0" w:type="auto"/>
            <w:vAlign w:val="center"/>
            <w:hideMark/>
          </w:tcPr>
          <w:p w14:paraId="5A0AE2CE" w14:textId="77777777" w:rsidR="006871AC" w:rsidRPr="00775DFC" w:rsidRDefault="006871AC" w:rsidP="003B1DB9">
            <w:pPr>
              <w:rPr>
                <w:b/>
                <w:bCs/>
              </w:rPr>
            </w:pPr>
            <w:r w:rsidRPr="00775DFC">
              <w:t>Different algorithms</w:t>
            </w:r>
            <w:r w:rsidRPr="00775DFC">
              <w:rPr>
                <w:b/>
                <w:bCs/>
              </w:rPr>
              <w:t xml:space="preserve"> and</w:t>
            </w:r>
            <w:r w:rsidRPr="00775DFC">
              <w:t xml:space="preserve"> feature sets</w:t>
            </w:r>
          </w:p>
        </w:tc>
      </w:tr>
      <w:tr w:rsidR="006871AC" w:rsidRPr="00775DFC" w14:paraId="556F64FF" w14:textId="77777777" w:rsidTr="003B1DB9">
        <w:trPr>
          <w:tblCellSpacing w:w="15" w:type="dxa"/>
          <w:jc w:val="center"/>
        </w:trPr>
        <w:tc>
          <w:tcPr>
            <w:tcW w:w="0" w:type="auto"/>
            <w:vAlign w:val="center"/>
            <w:hideMark/>
          </w:tcPr>
          <w:p w14:paraId="5566F2D9" w14:textId="77777777" w:rsidR="006871AC" w:rsidRPr="00775DFC" w:rsidRDefault="006871AC" w:rsidP="003B1DB9">
            <w:pPr>
              <w:rPr>
                <w:b/>
                <w:bCs/>
              </w:rPr>
            </w:pPr>
            <w:r w:rsidRPr="00775DFC">
              <w:t>Outcome</w:t>
            </w:r>
          </w:p>
        </w:tc>
        <w:tc>
          <w:tcPr>
            <w:tcW w:w="0" w:type="auto"/>
            <w:vAlign w:val="center"/>
            <w:hideMark/>
          </w:tcPr>
          <w:p w14:paraId="697F5867" w14:textId="77777777" w:rsidR="006871AC" w:rsidRPr="00775DFC" w:rsidRDefault="006871AC" w:rsidP="003B1DB9">
            <w:pPr>
              <w:rPr>
                <w:b/>
                <w:bCs/>
              </w:rPr>
            </w:pPr>
            <w:r w:rsidRPr="00775DFC">
              <w:t>Prediction performance and identification of at-risk students</w:t>
            </w:r>
          </w:p>
        </w:tc>
      </w:tr>
      <w:tr w:rsidR="006871AC" w:rsidRPr="00775DFC" w14:paraId="72EC829B" w14:textId="77777777" w:rsidTr="003B1DB9">
        <w:trPr>
          <w:tblCellSpacing w:w="15" w:type="dxa"/>
          <w:jc w:val="center"/>
        </w:trPr>
        <w:tc>
          <w:tcPr>
            <w:tcW w:w="0" w:type="auto"/>
            <w:tcBorders>
              <w:bottom w:val="single" w:sz="4" w:space="0" w:color="auto"/>
            </w:tcBorders>
            <w:vAlign w:val="center"/>
            <w:hideMark/>
          </w:tcPr>
          <w:p w14:paraId="2D8274F6" w14:textId="77777777" w:rsidR="006871AC" w:rsidRPr="00775DFC" w:rsidRDefault="006871AC" w:rsidP="003B1DB9">
            <w:pPr>
              <w:rPr>
                <w:b/>
                <w:bCs/>
              </w:rPr>
            </w:pPr>
            <w:r w:rsidRPr="00775DFC">
              <w:t>Context</w:t>
            </w:r>
          </w:p>
        </w:tc>
        <w:tc>
          <w:tcPr>
            <w:tcW w:w="0" w:type="auto"/>
            <w:tcBorders>
              <w:bottom w:val="single" w:sz="4" w:space="0" w:color="auto"/>
            </w:tcBorders>
            <w:vAlign w:val="center"/>
            <w:hideMark/>
          </w:tcPr>
          <w:p w14:paraId="00CDD18B" w14:textId="77777777" w:rsidR="006871AC" w:rsidRPr="00775DFC" w:rsidRDefault="006871AC" w:rsidP="003B1DB9">
            <w:pPr>
              <w:rPr>
                <w:b/>
                <w:bCs/>
              </w:rPr>
            </w:pPr>
            <w:r w:rsidRPr="00775DFC">
              <w:t>Higher education and digital learning environments</w:t>
            </w:r>
          </w:p>
        </w:tc>
      </w:tr>
    </w:tbl>
    <w:p w14:paraId="2FA80902" w14:textId="32B5B31D" w:rsidR="00443A3A" w:rsidRPr="009F6D2C" w:rsidRDefault="00746219" w:rsidP="006871AC">
      <w:pPr>
        <w:snapToGrid w:val="0"/>
        <w:spacing w:before="240"/>
      </w:pPr>
      <w:r w:rsidRPr="009F6D2C">
        <w:t>The review is guided by the following research questions:</w:t>
      </w:r>
    </w:p>
    <w:p w14:paraId="692D73B8" w14:textId="77777777" w:rsidR="00443A3A" w:rsidRPr="009F6D2C" w:rsidRDefault="00443A3A" w:rsidP="006308E3">
      <w:pPr>
        <w:snapToGrid w:val="0"/>
        <w:spacing w:before="0"/>
      </w:pPr>
      <w:r w:rsidRPr="009F6D2C">
        <w:rPr>
          <w:i/>
          <w:iCs/>
        </w:rPr>
        <w:t>RQ1:</w:t>
      </w:r>
      <w:r w:rsidRPr="009F6D2C">
        <w:t xml:space="preserve"> What types of data sources and digital engagement features are used in machine learning–based student dropout prediction studies in higher education?</w:t>
      </w:r>
    </w:p>
    <w:p w14:paraId="0FBD3B07" w14:textId="7FA53D58" w:rsidR="00443A3A" w:rsidRPr="009F6D2C" w:rsidRDefault="00443A3A" w:rsidP="006308E3">
      <w:pPr>
        <w:snapToGrid w:val="0"/>
        <w:spacing w:before="0"/>
      </w:pPr>
      <w:r w:rsidRPr="009F6D2C">
        <w:rPr>
          <w:i/>
          <w:iCs/>
        </w:rPr>
        <w:t>RQ2:</w:t>
      </w:r>
      <w:r w:rsidRPr="009F6D2C">
        <w:t xml:space="preserve"> Which machine learning algorithms are </w:t>
      </w:r>
      <w:proofErr w:type="gramStart"/>
      <w:r w:rsidRPr="009F6D2C">
        <w:t>most commonly applied</w:t>
      </w:r>
      <w:proofErr w:type="gramEnd"/>
      <w:r w:rsidRPr="009F6D2C">
        <w:t>?</w:t>
      </w:r>
    </w:p>
    <w:p w14:paraId="698E4592" w14:textId="77777777" w:rsidR="00443A3A" w:rsidRPr="009F6D2C" w:rsidRDefault="00443A3A" w:rsidP="006308E3">
      <w:pPr>
        <w:snapToGrid w:val="0"/>
        <w:spacing w:before="0"/>
      </w:pPr>
      <w:r w:rsidRPr="009F6D2C">
        <w:rPr>
          <w:i/>
          <w:iCs/>
        </w:rPr>
        <w:t>RQ3:</w:t>
      </w:r>
      <w:r w:rsidRPr="009F6D2C">
        <w:t xml:space="preserve"> How is prediction performance evaluated, and which evaluation metrics are most frequently reported?</w:t>
      </w:r>
    </w:p>
    <w:p w14:paraId="68C3E14C" w14:textId="2B722A51" w:rsidR="00DA0267" w:rsidRPr="009F6D2C" w:rsidRDefault="00DA0267" w:rsidP="00077F58">
      <w:pPr>
        <w:pStyle w:val="berschrift2"/>
      </w:pPr>
      <w:r w:rsidRPr="009F6D2C">
        <w:t>Search Strategy</w:t>
      </w:r>
      <w:r w:rsidR="002821E6" w:rsidRPr="009F6D2C">
        <w:t xml:space="preserve"> and Selection Criteria</w:t>
      </w:r>
    </w:p>
    <w:p w14:paraId="3DA71ABE" w14:textId="37FC42A3" w:rsidR="00DA0267" w:rsidRPr="009F6D2C" w:rsidRDefault="002821E6" w:rsidP="006308E3">
      <w:pPr>
        <w:snapToGrid w:val="0"/>
        <w:spacing w:before="0"/>
      </w:pPr>
      <w:r w:rsidRPr="009F6D2C">
        <w:t>A</w:t>
      </w:r>
      <w:r w:rsidR="00DA0267" w:rsidRPr="009F6D2C">
        <w:t xml:space="preserve"> systematic search was conducted in </w:t>
      </w:r>
      <w:r w:rsidR="00105430" w:rsidRPr="009F6D2C">
        <w:t>ScienceDirect</w:t>
      </w:r>
      <w:r w:rsidR="00DA0267" w:rsidRPr="009F6D2C">
        <w:t>, IEEE Xplore,</w:t>
      </w:r>
      <w:r w:rsidR="00105430" w:rsidRPr="009F6D2C">
        <w:t xml:space="preserve"> MDPI, Research Gate</w:t>
      </w:r>
      <w:r w:rsidR="00DA0267" w:rsidRPr="009F6D2C">
        <w:t xml:space="preserve"> and the ACM Digital Library. Search strings combined terms related to </w:t>
      </w:r>
      <w:r w:rsidR="00DA0267" w:rsidRPr="009F6D2C">
        <w:rPr>
          <w:i/>
          <w:iCs/>
        </w:rPr>
        <w:t>student dropout</w:t>
      </w:r>
      <w:r w:rsidR="00DA0267" w:rsidRPr="009F6D2C">
        <w:t>,</w:t>
      </w:r>
      <w:r w:rsidR="005A4F33" w:rsidRPr="009F6D2C">
        <w:t xml:space="preserve"> </w:t>
      </w:r>
      <w:r w:rsidR="005A4F33" w:rsidRPr="009F6D2C">
        <w:rPr>
          <w:i/>
          <w:iCs/>
        </w:rPr>
        <w:t>at-risk students</w:t>
      </w:r>
      <w:r w:rsidR="005A4F33" w:rsidRPr="009F6D2C">
        <w:t xml:space="preserve">, </w:t>
      </w:r>
      <w:r w:rsidR="005A4F33" w:rsidRPr="009F6D2C">
        <w:rPr>
          <w:i/>
          <w:iCs/>
        </w:rPr>
        <w:t>higher education</w:t>
      </w:r>
      <w:r w:rsidRPr="009F6D2C">
        <w:t>,</w:t>
      </w:r>
      <w:r w:rsidR="005A4F33" w:rsidRPr="009F6D2C">
        <w:t xml:space="preserve"> </w:t>
      </w:r>
      <w:r w:rsidR="005A4F33" w:rsidRPr="009F6D2C">
        <w:rPr>
          <w:i/>
          <w:iCs/>
        </w:rPr>
        <w:t>predictive modelling</w:t>
      </w:r>
      <w:r w:rsidR="005A4F33" w:rsidRPr="009F6D2C">
        <w:t>,</w:t>
      </w:r>
      <w:r w:rsidR="00241C9B" w:rsidRPr="009F6D2C">
        <w:t xml:space="preserve"> </w:t>
      </w:r>
      <w:r w:rsidR="00241C9B" w:rsidRPr="009F6D2C">
        <w:rPr>
          <w:i/>
          <w:iCs/>
        </w:rPr>
        <w:t>deep learning</w:t>
      </w:r>
      <w:r w:rsidR="00241C9B" w:rsidRPr="009F6D2C">
        <w:t>,</w:t>
      </w:r>
      <w:r w:rsidR="00DA0267" w:rsidRPr="009F6D2C">
        <w:t xml:space="preserve"> </w:t>
      </w:r>
      <w:r w:rsidR="00DA0267" w:rsidRPr="009F6D2C">
        <w:rPr>
          <w:i/>
          <w:iCs/>
        </w:rPr>
        <w:t>machine learning</w:t>
      </w:r>
      <w:r w:rsidR="00DA0267" w:rsidRPr="009F6D2C">
        <w:t xml:space="preserve">, and </w:t>
      </w:r>
      <w:r w:rsidR="00DA0267" w:rsidRPr="009F6D2C">
        <w:rPr>
          <w:i/>
          <w:iCs/>
        </w:rPr>
        <w:t>learning analytics</w:t>
      </w:r>
      <w:r w:rsidR="00DA0267" w:rsidRPr="009F6D2C">
        <w:t xml:space="preserve"> using Boolean operators.</w:t>
      </w:r>
    </w:p>
    <w:p w14:paraId="70292CD9" w14:textId="20175B50" w:rsidR="008B6CEC" w:rsidRPr="009F6D2C" w:rsidRDefault="008B6CEC" w:rsidP="006308E3">
      <w:pPr>
        <w:snapToGrid w:val="0"/>
        <w:spacing w:before="0"/>
      </w:pPr>
      <w:r w:rsidRPr="009F6D2C">
        <w:t>Studies were included if they were published in English, focused on higher education, applied machine learning techniques, explicitly modeled student dropout, and reported empirical evaluation metrics. Studies address</w:t>
      </w:r>
      <w:r w:rsidR="002821E6" w:rsidRPr="009F6D2C">
        <w:t>ing</w:t>
      </w:r>
      <w:r w:rsidRPr="009F6D2C">
        <w:t xml:space="preserve"> other educational levels, lack</w:t>
      </w:r>
      <w:r w:rsidR="002821E6" w:rsidRPr="009F6D2C">
        <w:t>ing</w:t>
      </w:r>
      <w:r w:rsidRPr="009F6D2C">
        <w:t xml:space="preserve"> methodological detail, </w:t>
      </w:r>
      <w:r w:rsidR="002821E6" w:rsidRPr="009F6D2C">
        <w:t>or</w:t>
      </w:r>
      <w:r w:rsidRPr="009F6D2C">
        <w:t xml:space="preserve"> no</w:t>
      </w:r>
      <w:r w:rsidR="002821E6" w:rsidRPr="009F6D2C">
        <w:t xml:space="preserve">t </w:t>
      </w:r>
      <w:r w:rsidRPr="009F6D2C">
        <w:t>peer-reviewed</w:t>
      </w:r>
      <w:r w:rsidR="002821E6" w:rsidRPr="009F6D2C">
        <w:t xml:space="preserve"> were excluded</w:t>
      </w:r>
      <w:r w:rsidRPr="009F6D2C">
        <w:t>.</w:t>
      </w:r>
    </w:p>
    <w:p w14:paraId="3BD05F57" w14:textId="1A99272F" w:rsidR="00831264" w:rsidRDefault="00DA0267" w:rsidP="006308E3">
      <w:pPr>
        <w:snapToGrid w:val="0"/>
        <w:spacing w:before="0"/>
      </w:pPr>
      <w:r w:rsidRPr="009F6D2C">
        <w:t xml:space="preserve">The search </w:t>
      </w:r>
      <w:r w:rsidR="002821E6" w:rsidRPr="009F6D2C">
        <w:t>yielded</w:t>
      </w:r>
      <w:r w:rsidRPr="009F6D2C">
        <w:t xml:space="preserve"> </w:t>
      </w:r>
      <w:r w:rsidR="00105430" w:rsidRPr="009F6D2C">
        <w:t>625</w:t>
      </w:r>
      <w:r w:rsidRPr="009F6D2C">
        <w:t xml:space="preserve"> records. After duplicate remova</w:t>
      </w:r>
      <w:r w:rsidR="008A785C" w:rsidRPr="009F6D2C">
        <w:t>l and</w:t>
      </w:r>
      <w:r w:rsidRPr="009F6D2C">
        <w:t xml:space="preserve"> screening</w:t>
      </w:r>
      <w:r w:rsidR="008A785C" w:rsidRPr="009F6D2C">
        <w:t xml:space="preserve">, </w:t>
      </w:r>
      <w:r w:rsidRPr="009F6D2C">
        <w:t xml:space="preserve">62 studies </w:t>
      </w:r>
      <w:r w:rsidR="008A785C" w:rsidRPr="009F6D2C">
        <w:t xml:space="preserve">were </w:t>
      </w:r>
      <w:r w:rsidRPr="009F6D2C">
        <w:t xml:space="preserve">included in the </w:t>
      </w:r>
      <w:r w:rsidR="008A785C" w:rsidRPr="009F6D2C">
        <w:t xml:space="preserve">final </w:t>
      </w:r>
      <w:r w:rsidRPr="009F6D2C">
        <w:t xml:space="preserve">review. </w:t>
      </w:r>
    </w:p>
    <w:p w14:paraId="057E9042" w14:textId="77777777" w:rsidR="006871AC" w:rsidRDefault="006871AC" w:rsidP="006871AC">
      <w:pPr>
        <w:keepNext/>
        <w:jc w:val="center"/>
      </w:pPr>
      <w:r w:rsidRPr="00775DFC">
        <w:rPr>
          <w:noProof/>
        </w:rPr>
        <w:lastRenderedPageBreak/>
        <w:drawing>
          <wp:inline distT="0" distB="0" distL="0" distR="0" wp14:anchorId="7BC871B1" wp14:editId="53BE86EA">
            <wp:extent cx="3960000" cy="4411398"/>
            <wp:effectExtent l="0" t="0" r="2540" b="0"/>
            <wp:docPr id="653748412" name="Picture 3" descr="A flowchart of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48412" name="Picture 3" descr="A flowchart of record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960000" cy="4411398"/>
                    </a:xfrm>
                    <a:prstGeom prst="rect">
                      <a:avLst/>
                    </a:prstGeom>
                  </pic:spPr>
                </pic:pic>
              </a:graphicData>
            </a:graphic>
          </wp:inline>
        </w:drawing>
      </w:r>
    </w:p>
    <w:p w14:paraId="6370DC83" w14:textId="77777777" w:rsidR="006871AC" w:rsidRPr="00775DFC" w:rsidRDefault="006871AC" w:rsidP="006871AC">
      <w:pPr>
        <w:pStyle w:val="Beschriftung"/>
        <w:jc w:val="center"/>
      </w:pPr>
      <w:r>
        <w:t xml:space="preserve">Figure </w:t>
      </w:r>
      <w:fldSimple w:instr=" SEQ Figure \* ARABIC ">
        <w:r>
          <w:rPr>
            <w:noProof/>
          </w:rPr>
          <w:t>1</w:t>
        </w:r>
      </w:fldSimple>
      <w:r>
        <w:t xml:space="preserve">: </w:t>
      </w:r>
      <w:r w:rsidRPr="006E464D">
        <w:t>PRISMA 2020 Flow Diagram of the Study Selection Process</w:t>
      </w:r>
    </w:p>
    <w:p w14:paraId="564D700C" w14:textId="4788CC17" w:rsidR="00DA0267" w:rsidRPr="009F6D2C" w:rsidRDefault="00DA0267" w:rsidP="00077F58">
      <w:pPr>
        <w:pStyle w:val="berschrift1"/>
      </w:pPr>
      <w:r w:rsidRPr="009F6D2C">
        <w:t>Results</w:t>
      </w:r>
    </w:p>
    <w:p w14:paraId="1AC1319E" w14:textId="1E6FF526" w:rsidR="00DA0267" w:rsidRPr="009F6D2C" w:rsidRDefault="00DA0267" w:rsidP="00077F58">
      <w:pPr>
        <w:pStyle w:val="berschrift2"/>
      </w:pPr>
      <w:r w:rsidRPr="009F6D2C">
        <w:t>Data Sources and Digital Engagement Features</w:t>
      </w:r>
    </w:p>
    <w:p w14:paraId="009927E2" w14:textId="35728A58" w:rsidR="00DA0267" w:rsidRPr="009F6D2C" w:rsidRDefault="008A785C" w:rsidP="006308E3">
      <w:pPr>
        <w:snapToGrid w:val="0"/>
        <w:spacing w:before="0"/>
      </w:pPr>
      <w:r w:rsidRPr="009F6D2C">
        <w:t>Most reviewed studies used a</w:t>
      </w:r>
      <w:r w:rsidR="00DA0267" w:rsidRPr="009F6D2C">
        <w:t xml:space="preserve">cademic records, such as grades, credits earned, and enrollment history (Nagy &amp; </w:t>
      </w:r>
      <w:proofErr w:type="spellStart"/>
      <w:r w:rsidR="00DA0267" w:rsidRPr="009F6D2C">
        <w:t>Molontay</w:t>
      </w:r>
      <w:proofErr w:type="spellEnd"/>
      <w:r w:rsidR="00DA0267" w:rsidRPr="009F6D2C">
        <w:t xml:space="preserve">, 2018; Fernández-García et al., 2021). </w:t>
      </w:r>
      <w:r w:rsidRPr="009F6D2C">
        <w:t>M</w:t>
      </w:r>
      <w:r w:rsidR="00DA0267" w:rsidRPr="009F6D2C">
        <w:t>ore recent research increasingly incorporated LMS engagement data, including login frequency, assignment submission</w:t>
      </w:r>
      <w:r w:rsidRPr="009F6D2C">
        <w:t>s</w:t>
      </w:r>
      <w:r w:rsidR="00DA0267" w:rsidRPr="009F6D2C">
        <w:t>, time-on-task, and forum activity (Queiroga et al., 2020; Tamada et al., 2022).</w:t>
      </w:r>
    </w:p>
    <w:p w14:paraId="51CF5299" w14:textId="6745BCAF" w:rsidR="008A785C" w:rsidRPr="009F6D2C" w:rsidRDefault="00DA0267" w:rsidP="006308E3">
      <w:pPr>
        <w:snapToGrid w:val="0"/>
        <w:spacing w:before="0"/>
      </w:pPr>
      <w:r w:rsidRPr="009F6D2C">
        <w:t>Studies comparing academic-only and combined datasets consistently reported improved predictive performance when engagement features were included (</w:t>
      </w:r>
      <w:proofErr w:type="spellStart"/>
      <w:r w:rsidRPr="009F6D2C">
        <w:t>Cannistrà</w:t>
      </w:r>
      <w:proofErr w:type="spellEnd"/>
      <w:r w:rsidRPr="009F6D2C">
        <w:t xml:space="preserve"> et al., 2022; </w:t>
      </w:r>
      <w:proofErr w:type="spellStart"/>
      <w:r w:rsidRPr="009F6D2C">
        <w:t>Pecuchová</w:t>
      </w:r>
      <w:proofErr w:type="spellEnd"/>
      <w:r w:rsidRPr="009F6D2C">
        <w:t xml:space="preserve"> &amp; Drlik, 2024). From a learning analytics perspective, this supports the assumption that dropout is preceded by gradual disengagement observable through digital interaction patterns (Siemens &amp; Long, 2011; Tinto, 1993).</w:t>
      </w:r>
    </w:p>
    <w:p w14:paraId="4CC91C41" w14:textId="22D4023D" w:rsidR="00DA0267" w:rsidRPr="009F6D2C" w:rsidRDefault="00DA0267" w:rsidP="00077F58">
      <w:pPr>
        <w:pStyle w:val="berschrift2"/>
      </w:pPr>
      <w:r w:rsidRPr="009F6D2C">
        <w:t>Machine Learning Algorithms</w:t>
      </w:r>
    </w:p>
    <w:p w14:paraId="5A4DD133" w14:textId="77777777" w:rsidR="00DA0267" w:rsidRPr="009F6D2C" w:rsidRDefault="00DA0267" w:rsidP="006308E3">
      <w:pPr>
        <w:snapToGrid w:val="0"/>
        <w:spacing w:before="0"/>
      </w:pPr>
      <w:r w:rsidRPr="009F6D2C">
        <w:t>Random forests were the most frequently applied algorithms and were often reported as best-performing models (</w:t>
      </w:r>
      <w:proofErr w:type="spellStart"/>
      <w:r w:rsidRPr="009F6D2C">
        <w:t>Kabathova</w:t>
      </w:r>
      <w:proofErr w:type="spellEnd"/>
      <w:r w:rsidRPr="009F6D2C">
        <w:t xml:space="preserve"> &amp; Drlik, 2021). Ensemble approaches, including boosting and stacking, gained </w:t>
      </w:r>
      <w:r w:rsidRPr="009F6D2C">
        <w:lastRenderedPageBreak/>
        <w:t>prominence in recent studies due to their robustness in handling heterogeneous and imbalanced datasets (Cuizon, 2021; Daza, 2022).</w:t>
      </w:r>
    </w:p>
    <w:p w14:paraId="4935FDD3" w14:textId="252FE17B" w:rsidR="00DA0267" w:rsidRPr="009F6D2C" w:rsidRDefault="00DA0267" w:rsidP="006308E3">
      <w:pPr>
        <w:snapToGrid w:val="0"/>
        <w:spacing w:before="0"/>
      </w:pPr>
      <w:r w:rsidRPr="009F6D2C">
        <w:t xml:space="preserve">Several studies highlighted a trade-off between predictive performance and interpretability. </w:t>
      </w:r>
      <w:r w:rsidR="00E70FC8" w:rsidRPr="009F6D2C">
        <w:t xml:space="preserve">This tension reflects the differing priorities of EDM and learning analytics and highlights the importance of model transparency for educational interventions </w:t>
      </w:r>
      <w:r w:rsidRPr="009F6D2C">
        <w:t>(</w:t>
      </w:r>
      <w:proofErr w:type="spellStart"/>
      <w:r w:rsidRPr="009F6D2C">
        <w:t>Zanellati</w:t>
      </w:r>
      <w:proofErr w:type="spellEnd"/>
      <w:r w:rsidRPr="009F6D2C">
        <w:t xml:space="preserve"> et al., 2024).</w:t>
      </w:r>
    </w:p>
    <w:p w14:paraId="37575F18" w14:textId="26AE681C" w:rsidR="00DA0267" w:rsidRPr="009F6D2C" w:rsidRDefault="00DA0267" w:rsidP="00077F58">
      <w:pPr>
        <w:pStyle w:val="berschrift2"/>
      </w:pPr>
      <w:r w:rsidRPr="009F6D2C">
        <w:t>Evaluation Metrics and Performance</w:t>
      </w:r>
    </w:p>
    <w:p w14:paraId="4DAD3420" w14:textId="00433E20" w:rsidR="00775DFC" w:rsidRDefault="00DA0267" w:rsidP="006308E3">
      <w:pPr>
        <w:snapToGrid w:val="0"/>
        <w:spacing w:before="0"/>
      </w:pPr>
      <w:r w:rsidRPr="009F6D2C">
        <w:t>Accuracy, F</w:t>
      </w:r>
      <w:r w:rsidRPr="00DB547D">
        <w:rPr>
          <w:vertAlign w:val="subscript"/>
        </w:rPr>
        <w:t>1</w:t>
      </w:r>
      <w:r w:rsidRPr="009F6D2C">
        <w:t xml:space="preserve">-score, and AUC-ROC were the </w:t>
      </w:r>
      <w:proofErr w:type="gramStart"/>
      <w:r w:rsidRPr="009F6D2C">
        <w:t>most commonly reported</w:t>
      </w:r>
      <w:proofErr w:type="gramEnd"/>
      <w:r w:rsidRPr="009F6D2C">
        <w:t xml:space="preserve"> evaluation metrics</w:t>
      </w:r>
      <w:r w:rsidR="00E17CD4" w:rsidRPr="009F6D2C">
        <w:t xml:space="preserve">. </w:t>
      </w:r>
      <w:r w:rsidR="00775DFC" w:rsidRPr="009F6D2C">
        <w:t>Given the class imbalance typical of dropout datasets, many studies preferred F1-score and AUC-ROC over accuracy alone (Fernández-García et al., 2021). These metrics are particularly relevant for learning analytics contexts, where the reliable identification of at-risk students is essential for timely intervention.</w:t>
      </w:r>
    </w:p>
    <w:p w14:paraId="6A1FA3B7" w14:textId="77777777" w:rsidR="00DB547D" w:rsidRDefault="00DB547D" w:rsidP="00DB547D">
      <w:pPr>
        <w:snapToGrid w:val="0"/>
        <w:spacing w:before="0"/>
      </w:pPr>
      <w:r>
        <w:t xml:space="preserve">The F1-score is defined as follows: </w:t>
      </w:r>
    </w:p>
    <w:p w14:paraId="399BA587" w14:textId="7D5AC9C2" w:rsidR="00DB547D" w:rsidRPr="00DB547D" w:rsidRDefault="004239CD" w:rsidP="004239CD">
      <w:pPr>
        <w:snapToGrid w:val="0"/>
        <w:spacing w:before="240" w:after="240"/>
        <w:jc w:val="center"/>
        <w:rPr>
          <w:b/>
          <w:bCs/>
        </w:rPr>
      </w:pPr>
      <w:r>
        <w:rPr>
          <w:b/>
          <w:bCs/>
          <w:noProof/>
        </w:rPr>
        <w:drawing>
          <wp:inline distT="0" distB="0" distL="0" distR="0" wp14:anchorId="1EFAFFA1" wp14:editId="53FCD396">
            <wp:extent cx="1981200" cy="381000"/>
            <wp:effectExtent l="0" t="0" r="0" b="0"/>
            <wp:docPr id="28587750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77503" name="Grafik 285877503"/>
                    <pic:cNvPicPr/>
                  </pic:nvPicPr>
                  <pic:blipFill>
                    <a:blip r:embed="rId9">
                      <a:extLst>
                        <a:ext uri="{28A0092B-C50C-407E-A947-70E740481C1C}">
                          <a14:useLocalDpi xmlns:a14="http://schemas.microsoft.com/office/drawing/2010/main" val="0"/>
                        </a:ext>
                      </a:extLst>
                    </a:blip>
                    <a:stretch>
                      <a:fillRect/>
                    </a:stretch>
                  </pic:blipFill>
                  <pic:spPr>
                    <a:xfrm>
                      <a:off x="0" y="0"/>
                      <a:ext cx="1981200" cy="381000"/>
                    </a:xfrm>
                    <a:prstGeom prst="rect">
                      <a:avLst/>
                    </a:prstGeom>
                  </pic:spPr>
                </pic:pic>
              </a:graphicData>
            </a:graphic>
          </wp:inline>
        </w:drawing>
      </w:r>
    </w:p>
    <w:p w14:paraId="201C11B1" w14:textId="42D2F058" w:rsidR="00DB547D" w:rsidRDefault="00DB547D" w:rsidP="00DB547D">
      <w:pPr>
        <w:snapToGrid w:val="0"/>
        <w:spacing w:before="0"/>
      </w:pPr>
      <w:r>
        <w:t>Its highest possible value is 1.0, indicating perfect precision and recall. The lowest possible value is 0, if the precision or the recall is zero.</w:t>
      </w:r>
    </w:p>
    <w:p w14:paraId="50AA85F8" w14:textId="23B5197E" w:rsidR="00947EF0" w:rsidRDefault="00947EF0" w:rsidP="00DB547D">
      <w:pPr>
        <w:snapToGrid w:val="0"/>
        <w:spacing w:before="0"/>
      </w:pPr>
      <w:r w:rsidRPr="00947EF0">
        <w:t xml:space="preserve">The Receiver Operating Characteristics (ROC) curve plots the True Positive Rate (TPR) against the False Positive Rate (FPR) for all possible classification thresholds. The Area Under the Curve (AUC) </w:t>
      </w:r>
      <w:proofErr w:type="spellStart"/>
      <w:r w:rsidRPr="00947EF0">
        <w:t>summarises</w:t>
      </w:r>
      <w:proofErr w:type="spellEnd"/>
      <w:r w:rsidRPr="00947EF0">
        <w:t xml:space="preserve"> this curve into a single value between 0 and 1. An AUC close to 1 indicates excellent discriminatory ability, while a value near 0.5 reflects random guessing.</w:t>
      </w:r>
    </w:p>
    <w:p w14:paraId="3E6FE89C" w14:textId="67A51AAD" w:rsidR="00DA0267" w:rsidRPr="009F6D2C" w:rsidRDefault="00DA0267" w:rsidP="00077F58">
      <w:pPr>
        <w:pStyle w:val="berschrift1"/>
      </w:pPr>
      <w:r w:rsidRPr="009F6D2C">
        <w:t>Discussion</w:t>
      </w:r>
    </w:p>
    <w:p w14:paraId="663B7146" w14:textId="6D888D62" w:rsidR="00DA0267" w:rsidRPr="009F6D2C" w:rsidRDefault="00DA0267" w:rsidP="006308E3">
      <w:pPr>
        <w:snapToGrid w:val="0"/>
        <w:spacing w:before="0"/>
      </w:pPr>
      <w:r w:rsidRPr="009F6D2C">
        <w:t>Th</w:t>
      </w:r>
      <w:r w:rsidR="00BB0C69" w:rsidRPr="009F6D2C">
        <w:t>e</w:t>
      </w:r>
      <w:r w:rsidRPr="009F6D2C">
        <w:t xml:space="preserve"> review synthesize</w:t>
      </w:r>
      <w:r w:rsidR="00775DFC" w:rsidRPr="009F6D2C">
        <w:t>s</w:t>
      </w:r>
      <w:r w:rsidRPr="009F6D2C">
        <w:t xml:space="preserve"> </w:t>
      </w:r>
      <w:r w:rsidR="00775DFC" w:rsidRPr="009F6D2C">
        <w:t xml:space="preserve">findings from </w:t>
      </w:r>
      <w:r w:rsidRPr="009F6D2C">
        <w:t xml:space="preserve">62 studies </w:t>
      </w:r>
      <w:r w:rsidR="00775DFC" w:rsidRPr="009F6D2C">
        <w:t xml:space="preserve">and </w:t>
      </w:r>
      <w:r w:rsidRPr="009F6D2C">
        <w:t>confirm</w:t>
      </w:r>
      <w:r w:rsidR="00775DFC" w:rsidRPr="009F6D2C">
        <w:t>s</w:t>
      </w:r>
      <w:r w:rsidRPr="009F6D2C">
        <w:t xml:space="preserve"> a clear shift toward engagement-based, learning analytics–driven </w:t>
      </w:r>
      <w:r w:rsidR="00775DFC" w:rsidRPr="009F6D2C">
        <w:t>dropout prediction</w:t>
      </w:r>
      <w:r w:rsidR="00914CCE" w:rsidRPr="009F6D2C">
        <w:t xml:space="preserve"> </w:t>
      </w:r>
      <w:r w:rsidRPr="009F6D2C">
        <w:t xml:space="preserve">approaches. Consistent with </w:t>
      </w:r>
      <w:r w:rsidR="00775DFC" w:rsidRPr="009F6D2C">
        <w:t>S</w:t>
      </w:r>
      <w:r w:rsidRPr="009F6D2C">
        <w:t xml:space="preserve">tudent </w:t>
      </w:r>
      <w:r w:rsidR="00775DFC" w:rsidRPr="009F6D2C">
        <w:t>I</w:t>
      </w:r>
      <w:r w:rsidRPr="009F6D2C">
        <w:t xml:space="preserve">ntegration </w:t>
      </w:r>
      <w:r w:rsidR="00775DFC" w:rsidRPr="009F6D2C">
        <w:t>T</w:t>
      </w:r>
      <w:r w:rsidRPr="009F6D2C">
        <w:t>heory, engagement features play a central role in identifying dropout risk.</w:t>
      </w:r>
    </w:p>
    <w:p w14:paraId="656299E0" w14:textId="4E6850E2" w:rsidR="00DA0267" w:rsidRPr="009F6D2C" w:rsidRDefault="00DA0267" w:rsidP="006308E3">
      <w:pPr>
        <w:snapToGrid w:val="0"/>
        <w:spacing w:before="0"/>
      </w:pPr>
      <w:r w:rsidRPr="009F6D2C">
        <w:t>Compared to earlier research relying on static academic indicators, recent studies demonstrate improved performance through combined datasets and ensemble models. However, challenges related to interpretability, ethical data use, and generalizability remain</w:t>
      </w:r>
      <w:r w:rsidR="00775DFC" w:rsidRPr="009F6D2C">
        <w:t xml:space="preserve"> unresolved</w:t>
      </w:r>
      <w:r w:rsidRPr="009F6D2C">
        <w:t>. These findings highlight the importance of aligning predictive modeling with educational theory and institutional practice.</w:t>
      </w:r>
    </w:p>
    <w:p w14:paraId="12B61187" w14:textId="525703B4" w:rsidR="00DA0267" w:rsidRPr="009F6D2C" w:rsidRDefault="00DA0267" w:rsidP="00077F58">
      <w:pPr>
        <w:pStyle w:val="berschrift1"/>
      </w:pPr>
      <w:r w:rsidRPr="009F6D2C">
        <w:t>Conclusion</w:t>
      </w:r>
    </w:p>
    <w:p w14:paraId="6DCB11C7" w14:textId="10CACB92" w:rsidR="00DA0267" w:rsidRPr="009F6D2C" w:rsidRDefault="00DA0267" w:rsidP="006308E3">
      <w:pPr>
        <w:snapToGrid w:val="0"/>
        <w:spacing w:before="0"/>
      </w:pPr>
      <w:r w:rsidRPr="009F6D2C">
        <w:t>This paper presented a systematic literature review of machine learning approaches to student dropout prediction</w:t>
      </w:r>
      <w:r w:rsidR="00775DFC" w:rsidRPr="009F6D2C">
        <w:t xml:space="preserve"> in higher education</w:t>
      </w:r>
      <w:r w:rsidRPr="009F6D2C">
        <w:t>, grounded in learning analytics and student integration theory. By integrating PICOC and PRISMA frameworks, the study demonstrated a transparent and replicable review methodology suitable for Bachelor-level education.</w:t>
      </w:r>
    </w:p>
    <w:p w14:paraId="2275DFCE" w14:textId="6342EB5D" w:rsidR="00DA0267" w:rsidRPr="009F6D2C" w:rsidRDefault="00DA0267" w:rsidP="006308E3">
      <w:pPr>
        <w:snapToGrid w:val="0"/>
        <w:spacing w:before="0"/>
      </w:pPr>
      <w:r w:rsidRPr="009F6D2C">
        <w:lastRenderedPageBreak/>
        <w:t>The results highlight the importance of engagement data, ensemble model</w:t>
      </w:r>
      <w:r w:rsidR="00775DFC" w:rsidRPr="009F6D2C">
        <w:t>s</w:t>
      </w:r>
      <w:r w:rsidRPr="009F6D2C">
        <w:t>, and evaluation metrics</w:t>
      </w:r>
      <w:r w:rsidR="00775DFC" w:rsidRPr="009F6D2C">
        <w:t xml:space="preserve"> appropriate for imbalanced datasets</w:t>
      </w:r>
      <w:r w:rsidRPr="009F6D2C">
        <w:t xml:space="preserve">. Future research should focus on interpretable models, cross-institutional validation, and </w:t>
      </w:r>
      <w:r w:rsidR="00775DFC" w:rsidRPr="009F6D2C">
        <w:t xml:space="preserve">the </w:t>
      </w:r>
      <w:r w:rsidRPr="009F6D2C">
        <w:t>ethical deployment of learning analytics systems.</w:t>
      </w:r>
    </w:p>
    <w:p w14:paraId="1302E8F0" w14:textId="316964C7" w:rsidR="008F7D27" w:rsidRPr="009F6D2C" w:rsidRDefault="008D416F" w:rsidP="00077F58">
      <w:pPr>
        <w:pStyle w:val="berschrift1"/>
      </w:pPr>
      <w:r w:rsidRPr="009F6D2C">
        <w:t>References</w:t>
      </w:r>
    </w:p>
    <w:p w14:paraId="2EED9480" w14:textId="77777777" w:rsidR="008F7D27" w:rsidRPr="009F6D2C" w:rsidRDefault="008F7D27" w:rsidP="006308E3">
      <w:pPr>
        <w:snapToGrid w:val="0"/>
        <w:spacing w:before="0"/>
        <w:jc w:val="left"/>
      </w:pPr>
      <w:proofErr w:type="spellStart"/>
      <w:r w:rsidRPr="009F6D2C">
        <w:t>Aulck</w:t>
      </w:r>
      <w:proofErr w:type="spellEnd"/>
      <w:r w:rsidRPr="009F6D2C">
        <w:t>, L. S., Nambi, D., Velagapudi, N., Blumenstock, J. E., &amp; West, J. D. (2019). Mining university registrar records to predict first-year undergraduate attrition. Proceedings of the Educational Data Mining Conference (EDM 2019).</w:t>
      </w:r>
    </w:p>
    <w:p w14:paraId="0E510864" w14:textId="77777777" w:rsidR="008F7D27" w:rsidRPr="009F6D2C" w:rsidRDefault="008F7D27" w:rsidP="006308E3">
      <w:pPr>
        <w:snapToGrid w:val="0"/>
        <w:spacing w:before="0"/>
        <w:jc w:val="left"/>
      </w:pPr>
      <w:proofErr w:type="spellStart"/>
      <w:r w:rsidRPr="009F6D2C">
        <w:t>Cannistrà</w:t>
      </w:r>
      <w:proofErr w:type="spellEnd"/>
      <w:r w:rsidRPr="009F6D2C">
        <w:t xml:space="preserve">, M., Masci, C., Ieva, F., </w:t>
      </w:r>
      <w:proofErr w:type="spellStart"/>
      <w:r w:rsidRPr="009F6D2C">
        <w:t>Agasisti</w:t>
      </w:r>
      <w:proofErr w:type="spellEnd"/>
      <w:r w:rsidRPr="009F6D2C">
        <w:t xml:space="preserve">, T., &amp; </w:t>
      </w:r>
      <w:proofErr w:type="spellStart"/>
      <w:r w:rsidRPr="009F6D2C">
        <w:t>Paganoni</w:t>
      </w:r>
      <w:proofErr w:type="spellEnd"/>
      <w:r w:rsidRPr="009F6D2C">
        <w:t xml:space="preserve">, A. M. (2022). </w:t>
      </w:r>
      <w:proofErr w:type="gramStart"/>
      <w:r w:rsidRPr="009F6D2C">
        <w:t>Early-predicting</w:t>
      </w:r>
      <w:proofErr w:type="gramEnd"/>
      <w:r w:rsidRPr="009F6D2C">
        <w:t xml:space="preserve"> dropout of university students: An application of innovative multilevel machine learning and statistical techniques. Studies in Higher Education, 47(9), 1935–1956. </w:t>
      </w:r>
      <w:hyperlink r:id="rId10" w:tgtFrame="_new">
        <w:r w:rsidRPr="009F6D2C">
          <w:rPr>
            <w:rStyle w:val="Hyperlink"/>
          </w:rPr>
          <w:t>https://doi.org/10.1080/03075079.2021.2018415</w:t>
        </w:r>
      </w:hyperlink>
    </w:p>
    <w:p w14:paraId="1E3EA2EC" w14:textId="77777777" w:rsidR="006F7B8E" w:rsidRPr="009F6D2C" w:rsidRDefault="006F7B8E" w:rsidP="006308E3">
      <w:pPr>
        <w:snapToGrid w:val="0"/>
        <w:spacing w:before="0"/>
        <w:jc w:val="left"/>
      </w:pPr>
      <w:r w:rsidRPr="009F6D2C">
        <w:t xml:space="preserve">Cuizon, J. (2021). Ensemble predictive model for academic churn risk using plurality voting. Mindanao Journal of Science and Technology, 19, 1028–1038. </w:t>
      </w:r>
      <w:hyperlink r:id="rId11" w:tgtFrame="_new">
        <w:r w:rsidRPr="009F6D2C">
          <w:rPr>
            <w:rStyle w:val="Hyperlink"/>
          </w:rPr>
          <w:t>https://doi.org/10.61310/mndjsteect.1028.21</w:t>
        </w:r>
      </w:hyperlink>
    </w:p>
    <w:p w14:paraId="7C677F4A" w14:textId="77777777" w:rsidR="006F7B8E" w:rsidRPr="009F6D2C" w:rsidRDefault="006F7B8E" w:rsidP="006308E3">
      <w:pPr>
        <w:snapToGrid w:val="0"/>
        <w:spacing w:before="0"/>
        <w:jc w:val="left"/>
      </w:pPr>
      <w:r w:rsidRPr="009F6D2C">
        <w:t xml:space="preserve">Daza, A. (2022). A stacking-based hybrid technique to predict student dropout at universities. Journal of Theoretical and Applied Information Technology, 100(13), 4800–4816. </w:t>
      </w:r>
      <w:hyperlink r:id="rId12" w:tgtFrame="_new">
        <w:r w:rsidRPr="009F6D2C">
          <w:rPr>
            <w:rStyle w:val="Hyperlink"/>
          </w:rPr>
          <w:t>https://www.jatit.org</w:t>
        </w:r>
      </w:hyperlink>
    </w:p>
    <w:p w14:paraId="35E79281" w14:textId="77777777" w:rsidR="008F7D27" w:rsidRPr="009F6D2C" w:rsidRDefault="008F7D27" w:rsidP="006308E3">
      <w:pPr>
        <w:snapToGrid w:val="0"/>
        <w:spacing w:before="0"/>
        <w:jc w:val="left"/>
      </w:pPr>
      <w:r w:rsidRPr="009F6D2C">
        <w:t xml:space="preserve">Fernández-García, A. J., Preciado, J. C., Melchor, F., Rodriguez-Echeverria, R., </w:t>
      </w:r>
      <w:proofErr w:type="spellStart"/>
      <w:r w:rsidRPr="009F6D2C">
        <w:t>Conejero</w:t>
      </w:r>
      <w:proofErr w:type="spellEnd"/>
      <w:r w:rsidRPr="009F6D2C">
        <w:t xml:space="preserve">, J. M., &amp; Sánchez-Figueroa, F. (2021). A real-life machine learning experience for predicting university dropout at different stages using academic data. IEEE Access, 9, 133076–133090. </w:t>
      </w:r>
      <w:hyperlink r:id="rId13" w:tgtFrame="_new">
        <w:r w:rsidRPr="009F6D2C">
          <w:rPr>
            <w:rStyle w:val="Hyperlink"/>
          </w:rPr>
          <w:t>https://doi.org/10.1109/ACCESS.2021.3115851</w:t>
        </w:r>
      </w:hyperlink>
    </w:p>
    <w:p w14:paraId="6FBA687B" w14:textId="77777777" w:rsidR="008F7D27" w:rsidRPr="009F6D2C" w:rsidRDefault="008F7D27" w:rsidP="006308E3">
      <w:pPr>
        <w:snapToGrid w:val="0"/>
        <w:spacing w:before="0"/>
        <w:jc w:val="left"/>
      </w:pPr>
      <w:proofErr w:type="spellStart"/>
      <w:r w:rsidRPr="009F6D2C">
        <w:t>Kabathova</w:t>
      </w:r>
      <w:proofErr w:type="spellEnd"/>
      <w:r w:rsidRPr="009F6D2C">
        <w:t xml:space="preserve">, J., &amp; Drlik, M. (2021). Towards Predicting Student’s Dropout in University Courses Using Different Machine Learning Techniques. Applied Sciences, 11(7), 3130. </w:t>
      </w:r>
      <w:hyperlink r:id="rId14">
        <w:r w:rsidRPr="009F6D2C">
          <w:rPr>
            <w:rStyle w:val="Hyperlink"/>
          </w:rPr>
          <w:t>https://doi.org/10.3390/app11073130</w:t>
        </w:r>
      </w:hyperlink>
    </w:p>
    <w:p w14:paraId="5E328B1F" w14:textId="77777777" w:rsidR="008F7D27" w:rsidRPr="009F6D2C" w:rsidRDefault="008F7D27" w:rsidP="006308E3">
      <w:pPr>
        <w:snapToGrid w:val="0"/>
        <w:spacing w:before="0"/>
        <w:jc w:val="left"/>
      </w:pPr>
      <w:r w:rsidRPr="009F6D2C">
        <w:t xml:space="preserve">Mason, C., Twomey, J., Wright, D., et al. (2018). Predicting engineering student attrition risk using a probabilistic neural network and comparing results with a backpropagation neural network and logistic regression. Research in Higher Education, 59, 382–400. </w:t>
      </w:r>
      <w:hyperlink r:id="rId15" w:tgtFrame="_new">
        <w:r w:rsidRPr="009F6D2C">
          <w:rPr>
            <w:rStyle w:val="Hyperlink"/>
          </w:rPr>
          <w:t>https://doi.org/10.1007/s11162-017-9473-z</w:t>
        </w:r>
      </w:hyperlink>
    </w:p>
    <w:p w14:paraId="2DB1F030" w14:textId="77777777" w:rsidR="008F7D27" w:rsidRPr="009F6D2C" w:rsidRDefault="008F7D27" w:rsidP="006308E3">
      <w:pPr>
        <w:snapToGrid w:val="0"/>
        <w:spacing w:before="0"/>
        <w:jc w:val="left"/>
      </w:pPr>
      <w:r w:rsidRPr="009F6D2C">
        <w:t xml:space="preserve">Nagy, M., &amp; </w:t>
      </w:r>
      <w:proofErr w:type="spellStart"/>
      <w:r w:rsidRPr="009F6D2C">
        <w:t>Molontay</w:t>
      </w:r>
      <w:proofErr w:type="spellEnd"/>
      <w:r w:rsidRPr="009F6D2C">
        <w:t xml:space="preserve">, R. (2018). Predicting dropout in higher education based on secondary school performance. In 2018 IEEE 22nd International Conference on Intelligent Engineering Systems (INES) (pp. 389–394). IEEE. </w:t>
      </w:r>
      <w:hyperlink r:id="rId16" w:tgtFrame="_new">
        <w:r w:rsidRPr="009F6D2C">
          <w:rPr>
            <w:rStyle w:val="Hyperlink"/>
          </w:rPr>
          <w:t>https://doi.org/10.1109/INES.2018.8523888</w:t>
        </w:r>
      </w:hyperlink>
    </w:p>
    <w:p w14:paraId="759B53CD" w14:textId="77777777" w:rsidR="008F7D27" w:rsidRPr="009F6D2C" w:rsidRDefault="008F7D27" w:rsidP="006308E3">
      <w:pPr>
        <w:snapToGrid w:val="0"/>
        <w:spacing w:before="0"/>
        <w:jc w:val="left"/>
      </w:pPr>
      <w:r w:rsidRPr="009F6D2C">
        <w:t xml:space="preserve">Pecuchova, J., &amp; Drlik, M. (2024). Enhancing the early student dropout prediction model through clustering analysis of students’ digital traces. IEEE Access, 12, 159336–159367. </w:t>
      </w:r>
      <w:hyperlink r:id="rId17">
        <w:r w:rsidRPr="009F6D2C">
          <w:rPr>
            <w:rStyle w:val="Hyperlink"/>
          </w:rPr>
          <w:t>https://doi.org/10.1109/ACCESS.2024.3486762</w:t>
        </w:r>
      </w:hyperlink>
    </w:p>
    <w:p w14:paraId="04C1FB0D" w14:textId="77777777" w:rsidR="008F7D27" w:rsidRPr="009F6D2C" w:rsidRDefault="008F7D27" w:rsidP="006308E3">
      <w:pPr>
        <w:snapToGrid w:val="0"/>
        <w:spacing w:before="0"/>
        <w:jc w:val="left"/>
      </w:pPr>
      <w:r w:rsidRPr="009F6D2C">
        <w:t xml:space="preserve">Queiroga, E. M., Lopes, J. L., Kappel, K., Aguiar, M., Araújo, R. M., Munoz, R., Villarroel, R., &amp; </w:t>
      </w:r>
      <w:proofErr w:type="spellStart"/>
      <w:r w:rsidRPr="009F6D2C">
        <w:t>Cechinel</w:t>
      </w:r>
      <w:proofErr w:type="spellEnd"/>
      <w:r w:rsidRPr="009F6D2C">
        <w:t xml:space="preserve">, C. (2020). A Learning Analytics Approach to Identify Students at Risk of Dropout: A Case </w:t>
      </w:r>
      <w:r w:rsidRPr="009F6D2C">
        <w:lastRenderedPageBreak/>
        <w:t xml:space="preserve">Study with a Technical Distance Education Course. Applied Sciences, 10(11), 3998. </w:t>
      </w:r>
      <w:hyperlink r:id="rId18" w:tgtFrame="_new">
        <w:r w:rsidRPr="009F6D2C">
          <w:rPr>
            <w:rStyle w:val="Hyperlink"/>
          </w:rPr>
          <w:t>https://doi.org/10.3390/app10113998</w:t>
        </w:r>
      </w:hyperlink>
    </w:p>
    <w:p w14:paraId="3F279EFA" w14:textId="77777777" w:rsidR="008F7D27" w:rsidRPr="009F6D2C" w:rsidRDefault="008F7D27" w:rsidP="006308E3">
      <w:pPr>
        <w:snapToGrid w:val="0"/>
        <w:spacing w:before="0"/>
        <w:jc w:val="left"/>
      </w:pPr>
      <w:r w:rsidRPr="009F6D2C">
        <w:t xml:space="preserve">Romero, C., &amp; Ventura, S. (2020). Educational data mining and learning analytics: An updated survey. Wiley Interdisciplinary Reviews: Data Mining and Knowledge Discovery, 10(3), e1355. </w:t>
      </w:r>
      <w:hyperlink r:id="rId19" w:history="1">
        <w:r w:rsidRPr="009F6D2C">
          <w:rPr>
            <w:rStyle w:val="Hyperlink"/>
          </w:rPr>
          <w:t>https://doi.org/10.1002/widm.1355</w:t>
        </w:r>
      </w:hyperlink>
      <w:r w:rsidRPr="009F6D2C">
        <w:t>.</w:t>
      </w:r>
    </w:p>
    <w:p w14:paraId="1851304C" w14:textId="77777777" w:rsidR="008F7D27" w:rsidRPr="009F6D2C" w:rsidRDefault="008F7D27" w:rsidP="006308E3">
      <w:pPr>
        <w:snapToGrid w:val="0"/>
        <w:spacing w:before="0"/>
        <w:jc w:val="left"/>
      </w:pPr>
      <w:r w:rsidRPr="009F6D2C">
        <w:t>Siemens, G., &amp; Long, P. (2011). Penetrating the fog: Analytics in learning and education. EDUCAUSE Review, 46(5), 30–40.</w:t>
      </w:r>
    </w:p>
    <w:p w14:paraId="5534855A" w14:textId="77777777" w:rsidR="008F7D27" w:rsidRPr="009F6D2C" w:rsidRDefault="008F7D27" w:rsidP="006308E3">
      <w:pPr>
        <w:snapToGrid w:val="0"/>
        <w:spacing w:before="0"/>
        <w:jc w:val="left"/>
      </w:pPr>
      <w:r w:rsidRPr="009F6D2C">
        <w:t xml:space="preserve">Tamada, M. M., Giusti, R., &amp; Netto, J. F. d. M. (2022). Predicting students at risk of dropout in technical course using LMS logs. Electronics, 11(3), 468. </w:t>
      </w:r>
      <w:hyperlink r:id="rId20" w:tgtFrame="_new">
        <w:r w:rsidRPr="009F6D2C">
          <w:rPr>
            <w:rStyle w:val="Hyperlink"/>
          </w:rPr>
          <w:t>https://doi.org/10.3390/electronics11030468</w:t>
        </w:r>
      </w:hyperlink>
    </w:p>
    <w:p w14:paraId="16A4DA50" w14:textId="77777777" w:rsidR="008F7D27" w:rsidRPr="009F6D2C" w:rsidRDefault="008F7D27" w:rsidP="006308E3">
      <w:pPr>
        <w:snapToGrid w:val="0"/>
        <w:spacing w:before="0"/>
        <w:jc w:val="left"/>
      </w:pPr>
      <w:r w:rsidRPr="009F6D2C">
        <w:t>Tinto, V. (1993). Leaving college: Rethinking the causes and cures of student attrition (2nd ed.). University of Chicago Press.</w:t>
      </w:r>
    </w:p>
    <w:p w14:paraId="7BFDE962" w14:textId="557CDFC1" w:rsidR="005065B3" w:rsidRPr="009F6D2C" w:rsidRDefault="008F7D27" w:rsidP="006308E3">
      <w:pPr>
        <w:snapToGrid w:val="0"/>
        <w:spacing w:before="0"/>
        <w:jc w:val="left"/>
      </w:pPr>
      <w:proofErr w:type="spellStart"/>
      <w:r w:rsidRPr="009F6D2C">
        <w:t>Zanellati</w:t>
      </w:r>
      <w:proofErr w:type="spellEnd"/>
      <w:r w:rsidRPr="009F6D2C">
        <w:t xml:space="preserve">, A., Zingaro, S. P., &amp; </w:t>
      </w:r>
      <w:proofErr w:type="spellStart"/>
      <w:r w:rsidRPr="009F6D2C">
        <w:t>Gabbrielli</w:t>
      </w:r>
      <w:proofErr w:type="spellEnd"/>
      <w:r w:rsidRPr="009F6D2C">
        <w:t xml:space="preserve">, M. (2024). Balancing performance and explainability in academic dropout prediction. IEEE Transactions on Learning Technologies, 17, 2086–2099. </w:t>
      </w:r>
      <w:hyperlink r:id="rId21" w:tgtFrame="_new">
        <w:r w:rsidRPr="009F6D2C">
          <w:rPr>
            <w:rStyle w:val="Hyperlink"/>
          </w:rPr>
          <w:t>https://doi.org/10.1109/TLT.2024.3425959</w:t>
        </w:r>
      </w:hyperlink>
    </w:p>
    <w:sectPr w:rsidR="005065B3" w:rsidRPr="009F6D2C">
      <w:footerReference w:type="default" r:id="rId22"/>
      <w:pgSz w:w="11910" w:h="16840"/>
      <w:pgMar w:top="1360" w:right="1275" w:bottom="1240" w:left="1417" w:header="0" w:footer="10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78934" w14:textId="77777777" w:rsidR="004511D3" w:rsidRDefault="004511D3">
      <w:pPr>
        <w:spacing w:before="0" w:line="240" w:lineRule="auto"/>
      </w:pPr>
      <w:r>
        <w:separator/>
      </w:r>
    </w:p>
  </w:endnote>
  <w:endnote w:type="continuationSeparator" w:id="0">
    <w:p w14:paraId="3CDFBA77" w14:textId="77777777" w:rsidR="004511D3" w:rsidRDefault="004511D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1A0B" w14:textId="77777777" w:rsidR="005065B3" w:rsidRDefault="008D416F">
    <w:pPr>
      <w:pStyle w:val="Textkrper"/>
      <w:spacing w:line="14" w:lineRule="auto"/>
      <w:ind w:left="0"/>
      <w:rPr>
        <w:sz w:val="20"/>
      </w:rPr>
    </w:pPr>
    <w:r>
      <w:rPr>
        <w:noProof/>
        <w:sz w:val="20"/>
      </w:rPr>
      <mc:AlternateContent>
        <mc:Choice Requires="wps">
          <w:drawing>
            <wp:anchor distT="0" distB="0" distL="0" distR="0" simplePos="0" relativeHeight="486750720" behindDoc="1" locked="0" layoutInCell="1" allowOverlap="1" wp14:anchorId="26FE5E57" wp14:editId="0775F691">
              <wp:simplePos x="0" y="0"/>
              <wp:positionH relativeFrom="page">
                <wp:posOffset>6482334</wp:posOffset>
              </wp:positionH>
              <wp:positionV relativeFrom="page">
                <wp:posOffset>9891301</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5380CCAD" w14:textId="77777777" w:rsidR="005065B3" w:rsidRDefault="008D416F">
                          <w:pPr>
                            <w:pStyle w:val="Textkrpe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6FE5E57" id="_x0000_t202" coordsize="21600,21600" o:spt="202" path="m,l,21600r21600,l21600,xe">
              <v:stroke joinstyle="miter"/>
              <v:path gradientshapeok="t" o:connecttype="rect"/>
            </v:shapetype>
            <v:shape id="Textbox 1" o:spid="_x0000_s1026" type="#_x0000_t202" style="position:absolute;left:0;text-align:left;margin-left:510.4pt;margin-top:778.85pt;width:17pt;height:15.3pt;z-index:-1656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TfSkwEAABoDAAAOAAAAZHJzL2Uyb0RvYy54bWysUtuO0zAQfUfiHyy/UyflIjZqugJWIKQV&#13;&#10;rLTwAa5jNxGxx8y4Tfr3jL1pi+AN8WKPPeMz55zx5nb2ozhapAFCK+tVJYUNBroh7Fv5/dvHF2+l&#13;&#10;oKRDp0cItpUnS/J2+/zZZoqNXUMPY2dRMEigZoqt7FOKjVJkeus1rSDawEkH6HXiI+5Vh3pidD+q&#13;&#10;dVW9URNgFxGMJeLbu6ek3BZ856xJX50jm8TYSuaWyopl3eVVbTe62aOO/WAWGvofWHg9BG56gbrT&#13;&#10;SYsDDn9B+cEgELi0MuAVODcYWzSwmrr6Q81jr6MtWtgciheb6P/Bmi/Hx/iAIs3vYeYBFhEU78H8&#13;&#10;IPZGTZGapSZ7Sg1xdRY6O/R5ZwmCH7K3p4ufdk7C8OW6fn1TccZwqr559bIufqvr44iUPlnwIget&#13;&#10;RB5XIaCP95Rye92cSxYuT+0zkTTvZi7J4Q66E2uYeIytpJ8HjVaK8XNgn/LMzwGeg905wDR+gPIz&#13;&#10;spQA7w4J3FA6X3GXzjyAQmj5LHnCv59L1fVLb38BAAD//wMAUEsDBBQABgAIAAAAIQCxvIFP5gAA&#13;&#10;ABQBAAAPAAAAZHJzL2Rvd25yZXYueG1sTE9Nb4MwDL1P2n+IPGm3NVk3WkoJVbWP06RqlB16DJBC&#13;&#10;VOIwkrbs38+ctovl92w/v5duRtuxix68cSjhcSaAaaxcbbCR8FW8P8TAfFBYq86hlvCjPWyy25tU&#13;&#10;JbW7Yq4v+9AwEkGfKAltCH3Cua9abZWfuV4jzY5usCoQHBpeD+pK4rbjcyEW3CqD9KFVvX5pdXXa&#13;&#10;n62E7QHzN/O9Kz/zY26KYiXwY3GS8v5ufF1T2a6BBT2GvwuYMpB/yMhY6c5Ye9YRFnNBAQJ1UbRc&#13;&#10;Apt2RPRMXDlxcfwEPEv5/zDZLwAAAP//AwBQSwECLQAUAAYACAAAACEAtoM4kv4AAADhAQAAEwAA&#13;&#10;AAAAAAAAAAAAAAAAAAAAW0NvbnRlbnRfVHlwZXNdLnhtbFBLAQItABQABgAIAAAAIQA4/SH/1gAA&#13;&#10;AJQBAAALAAAAAAAAAAAAAAAAAC8BAABfcmVscy8ucmVsc1BLAQItABQABgAIAAAAIQBSCTfSkwEA&#13;&#10;ABoDAAAOAAAAAAAAAAAAAAAAAC4CAABkcnMvZTJvRG9jLnhtbFBLAQItABQABgAIAAAAIQCxvIFP&#13;&#10;5gAAABQBAAAPAAAAAAAAAAAAAAAAAO0DAABkcnMvZG93bnJldi54bWxQSwUGAAAAAAQABADzAAAA&#13;&#10;AAUAAAAA&#13;&#10;" filled="f" stroked="f">
              <v:textbox inset="0,0,0,0">
                <w:txbxContent>
                  <w:p w14:paraId="5380CCAD" w14:textId="77777777" w:rsidR="005065B3" w:rsidRDefault="008D416F">
                    <w:pPr>
                      <w:pStyle w:val="Textkrpe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507B9" w14:textId="77777777" w:rsidR="004511D3" w:rsidRDefault="004511D3">
      <w:pPr>
        <w:spacing w:before="0" w:line="240" w:lineRule="auto"/>
      </w:pPr>
      <w:r>
        <w:separator/>
      </w:r>
    </w:p>
  </w:footnote>
  <w:footnote w:type="continuationSeparator" w:id="0">
    <w:p w14:paraId="65B046C3" w14:textId="77777777" w:rsidR="004511D3" w:rsidRDefault="004511D3">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A2E"/>
    <w:multiLevelType w:val="hybridMultilevel"/>
    <w:tmpl w:val="56B6F05A"/>
    <w:lvl w:ilvl="0" w:tplc="04070001">
      <w:start w:val="1"/>
      <w:numFmt w:val="bullet"/>
      <w:lvlText w:val=""/>
      <w:lvlJc w:val="left"/>
      <w:pPr>
        <w:ind w:left="743" w:hanging="360"/>
      </w:pPr>
      <w:rPr>
        <w:rFonts w:ascii="Symbol" w:hAnsi="Symbol" w:hint="default"/>
      </w:rPr>
    </w:lvl>
    <w:lvl w:ilvl="1" w:tplc="04070003" w:tentative="1">
      <w:start w:val="1"/>
      <w:numFmt w:val="bullet"/>
      <w:lvlText w:val="o"/>
      <w:lvlJc w:val="left"/>
      <w:pPr>
        <w:ind w:left="1463" w:hanging="360"/>
      </w:pPr>
      <w:rPr>
        <w:rFonts w:ascii="Courier New" w:hAnsi="Courier New" w:cs="Courier New" w:hint="default"/>
      </w:rPr>
    </w:lvl>
    <w:lvl w:ilvl="2" w:tplc="04070005" w:tentative="1">
      <w:start w:val="1"/>
      <w:numFmt w:val="bullet"/>
      <w:lvlText w:val=""/>
      <w:lvlJc w:val="left"/>
      <w:pPr>
        <w:ind w:left="2183" w:hanging="360"/>
      </w:pPr>
      <w:rPr>
        <w:rFonts w:ascii="Wingdings" w:hAnsi="Wingdings" w:hint="default"/>
      </w:rPr>
    </w:lvl>
    <w:lvl w:ilvl="3" w:tplc="04070001" w:tentative="1">
      <w:start w:val="1"/>
      <w:numFmt w:val="bullet"/>
      <w:lvlText w:val=""/>
      <w:lvlJc w:val="left"/>
      <w:pPr>
        <w:ind w:left="2903" w:hanging="360"/>
      </w:pPr>
      <w:rPr>
        <w:rFonts w:ascii="Symbol" w:hAnsi="Symbol" w:hint="default"/>
      </w:rPr>
    </w:lvl>
    <w:lvl w:ilvl="4" w:tplc="04070003" w:tentative="1">
      <w:start w:val="1"/>
      <w:numFmt w:val="bullet"/>
      <w:lvlText w:val="o"/>
      <w:lvlJc w:val="left"/>
      <w:pPr>
        <w:ind w:left="3623" w:hanging="360"/>
      </w:pPr>
      <w:rPr>
        <w:rFonts w:ascii="Courier New" w:hAnsi="Courier New" w:cs="Courier New" w:hint="default"/>
      </w:rPr>
    </w:lvl>
    <w:lvl w:ilvl="5" w:tplc="04070005" w:tentative="1">
      <w:start w:val="1"/>
      <w:numFmt w:val="bullet"/>
      <w:lvlText w:val=""/>
      <w:lvlJc w:val="left"/>
      <w:pPr>
        <w:ind w:left="4343" w:hanging="360"/>
      </w:pPr>
      <w:rPr>
        <w:rFonts w:ascii="Wingdings" w:hAnsi="Wingdings" w:hint="default"/>
      </w:rPr>
    </w:lvl>
    <w:lvl w:ilvl="6" w:tplc="04070001" w:tentative="1">
      <w:start w:val="1"/>
      <w:numFmt w:val="bullet"/>
      <w:lvlText w:val=""/>
      <w:lvlJc w:val="left"/>
      <w:pPr>
        <w:ind w:left="5063" w:hanging="360"/>
      </w:pPr>
      <w:rPr>
        <w:rFonts w:ascii="Symbol" w:hAnsi="Symbol" w:hint="default"/>
      </w:rPr>
    </w:lvl>
    <w:lvl w:ilvl="7" w:tplc="04070003" w:tentative="1">
      <w:start w:val="1"/>
      <w:numFmt w:val="bullet"/>
      <w:lvlText w:val="o"/>
      <w:lvlJc w:val="left"/>
      <w:pPr>
        <w:ind w:left="5783" w:hanging="360"/>
      </w:pPr>
      <w:rPr>
        <w:rFonts w:ascii="Courier New" w:hAnsi="Courier New" w:cs="Courier New" w:hint="default"/>
      </w:rPr>
    </w:lvl>
    <w:lvl w:ilvl="8" w:tplc="04070005" w:tentative="1">
      <w:start w:val="1"/>
      <w:numFmt w:val="bullet"/>
      <w:lvlText w:val=""/>
      <w:lvlJc w:val="left"/>
      <w:pPr>
        <w:ind w:left="6503" w:hanging="360"/>
      </w:pPr>
      <w:rPr>
        <w:rFonts w:ascii="Wingdings" w:hAnsi="Wingdings" w:hint="default"/>
      </w:rPr>
    </w:lvl>
  </w:abstractNum>
  <w:abstractNum w:abstractNumId="1" w15:restartNumberingAfterBreak="0">
    <w:nsid w:val="0F740369"/>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01537DC"/>
    <w:multiLevelType w:val="multilevel"/>
    <w:tmpl w:val="41EA42C2"/>
    <w:lvl w:ilvl="0">
      <w:start w:val="1"/>
      <w:numFmt w:val="decimal"/>
      <w:lvlText w:val="%1."/>
      <w:lvlJc w:val="left"/>
      <w:pPr>
        <w:ind w:left="253" w:hanging="23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74" w:hanging="360"/>
      </w:pPr>
      <w:rPr>
        <w:rFonts w:hint="default"/>
        <w:lang w:val="en-US" w:eastAsia="en-US" w:bidi="ar-SA"/>
      </w:rPr>
    </w:lvl>
    <w:lvl w:ilvl="3">
      <w:numFmt w:val="bullet"/>
      <w:lvlText w:val="•"/>
      <w:lvlJc w:val="left"/>
      <w:pPr>
        <w:ind w:left="2529" w:hanging="360"/>
      </w:pPr>
      <w:rPr>
        <w:rFonts w:hint="default"/>
        <w:lang w:val="en-US" w:eastAsia="en-US" w:bidi="ar-SA"/>
      </w:rPr>
    </w:lvl>
    <w:lvl w:ilvl="4">
      <w:numFmt w:val="bullet"/>
      <w:lvlText w:val="•"/>
      <w:lvlJc w:val="left"/>
      <w:pPr>
        <w:ind w:left="3484" w:hanging="360"/>
      </w:pPr>
      <w:rPr>
        <w:rFonts w:hint="default"/>
        <w:lang w:val="en-US" w:eastAsia="en-US" w:bidi="ar-SA"/>
      </w:rPr>
    </w:lvl>
    <w:lvl w:ilvl="5">
      <w:numFmt w:val="bullet"/>
      <w:lvlText w:val="•"/>
      <w:lvlJc w:val="left"/>
      <w:pPr>
        <w:ind w:left="4439" w:hanging="360"/>
      </w:pPr>
      <w:rPr>
        <w:rFonts w:hint="default"/>
        <w:lang w:val="en-US" w:eastAsia="en-US" w:bidi="ar-SA"/>
      </w:rPr>
    </w:lvl>
    <w:lvl w:ilvl="6">
      <w:numFmt w:val="bullet"/>
      <w:lvlText w:val="•"/>
      <w:lvlJc w:val="left"/>
      <w:pPr>
        <w:ind w:left="5394"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304" w:hanging="360"/>
      </w:pPr>
      <w:rPr>
        <w:rFonts w:hint="default"/>
        <w:lang w:val="en-US" w:eastAsia="en-US" w:bidi="ar-SA"/>
      </w:rPr>
    </w:lvl>
  </w:abstractNum>
  <w:abstractNum w:abstractNumId="3" w15:restartNumberingAfterBreak="0">
    <w:nsid w:val="14FB0B3F"/>
    <w:multiLevelType w:val="multilevel"/>
    <w:tmpl w:val="C8A84E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1C1620EA"/>
    <w:multiLevelType w:val="multilevel"/>
    <w:tmpl w:val="0407001D"/>
    <w:styleLink w:val="AktuelleList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6640EC3"/>
    <w:multiLevelType w:val="multilevel"/>
    <w:tmpl w:val="0407001D"/>
    <w:styleLink w:val="AktuelleList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6848F6"/>
    <w:multiLevelType w:val="multilevel"/>
    <w:tmpl w:val="B39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31F36"/>
    <w:multiLevelType w:val="multilevel"/>
    <w:tmpl w:val="65920304"/>
    <w:lvl w:ilvl="0">
      <w:start w:val="1"/>
      <w:numFmt w:val="decimal"/>
      <w:lvlText w:val="%1."/>
      <w:lvlJc w:val="left"/>
      <w:pPr>
        <w:ind w:left="383"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14" w:hanging="423"/>
      </w:pPr>
      <w:rPr>
        <w:rFonts w:hint="default"/>
        <w:lang w:val="en-US" w:eastAsia="en-US" w:bidi="ar-SA"/>
      </w:rPr>
    </w:lvl>
    <w:lvl w:ilvl="3">
      <w:numFmt w:val="bullet"/>
      <w:lvlText w:val="•"/>
      <w:lvlJc w:val="left"/>
      <w:pPr>
        <w:ind w:left="2389" w:hanging="423"/>
      </w:pPr>
      <w:rPr>
        <w:rFonts w:hint="default"/>
        <w:lang w:val="en-US" w:eastAsia="en-US" w:bidi="ar-SA"/>
      </w:rPr>
    </w:lvl>
    <w:lvl w:ilvl="4">
      <w:numFmt w:val="bullet"/>
      <w:lvlText w:val="•"/>
      <w:lvlJc w:val="left"/>
      <w:pPr>
        <w:ind w:left="3364" w:hanging="423"/>
      </w:pPr>
      <w:rPr>
        <w:rFonts w:hint="default"/>
        <w:lang w:val="en-US" w:eastAsia="en-US" w:bidi="ar-SA"/>
      </w:rPr>
    </w:lvl>
    <w:lvl w:ilvl="5">
      <w:numFmt w:val="bullet"/>
      <w:lvlText w:val="•"/>
      <w:lvlJc w:val="left"/>
      <w:pPr>
        <w:ind w:left="4339" w:hanging="423"/>
      </w:pPr>
      <w:rPr>
        <w:rFonts w:hint="default"/>
        <w:lang w:val="en-US" w:eastAsia="en-US" w:bidi="ar-SA"/>
      </w:rPr>
    </w:lvl>
    <w:lvl w:ilvl="6">
      <w:numFmt w:val="bullet"/>
      <w:lvlText w:val="•"/>
      <w:lvlJc w:val="left"/>
      <w:pPr>
        <w:ind w:left="5314" w:hanging="423"/>
      </w:pPr>
      <w:rPr>
        <w:rFonts w:hint="default"/>
        <w:lang w:val="en-US" w:eastAsia="en-US" w:bidi="ar-SA"/>
      </w:rPr>
    </w:lvl>
    <w:lvl w:ilvl="7">
      <w:numFmt w:val="bullet"/>
      <w:lvlText w:val="•"/>
      <w:lvlJc w:val="left"/>
      <w:pPr>
        <w:ind w:left="6289" w:hanging="423"/>
      </w:pPr>
      <w:rPr>
        <w:rFonts w:hint="default"/>
        <w:lang w:val="en-US" w:eastAsia="en-US" w:bidi="ar-SA"/>
      </w:rPr>
    </w:lvl>
    <w:lvl w:ilvl="8">
      <w:numFmt w:val="bullet"/>
      <w:lvlText w:val="•"/>
      <w:lvlJc w:val="left"/>
      <w:pPr>
        <w:ind w:left="7264" w:hanging="423"/>
      </w:pPr>
      <w:rPr>
        <w:rFonts w:hint="default"/>
        <w:lang w:val="en-US" w:eastAsia="en-US" w:bidi="ar-SA"/>
      </w:rPr>
    </w:lvl>
  </w:abstractNum>
  <w:abstractNum w:abstractNumId="8" w15:restartNumberingAfterBreak="0">
    <w:nsid w:val="5E727C6F"/>
    <w:multiLevelType w:val="hybridMultilevel"/>
    <w:tmpl w:val="2674824C"/>
    <w:lvl w:ilvl="0" w:tplc="0896DBA6">
      <w:start w:val="1"/>
      <w:numFmt w:val="decimal"/>
      <w:lvlText w:val="%1."/>
      <w:lvlJc w:val="left"/>
      <w:pPr>
        <w:ind w:left="306"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274AAF76">
      <w:numFmt w:val="bullet"/>
      <w:lvlText w:val="•"/>
      <w:lvlJc w:val="left"/>
      <w:pPr>
        <w:ind w:left="1191" w:hanging="284"/>
      </w:pPr>
      <w:rPr>
        <w:rFonts w:hint="default"/>
        <w:lang w:val="en-US" w:eastAsia="en-US" w:bidi="ar-SA"/>
      </w:rPr>
    </w:lvl>
    <w:lvl w:ilvl="2" w:tplc="F03A930C">
      <w:numFmt w:val="bullet"/>
      <w:lvlText w:val="•"/>
      <w:lvlJc w:val="left"/>
      <w:pPr>
        <w:ind w:left="2082" w:hanging="284"/>
      </w:pPr>
      <w:rPr>
        <w:rFonts w:hint="default"/>
        <w:lang w:val="en-US" w:eastAsia="en-US" w:bidi="ar-SA"/>
      </w:rPr>
    </w:lvl>
    <w:lvl w:ilvl="3" w:tplc="C5EC69FC">
      <w:numFmt w:val="bullet"/>
      <w:lvlText w:val="•"/>
      <w:lvlJc w:val="left"/>
      <w:pPr>
        <w:ind w:left="2974" w:hanging="284"/>
      </w:pPr>
      <w:rPr>
        <w:rFonts w:hint="default"/>
        <w:lang w:val="en-US" w:eastAsia="en-US" w:bidi="ar-SA"/>
      </w:rPr>
    </w:lvl>
    <w:lvl w:ilvl="4" w:tplc="7714A724">
      <w:numFmt w:val="bullet"/>
      <w:lvlText w:val="•"/>
      <w:lvlJc w:val="left"/>
      <w:pPr>
        <w:ind w:left="3865" w:hanging="284"/>
      </w:pPr>
      <w:rPr>
        <w:rFonts w:hint="default"/>
        <w:lang w:val="en-US" w:eastAsia="en-US" w:bidi="ar-SA"/>
      </w:rPr>
    </w:lvl>
    <w:lvl w:ilvl="5" w:tplc="8698EB6C">
      <w:numFmt w:val="bullet"/>
      <w:lvlText w:val="•"/>
      <w:lvlJc w:val="left"/>
      <w:pPr>
        <w:ind w:left="4757" w:hanging="284"/>
      </w:pPr>
      <w:rPr>
        <w:rFonts w:hint="default"/>
        <w:lang w:val="en-US" w:eastAsia="en-US" w:bidi="ar-SA"/>
      </w:rPr>
    </w:lvl>
    <w:lvl w:ilvl="6" w:tplc="17EABA5C">
      <w:numFmt w:val="bullet"/>
      <w:lvlText w:val="•"/>
      <w:lvlJc w:val="left"/>
      <w:pPr>
        <w:ind w:left="5648" w:hanging="284"/>
      </w:pPr>
      <w:rPr>
        <w:rFonts w:hint="default"/>
        <w:lang w:val="en-US" w:eastAsia="en-US" w:bidi="ar-SA"/>
      </w:rPr>
    </w:lvl>
    <w:lvl w:ilvl="7" w:tplc="D43CB460">
      <w:numFmt w:val="bullet"/>
      <w:lvlText w:val="•"/>
      <w:lvlJc w:val="left"/>
      <w:pPr>
        <w:ind w:left="6540" w:hanging="284"/>
      </w:pPr>
      <w:rPr>
        <w:rFonts w:hint="default"/>
        <w:lang w:val="en-US" w:eastAsia="en-US" w:bidi="ar-SA"/>
      </w:rPr>
    </w:lvl>
    <w:lvl w:ilvl="8" w:tplc="563E10D0">
      <w:numFmt w:val="bullet"/>
      <w:lvlText w:val="•"/>
      <w:lvlJc w:val="left"/>
      <w:pPr>
        <w:ind w:left="7431" w:hanging="284"/>
      </w:pPr>
      <w:rPr>
        <w:rFonts w:hint="default"/>
        <w:lang w:val="en-US" w:eastAsia="en-US" w:bidi="ar-SA"/>
      </w:rPr>
    </w:lvl>
  </w:abstractNum>
  <w:abstractNum w:abstractNumId="9" w15:restartNumberingAfterBreak="0">
    <w:nsid w:val="65B80D69"/>
    <w:multiLevelType w:val="multilevel"/>
    <w:tmpl w:val="0407001D"/>
    <w:styleLink w:val="AktuelleList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5F1234D"/>
    <w:multiLevelType w:val="multilevel"/>
    <w:tmpl w:val="A6C8B1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B66045E"/>
    <w:multiLevelType w:val="hybridMultilevel"/>
    <w:tmpl w:val="580408FE"/>
    <w:lvl w:ilvl="0" w:tplc="0407000F">
      <w:start w:val="1"/>
      <w:numFmt w:val="decimal"/>
      <w:lvlText w:val="%1."/>
      <w:lvlJc w:val="left"/>
      <w:pPr>
        <w:ind w:left="743" w:hanging="360"/>
      </w:pPr>
    </w:lvl>
    <w:lvl w:ilvl="1" w:tplc="04070019">
      <w:start w:val="1"/>
      <w:numFmt w:val="lowerLetter"/>
      <w:lvlText w:val="%2."/>
      <w:lvlJc w:val="left"/>
      <w:pPr>
        <w:ind w:left="1463" w:hanging="360"/>
      </w:pPr>
    </w:lvl>
    <w:lvl w:ilvl="2" w:tplc="0407001B" w:tentative="1">
      <w:start w:val="1"/>
      <w:numFmt w:val="lowerRoman"/>
      <w:lvlText w:val="%3."/>
      <w:lvlJc w:val="right"/>
      <w:pPr>
        <w:ind w:left="2183" w:hanging="180"/>
      </w:pPr>
    </w:lvl>
    <w:lvl w:ilvl="3" w:tplc="0407000F" w:tentative="1">
      <w:start w:val="1"/>
      <w:numFmt w:val="decimal"/>
      <w:lvlText w:val="%4."/>
      <w:lvlJc w:val="left"/>
      <w:pPr>
        <w:ind w:left="2903" w:hanging="360"/>
      </w:pPr>
    </w:lvl>
    <w:lvl w:ilvl="4" w:tplc="04070019" w:tentative="1">
      <w:start w:val="1"/>
      <w:numFmt w:val="lowerLetter"/>
      <w:lvlText w:val="%5."/>
      <w:lvlJc w:val="left"/>
      <w:pPr>
        <w:ind w:left="3623" w:hanging="360"/>
      </w:pPr>
    </w:lvl>
    <w:lvl w:ilvl="5" w:tplc="0407001B" w:tentative="1">
      <w:start w:val="1"/>
      <w:numFmt w:val="lowerRoman"/>
      <w:lvlText w:val="%6."/>
      <w:lvlJc w:val="right"/>
      <w:pPr>
        <w:ind w:left="4343" w:hanging="180"/>
      </w:pPr>
    </w:lvl>
    <w:lvl w:ilvl="6" w:tplc="0407000F" w:tentative="1">
      <w:start w:val="1"/>
      <w:numFmt w:val="decimal"/>
      <w:lvlText w:val="%7."/>
      <w:lvlJc w:val="left"/>
      <w:pPr>
        <w:ind w:left="5063" w:hanging="360"/>
      </w:pPr>
    </w:lvl>
    <w:lvl w:ilvl="7" w:tplc="04070019" w:tentative="1">
      <w:start w:val="1"/>
      <w:numFmt w:val="lowerLetter"/>
      <w:lvlText w:val="%8."/>
      <w:lvlJc w:val="left"/>
      <w:pPr>
        <w:ind w:left="5783" w:hanging="360"/>
      </w:pPr>
    </w:lvl>
    <w:lvl w:ilvl="8" w:tplc="0407001B" w:tentative="1">
      <w:start w:val="1"/>
      <w:numFmt w:val="lowerRoman"/>
      <w:lvlText w:val="%9."/>
      <w:lvlJc w:val="right"/>
      <w:pPr>
        <w:ind w:left="6503" w:hanging="180"/>
      </w:pPr>
    </w:lvl>
  </w:abstractNum>
  <w:num w:numId="1" w16cid:durableId="1726685762">
    <w:abstractNumId w:val="8"/>
  </w:num>
  <w:num w:numId="2" w16cid:durableId="1583176243">
    <w:abstractNumId w:val="7"/>
  </w:num>
  <w:num w:numId="3" w16cid:durableId="1979721170">
    <w:abstractNumId w:val="2"/>
  </w:num>
  <w:num w:numId="4" w16cid:durableId="1191532803">
    <w:abstractNumId w:val="6"/>
  </w:num>
  <w:num w:numId="5" w16cid:durableId="1684673666">
    <w:abstractNumId w:val="10"/>
  </w:num>
  <w:num w:numId="6" w16cid:durableId="1628466490">
    <w:abstractNumId w:val="3"/>
  </w:num>
  <w:num w:numId="7" w16cid:durableId="1398017951">
    <w:abstractNumId w:val="0"/>
  </w:num>
  <w:num w:numId="8" w16cid:durableId="513768175">
    <w:abstractNumId w:val="11"/>
  </w:num>
  <w:num w:numId="9" w16cid:durableId="1831602006">
    <w:abstractNumId w:val="1"/>
  </w:num>
  <w:num w:numId="10" w16cid:durableId="1420441537">
    <w:abstractNumId w:val="4"/>
  </w:num>
  <w:num w:numId="11" w16cid:durableId="234440117">
    <w:abstractNumId w:val="9"/>
  </w:num>
  <w:num w:numId="12" w16cid:durableId="15191560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B3"/>
    <w:rsid w:val="00077F58"/>
    <w:rsid w:val="00105430"/>
    <w:rsid w:val="00122B6B"/>
    <w:rsid w:val="00136AA5"/>
    <w:rsid w:val="00165D41"/>
    <w:rsid w:val="001822B6"/>
    <w:rsid w:val="00194FBD"/>
    <w:rsid w:val="001D4B78"/>
    <w:rsid w:val="00241C9B"/>
    <w:rsid w:val="002821E6"/>
    <w:rsid w:val="002A3EA5"/>
    <w:rsid w:val="002C0523"/>
    <w:rsid w:val="00352E84"/>
    <w:rsid w:val="00397FA8"/>
    <w:rsid w:val="003B1210"/>
    <w:rsid w:val="003B5B04"/>
    <w:rsid w:val="003C42FF"/>
    <w:rsid w:val="0040322C"/>
    <w:rsid w:val="004057E7"/>
    <w:rsid w:val="004239CD"/>
    <w:rsid w:val="00425D72"/>
    <w:rsid w:val="00443A3A"/>
    <w:rsid w:val="004511D3"/>
    <w:rsid w:val="00451FED"/>
    <w:rsid w:val="00471083"/>
    <w:rsid w:val="005065B3"/>
    <w:rsid w:val="005A4F33"/>
    <w:rsid w:val="005D04E2"/>
    <w:rsid w:val="006308E3"/>
    <w:rsid w:val="00631BEC"/>
    <w:rsid w:val="00652D18"/>
    <w:rsid w:val="006871AC"/>
    <w:rsid w:val="006E0A31"/>
    <w:rsid w:val="006E4570"/>
    <w:rsid w:val="006F7B8E"/>
    <w:rsid w:val="00726146"/>
    <w:rsid w:val="00746219"/>
    <w:rsid w:val="007727C6"/>
    <w:rsid w:val="00775DFC"/>
    <w:rsid w:val="007B67E6"/>
    <w:rsid w:val="008252AC"/>
    <w:rsid w:val="00831264"/>
    <w:rsid w:val="00833F94"/>
    <w:rsid w:val="008A785C"/>
    <w:rsid w:val="008B6CEC"/>
    <w:rsid w:val="008C013F"/>
    <w:rsid w:val="008D416F"/>
    <w:rsid w:val="008D4417"/>
    <w:rsid w:val="008F7D27"/>
    <w:rsid w:val="00914CCE"/>
    <w:rsid w:val="00916C76"/>
    <w:rsid w:val="00923541"/>
    <w:rsid w:val="00937A8B"/>
    <w:rsid w:val="00947EF0"/>
    <w:rsid w:val="0097257E"/>
    <w:rsid w:val="009F6D2C"/>
    <w:rsid w:val="00A017BA"/>
    <w:rsid w:val="00A13A89"/>
    <w:rsid w:val="00A23739"/>
    <w:rsid w:val="00A74285"/>
    <w:rsid w:val="00B12E11"/>
    <w:rsid w:val="00B21ED1"/>
    <w:rsid w:val="00B52945"/>
    <w:rsid w:val="00B5648A"/>
    <w:rsid w:val="00B84BF9"/>
    <w:rsid w:val="00BB0C69"/>
    <w:rsid w:val="00BD0D31"/>
    <w:rsid w:val="00BD2A5B"/>
    <w:rsid w:val="00BD535C"/>
    <w:rsid w:val="00BF6495"/>
    <w:rsid w:val="00C04F32"/>
    <w:rsid w:val="00C05E34"/>
    <w:rsid w:val="00C8513D"/>
    <w:rsid w:val="00C92F6E"/>
    <w:rsid w:val="00CC77C5"/>
    <w:rsid w:val="00CF58ED"/>
    <w:rsid w:val="00D44537"/>
    <w:rsid w:val="00D60249"/>
    <w:rsid w:val="00D61EBA"/>
    <w:rsid w:val="00D86908"/>
    <w:rsid w:val="00DA0267"/>
    <w:rsid w:val="00DA03DB"/>
    <w:rsid w:val="00DA261F"/>
    <w:rsid w:val="00DA316B"/>
    <w:rsid w:val="00DB547D"/>
    <w:rsid w:val="00DD40C5"/>
    <w:rsid w:val="00DF74FE"/>
    <w:rsid w:val="00E17CD4"/>
    <w:rsid w:val="00E67D83"/>
    <w:rsid w:val="00E70FC8"/>
    <w:rsid w:val="00E845A3"/>
    <w:rsid w:val="00E95F32"/>
    <w:rsid w:val="00E967F1"/>
    <w:rsid w:val="00EB08B2"/>
    <w:rsid w:val="00F04D86"/>
    <w:rsid w:val="00F212ED"/>
    <w:rsid w:val="00F26BE8"/>
    <w:rsid w:val="00F340F6"/>
    <w:rsid w:val="00F76748"/>
    <w:rsid w:val="00F876D2"/>
    <w:rsid w:val="00FD2F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48F20"/>
  <w15:docId w15:val="{7961E844-1ED5-4787-B134-6101FA3A0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360" w:lineRule="auto"/>
        <w:ind w:left="23" w:right="15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eastAsia="Times New Roman" w:hAnsi="Times New Roman" w:cs="Times New Roman"/>
    </w:rPr>
  </w:style>
  <w:style w:type="paragraph" w:styleId="berschrift1">
    <w:name w:val="heading 1"/>
    <w:basedOn w:val="Standard"/>
    <w:uiPriority w:val="9"/>
    <w:qFormat/>
    <w:rsid w:val="00B84BF9"/>
    <w:pPr>
      <w:spacing w:before="240" w:after="120"/>
      <w:ind w:left="0"/>
      <w:outlineLvl w:val="0"/>
    </w:pPr>
    <w:rPr>
      <w:b/>
      <w:bCs/>
      <w:sz w:val="28"/>
      <w:szCs w:val="28"/>
    </w:rPr>
  </w:style>
  <w:style w:type="paragraph" w:styleId="berschrift2">
    <w:name w:val="heading 2"/>
    <w:basedOn w:val="Standard"/>
    <w:uiPriority w:val="9"/>
    <w:unhideWhenUsed/>
    <w:qFormat/>
    <w:rsid w:val="00B84BF9"/>
    <w:pPr>
      <w:spacing w:before="240" w:after="120"/>
      <w:ind w:left="0"/>
      <w:outlineLvl w:val="1"/>
    </w:pPr>
    <w:rPr>
      <w:b/>
      <w:bCs/>
      <w:sz w:val="24"/>
      <w:szCs w:val="24"/>
    </w:rPr>
  </w:style>
  <w:style w:type="paragraph" w:styleId="berschrift3">
    <w:name w:val="heading 3"/>
    <w:basedOn w:val="Standard"/>
    <w:next w:val="Standard"/>
    <w:link w:val="berschrift3Zchn"/>
    <w:uiPriority w:val="9"/>
    <w:semiHidden/>
    <w:unhideWhenUsed/>
    <w:qFormat/>
    <w:rsid w:val="00B84BF9"/>
    <w:pPr>
      <w:keepNext/>
      <w:keepLines/>
      <w:spacing w:before="40"/>
      <w:ind w:left="0"/>
      <w:outlineLvl w:val="2"/>
    </w:pPr>
    <w:rPr>
      <w:rFonts w:asciiTheme="majorHAnsi" w:eastAsiaTheme="majorEastAsia" w:hAnsiTheme="majorHAnsi" w:cstheme="majorBidi"/>
      <w:color w:val="243F60" w:themeColor="accent1" w:themeShade="7F"/>
      <w:sz w:val="24"/>
      <w:szCs w:val="24"/>
    </w:rPr>
  </w:style>
  <w:style w:type="paragraph" w:styleId="berschrift4">
    <w:name w:val="heading 4"/>
    <w:basedOn w:val="Standard"/>
    <w:next w:val="Standard"/>
    <w:link w:val="berschrift4Zchn"/>
    <w:uiPriority w:val="9"/>
    <w:semiHidden/>
    <w:unhideWhenUsed/>
    <w:qFormat/>
    <w:rsid w:val="00914CCE"/>
    <w:pPr>
      <w:keepNext/>
      <w:keepLines/>
      <w:numPr>
        <w:ilvl w:val="3"/>
        <w:numId w:val="6"/>
      </w:numPr>
      <w:spacing w:before="4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914CCE"/>
    <w:pPr>
      <w:keepNext/>
      <w:keepLines/>
      <w:numPr>
        <w:ilvl w:val="4"/>
        <w:numId w:val="6"/>
      </w:numPr>
      <w:spacing w:before="4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914CCE"/>
    <w:pPr>
      <w:keepNext/>
      <w:keepLines/>
      <w:numPr>
        <w:ilvl w:val="5"/>
        <w:numId w:val="6"/>
      </w:numPr>
      <w:spacing w:before="4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914CCE"/>
    <w:pPr>
      <w:keepNext/>
      <w:keepLines/>
      <w:numPr>
        <w:ilvl w:val="6"/>
        <w:numId w:val="6"/>
      </w:numPr>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914CCE"/>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914CCE"/>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uiPriority w:val="39"/>
    <w:qFormat/>
    <w:pPr>
      <w:spacing w:before="238"/>
      <w:ind w:left="263" w:hanging="240"/>
    </w:pPr>
    <w:rPr>
      <w:sz w:val="24"/>
      <w:szCs w:val="24"/>
    </w:rPr>
  </w:style>
  <w:style w:type="paragraph" w:styleId="Verzeichnis2">
    <w:name w:val="toc 2"/>
    <w:basedOn w:val="Standard"/>
    <w:uiPriority w:val="1"/>
    <w:qFormat/>
    <w:pPr>
      <w:spacing w:before="238"/>
      <w:ind w:left="623" w:hanging="360"/>
    </w:pPr>
    <w:rPr>
      <w:sz w:val="24"/>
      <w:szCs w:val="24"/>
    </w:rPr>
  </w:style>
  <w:style w:type="paragraph" w:styleId="Textkrper">
    <w:name w:val="Body Text"/>
    <w:basedOn w:val="Standard"/>
    <w:uiPriority w:val="1"/>
    <w:qFormat/>
    <w:rPr>
      <w:sz w:val="24"/>
      <w:szCs w:val="24"/>
    </w:rPr>
  </w:style>
  <w:style w:type="paragraph" w:styleId="Titel">
    <w:name w:val="Title"/>
    <w:basedOn w:val="Standard"/>
    <w:uiPriority w:val="10"/>
    <w:qFormat/>
    <w:rsid w:val="00F212ED"/>
    <w:pPr>
      <w:spacing w:before="960" w:after="240"/>
      <w:jc w:val="center"/>
    </w:pPr>
    <w:rPr>
      <w:b/>
      <w:bCs/>
      <w:sz w:val="44"/>
      <w:szCs w:val="44"/>
    </w:rPr>
  </w:style>
  <w:style w:type="paragraph" w:styleId="Listenabsatz">
    <w:name w:val="List Paragraph"/>
    <w:basedOn w:val="Standard"/>
    <w:uiPriority w:val="1"/>
    <w:qFormat/>
    <w:pPr>
      <w:spacing w:before="238"/>
      <w:ind w:left="623" w:hanging="360"/>
    </w:pPr>
  </w:style>
  <w:style w:type="paragraph" w:customStyle="1" w:styleId="TableParagraph">
    <w:name w:val="Table Paragraph"/>
    <w:basedOn w:val="Standard"/>
    <w:uiPriority w:val="1"/>
    <w:qFormat/>
  </w:style>
  <w:style w:type="character" w:styleId="Hyperlink">
    <w:name w:val="Hyperlink"/>
    <w:basedOn w:val="Absatz-Standardschriftart"/>
    <w:uiPriority w:val="99"/>
    <w:unhideWhenUsed/>
    <w:rsid w:val="00923541"/>
    <w:rPr>
      <w:color w:val="0000FF" w:themeColor="hyperlink"/>
      <w:u w:val="single"/>
    </w:rPr>
  </w:style>
  <w:style w:type="character" w:styleId="NichtaufgelsteErwhnung">
    <w:name w:val="Unresolved Mention"/>
    <w:basedOn w:val="Absatz-Standardschriftart"/>
    <w:uiPriority w:val="99"/>
    <w:semiHidden/>
    <w:unhideWhenUsed/>
    <w:rsid w:val="00923541"/>
    <w:rPr>
      <w:color w:val="605E5C"/>
      <w:shd w:val="clear" w:color="auto" w:fill="E1DFDD"/>
    </w:rPr>
  </w:style>
  <w:style w:type="character" w:customStyle="1" w:styleId="berschrift3Zchn">
    <w:name w:val="Überschrift 3 Zchn"/>
    <w:basedOn w:val="Absatz-Standardschriftart"/>
    <w:link w:val="berschrift3"/>
    <w:uiPriority w:val="9"/>
    <w:semiHidden/>
    <w:rsid w:val="003B5B04"/>
    <w:rPr>
      <w:rFonts w:asciiTheme="majorHAnsi" w:eastAsiaTheme="majorEastAsia" w:hAnsiTheme="majorHAnsi" w:cstheme="majorBidi"/>
      <w:color w:val="243F60" w:themeColor="accent1" w:themeShade="7F"/>
      <w:sz w:val="24"/>
      <w:szCs w:val="24"/>
    </w:rPr>
  </w:style>
  <w:style w:type="paragraph" w:customStyle="1" w:styleId="Beschriftung1">
    <w:name w:val="Beschriftung1"/>
    <w:basedOn w:val="Beschriftung"/>
    <w:link w:val="CaptionZchn"/>
    <w:qFormat/>
    <w:rsid w:val="00C8513D"/>
    <w:pPr>
      <w:keepNext/>
      <w:spacing w:after="120"/>
      <w:ind w:left="0" w:right="0"/>
      <w:jc w:val="center"/>
    </w:pPr>
    <w:rPr>
      <w:rFonts w:eastAsiaTheme="minorEastAsia"/>
      <w:i w:val="0"/>
      <w:iCs w:val="0"/>
      <w:color w:val="auto"/>
    </w:rPr>
  </w:style>
  <w:style w:type="character" w:customStyle="1" w:styleId="CaptionZchn">
    <w:name w:val="Caption Zchn"/>
    <w:basedOn w:val="Absatz-Standardschriftart"/>
    <w:link w:val="Beschriftung1"/>
    <w:rsid w:val="00C8513D"/>
    <w:rPr>
      <w:rFonts w:ascii="Times New Roman" w:eastAsiaTheme="minorEastAsia" w:hAnsi="Times New Roman" w:cs="Times New Roman"/>
      <w:sz w:val="18"/>
      <w:szCs w:val="18"/>
    </w:rPr>
  </w:style>
  <w:style w:type="paragraph" w:styleId="Beschriftung">
    <w:name w:val="caption"/>
    <w:basedOn w:val="Standard"/>
    <w:next w:val="Standard"/>
    <w:uiPriority w:val="35"/>
    <w:unhideWhenUsed/>
    <w:qFormat/>
    <w:rsid w:val="00C8513D"/>
    <w:pPr>
      <w:spacing w:before="0" w:after="200" w:line="240" w:lineRule="auto"/>
    </w:pPr>
    <w:rPr>
      <w:i/>
      <w:iCs/>
      <w:color w:val="1F497D" w:themeColor="text2"/>
      <w:sz w:val="18"/>
      <w:szCs w:val="18"/>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rFonts w:ascii="Times New Roman" w:eastAsia="Times New Roman" w:hAnsi="Times New Roman" w:cs="Times New Roman"/>
      <w:sz w:val="20"/>
      <w:szCs w:val="20"/>
    </w:rPr>
  </w:style>
  <w:style w:type="character" w:styleId="Kommentarzeichen">
    <w:name w:val="annotation reference"/>
    <w:basedOn w:val="Absatz-Standardschriftart"/>
    <w:uiPriority w:val="99"/>
    <w:semiHidden/>
    <w:unhideWhenUsed/>
    <w:rPr>
      <w:sz w:val="16"/>
      <w:szCs w:val="16"/>
    </w:rPr>
  </w:style>
  <w:style w:type="paragraph" w:styleId="Untertitel">
    <w:name w:val="Subtitle"/>
    <w:basedOn w:val="Standard"/>
    <w:next w:val="Standard"/>
    <w:link w:val="UntertitelZchn"/>
    <w:uiPriority w:val="11"/>
    <w:qFormat/>
    <w:rsid w:val="00B12E11"/>
    <w:pPr>
      <w:numPr>
        <w:ilvl w:val="1"/>
      </w:numPr>
      <w:spacing w:after="160"/>
      <w:ind w:left="23"/>
      <w:jc w:val="center"/>
    </w:pPr>
    <w:rPr>
      <w:rFonts w:asciiTheme="minorHAnsi" w:eastAsiaTheme="minorEastAsia" w:hAnsiTheme="minorHAnsi" w:cstheme="minorBidi"/>
      <w:color w:val="5A5A5A" w:themeColor="text1" w:themeTint="A5"/>
      <w:spacing w:val="15"/>
    </w:rPr>
  </w:style>
  <w:style w:type="character" w:customStyle="1" w:styleId="UntertitelZchn">
    <w:name w:val="Untertitel Zchn"/>
    <w:basedOn w:val="Absatz-Standardschriftart"/>
    <w:link w:val="Untertitel"/>
    <w:uiPriority w:val="11"/>
    <w:rsid w:val="00B12E11"/>
    <w:rPr>
      <w:rFonts w:eastAsiaTheme="minorEastAsia"/>
      <w:color w:val="5A5A5A" w:themeColor="text1" w:themeTint="A5"/>
      <w:spacing w:val="15"/>
    </w:rPr>
  </w:style>
  <w:style w:type="paragraph" w:customStyle="1" w:styleId="p1">
    <w:name w:val="p1"/>
    <w:basedOn w:val="Standard"/>
    <w:rsid w:val="002C0523"/>
    <w:pPr>
      <w:spacing w:before="100" w:beforeAutospacing="1" w:after="100" w:afterAutospacing="1" w:line="240" w:lineRule="auto"/>
      <w:ind w:left="0" w:right="0"/>
      <w:jc w:val="left"/>
    </w:pPr>
    <w:rPr>
      <w:sz w:val="24"/>
      <w:szCs w:val="24"/>
      <w:lang w:val="de-DE" w:eastAsia="de-DE"/>
    </w:rPr>
  </w:style>
  <w:style w:type="paragraph" w:styleId="Funotentext">
    <w:name w:val="footnote text"/>
    <w:basedOn w:val="Standard"/>
    <w:link w:val="FunotentextZchn"/>
    <w:uiPriority w:val="99"/>
    <w:unhideWhenUsed/>
    <w:rsid w:val="002821E6"/>
    <w:pPr>
      <w:spacing w:before="0" w:line="240" w:lineRule="auto"/>
    </w:pPr>
    <w:rPr>
      <w:sz w:val="20"/>
      <w:szCs w:val="20"/>
    </w:rPr>
  </w:style>
  <w:style w:type="character" w:customStyle="1" w:styleId="FunotentextZchn">
    <w:name w:val="Fußnotentext Zchn"/>
    <w:basedOn w:val="Absatz-Standardschriftart"/>
    <w:link w:val="Funotentext"/>
    <w:uiPriority w:val="99"/>
    <w:rsid w:val="002821E6"/>
    <w:rPr>
      <w:rFonts w:ascii="Times New Roman" w:eastAsia="Times New Roman" w:hAnsi="Times New Roman" w:cs="Times New Roman"/>
      <w:sz w:val="20"/>
      <w:szCs w:val="20"/>
    </w:rPr>
  </w:style>
  <w:style w:type="character" w:styleId="Funotenzeichen">
    <w:name w:val="footnote reference"/>
    <w:basedOn w:val="Absatz-Standardschriftart"/>
    <w:uiPriority w:val="99"/>
    <w:semiHidden/>
    <w:unhideWhenUsed/>
    <w:rsid w:val="002821E6"/>
    <w:rPr>
      <w:vertAlign w:val="superscript"/>
    </w:rPr>
  </w:style>
  <w:style w:type="character" w:styleId="BesuchterLink">
    <w:name w:val="FollowedHyperlink"/>
    <w:basedOn w:val="Absatz-Standardschriftart"/>
    <w:uiPriority w:val="99"/>
    <w:semiHidden/>
    <w:unhideWhenUsed/>
    <w:rsid w:val="006F7B8E"/>
    <w:rPr>
      <w:color w:val="800080" w:themeColor="followedHyperlink"/>
      <w:u w:val="single"/>
    </w:rPr>
  </w:style>
  <w:style w:type="character" w:customStyle="1" w:styleId="berschrift4Zchn">
    <w:name w:val="Überschrift 4 Zchn"/>
    <w:basedOn w:val="Absatz-Standardschriftart"/>
    <w:link w:val="berschrift4"/>
    <w:uiPriority w:val="9"/>
    <w:semiHidden/>
    <w:rsid w:val="00914CCE"/>
    <w:rPr>
      <w:rFonts w:asciiTheme="majorHAnsi" w:eastAsiaTheme="majorEastAsia" w:hAnsiTheme="majorHAnsi"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914CCE"/>
    <w:rPr>
      <w:rFonts w:asciiTheme="majorHAnsi" w:eastAsiaTheme="majorEastAsia" w:hAnsiTheme="maj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914CCE"/>
    <w:rPr>
      <w:rFonts w:asciiTheme="majorHAnsi" w:eastAsiaTheme="majorEastAsia" w:hAnsiTheme="majorHAnsi" w:cstheme="majorBidi"/>
      <w:color w:val="243F60" w:themeColor="accent1" w:themeShade="7F"/>
    </w:rPr>
  </w:style>
  <w:style w:type="character" w:customStyle="1" w:styleId="berschrift7Zchn">
    <w:name w:val="Überschrift 7 Zchn"/>
    <w:basedOn w:val="Absatz-Standardschriftart"/>
    <w:link w:val="berschrift7"/>
    <w:uiPriority w:val="9"/>
    <w:semiHidden/>
    <w:rsid w:val="00914CCE"/>
    <w:rPr>
      <w:rFonts w:asciiTheme="majorHAnsi" w:eastAsiaTheme="majorEastAsia" w:hAnsiTheme="majorHAnsi" w:cstheme="majorBidi"/>
      <w:i/>
      <w:iCs/>
      <w:color w:val="243F60" w:themeColor="accent1" w:themeShade="7F"/>
    </w:rPr>
  </w:style>
  <w:style w:type="character" w:customStyle="1" w:styleId="berschrift8Zchn">
    <w:name w:val="Überschrift 8 Zchn"/>
    <w:basedOn w:val="Absatz-Standardschriftart"/>
    <w:link w:val="berschrift8"/>
    <w:uiPriority w:val="9"/>
    <w:semiHidden/>
    <w:rsid w:val="00914CCE"/>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914CCE"/>
    <w:rPr>
      <w:rFonts w:asciiTheme="majorHAnsi" w:eastAsiaTheme="majorEastAsia" w:hAnsiTheme="majorHAnsi" w:cstheme="majorBidi"/>
      <w:i/>
      <w:iCs/>
      <w:color w:val="272727" w:themeColor="text1" w:themeTint="D8"/>
      <w:sz w:val="21"/>
      <w:szCs w:val="21"/>
    </w:rPr>
  </w:style>
  <w:style w:type="numbering" w:customStyle="1" w:styleId="AktuelleListe1">
    <w:name w:val="Aktuelle Liste1"/>
    <w:uiPriority w:val="99"/>
    <w:rsid w:val="00B84BF9"/>
    <w:pPr>
      <w:numPr>
        <w:numId w:val="10"/>
      </w:numPr>
    </w:pPr>
  </w:style>
  <w:style w:type="numbering" w:customStyle="1" w:styleId="AktuelleListe2">
    <w:name w:val="Aktuelle Liste2"/>
    <w:uiPriority w:val="99"/>
    <w:rsid w:val="00B84BF9"/>
    <w:pPr>
      <w:numPr>
        <w:numId w:val="11"/>
      </w:numPr>
    </w:pPr>
  </w:style>
  <w:style w:type="numbering" w:customStyle="1" w:styleId="AktuelleListe3">
    <w:name w:val="Aktuelle Liste3"/>
    <w:uiPriority w:val="99"/>
    <w:rsid w:val="00B84BF9"/>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09/ACCESS.2021.3115851" TargetMode="External"/><Relationship Id="rId18" Type="http://schemas.openxmlformats.org/officeDocument/2006/relationships/hyperlink" Target="https://doi.org/10.3390/app10113998" TargetMode="External"/><Relationship Id="rId3" Type="http://schemas.openxmlformats.org/officeDocument/2006/relationships/styles" Target="styles.xml"/><Relationship Id="rId21" Type="http://schemas.openxmlformats.org/officeDocument/2006/relationships/hyperlink" Target="https://doi.org/10.1109/TLT.2024.3425959" TargetMode="External"/><Relationship Id="rId7" Type="http://schemas.openxmlformats.org/officeDocument/2006/relationships/endnotes" Target="endnotes.xml"/><Relationship Id="rId12" Type="http://schemas.openxmlformats.org/officeDocument/2006/relationships/hyperlink" Target="https://www.jatit.org/" TargetMode="External"/><Relationship Id="rId17" Type="http://schemas.openxmlformats.org/officeDocument/2006/relationships/hyperlink" Target="https://doi.org/10.1109/ACCESS.2024.3486762" TargetMode="External"/><Relationship Id="rId2" Type="http://schemas.openxmlformats.org/officeDocument/2006/relationships/numbering" Target="numbering.xml"/><Relationship Id="rId16" Type="http://schemas.openxmlformats.org/officeDocument/2006/relationships/hyperlink" Target="https://doi.org/10.1109/INES.2018.8523888" TargetMode="External"/><Relationship Id="rId20" Type="http://schemas.openxmlformats.org/officeDocument/2006/relationships/hyperlink" Target="https://doi.org/10.3390/electronics1103046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61310/mndjsteect.1028.21"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07/s11162-017-9473-z" TargetMode="External"/><Relationship Id="rId23" Type="http://schemas.openxmlformats.org/officeDocument/2006/relationships/fontTable" Target="fontTable.xml"/><Relationship Id="rId10" Type="http://schemas.openxmlformats.org/officeDocument/2006/relationships/hyperlink" Target="https://doi.org/10.1080/03075079.2021.2018415" TargetMode="External"/><Relationship Id="rId19" Type="http://schemas.openxmlformats.org/officeDocument/2006/relationships/hyperlink" Target="https://doi.org/10.1002/widm.135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3390/app11073130"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93DA2-A1BD-F94A-8986-60E671AF2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2072</Words>
  <Characters>13057</Characters>
  <Application>Microsoft Office Word</Application>
  <DocSecurity>0</DocSecurity>
  <Lines>108</Lines>
  <Paragraphs>30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Gunther Kreuzberger</cp:lastModifiedBy>
  <cp:revision>10</cp:revision>
  <dcterms:created xsi:type="dcterms:W3CDTF">2026-01-09T09:32:00Z</dcterms:created>
  <dcterms:modified xsi:type="dcterms:W3CDTF">2026-02-05T07:49:00Z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2023-08-02T00:00:00Z</vt:filetime>
  </property>
  <property fmtid="{D5CDD505-2E9C-101B-9397-08002B2CF9AE}" pid="3" name="Creator">
    <vt:lpwstr>Microsoft® Word for Microsoft 365</vt:lpwstr>
  </property>
  <property fmtid="{D5CDD505-2E9C-101B-9397-08002B2CF9AE}" pid="4" name="LastSaved">
    <vt:filetime>2025-12-17T00:00:00Z</vt:filetime>
  </property>
  <property fmtid="{D5CDD505-2E9C-101B-9397-08002B2CF9AE}" pid="5" name="Producer">
    <vt:lpwstr>Microsoft® Word for Microsoft 365</vt:lpwstr>
  </property>
</Properties>
</file>