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66"/>
          <w:sz w:val="32"/>
        </w:rPr>
        <w:t>Design Rationale, Hyperparameter Sensitivity and Uniqueness of the Evolved UAV Strategy</w:t>
      </w:r>
    </w:p>
    <w:p>
      <w:pPr>
        <w:jc w:val="center"/>
      </w:pPr>
      <w:r>
        <w:rPr>
          <w:i/>
          <w:color w:val="335577"/>
          <w:sz w:val="17"/>
        </w:rPr>
        <w:t>Companion analysis to the technical report — Multi-Objective Genetic Strategy Engine for Autonomous UAV Disaster Surveillance</w:t>
      </w:r>
    </w:p>
    <w:p>
      <w:pPr>
        <w:jc w:val="center"/>
      </w:pPr>
      <w:r>
        <w:rPr>
          <w:i/>
          <w:color w:val="555555"/>
          <w:sz w:val="15"/>
        </w:rPr>
        <w:t>Artificial Intelligence — BSCS 5, Department of Computer Science, Bahria University Lahore Campus</w:t>
      </w:r>
    </w:p>
    <w:p>
      <w:pPr>
        <w:jc w:val="center"/>
      </w:pPr>
      <w:r>
        <w:rPr>
          <w:i/>
          <w:color w:val="555555"/>
          <w:sz w:val="15"/>
        </w:rPr>
        <w:t>Assignment 2 (CLO4) — Analysis report</w:t>
      </w:r>
    </w:p>
    <w:p>
      <w:pPr>
        <w:pStyle w:val="Heading1"/>
        <w:spacing w:before="120"/>
      </w:pPr>
      <w:r>
        <w:t>Executive summary</w:t>
      </w:r>
    </w:p>
    <w:p>
      <w:r>
        <w:t>This companion report explains why the strategy is encoded and weighted as it is, quantifies the sensitivity of the genetic search to its three main hyperparameters, and tests whether the evolved plan is genuinely different from blind sampling. Against an equal-budget random search, the GA raises mean fitness by 1.797 (from -1.187 to 0.609), triples priority coverage (3.47×) and raises confident detection 5.60×, while removing the constraint violations retained by every random best solution.</w:t>
      </w:r>
    </w:p>
    <w:p>
      <w:pPr>
        <w:pStyle w:val="ListBullet"/>
        <w:spacing w:after="10"/>
      </w:pPr>
      <w:r>
        <w:rPr>
          <w:sz w:val="17"/>
        </w:rPr>
        <w:t>Encoding: 190 genes in five semantic blocks are 13× smaller than a dense 50 × 50 occupancy chromosome, keep standard operators applicable, and let evolution retire two of five UAVs.</w:t>
      </w:r>
    </w:p>
    <w:p>
      <w:pPr>
        <w:pStyle w:val="ListBullet"/>
        <w:spacing w:after="10"/>
      </w:pPr>
      <w:r>
        <w:rPr>
          <w:sz w:val="17"/>
        </w:rPr>
        <w:t>Weighting: coverage contributes 49.8% and safety 26.9% of the reference fitness. Equal weights would select a different plan (0.680 coverage, 84.3% energy) instead of the 0.716-coverage compromise.</w:t>
      </w:r>
    </w:p>
    <w:p>
      <w:pPr>
        <w:pStyle w:val="ListBullet"/>
        <w:spacing w:after="10"/>
      </w:pPr>
      <w:r>
        <w:rPr>
          <w:sz w:val="17"/>
        </w:rPr>
        <w:t>Tuning: population 24–40 is a plateau; mutation 0.05 wins a short run but 0.20 is retained for diversity; tournament 4 is clearly best (0.609) versus 2 (0.449) and unstable at 8 (CV 11.7%).</w:t>
      </w:r>
    </w:p>
    <w:p>
      <w:pPr>
        <w:pStyle w:val="ListBullet"/>
        <w:spacing w:after="10"/>
      </w:pPr>
      <w:r>
        <w:rPr>
          <w:sz w:val="17"/>
        </w:rPr>
        <w:t>Uniqueness: the GA beats the best of 2,400 random draws after 176 evaluations and returns a 149-member Pareto archive of coordinated, feasible plans.</w:t>
      </w:r>
    </w:p>
    <w:p>
      <w:pPr>
        <w:pStyle w:val="Heading1"/>
      </w:pPr>
      <w:r>
        <w:t>1. Chromosome Design Rationale</w:t>
      </w:r>
    </w:p>
    <w:p>
      <w:r>
        <w:t>A strategy is a coupled decision over fleet size, deployment points, patrol order, sensor scheduling and leg speed. Changing a deployment point changes reachable targets, which changes the useful patrol order, which changes time and energy, which changes whether a UAV should fly at all. The genome therefore keeps these decisions in separate semantic blocks but evaluates them as one plan. Its fixed length makes every individual a rectangular NumPy array, so crossover, repair, elitism and JSON archiving are uniform operations.</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cantSplit w:val="true"/>
        </w:trPr>
        <w:tc>
          <w:tcPr>
            <w:tcW w:type="dxa" w:w="2091"/>
            <w:shd w:val="clear" w:color="auto" w:fill="D9E2F3"/>
          </w:tcPr>
          <w:p>
            <w:pPr>
              <w:keepNext/>
            </w:pPr>
            <w:r/>
            <w:r>
              <w:rPr>
                <w:b/>
                <w:sz w:val="14"/>
              </w:rPr>
              <w:t>Segment</w:t>
            </w:r>
          </w:p>
        </w:tc>
        <w:tc>
          <w:tcPr>
            <w:tcW w:type="dxa" w:w="2091"/>
            <w:shd w:val="clear" w:color="auto" w:fill="D9E2F3"/>
          </w:tcPr>
          <w:p>
            <w:pPr>
              <w:keepNext/>
            </w:pPr>
            <w:r/>
            <w:r>
              <w:rPr>
                <w:b/>
                <w:sz w:val="14"/>
              </w:rPr>
              <w:t>Genes</w:t>
            </w:r>
          </w:p>
        </w:tc>
        <w:tc>
          <w:tcPr>
            <w:tcW w:type="dxa" w:w="2091"/>
            <w:shd w:val="clear" w:color="auto" w:fill="D9E2F3"/>
          </w:tcPr>
          <w:p>
            <w:pPr>
              <w:keepNext/>
            </w:pPr>
            <w:r/>
            <w:r>
              <w:rPr>
                <w:b/>
                <w:sz w:val="14"/>
              </w:rPr>
              <w:t>Type / domain</w:t>
            </w:r>
          </w:p>
        </w:tc>
        <w:tc>
          <w:tcPr>
            <w:tcW w:type="dxa" w:w="2091"/>
            <w:shd w:val="clear" w:color="auto" w:fill="D9E2F3"/>
          </w:tcPr>
          <w:p>
            <w:pPr>
              <w:keepNext/>
            </w:pPr>
            <w:r/>
            <w:r>
              <w:rPr>
                <w:b/>
                <w:sz w:val="14"/>
              </w:rPr>
              <w:t>Role</w:t>
            </w:r>
          </w:p>
        </w:tc>
        <w:tc>
          <w:tcPr>
            <w:tcW w:type="dxa" w:w="2091"/>
            <w:shd w:val="clear" w:color="auto" w:fill="D9E2F3"/>
          </w:tcPr>
          <w:p>
            <w:pPr>
              <w:keepNext/>
            </w:pPr>
            <w:r/>
            <w:r>
              <w:rPr>
                <w:b/>
                <w:sz w:val="14"/>
              </w:rPr>
              <w:t>Why this representation</w:t>
            </w:r>
          </w:p>
        </w:tc>
      </w:tr>
      <w:tr>
        <w:trPr>
          <w:cantSplit w:val="true"/>
        </w:trPr>
        <w:tc>
          <w:tcPr>
            <w:tcW w:type="dxa" w:w="2091"/>
          </w:tcPr>
          <w:p>
            <w:pPr>
              <w:keepNext/>
            </w:pPr>
            <w:r/>
            <w:r>
              <w:rPr>
                <w:sz w:val="14"/>
              </w:rPr>
              <w:t>active</w:t>
            </w:r>
          </w:p>
        </w:tc>
        <w:tc>
          <w:tcPr>
            <w:tcW w:type="dxa" w:w="2091"/>
          </w:tcPr>
          <w:p>
            <w:pPr>
              <w:keepNext/>
            </w:pPr>
            <w:r/>
            <w:r>
              <w:rPr>
                <w:sz w:val="14"/>
              </w:rPr>
              <w:t>5</w:t>
            </w:r>
          </w:p>
        </w:tc>
        <w:tc>
          <w:tcPr>
            <w:tcW w:type="dxa" w:w="2091"/>
          </w:tcPr>
          <w:p>
            <w:pPr>
              <w:keepNext/>
            </w:pPr>
            <w:r/>
            <w:r>
              <w:rPr>
                <w:sz w:val="14"/>
              </w:rPr>
              <w:t>binary</w:t>
            </w:r>
          </w:p>
        </w:tc>
        <w:tc>
          <w:tcPr>
            <w:tcW w:type="dxa" w:w="2091"/>
          </w:tcPr>
          <w:p>
            <w:pPr>
              <w:keepNext/>
            </w:pPr>
            <w:r/>
            <w:r>
              <w:rPr>
                <w:sz w:val="14"/>
              </w:rPr>
              <w:t>UAV deployed or reserved</w:t>
            </w:r>
          </w:p>
        </w:tc>
        <w:tc>
          <w:tcPr>
            <w:tcW w:type="dxa" w:w="2091"/>
          </w:tcPr>
          <w:p>
            <w:pPr>
              <w:keepNext/>
            </w:pPr>
            <w:r/>
            <w:r>
              <w:rPr>
                <w:sz w:val="14"/>
              </w:rPr>
              <w:t>Fleet sizing; the reference retires two UAVs.</w:t>
            </w:r>
          </w:p>
        </w:tc>
      </w:tr>
      <w:tr>
        <w:trPr>
          <w:cantSplit w:val="true"/>
        </w:trPr>
        <w:tc>
          <w:tcPr>
            <w:tcW w:type="dxa" w:w="2091"/>
          </w:tcPr>
          <w:p>
            <w:pPr>
              <w:keepNext/>
            </w:pPr>
            <w:r/>
            <w:r>
              <w:rPr>
                <w:sz w:val="14"/>
              </w:rPr>
              <w:t>deploy</w:t>
            </w:r>
          </w:p>
        </w:tc>
        <w:tc>
          <w:tcPr>
            <w:tcW w:type="dxa" w:w="2091"/>
          </w:tcPr>
          <w:p>
            <w:pPr>
              <w:keepNext/>
            </w:pPr>
            <w:r/>
            <w:r>
              <w:rPr>
                <w:sz w:val="14"/>
              </w:rPr>
              <w:t>5 × 2 = 10</w:t>
            </w:r>
          </w:p>
        </w:tc>
        <w:tc>
          <w:tcPr>
            <w:tcW w:type="dxa" w:w="2091"/>
          </w:tcPr>
          <w:p>
            <w:pPr>
              <w:keepNext/>
            </w:pPr>
            <w:r/>
            <w:r>
              <w:rPr>
                <w:sz w:val="14"/>
              </w:rPr>
              <w:t>real, [0, 49]²</w:t>
            </w:r>
          </w:p>
        </w:tc>
        <w:tc>
          <w:tcPr>
            <w:tcW w:type="dxa" w:w="2091"/>
          </w:tcPr>
          <w:p>
            <w:pPr>
              <w:keepNext/>
            </w:pPr>
            <w:r/>
            <w:r>
              <w:rPr>
                <w:sz w:val="14"/>
              </w:rPr>
              <w:t>Initial loiter point</w:t>
            </w:r>
          </w:p>
        </w:tc>
        <w:tc>
          <w:tcPr>
            <w:tcW w:type="dxa" w:w="2091"/>
          </w:tcPr>
          <w:p>
            <w:pPr>
              <w:keepNext/>
            </w:pPr>
            <w:r/>
            <w:r>
              <w:rPr>
                <w:sz w:val="14"/>
              </w:rPr>
              <w:t>Separates loitering from patrolling.</w:t>
            </w:r>
          </w:p>
        </w:tc>
      </w:tr>
      <w:tr>
        <w:trPr>
          <w:cantSplit w:val="true"/>
        </w:trPr>
        <w:tc>
          <w:tcPr>
            <w:tcW w:type="dxa" w:w="2091"/>
          </w:tcPr>
          <w:p>
            <w:pPr>
              <w:keepNext/>
            </w:pPr>
            <w:r/>
            <w:r>
              <w:rPr>
                <w:sz w:val="14"/>
              </w:rPr>
              <w:t>patrol</w:t>
            </w:r>
          </w:p>
        </w:tc>
        <w:tc>
          <w:tcPr>
            <w:tcW w:type="dxa" w:w="2091"/>
          </w:tcPr>
          <w:p>
            <w:pPr>
              <w:keepNext/>
            </w:pPr>
            <w:r/>
            <w:r>
              <w:rPr>
                <w:sz w:val="14"/>
              </w:rPr>
              <w:t>5 × 8 × 2 = 80</w:t>
            </w:r>
          </w:p>
        </w:tc>
        <w:tc>
          <w:tcPr>
            <w:tcW w:type="dxa" w:w="2091"/>
          </w:tcPr>
          <w:p>
            <w:pPr>
              <w:keepNext/>
            </w:pPr>
            <w:r/>
            <w:r>
              <w:rPr>
                <w:sz w:val="14"/>
              </w:rPr>
              <w:t>real, [0, 49]²</w:t>
            </w:r>
          </w:p>
        </w:tc>
        <w:tc>
          <w:tcPr>
            <w:tcW w:type="dxa" w:w="2091"/>
          </w:tcPr>
          <w:p>
            <w:pPr>
              <w:keepNext/>
            </w:pPr>
            <w:r/>
            <w:r>
              <w:rPr>
                <w:sz w:val="14"/>
              </w:rPr>
              <w:t>Ordered waypoints</w:t>
            </w:r>
          </w:p>
        </w:tc>
        <w:tc>
          <w:tcPr>
            <w:tcW w:type="dxa" w:w="2091"/>
          </w:tcPr>
          <w:p>
            <w:pPr>
              <w:keepNext/>
            </w:pPr>
            <w:r/>
            <w:r>
              <w:rPr>
                <w:sz w:val="14"/>
              </w:rPr>
              <w:t>Order-aware segment/splice crossover.</w:t>
            </w:r>
          </w:p>
        </w:tc>
      </w:tr>
      <w:tr>
        <w:trPr>
          <w:cantSplit w:val="true"/>
        </w:trPr>
        <w:tc>
          <w:tcPr>
            <w:tcW w:type="dxa" w:w="2091"/>
          </w:tcPr>
          <w:p>
            <w:pPr>
              <w:keepNext/>
            </w:pPr>
            <w:r/>
            <w:r>
              <w:rPr>
                <w:sz w:val="14"/>
              </w:rPr>
              <w:t>sensor</w:t>
            </w:r>
          </w:p>
        </w:tc>
        <w:tc>
          <w:tcPr>
            <w:tcW w:type="dxa" w:w="2091"/>
          </w:tcPr>
          <w:p>
            <w:pPr>
              <w:keepNext/>
            </w:pPr>
            <w:r/>
            <w:r>
              <w:rPr>
                <w:sz w:val="14"/>
              </w:rPr>
              <w:t>5 × 9 = 45</w:t>
            </w:r>
          </w:p>
        </w:tc>
        <w:tc>
          <w:tcPr>
            <w:tcW w:type="dxa" w:w="2091"/>
          </w:tcPr>
          <w:p>
            <w:pPr>
              <w:keepNext/>
            </w:pPr>
            <w:r/>
            <w:r>
              <w:rPr>
                <w:sz w:val="14"/>
              </w:rPr>
              <w:t>real, [0, 1]</w:t>
            </w:r>
          </w:p>
        </w:tc>
        <w:tc>
          <w:tcPr>
            <w:tcW w:type="dxa" w:w="2091"/>
          </w:tcPr>
          <w:p>
            <w:pPr>
              <w:keepNext/>
            </w:pPr>
            <w:r/>
            <w:r>
              <w:rPr>
                <w:sz w:val="14"/>
              </w:rPr>
              <w:t>Power at nine nodes</w:t>
            </w:r>
          </w:p>
        </w:tc>
        <w:tc>
          <w:tcPr>
            <w:tcW w:type="dxa" w:w="2091"/>
          </w:tcPr>
          <w:p>
            <w:pPr>
              <w:keepNext/>
            </w:pPr>
            <w:r/>
            <w:r>
              <w:rPr>
                <w:sz w:val="14"/>
              </w:rPr>
              <w:t>Continuous power; values below 0.10 switch off.</w:t>
            </w:r>
          </w:p>
        </w:tc>
      </w:tr>
      <w:tr>
        <w:trPr>
          <w:cantSplit w:val="true"/>
        </w:trPr>
        <w:tc>
          <w:tcPr>
            <w:tcW w:type="dxa" w:w="2091"/>
          </w:tcPr>
          <w:p>
            <w:pPr>
              <w:keepNext/>
            </w:pPr>
            <w:r/>
            <w:r>
              <w:rPr>
                <w:sz w:val="14"/>
              </w:rPr>
              <w:t>speed</w:t>
            </w:r>
          </w:p>
        </w:tc>
        <w:tc>
          <w:tcPr>
            <w:tcW w:type="dxa" w:w="2091"/>
          </w:tcPr>
          <w:p>
            <w:pPr>
              <w:keepNext/>
            </w:pPr>
            <w:r/>
            <w:r>
              <w:rPr>
                <w:sz w:val="14"/>
              </w:rPr>
              <w:t>5 × 10 = 50</w:t>
            </w:r>
          </w:p>
        </w:tc>
        <w:tc>
          <w:tcPr>
            <w:tcW w:type="dxa" w:w="2091"/>
          </w:tcPr>
          <w:p>
            <w:pPr>
              <w:keepNext/>
            </w:pPr>
            <w:r/>
            <w:r>
              <w:rPr>
                <w:sz w:val="14"/>
              </w:rPr>
              <w:t>real, [0.55, 2.0]</w:t>
            </w:r>
          </w:p>
        </w:tc>
        <w:tc>
          <w:tcPr>
            <w:tcW w:type="dxa" w:w="2091"/>
          </w:tcPr>
          <w:p>
            <w:pPr>
              <w:keepNext/>
            </w:pPr>
            <w:r/>
            <w:r>
              <w:rPr>
                <w:sz w:val="14"/>
              </w:rPr>
              <w:t>Ten closed-route legs</w:t>
            </w:r>
          </w:p>
        </w:tc>
        <w:tc>
          <w:tcPr>
            <w:tcW w:type="dxa" w:w="2091"/>
          </w:tcPr>
          <w:p>
            <w:pPr>
              <w:keepNext/>
            </w:pPr>
            <w:r/>
            <w:r>
              <w:rPr>
                <w:sz w:val="14"/>
              </w:rPr>
              <w:t>Explicit time–energy trade-off.</w:t>
            </w:r>
          </w:p>
        </w:tc>
      </w:tr>
      <w:tr>
        <w:trPr>
          <w:cantSplit w:val="true"/>
        </w:trPr>
        <w:tc>
          <w:tcPr>
            <w:tcW w:type="dxa" w:w="2091"/>
          </w:tcPr>
          <w:p>
            <w:pPr>
              <w:keepNext/>
            </w:pPr>
            <w:r/>
            <w:r>
              <w:rPr>
                <w:sz w:val="14"/>
              </w:rPr>
              <w:t>Total</w:t>
            </w:r>
          </w:p>
        </w:tc>
        <w:tc>
          <w:tcPr>
            <w:tcW w:type="dxa" w:w="2091"/>
          </w:tcPr>
          <w:p>
            <w:pPr>
              <w:keepNext/>
            </w:pPr>
            <w:r/>
            <w:r>
              <w:rPr>
                <w:sz w:val="14"/>
              </w:rPr>
              <w:t>190</w:t>
            </w:r>
          </w:p>
        </w:tc>
        <w:tc>
          <w:tcPr>
            <w:tcW w:type="dxa" w:w="2091"/>
          </w:tcPr>
          <w:p>
            <w:pPr>
              <w:keepNext/>
            </w:pPr>
            <w:r/>
            <w:r>
              <w:rPr>
                <w:sz w:val="14"/>
              </w:rPr>
              <w:t>mixed</w:t>
            </w:r>
          </w:p>
        </w:tc>
        <w:tc>
          <w:tcPr>
            <w:tcW w:type="dxa" w:w="2091"/>
          </w:tcPr>
          <w:p>
            <w:pPr>
              <w:keepNext/>
            </w:pPr>
            <w:r/>
            <w:r>
              <w:rPr>
                <w:sz w:val="14"/>
              </w:rPr>
              <w:t>Complete strategy</w:t>
            </w:r>
          </w:p>
        </w:tc>
        <w:tc>
          <w:tcPr>
            <w:tcW w:type="dxa" w:w="2091"/>
          </w:tcPr>
          <w:p>
            <w:pPr>
              <w:keepNext/>
            </w:pPr>
            <w:r/>
            <w:r>
              <w:rPr>
                <w:sz w:val="14"/>
              </w:rPr>
              <w:t>One plan, one archive entry.</w:t>
            </w:r>
          </w:p>
        </w:tc>
      </w:tr>
    </w:tbl>
    <w:p>
      <w:pPr>
        <w:spacing w:after="80"/>
      </w:pPr>
      <w:r>
        <w:rPr>
          <w:i/>
          <w:color w:val="444444"/>
          <w:sz w:val="14"/>
        </w:rPr>
        <w:t>Table 1. Hybrid chromosome layout for five UAVs and eight patrol points.</w:t>
      </w:r>
    </w:p>
    <w:p>
      <w:pPr>
        <w:spacing w:after="0"/>
      </w:pPr>
    </w:p>
    <w:p>
      <w:r>
        <w:t>The alternatives were considered and rejected for concrete reasons. A dense occupancy mask needs 2,500 bits, has no route order or sensor schedule, and must reconstruct tours ambiguously. A permutation of cells suits one travelling salesman but cannot express five cooperating UAVs, loiter points or per-node power. Separate variable-length routes per UAV are flexible but break uniform crossover, elitism and archiving. The hybrid is not merely smaller; it makes the repair rules auditable.</w:t>
      </w:r>
    </w:p>
    <w:p>
      <w:r>
        <w:t>The design's effect is visible in the reference genome: 3 of 5 UAVs are active, deployed roughly 19.6 cells apart, with patrol centroids only 3.5–6.1 cells from their loiter points. 26 of 27 sensor slots on active aircraft are switched on at mean power 0.89; total flown distance is 239.0 cells and the longest route is 107.1 cells (61% of the 175-cell per-drone limit). At generation 1, five aircraft consumed 1.77 of the energy budget with a penalty of 1.78. The activation gene is what allows the final plan to reach 0.716 coverage with three aircraft at 99.6% energy and zero penalty.</w:t>
      </w:r>
    </w:p>
    <w:tbl>
      <w:tblPr>
        <w:tblW w:type="auto" w:w="0"/>
        <w:jc w:val="center"/>
        <w:tblLook w:firstColumn="1" w:firstRow="1" w:lastColumn="0" w:lastRow="0" w:noHBand="0" w:noVBand="1" w:val="04A0"/>
      </w:tblPr>
      <w:tblGrid>
        <w:gridCol w:w="5227"/>
        <w:gridCol w:w="5227"/>
      </w:tblGrid>
      <w:tr>
        <w:tc>
          <w:tcPr>
            <w:tcW w:type="dxa" w:w="5227"/>
          </w:tcPr>
          <w:p>
            <w:pPr>
              <w:jc w:val="center"/>
            </w:pPr>
            <w:r>
              <w:drawing>
                <wp:inline xmlns:a="http://schemas.openxmlformats.org/drawingml/2006/main" xmlns:pic="http://schemas.openxmlformats.org/drawingml/2006/picture">
                  <wp:extent cx="2788920" cy="2421957"/>
                  <wp:docPr id="1" name="Picture 1"/>
                  <wp:cNvGraphicFramePr>
                    <a:graphicFrameLocks noChangeAspect="1"/>
                  </wp:cNvGraphicFramePr>
                  <a:graphic>
                    <a:graphicData uri="http://schemas.openxmlformats.org/drawingml/2006/picture">
                      <pic:pic>
                        <pic:nvPicPr>
                          <pic:cNvPr id="0" name="evolved_paths.png"/>
                          <pic:cNvPicPr/>
                        </pic:nvPicPr>
                        <pic:blipFill>
                          <a:blip r:embed="rId10"/>
                          <a:stretch>
                            <a:fillRect/>
                          </a:stretch>
                        </pic:blipFill>
                        <pic:spPr>
                          <a:xfrm>
                            <a:off x="0" y="0"/>
                            <a:ext cx="2788920" cy="2421957"/>
                          </a:xfrm>
                          <a:prstGeom prst="rect"/>
                        </pic:spPr>
                      </pic:pic>
                    </a:graphicData>
                  </a:graphic>
                </wp:inline>
              </w:drawing>
            </w:r>
          </w:p>
        </w:tc>
        <w:tc>
          <w:tcPr>
            <w:tcW w:type="dxa" w:w="5227"/>
          </w:tcPr>
          <w:p>
            <w:pPr>
              <w:jc w:val="center"/>
            </w:pPr>
            <w:r>
              <w:drawing>
                <wp:inline xmlns:a="http://schemas.openxmlformats.org/drawingml/2006/main" xmlns:pic="http://schemas.openxmlformats.org/drawingml/2006/picture">
                  <wp:extent cx="2788920" cy="2348564"/>
                  <wp:docPr id="2" name="Picture 2"/>
                  <wp:cNvGraphicFramePr>
                    <a:graphicFrameLocks noChangeAspect="1"/>
                  </wp:cNvGraphicFramePr>
                  <a:graphic>
                    <a:graphicData uri="http://schemas.openxmlformats.org/drawingml/2006/picture">
                      <pic:pic>
                        <pic:nvPicPr>
                          <pic:cNvPr id="0" name="coverage_heatmap.png"/>
                          <pic:cNvPicPr/>
                        </pic:nvPicPr>
                        <pic:blipFill>
                          <a:blip r:embed="rId11"/>
                          <a:stretch>
                            <a:fillRect/>
                          </a:stretch>
                        </pic:blipFill>
                        <pic:spPr>
                          <a:xfrm>
                            <a:off x="0" y="0"/>
                            <a:ext cx="2788920" cy="2348564"/>
                          </a:xfrm>
                          <a:prstGeom prst="rect"/>
                        </pic:spPr>
                      </pic:pic>
                    </a:graphicData>
                  </a:graphic>
                </wp:inline>
              </w:drawing>
            </w:r>
          </w:p>
        </w:tc>
      </w:tr>
    </w:tbl>
    <w:p>
      <w:pPr>
        <w:spacing w:after="80"/>
      </w:pPr>
      <w:r>
        <w:rPr>
          <w:i/>
          <w:color w:val="444444"/>
          <w:sz w:val="14"/>
        </w:rPr>
        <w:t>Figure 1. Evolved deployment and patrol trajectories (left) and the fused noisy-OR coverage heatmap (right). Stars mark deployment points; polygons show no-fly airspace and priority zones. Coverage is concentrated on the three P3 zones rather than spread uniformly.</w:t>
      </w:r>
    </w:p>
    <w:p>
      <w:pPr>
        <w:pStyle w:val="Heading1"/>
      </w:pPr>
      <w:r>
        <w:t>2. Fitness Weighting Rationale</w:t>
      </w:r>
    </w:p>
    <w:p>
      <w:r>
        <w:t>Sensors are fused with a noisy-OR model, so overlapping footprints raise confidence smoothly. The five normalised objectives are priority coverage C, weighted detection D, energy E, time T and hazard exposure R. The scalar fitness is</w:t>
      </w:r>
    </w:p>
    <w:p>
      <w:pPr>
        <w:spacing w:after="60"/>
        <w:jc w:val="center"/>
      </w:pPr>
      <w:r>
        <w:rPr>
          <w:rFonts w:ascii="Consolas" w:hAnsi="Consolas"/>
          <w:sz w:val="15"/>
        </w:rPr>
        <w:t>f = 0.45 C + 0.15 D + 0.10 (1 - E/36) + 0.10 (1 - T/240) + 0.20 (1 - R) - P</w:t>
        <w:br/>
        <w:t>P = 4 f_nofly + 3 max(0, 0.55 - C) + 2 max(0, R_range - 1) + 2 max(0, T/240 - 1)</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cantSplit w:val="true"/>
        </w:trPr>
        <w:tc>
          <w:tcPr>
            <w:tcW w:type="dxa" w:w="2091"/>
            <w:shd w:val="clear" w:color="auto" w:fill="D9E2F3"/>
          </w:tcPr>
          <w:p>
            <w:pPr>
              <w:keepNext/>
            </w:pPr>
            <w:r/>
            <w:r>
              <w:rPr>
                <w:b/>
                <w:sz w:val="14"/>
              </w:rPr>
              <w:t>Objective</w:t>
            </w:r>
          </w:p>
        </w:tc>
        <w:tc>
          <w:tcPr>
            <w:tcW w:type="dxa" w:w="2091"/>
            <w:shd w:val="clear" w:color="auto" w:fill="D9E2F3"/>
          </w:tcPr>
          <w:p>
            <w:pPr>
              <w:keepNext/>
            </w:pPr>
            <w:r/>
            <w:r>
              <w:rPr>
                <w:b/>
                <w:sz w:val="14"/>
              </w:rPr>
              <w:t>Weight</w:t>
            </w:r>
          </w:p>
        </w:tc>
        <w:tc>
          <w:tcPr>
            <w:tcW w:type="dxa" w:w="2091"/>
            <w:shd w:val="clear" w:color="auto" w:fill="D9E2F3"/>
          </w:tcPr>
          <w:p>
            <w:pPr>
              <w:keepNext/>
            </w:pPr>
            <w:r/>
            <w:r>
              <w:rPr>
                <w:b/>
                <w:sz w:val="14"/>
              </w:rPr>
              <w:t>Score at reference</w:t>
            </w:r>
          </w:p>
        </w:tc>
        <w:tc>
          <w:tcPr>
            <w:tcW w:type="dxa" w:w="2091"/>
            <w:shd w:val="clear" w:color="auto" w:fill="D9E2F3"/>
          </w:tcPr>
          <w:p>
            <w:pPr>
              <w:keepNext/>
            </w:pPr>
            <w:r/>
            <w:r>
              <w:rPr>
                <w:b/>
                <w:sz w:val="14"/>
              </w:rPr>
              <w:t>Contribution to f</w:t>
            </w:r>
          </w:p>
        </w:tc>
        <w:tc>
          <w:tcPr>
            <w:tcW w:type="dxa" w:w="2091"/>
            <w:shd w:val="clear" w:color="auto" w:fill="D9E2F3"/>
          </w:tcPr>
          <w:p>
            <w:pPr>
              <w:keepNext/>
            </w:pPr>
            <w:r/>
            <w:r>
              <w:rPr>
                <w:b/>
                <w:sz w:val="14"/>
              </w:rPr>
              <w:t>Share of f</w:t>
            </w:r>
          </w:p>
        </w:tc>
      </w:tr>
      <w:tr>
        <w:trPr>
          <w:cantSplit w:val="true"/>
        </w:trPr>
        <w:tc>
          <w:tcPr>
            <w:tcW w:type="dxa" w:w="2091"/>
          </w:tcPr>
          <w:p>
            <w:pPr>
              <w:keepNext/>
            </w:pPr>
            <w:r/>
            <w:r>
              <w:rPr>
                <w:sz w:val="14"/>
              </w:rPr>
              <w:t>Coverage C</w:t>
            </w:r>
          </w:p>
        </w:tc>
        <w:tc>
          <w:tcPr>
            <w:tcW w:type="dxa" w:w="2091"/>
          </w:tcPr>
          <w:p>
            <w:pPr>
              <w:keepNext/>
            </w:pPr>
            <w:r/>
            <w:r>
              <w:rPr>
                <w:sz w:val="14"/>
              </w:rPr>
              <w:t>0.45</w:t>
            </w:r>
          </w:p>
        </w:tc>
        <w:tc>
          <w:tcPr>
            <w:tcW w:type="dxa" w:w="2091"/>
          </w:tcPr>
          <w:p>
            <w:pPr>
              <w:keepNext/>
            </w:pPr>
            <w:r/>
            <w:r>
              <w:rPr>
                <w:sz w:val="14"/>
              </w:rPr>
              <w:t>0.716</w:t>
            </w:r>
          </w:p>
        </w:tc>
        <w:tc>
          <w:tcPr>
            <w:tcW w:type="dxa" w:w="2091"/>
          </w:tcPr>
          <w:p>
            <w:pPr>
              <w:keepNext/>
            </w:pPr>
            <w:r/>
            <w:r>
              <w:rPr>
                <w:sz w:val="14"/>
              </w:rPr>
              <w:t>0.322</w:t>
            </w:r>
          </w:p>
        </w:tc>
        <w:tc>
          <w:tcPr>
            <w:tcW w:type="dxa" w:w="2091"/>
          </w:tcPr>
          <w:p>
            <w:pPr>
              <w:keepNext/>
            </w:pPr>
            <w:r/>
            <w:r>
              <w:rPr>
                <w:sz w:val="14"/>
              </w:rPr>
              <w:t>49.8%</w:t>
            </w:r>
          </w:p>
        </w:tc>
      </w:tr>
      <w:tr>
        <w:trPr>
          <w:cantSplit w:val="true"/>
        </w:trPr>
        <w:tc>
          <w:tcPr>
            <w:tcW w:type="dxa" w:w="2091"/>
          </w:tcPr>
          <w:p>
            <w:pPr>
              <w:keepNext/>
            </w:pPr>
            <w:r/>
            <w:r>
              <w:rPr>
                <w:sz w:val="14"/>
              </w:rPr>
              <w:t>Detection D</w:t>
            </w:r>
          </w:p>
        </w:tc>
        <w:tc>
          <w:tcPr>
            <w:tcW w:type="dxa" w:w="2091"/>
          </w:tcPr>
          <w:p>
            <w:pPr>
              <w:keepNext/>
            </w:pPr>
            <w:r/>
            <w:r>
              <w:rPr>
                <w:sz w:val="14"/>
              </w:rPr>
              <w:t>0.15</w:t>
            </w:r>
          </w:p>
        </w:tc>
        <w:tc>
          <w:tcPr>
            <w:tcW w:type="dxa" w:w="2091"/>
          </w:tcPr>
          <w:p>
            <w:pPr>
              <w:keepNext/>
            </w:pPr>
            <w:r/>
            <w:r>
              <w:rPr>
                <w:sz w:val="14"/>
              </w:rPr>
              <w:t>0.908</w:t>
            </w:r>
          </w:p>
        </w:tc>
        <w:tc>
          <w:tcPr>
            <w:tcW w:type="dxa" w:w="2091"/>
          </w:tcPr>
          <w:p>
            <w:pPr>
              <w:keepNext/>
            </w:pPr>
            <w:r/>
            <w:r>
              <w:rPr>
                <w:sz w:val="14"/>
              </w:rPr>
              <w:t>0.136</w:t>
            </w:r>
          </w:p>
        </w:tc>
        <w:tc>
          <w:tcPr>
            <w:tcW w:type="dxa" w:w="2091"/>
          </w:tcPr>
          <w:p>
            <w:pPr>
              <w:keepNext/>
            </w:pPr>
            <w:r/>
            <w:r>
              <w:rPr>
                <w:sz w:val="14"/>
              </w:rPr>
              <w:t>21.1%</w:t>
            </w:r>
          </w:p>
        </w:tc>
      </w:tr>
      <w:tr>
        <w:trPr>
          <w:cantSplit w:val="true"/>
        </w:trPr>
        <w:tc>
          <w:tcPr>
            <w:tcW w:type="dxa" w:w="2091"/>
          </w:tcPr>
          <w:p>
            <w:pPr>
              <w:keepNext/>
            </w:pPr>
            <w:r/>
            <w:r>
              <w:rPr>
                <w:sz w:val="14"/>
              </w:rPr>
              <w:t>Energy (1 - E/36)</w:t>
            </w:r>
          </w:p>
        </w:tc>
        <w:tc>
          <w:tcPr>
            <w:tcW w:type="dxa" w:w="2091"/>
          </w:tcPr>
          <w:p>
            <w:pPr>
              <w:keepNext/>
            </w:pPr>
            <w:r/>
            <w:r>
              <w:rPr>
                <w:sz w:val="14"/>
              </w:rPr>
              <w:t>0.10</w:t>
            </w:r>
          </w:p>
        </w:tc>
        <w:tc>
          <w:tcPr>
            <w:tcW w:type="dxa" w:w="2091"/>
          </w:tcPr>
          <w:p>
            <w:pPr>
              <w:keepNext/>
            </w:pPr>
            <w:r/>
            <w:r>
              <w:rPr>
                <w:sz w:val="14"/>
              </w:rPr>
              <w:t>0.004</w:t>
            </w:r>
          </w:p>
        </w:tc>
        <w:tc>
          <w:tcPr>
            <w:tcW w:type="dxa" w:w="2091"/>
          </w:tcPr>
          <w:p>
            <w:pPr>
              <w:keepNext/>
            </w:pPr>
            <w:r/>
            <w:r>
              <w:rPr>
                <w:sz w:val="14"/>
              </w:rPr>
              <w:t>0.000</w:t>
            </w:r>
          </w:p>
        </w:tc>
        <w:tc>
          <w:tcPr>
            <w:tcW w:type="dxa" w:w="2091"/>
          </w:tcPr>
          <w:p>
            <w:pPr>
              <w:keepNext/>
            </w:pPr>
            <w:r/>
            <w:r>
              <w:rPr>
                <w:sz w:val="14"/>
              </w:rPr>
              <w:t>0.1%</w:t>
            </w:r>
          </w:p>
        </w:tc>
      </w:tr>
      <w:tr>
        <w:trPr>
          <w:cantSplit w:val="true"/>
        </w:trPr>
        <w:tc>
          <w:tcPr>
            <w:tcW w:type="dxa" w:w="2091"/>
          </w:tcPr>
          <w:p>
            <w:pPr>
              <w:keepNext/>
            </w:pPr>
            <w:r/>
            <w:r>
              <w:rPr>
                <w:sz w:val="14"/>
              </w:rPr>
              <w:t>Time (1 - T/240)</w:t>
            </w:r>
          </w:p>
        </w:tc>
        <w:tc>
          <w:tcPr>
            <w:tcW w:type="dxa" w:w="2091"/>
          </w:tcPr>
          <w:p>
            <w:pPr>
              <w:keepNext/>
            </w:pPr>
            <w:r/>
            <w:r>
              <w:rPr>
                <w:sz w:val="14"/>
              </w:rPr>
              <w:t>0.10</w:t>
            </w:r>
          </w:p>
        </w:tc>
        <w:tc>
          <w:tcPr>
            <w:tcW w:type="dxa" w:w="2091"/>
          </w:tcPr>
          <w:p>
            <w:pPr>
              <w:keepNext/>
            </w:pPr>
            <w:r/>
            <w:r>
              <w:rPr>
                <w:sz w:val="14"/>
              </w:rPr>
              <w:t>0.140</w:t>
            </w:r>
          </w:p>
        </w:tc>
        <w:tc>
          <w:tcPr>
            <w:tcW w:type="dxa" w:w="2091"/>
          </w:tcPr>
          <w:p>
            <w:pPr>
              <w:keepNext/>
            </w:pPr>
            <w:r/>
            <w:r>
              <w:rPr>
                <w:sz w:val="14"/>
              </w:rPr>
              <w:t>0.014</w:t>
            </w:r>
          </w:p>
        </w:tc>
        <w:tc>
          <w:tcPr>
            <w:tcW w:type="dxa" w:w="2091"/>
          </w:tcPr>
          <w:p>
            <w:pPr>
              <w:keepNext/>
            </w:pPr>
            <w:r/>
            <w:r>
              <w:rPr>
                <w:sz w:val="14"/>
              </w:rPr>
              <w:t>2.2%</w:t>
            </w:r>
          </w:p>
        </w:tc>
      </w:tr>
      <w:tr>
        <w:trPr>
          <w:cantSplit w:val="true"/>
        </w:trPr>
        <w:tc>
          <w:tcPr>
            <w:tcW w:type="dxa" w:w="2091"/>
          </w:tcPr>
          <w:p>
            <w:pPr>
              <w:keepNext/>
            </w:pPr>
            <w:r/>
            <w:r>
              <w:rPr>
                <w:sz w:val="14"/>
              </w:rPr>
              <w:t>Safety (1 - R)</w:t>
            </w:r>
          </w:p>
        </w:tc>
        <w:tc>
          <w:tcPr>
            <w:tcW w:type="dxa" w:w="2091"/>
          </w:tcPr>
          <w:p>
            <w:pPr>
              <w:keepNext/>
            </w:pPr>
            <w:r/>
            <w:r>
              <w:rPr>
                <w:sz w:val="14"/>
              </w:rPr>
              <w:t>0.20</w:t>
            </w:r>
          </w:p>
        </w:tc>
        <w:tc>
          <w:tcPr>
            <w:tcW w:type="dxa" w:w="2091"/>
          </w:tcPr>
          <w:p>
            <w:pPr>
              <w:keepNext/>
            </w:pPr>
            <w:r/>
            <w:r>
              <w:rPr>
                <w:sz w:val="14"/>
              </w:rPr>
              <w:t>0.870</w:t>
            </w:r>
          </w:p>
        </w:tc>
        <w:tc>
          <w:tcPr>
            <w:tcW w:type="dxa" w:w="2091"/>
          </w:tcPr>
          <w:p>
            <w:pPr>
              <w:keepNext/>
            </w:pPr>
            <w:r/>
            <w:r>
              <w:rPr>
                <w:sz w:val="14"/>
              </w:rPr>
              <w:t>0.174</w:t>
            </w:r>
          </w:p>
        </w:tc>
        <w:tc>
          <w:tcPr>
            <w:tcW w:type="dxa" w:w="2091"/>
          </w:tcPr>
          <w:p>
            <w:pPr>
              <w:keepNext/>
            </w:pPr>
            <w:r/>
            <w:r>
              <w:rPr>
                <w:sz w:val="14"/>
              </w:rPr>
              <w:t>26.9%</w:t>
            </w:r>
          </w:p>
        </w:tc>
      </w:tr>
      <w:tr>
        <w:trPr>
          <w:cantSplit w:val="true"/>
        </w:trPr>
        <w:tc>
          <w:tcPr>
            <w:tcW w:type="dxa" w:w="2091"/>
          </w:tcPr>
          <w:p>
            <w:pPr>
              <w:keepNext/>
            </w:pPr>
            <w:r/>
            <w:r>
              <w:rPr>
                <w:sz w:val="14"/>
              </w:rPr>
              <w:t>Total</w:t>
            </w:r>
          </w:p>
        </w:tc>
        <w:tc>
          <w:tcPr>
            <w:tcW w:type="dxa" w:w="2091"/>
          </w:tcPr>
          <w:p>
            <w:pPr>
              <w:keepNext/>
            </w:pPr>
            <w:r/>
            <w:r>
              <w:rPr>
                <w:sz w:val="14"/>
              </w:rPr>
              <w:t>1.00</w:t>
            </w:r>
          </w:p>
        </w:tc>
        <w:tc>
          <w:tcPr>
            <w:tcW w:type="dxa" w:w="2091"/>
          </w:tcPr>
          <w:p>
            <w:pPr>
              <w:keepNext/>
            </w:pPr>
            <w:r/>
            <w:r>
              <w:rPr>
                <w:sz w:val="14"/>
              </w:rPr>
              <w:t>—</w:t>
            </w:r>
          </w:p>
        </w:tc>
        <w:tc>
          <w:tcPr>
            <w:tcW w:type="dxa" w:w="2091"/>
          </w:tcPr>
          <w:p>
            <w:pPr>
              <w:keepNext/>
            </w:pPr>
            <w:r/>
            <w:r>
              <w:rPr>
                <w:sz w:val="14"/>
              </w:rPr>
              <w:t>0.647</w:t>
            </w:r>
          </w:p>
        </w:tc>
        <w:tc>
          <w:tcPr>
            <w:tcW w:type="dxa" w:w="2091"/>
          </w:tcPr>
          <w:p>
            <w:pPr>
              <w:keepNext/>
            </w:pPr>
            <w:r/>
            <w:r>
              <w:rPr>
                <w:sz w:val="14"/>
              </w:rPr>
              <w:t>100.0%</w:t>
            </w:r>
          </w:p>
        </w:tc>
      </w:tr>
    </w:tbl>
    <w:p>
      <w:pPr>
        <w:spacing w:after="80"/>
      </w:pPr>
      <w:r>
        <w:rPr>
          <w:i/>
          <w:color w:val="444444"/>
          <w:sz w:val="14"/>
        </w:rPr>
        <w:t>Table 2. Default weights and their realised contribution to the reference fitness of 0.6467.</w:t>
      </w:r>
    </w:p>
    <w:p>
      <w:pPr>
        <w:spacing w:after="0"/>
      </w:pPr>
    </w:p>
    <w:p>
      <w:r>
        <w:t>The allocation is intentionally unequal. Coverage receives 0.45 because a route that misses the P3 zones has failed the mission. Safety receives 0.20: because (1 − R) is near 0.87 for an ordinary route, this is a substantial always-present term that penalises excursions into hazard plumes, not a rare tie-breaker. Detection receives 0.15 to separate strategies with similar area coverage but different target confidence. Energy and time each receive 0.10 as soft efficiency terms; hard limits are already enforced by range, time and coverage penalties. At the reference point energy contributes only 0.0004 because the strategy spends 99.6% of its budget to buy coverage. Penalty weights (4/3/2/2) are an order of magnitude larger than any objective gain, so feasible strategies dominate infeasible ones and the five weights decide only within the feasible region.</w:t>
      </w:r>
    </w:p>
    <w:p>
      <w:r>
        <w:t>The weights are not interchangeable. Rescoring the 149-member archive with equal weights selects a different plan: coverage 0.680, detection 0.886, energy 84.3% and risk 0.121, instead of the default choice at 0.716, 0.908, 99.6% and 0.130. The default therefore buys roughly 3.6 coverage points with 15 energy points. The archive also shows why scalarisation is not the whole answer: its extremes run from 0.525 to 0.718 coverage, 62.3% to 116.0% energy and 0.075 to 0.157 risk, so a human can inspect alternatives that no single weight vector selects.</w:t>
      </w:r>
    </w:p>
    <w:p>
      <w:pPr>
        <w:pStyle w:val="Heading1"/>
      </w:pPr>
      <w:r>
        <w:t>3. Hyperparameter Sensitivity Analysis</w:t>
      </w:r>
    </w:p>
    <w:p>
      <w:r>
        <w:t>A one-at-a-time study varied population size P ∈ {24, 40, 60}, mutation rate r_m ∈ {0.05, 0.15, 0.30} and tournament size k_t ∈ {2, 4, 8} over 40 generations with two seeds (11, 23), holding the mission map (seed 42), 90% crossover, two elites and 4% immigrants fixed. Two seeds expose large effects but not narrow confidence intervals, so the discussion separates real gaps from noise.</w:t>
      </w:r>
    </w:p>
    <w:tbl>
      <w:tblPr>
        <w:tblStyle w:val="TableGrid"/>
        <w:tblW w:type="auto" w:w="0"/>
        <w:jc w:val="center"/>
        <w:tblLook w:firstColumn="1" w:firstRow="1" w:lastColumn="0" w:lastRow="0" w:noHBand="0" w:noVBand="1" w:val="04A0"/>
      </w:tblPr>
      <w:tblGrid>
        <w:gridCol w:w="1162"/>
        <w:gridCol w:w="1162"/>
        <w:gridCol w:w="1162"/>
        <w:gridCol w:w="1162"/>
        <w:gridCol w:w="1162"/>
        <w:gridCol w:w="1162"/>
        <w:gridCol w:w="1162"/>
        <w:gridCol w:w="1162"/>
        <w:gridCol w:w="1162"/>
      </w:tblGrid>
      <w:tr>
        <w:trPr>
          <w:tblHeader w:val="true"/>
          <w:cantSplit w:val="true"/>
        </w:trPr>
        <w:tc>
          <w:tcPr>
            <w:tcW w:type="dxa" w:w="1162"/>
            <w:shd w:val="clear" w:color="auto" w:fill="D9E2F3"/>
          </w:tcPr>
          <w:p>
            <w:pPr>
              <w:keepNext/>
            </w:pPr>
            <w:r/>
            <w:r>
              <w:rPr>
                <w:b/>
                <w:sz w:val="14"/>
              </w:rPr>
              <w:t>Parameter</w:t>
            </w:r>
          </w:p>
        </w:tc>
        <w:tc>
          <w:tcPr>
            <w:tcW w:type="dxa" w:w="1162"/>
            <w:shd w:val="clear" w:color="auto" w:fill="D9E2F3"/>
          </w:tcPr>
          <w:p>
            <w:pPr>
              <w:keepNext/>
            </w:pPr>
            <w:r/>
            <w:r>
              <w:rPr>
                <w:b/>
                <w:sz w:val="14"/>
              </w:rPr>
              <w:t>Value</w:t>
            </w:r>
          </w:p>
        </w:tc>
        <w:tc>
          <w:tcPr>
            <w:tcW w:type="dxa" w:w="1162"/>
            <w:shd w:val="clear" w:color="auto" w:fill="D9E2F3"/>
          </w:tcPr>
          <w:p>
            <w:pPr>
              <w:keepNext/>
            </w:pPr>
            <w:r/>
            <w:r>
              <w:rPr>
                <w:b/>
                <w:sz w:val="14"/>
              </w:rPr>
              <w:t>Fitness</w:t>
            </w:r>
          </w:p>
        </w:tc>
        <w:tc>
          <w:tcPr>
            <w:tcW w:type="dxa" w:w="1162"/>
            <w:shd w:val="clear" w:color="auto" w:fill="D9E2F3"/>
          </w:tcPr>
          <w:p>
            <w:pPr>
              <w:keepNext/>
            </w:pPr>
            <w:r/>
            <w:r>
              <w:rPr>
                <w:b/>
                <w:sz w:val="14"/>
              </w:rPr>
              <w:t>Coverage</w:t>
            </w:r>
          </w:p>
        </w:tc>
        <w:tc>
          <w:tcPr>
            <w:tcW w:type="dxa" w:w="1162"/>
            <w:shd w:val="clear" w:color="auto" w:fill="D9E2F3"/>
          </w:tcPr>
          <w:p>
            <w:pPr>
              <w:keepNext/>
            </w:pPr>
            <w:r/>
            <w:r>
              <w:rPr>
                <w:b/>
                <w:sz w:val="14"/>
              </w:rPr>
              <w:t>Detection</w:t>
            </w:r>
          </w:p>
        </w:tc>
        <w:tc>
          <w:tcPr>
            <w:tcW w:type="dxa" w:w="1162"/>
            <w:shd w:val="clear" w:color="auto" w:fill="D9E2F3"/>
          </w:tcPr>
          <w:p>
            <w:pPr>
              <w:keepNext/>
            </w:pPr>
            <w:r/>
            <w:r>
              <w:rPr>
                <w:b/>
                <w:sz w:val="14"/>
              </w:rPr>
              <w:t>Energy</w:t>
            </w:r>
          </w:p>
        </w:tc>
        <w:tc>
          <w:tcPr>
            <w:tcW w:type="dxa" w:w="1162"/>
            <w:shd w:val="clear" w:color="auto" w:fill="D9E2F3"/>
          </w:tcPr>
          <w:p>
            <w:pPr>
              <w:keepNext/>
            </w:pPr>
            <w:r/>
            <w:r>
              <w:rPr>
                <w:b/>
                <w:sz w:val="14"/>
              </w:rPr>
              <w:t>Time</w:t>
            </w:r>
          </w:p>
        </w:tc>
        <w:tc>
          <w:tcPr>
            <w:tcW w:type="dxa" w:w="1162"/>
            <w:shd w:val="clear" w:color="auto" w:fill="D9E2F3"/>
          </w:tcPr>
          <w:p>
            <w:pPr>
              <w:keepNext/>
            </w:pPr>
            <w:r/>
            <w:r>
              <w:rPr>
                <w:b/>
                <w:sz w:val="14"/>
              </w:rPr>
              <w:t>Risk</w:t>
            </w:r>
          </w:p>
        </w:tc>
        <w:tc>
          <w:tcPr>
            <w:tcW w:type="dxa" w:w="1162"/>
            <w:shd w:val="clear" w:color="auto" w:fill="D9E2F3"/>
          </w:tcPr>
          <w:p>
            <w:pPr>
              <w:keepNext/>
            </w:pPr>
            <w:r/>
            <w:r>
              <w:rPr>
                <w:b/>
                <w:sz w:val="14"/>
              </w:rPr>
              <w:t>Penalty</w:t>
            </w:r>
          </w:p>
        </w:tc>
      </w:tr>
      <w:tr>
        <w:trPr>
          <w:cantSplit w:val="true"/>
        </w:trPr>
        <w:tc>
          <w:tcPr>
            <w:tcW w:type="dxa" w:w="1162"/>
          </w:tcPr>
          <w:p>
            <w:pPr>
              <w:keepNext/>
            </w:pPr>
            <w:r/>
            <w:r>
              <w:rPr>
                <w:sz w:val="14"/>
              </w:rPr>
              <w:t>Population size</w:t>
            </w:r>
          </w:p>
        </w:tc>
        <w:tc>
          <w:tcPr>
            <w:tcW w:type="dxa" w:w="1162"/>
          </w:tcPr>
          <w:p>
            <w:pPr>
              <w:keepNext/>
            </w:pPr>
            <w:r/>
            <w:r>
              <w:rPr>
                <w:sz w:val="14"/>
              </w:rPr>
              <w:t>24</w:t>
            </w:r>
          </w:p>
        </w:tc>
        <w:tc>
          <w:tcPr>
            <w:tcW w:type="dxa" w:w="1162"/>
          </w:tcPr>
          <w:p>
            <w:pPr>
              <w:keepNext/>
            </w:pPr>
            <w:r/>
            <w:r>
              <w:rPr>
                <w:sz w:val="14"/>
              </w:rPr>
              <w:t>0.614 ± 0.001</w:t>
            </w:r>
          </w:p>
        </w:tc>
        <w:tc>
          <w:tcPr>
            <w:tcW w:type="dxa" w:w="1162"/>
          </w:tcPr>
          <w:p>
            <w:pPr>
              <w:keepNext/>
            </w:pPr>
            <w:r/>
            <w:r>
              <w:rPr>
                <w:sz w:val="14"/>
              </w:rPr>
              <w:t>0.622</w:t>
            </w:r>
          </w:p>
        </w:tc>
        <w:tc>
          <w:tcPr>
            <w:tcW w:type="dxa" w:w="1162"/>
          </w:tcPr>
          <w:p>
            <w:pPr>
              <w:keepNext/>
            </w:pPr>
            <w:r/>
            <w:r>
              <w:rPr>
                <w:sz w:val="14"/>
              </w:rPr>
              <w:t>0.889</w:t>
            </w:r>
          </w:p>
        </w:tc>
        <w:tc>
          <w:tcPr>
            <w:tcW w:type="dxa" w:w="1162"/>
          </w:tcPr>
          <w:p>
            <w:pPr>
              <w:keepNext/>
            </w:pPr>
            <w:r/>
            <w:r>
              <w:rPr>
                <w:sz w:val="14"/>
              </w:rPr>
              <w:t>95.1%</w:t>
            </w:r>
          </w:p>
        </w:tc>
        <w:tc>
          <w:tcPr>
            <w:tcW w:type="dxa" w:w="1162"/>
          </w:tcPr>
          <w:p>
            <w:pPr>
              <w:keepNext/>
            </w:pPr>
            <w:r/>
            <w:r>
              <w:rPr>
                <w:sz w:val="14"/>
              </w:rPr>
              <w:t>81.7%</w:t>
            </w:r>
          </w:p>
        </w:tc>
        <w:tc>
          <w:tcPr>
            <w:tcW w:type="dxa" w:w="1162"/>
          </w:tcPr>
          <w:p>
            <w:pPr>
              <w:keepNext/>
            </w:pPr>
            <w:r/>
            <w:r>
              <w:rPr>
                <w:sz w:val="14"/>
              </w:rPr>
              <w:t>0.115</w:t>
            </w:r>
          </w:p>
        </w:tc>
        <w:tc>
          <w:tcPr>
            <w:tcW w:type="dxa" w:w="1162"/>
          </w:tcPr>
          <w:p>
            <w:pPr>
              <w:keepNext/>
            </w:pPr>
            <w:r/>
            <w:r>
              <w:rPr>
                <w:sz w:val="14"/>
              </w:rPr>
              <w:t>0.000</w:t>
            </w:r>
          </w:p>
        </w:tc>
      </w:tr>
      <w:tr>
        <w:trPr>
          <w:cantSplit w:val="true"/>
        </w:trPr>
        <w:tc>
          <w:tcPr>
            <w:tcW w:type="dxa" w:w="1162"/>
          </w:tcPr>
          <w:p>
            <w:pPr>
              <w:keepNext/>
            </w:pPr>
            <w:r/>
            <w:r>
              <w:rPr>
                <w:sz w:val="14"/>
              </w:rPr>
              <w:t>Population size</w:t>
            </w:r>
          </w:p>
        </w:tc>
        <w:tc>
          <w:tcPr>
            <w:tcW w:type="dxa" w:w="1162"/>
          </w:tcPr>
          <w:p>
            <w:pPr>
              <w:keepNext/>
            </w:pPr>
            <w:r/>
            <w:r>
              <w:rPr>
                <w:sz w:val="14"/>
              </w:rPr>
              <w:t>40</w:t>
            </w:r>
          </w:p>
        </w:tc>
        <w:tc>
          <w:tcPr>
            <w:tcW w:type="dxa" w:w="1162"/>
          </w:tcPr>
          <w:p>
            <w:pPr>
              <w:keepNext/>
            </w:pPr>
            <w:r/>
            <w:r>
              <w:rPr>
                <w:sz w:val="14"/>
              </w:rPr>
              <w:t>0.619 ± 0.019</w:t>
            </w:r>
          </w:p>
        </w:tc>
        <w:tc>
          <w:tcPr>
            <w:tcW w:type="dxa" w:w="1162"/>
          </w:tcPr>
          <w:p>
            <w:pPr>
              <w:keepNext/>
            </w:pPr>
            <w:r/>
            <w:r>
              <w:rPr>
                <w:sz w:val="14"/>
              </w:rPr>
              <w:t>0.646</w:t>
            </w:r>
          </w:p>
        </w:tc>
        <w:tc>
          <w:tcPr>
            <w:tcW w:type="dxa" w:w="1162"/>
          </w:tcPr>
          <w:p>
            <w:pPr>
              <w:keepNext/>
            </w:pPr>
            <w:r/>
            <w:r>
              <w:rPr>
                <w:sz w:val="14"/>
              </w:rPr>
              <w:t>0.872</w:t>
            </w:r>
          </w:p>
        </w:tc>
        <w:tc>
          <w:tcPr>
            <w:tcW w:type="dxa" w:w="1162"/>
          </w:tcPr>
          <w:p>
            <w:pPr>
              <w:keepNext/>
            </w:pPr>
            <w:r/>
            <w:r>
              <w:rPr>
                <w:sz w:val="14"/>
              </w:rPr>
              <w:t>89.7%</w:t>
            </w:r>
          </w:p>
        </w:tc>
        <w:tc>
          <w:tcPr>
            <w:tcW w:type="dxa" w:w="1162"/>
          </w:tcPr>
          <w:p>
            <w:pPr>
              <w:keepNext/>
            </w:pPr>
            <w:r/>
            <w:r>
              <w:rPr>
                <w:sz w:val="14"/>
              </w:rPr>
              <w:t>88.4%</w:t>
            </w:r>
          </w:p>
        </w:tc>
        <w:tc>
          <w:tcPr>
            <w:tcW w:type="dxa" w:w="1162"/>
          </w:tcPr>
          <w:p>
            <w:pPr>
              <w:keepNext/>
            </w:pPr>
            <w:r/>
            <w:r>
              <w:rPr>
                <w:sz w:val="14"/>
              </w:rPr>
              <w:t>0.122</w:t>
            </w:r>
          </w:p>
        </w:tc>
        <w:tc>
          <w:tcPr>
            <w:tcW w:type="dxa" w:w="1162"/>
          </w:tcPr>
          <w:p>
            <w:pPr>
              <w:keepNext/>
            </w:pPr>
            <w:r/>
            <w:r>
              <w:rPr>
                <w:sz w:val="14"/>
              </w:rPr>
              <w:t>0.000</w:t>
            </w:r>
          </w:p>
        </w:tc>
      </w:tr>
      <w:tr>
        <w:trPr>
          <w:cantSplit w:val="true"/>
        </w:trPr>
        <w:tc>
          <w:tcPr>
            <w:tcW w:type="dxa" w:w="1162"/>
          </w:tcPr>
          <w:p>
            <w:pPr>
              <w:keepNext/>
            </w:pPr>
            <w:r/>
            <w:r>
              <w:rPr>
                <w:sz w:val="14"/>
              </w:rPr>
              <w:t>Population size</w:t>
            </w:r>
          </w:p>
        </w:tc>
        <w:tc>
          <w:tcPr>
            <w:tcW w:type="dxa" w:w="1162"/>
          </w:tcPr>
          <w:p>
            <w:pPr>
              <w:keepNext/>
            </w:pPr>
            <w:r/>
            <w:r>
              <w:rPr>
                <w:sz w:val="14"/>
              </w:rPr>
              <w:t>60</w:t>
            </w:r>
          </w:p>
        </w:tc>
        <w:tc>
          <w:tcPr>
            <w:tcW w:type="dxa" w:w="1162"/>
          </w:tcPr>
          <w:p>
            <w:pPr>
              <w:keepNext/>
            </w:pPr>
            <w:r/>
            <w:r>
              <w:rPr>
                <w:sz w:val="14"/>
              </w:rPr>
              <w:t>0.609 ± 0.025</w:t>
            </w:r>
          </w:p>
        </w:tc>
        <w:tc>
          <w:tcPr>
            <w:tcW w:type="dxa" w:w="1162"/>
          </w:tcPr>
          <w:p>
            <w:pPr>
              <w:keepNext/>
            </w:pPr>
            <w:r/>
            <w:r>
              <w:rPr>
                <w:sz w:val="14"/>
              </w:rPr>
              <w:t>0.603</w:t>
            </w:r>
          </w:p>
        </w:tc>
        <w:tc>
          <w:tcPr>
            <w:tcW w:type="dxa" w:w="1162"/>
          </w:tcPr>
          <w:p>
            <w:pPr>
              <w:keepNext/>
            </w:pPr>
            <w:r/>
            <w:r>
              <w:rPr>
                <w:sz w:val="14"/>
              </w:rPr>
              <w:t>0.839</w:t>
            </w:r>
          </w:p>
        </w:tc>
        <w:tc>
          <w:tcPr>
            <w:tcW w:type="dxa" w:w="1162"/>
          </w:tcPr>
          <w:p>
            <w:pPr>
              <w:keepNext/>
            </w:pPr>
            <w:r/>
            <w:r>
              <w:rPr>
                <w:sz w:val="14"/>
              </w:rPr>
              <w:t>84.5%</w:t>
            </w:r>
          </w:p>
        </w:tc>
        <w:tc>
          <w:tcPr>
            <w:tcW w:type="dxa" w:w="1162"/>
          </w:tcPr>
          <w:p>
            <w:pPr>
              <w:keepNext/>
            </w:pPr>
            <w:r/>
            <w:r>
              <w:rPr>
                <w:sz w:val="14"/>
              </w:rPr>
              <w:t>75.3%</w:t>
            </w:r>
          </w:p>
        </w:tc>
        <w:tc>
          <w:tcPr>
            <w:tcW w:type="dxa" w:w="1162"/>
          </w:tcPr>
          <w:p>
            <w:pPr>
              <w:keepNext/>
            </w:pPr>
            <w:r/>
            <w:r>
              <w:rPr>
                <w:sz w:val="14"/>
              </w:rPr>
              <w:t>0.140</w:t>
            </w:r>
          </w:p>
        </w:tc>
        <w:tc>
          <w:tcPr>
            <w:tcW w:type="dxa" w:w="1162"/>
          </w:tcPr>
          <w:p>
            <w:pPr>
              <w:keepNext/>
            </w:pPr>
            <w:r/>
            <w:r>
              <w:rPr>
                <w:sz w:val="14"/>
              </w:rPr>
              <w:t>0.000</w:t>
            </w:r>
          </w:p>
        </w:tc>
      </w:tr>
      <w:tr>
        <w:trPr>
          <w:cantSplit w:val="true"/>
        </w:trPr>
        <w:tc>
          <w:tcPr>
            <w:tcW w:type="dxa" w:w="1162"/>
          </w:tcPr>
          <w:p>
            <w:pPr>
              <w:keepNext/>
            </w:pPr>
            <w:r/>
            <w:r>
              <w:rPr>
                <w:sz w:val="14"/>
              </w:rPr>
              <w:t>Mutation rate</w:t>
            </w:r>
          </w:p>
        </w:tc>
        <w:tc>
          <w:tcPr>
            <w:tcW w:type="dxa" w:w="1162"/>
          </w:tcPr>
          <w:p>
            <w:pPr>
              <w:keepNext/>
            </w:pPr>
            <w:r/>
            <w:r>
              <w:rPr>
                <w:sz w:val="14"/>
              </w:rPr>
              <w:t>0.05</w:t>
            </w:r>
          </w:p>
        </w:tc>
        <w:tc>
          <w:tcPr>
            <w:tcW w:type="dxa" w:w="1162"/>
          </w:tcPr>
          <w:p>
            <w:pPr>
              <w:keepNext/>
            </w:pPr>
            <w:r/>
            <w:r>
              <w:rPr>
                <w:sz w:val="14"/>
              </w:rPr>
              <w:t>0.636 ± 0.027</w:t>
            </w:r>
          </w:p>
        </w:tc>
        <w:tc>
          <w:tcPr>
            <w:tcW w:type="dxa" w:w="1162"/>
          </w:tcPr>
          <w:p>
            <w:pPr>
              <w:keepNext/>
            </w:pPr>
            <w:r/>
            <w:r>
              <w:rPr>
                <w:sz w:val="14"/>
              </w:rPr>
              <w:t>0.674</w:t>
            </w:r>
          </w:p>
        </w:tc>
        <w:tc>
          <w:tcPr>
            <w:tcW w:type="dxa" w:w="1162"/>
          </w:tcPr>
          <w:p>
            <w:pPr>
              <w:keepNext/>
            </w:pPr>
            <w:r/>
            <w:r>
              <w:rPr>
                <w:sz w:val="14"/>
              </w:rPr>
              <w:t>0.883</w:t>
            </w:r>
          </w:p>
        </w:tc>
        <w:tc>
          <w:tcPr>
            <w:tcW w:type="dxa" w:w="1162"/>
          </w:tcPr>
          <w:p>
            <w:pPr>
              <w:keepNext/>
            </w:pPr>
            <w:r/>
            <w:r>
              <w:rPr>
                <w:sz w:val="14"/>
              </w:rPr>
              <w:t>96.1%</w:t>
            </w:r>
          </w:p>
        </w:tc>
        <w:tc>
          <w:tcPr>
            <w:tcW w:type="dxa" w:w="1162"/>
          </w:tcPr>
          <w:p>
            <w:pPr>
              <w:keepNext/>
            </w:pPr>
            <w:r/>
            <w:r>
              <w:rPr>
                <w:sz w:val="14"/>
              </w:rPr>
              <w:t>82.4%</w:t>
            </w:r>
          </w:p>
        </w:tc>
        <w:tc>
          <w:tcPr>
            <w:tcW w:type="dxa" w:w="1162"/>
          </w:tcPr>
          <w:p>
            <w:pPr>
              <w:keepNext/>
            </w:pPr>
            <w:r/>
            <w:r>
              <w:rPr>
                <w:sz w:val="14"/>
              </w:rPr>
              <w:t>0.109</w:t>
            </w:r>
          </w:p>
        </w:tc>
        <w:tc>
          <w:tcPr>
            <w:tcW w:type="dxa" w:w="1162"/>
          </w:tcPr>
          <w:p>
            <w:pPr>
              <w:keepNext/>
            </w:pPr>
            <w:r/>
            <w:r>
              <w:rPr>
                <w:sz w:val="14"/>
              </w:rPr>
              <w:t>0.000</w:t>
            </w:r>
          </w:p>
        </w:tc>
      </w:tr>
      <w:tr>
        <w:trPr>
          <w:cantSplit w:val="true"/>
        </w:trPr>
        <w:tc>
          <w:tcPr>
            <w:tcW w:type="dxa" w:w="1162"/>
          </w:tcPr>
          <w:p>
            <w:pPr>
              <w:keepNext/>
            </w:pPr>
            <w:r/>
            <w:r>
              <w:rPr>
                <w:sz w:val="14"/>
              </w:rPr>
              <w:t>Mutation rate</w:t>
            </w:r>
          </w:p>
        </w:tc>
        <w:tc>
          <w:tcPr>
            <w:tcW w:type="dxa" w:w="1162"/>
          </w:tcPr>
          <w:p>
            <w:pPr>
              <w:keepNext/>
            </w:pPr>
            <w:r/>
            <w:r>
              <w:rPr>
                <w:sz w:val="14"/>
              </w:rPr>
              <w:t>0.15</w:t>
            </w:r>
          </w:p>
        </w:tc>
        <w:tc>
          <w:tcPr>
            <w:tcW w:type="dxa" w:w="1162"/>
          </w:tcPr>
          <w:p>
            <w:pPr>
              <w:keepNext/>
            </w:pPr>
            <w:r/>
            <w:r>
              <w:rPr>
                <w:sz w:val="14"/>
              </w:rPr>
              <w:t>0.621 ± 0.031</w:t>
            </w:r>
          </w:p>
        </w:tc>
        <w:tc>
          <w:tcPr>
            <w:tcW w:type="dxa" w:w="1162"/>
          </w:tcPr>
          <w:p>
            <w:pPr>
              <w:keepNext/>
            </w:pPr>
            <w:r/>
            <w:r>
              <w:rPr>
                <w:sz w:val="14"/>
              </w:rPr>
              <w:t>0.683</w:t>
            </w:r>
          </w:p>
        </w:tc>
        <w:tc>
          <w:tcPr>
            <w:tcW w:type="dxa" w:w="1162"/>
          </w:tcPr>
          <w:p>
            <w:pPr>
              <w:keepNext/>
            </w:pPr>
            <w:r/>
            <w:r>
              <w:rPr>
                <w:sz w:val="14"/>
              </w:rPr>
              <w:t>0.898</w:t>
            </w:r>
          </w:p>
        </w:tc>
        <w:tc>
          <w:tcPr>
            <w:tcW w:type="dxa" w:w="1162"/>
          </w:tcPr>
          <w:p>
            <w:pPr>
              <w:keepNext/>
            </w:pPr>
            <w:r/>
            <w:r>
              <w:rPr>
                <w:sz w:val="14"/>
              </w:rPr>
              <w:t>108.3%</w:t>
            </w:r>
          </w:p>
        </w:tc>
        <w:tc>
          <w:tcPr>
            <w:tcW w:type="dxa" w:w="1162"/>
          </w:tcPr>
          <w:p>
            <w:pPr>
              <w:keepNext/>
            </w:pPr>
            <w:r/>
            <w:r>
              <w:rPr>
                <w:sz w:val="14"/>
              </w:rPr>
              <w:t>90.9%</w:t>
            </w:r>
          </w:p>
        </w:tc>
        <w:tc>
          <w:tcPr>
            <w:tcW w:type="dxa" w:w="1162"/>
          </w:tcPr>
          <w:p>
            <w:pPr>
              <w:keepNext/>
            </w:pPr>
            <w:r/>
            <w:r>
              <w:rPr>
                <w:sz w:val="14"/>
              </w:rPr>
              <w:t>0.108</w:t>
            </w:r>
          </w:p>
        </w:tc>
        <w:tc>
          <w:tcPr>
            <w:tcW w:type="dxa" w:w="1162"/>
          </w:tcPr>
          <w:p>
            <w:pPr>
              <w:keepNext/>
            </w:pPr>
            <w:r/>
            <w:r>
              <w:rPr>
                <w:sz w:val="14"/>
              </w:rPr>
              <w:t>0.000</w:t>
            </w:r>
          </w:p>
        </w:tc>
      </w:tr>
      <w:tr>
        <w:trPr>
          <w:cantSplit w:val="true"/>
        </w:trPr>
        <w:tc>
          <w:tcPr>
            <w:tcW w:type="dxa" w:w="1162"/>
          </w:tcPr>
          <w:p>
            <w:pPr>
              <w:keepNext/>
            </w:pPr>
            <w:r/>
            <w:r>
              <w:rPr>
                <w:sz w:val="14"/>
              </w:rPr>
              <w:t>Mutation rate</w:t>
            </w:r>
          </w:p>
        </w:tc>
        <w:tc>
          <w:tcPr>
            <w:tcW w:type="dxa" w:w="1162"/>
          </w:tcPr>
          <w:p>
            <w:pPr>
              <w:keepNext/>
            </w:pPr>
            <w:r/>
            <w:r>
              <w:rPr>
                <w:sz w:val="14"/>
              </w:rPr>
              <w:t>0.3</w:t>
            </w:r>
          </w:p>
        </w:tc>
        <w:tc>
          <w:tcPr>
            <w:tcW w:type="dxa" w:w="1162"/>
          </w:tcPr>
          <w:p>
            <w:pPr>
              <w:keepNext/>
            </w:pPr>
            <w:r/>
            <w:r>
              <w:rPr>
                <w:sz w:val="14"/>
              </w:rPr>
              <w:t>0.612 ± 0.002</w:t>
            </w:r>
          </w:p>
        </w:tc>
        <w:tc>
          <w:tcPr>
            <w:tcW w:type="dxa" w:w="1162"/>
          </w:tcPr>
          <w:p>
            <w:pPr>
              <w:keepNext/>
            </w:pPr>
            <w:r/>
            <w:r>
              <w:rPr>
                <w:sz w:val="14"/>
              </w:rPr>
              <w:t>0.640</w:t>
            </w:r>
          </w:p>
        </w:tc>
        <w:tc>
          <w:tcPr>
            <w:tcW w:type="dxa" w:w="1162"/>
          </w:tcPr>
          <w:p>
            <w:pPr>
              <w:keepNext/>
            </w:pPr>
            <w:r/>
            <w:r>
              <w:rPr>
                <w:sz w:val="14"/>
              </w:rPr>
              <w:t>0.864</w:t>
            </w:r>
          </w:p>
        </w:tc>
        <w:tc>
          <w:tcPr>
            <w:tcW w:type="dxa" w:w="1162"/>
          </w:tcPr>
          <w:p>
            <w:pPr>
              <w:keepNext/>
            </w:pPr>
            <w:r/>
            <w:r>
              <w:rPr>
                <w:sz w:val="14"/>
              </w:rPr>
              <w:t>96.9%</w:t>
            </w:r>
          </w:p>
        </w:tc>
        <w:tc>
          <w:tcPr>
            <w:tcW w:type="dxa" w:w="1162"/>
          </w:tcPr>
          <w:p>
            <w:pPr>
              <w:keepNext/>
            </w:pPr>
            <w:r/>
            <w:r>
              <w:rPr>
                <w:sz w:val="14"/>
              </w:rPr>
              <w:t>78.2%</w:t>
            </w:r>
          </w:p>
        </w:tc>
        <w:tc>
          <w:tcPr>
            <w:tcW w:type="dxa" w:w="1162"/>
          </w:tcPr>
          <w:p>
            <w:pPr>
              <w:keepNext/>
            </w:pPr>
            <w:r/>
            <w:r>
              <w:rPr>
                <w:sz w:val="14"/>
              </w:rPr>
              <w:t>0.152</w:t>
            </w:r>
          </w:p>
        </w:tc>
        <w:tc>
          <w:tcPr>
            <w:tcW w:type="dxa" w:w="1162"/>
          </w:tcPr>
          <w:p>
            <w:pPr>
              <w:keepNext/>
            </w:pPr>
            <w:r/>
            <w:r>
              <w:rPr>
                <w:sz w:val="14"/>
              </w:rPr>
              <w:t>0.000</w:t>
            </w:r>
          </w:p>
        </w:tc>
      </w:tr>
      <w:tr>
        <w:trPr>
          <w:cantSplit w:val="true"/>
        </w:trPr>
        <w:tc>
          <w:tcPr>
            <w:tcW w:type="dxa" w:w="1162"/>
          </w:tcPr>
          <w:p>
            <w:pPr>
              <w:keepNext/>
            </w:pPr>
            <w:r/>
            <w:r>
              <w:rPr>
                <w:sz w:val="14"/>
              </w:rPr>
              <w:t>Tournament size</w:t>
            </w:r>
          </w:p>
        </w:tc>
        <w:tc>
          <w:tcPr>
            <w:tcW w:type="dxa" w:w="1162"/>
          </w:tcPr>
          <w:p>
            <w:pPr>
              <w:keepNext/>
            </w:pPr>
            <w:r/>
            <w:r>
              <w:rPr>
                <w:sz w:val="14"/>
              </w:rPr>
              <w:t>2</w:t>
            </w:r>
          </w:p>
        </w:tc>
        <w:tc>
          <w:tcPr>
            <w:tcW w:type="dxa" w:w="1162"/>
          </w:tcPr>
          <w:p>
            <w:pPr>
              <w:keepNext/>
            </w:pPr>
            <w:r/>
            <w:r>
              <w:rPr>
                <w:sz w:val="14"/>
              </w:rPr>
              <w:t>0.449 ± 0.017</w:t>
            </w:r>
          </w:p>
        </w:tc>
        <w:tc>
          <w:tcPr>
            <w:tcW w:type="dxa" w:w="1162"/>
          </w:tcPr>
          <w:p>
            <w:pPr>
              <w:keepNext/>
            </w:pPr>
            <w:r/>
            <w:r>
              <w:rPr>
                <w:sz w:val="14"/>
              </w:rPr>
              <w:t>0.546</w:t>
            </w:r>
          </w:p>
        </w:tc>
        <w:tc>
          <w:tcPr>
            <w:tcW w:type="dxa" w:w="1162"/>
          </w:tcPr>
          <w:p>
            <w:pPr>
              <w:keepNext/>
            </w:pPr>
            <w:r/>
            <w:r>
              <w:rPr>
                <w:sz w:val="14"/>
              </w:rPr>
              <w:t>0.741</w:t>
            </w:r>
          </w:p>
        </w:tc>
        <w:tc>
          <w:tcPr>
            <w:tcW w:type="dxa" w:w="1162"/>
          </w:tcPr>
          <w:p>
            <w:pPr>
              <w:keepNext/>
            </w:pPr>
            <w:r/>
            <w:r>
              <w:rPr>
                <w:sz w:val="14"/>
              </w:rPr>
              <w:t>128.9%</w:t>
            </w:r>
          </w:p>
        </w:tc>
        <w:tc>
          <w:tcPr>
            <w:tcW w:type="dxa" w:w="1162"/>
          </w:tcPr>
          <w:p>
            <w:pPr>
              <w:keepNext/>
            </w:pPr>
            <w:r/>
            <w:r>
              <w:rPr>
                <w:sz w:val="14"/>
              </w:rPr>
              <w:t>101.5%</w:t>
            </w:r>
          </w:p>
        </w:tc>
        <w:tc>
          <w:tcPr>
            <w:tcW w:type="dxa" w:w="1162"/>
          </w:tcPr>
          <w:p>
            <w:pPr>
              <w:keepNext/>
            </w:pPr>
            <w:r/>
            <w:r>
              <w:rPr>
                <w:sz w:val="14"/>
              </w:rPr>
              <w:t>0.186</w:t>
            </w:r>
          </w:p>
        </w:tc>
        <w:tc>
          <w:tcPr>
            <w:tcW w:type="dxa" w:w="1162"/>
          </w:tcPr>
          <w:p>
            <w:pPr>
              <w:keepNext/>
            </w:pPr>
            <w:r/>
            <w:r>
              <w:rPr>
                <w:sz w:val="14"/>
              </w:rPr>
              <w:t>0.041</w:t>
            </w:r>
          </w:p>
        </w:tc>
      </w:tr>
      <w:tr>
        <w:trPr>
          <w:cantSplit w:val="true"/>
        </w:trPr>
        <w:tc>
          <w:tcPr>
            <w:tcW w:type="dxa" w:w="1162"/>
          </w:tcPr>
          <w:p>
            <w:pPr>
              <w:keepNext/>
            </w:pPr>
            <w:r/>
            <w:r>
              <w:rPr>
                <w:sz w:val="14"/>
              </w:rPr>
              <w:t>Tournament size</w:t>
            </w:r>
          </w:p>
        </w:tc>
        <w:tc>
          <w:tcPr>
            <w:tcW w:type="dxa" w:w="1162"/>
          </w:tcPr>
          <w:p>
            <w:pPr>
              <w:keepNext/>
            </w:pPr>
            <w:r/>
            <w:r>
              <w:rPr>
                <w:sz w:val="14"/>
              </w:rPr>
              <w:t>4</w:t>
            </w:r>
          </w:p>
        </w:tc>
        <w:tc>
          <w:tcPr>
            <w:tcW w:type="dxa" w:w="1162"/>
          </w:tcPr>
          <w:p>
            <w:pPr>
              <w:keepNext/>
            </w:pPr>
            <w:r/>
            <w:r>
              <w:rPr>
                <w:sz w:val="14"/>
              </w:rPr>
              <w:t>0.609 ± 0.025</w:t>
            </w:r>
          </w:p>
        </w:tc>
        <w:tc>
          <w:tcPr>
            <w:tcW w:type="dxa" w:w="1162"/>
          </w:tcPr>
          <w:p>
            <w:pPr>
              <w:keepNext/>
            </w:pPr>
            <w:r/>
            <w:r>
              <w:rPr>
                <w:sz w:val="14"/>
              </w:rPr>
              <w:t>0.603</w:t>
            </w:r>
          </w:p>
        </w:tc>
        <w:tc>
          <w:tcPr>
            <w:tcW w:type="dxa" w:w="1162"/>
          </w:tcPr>
          <w:p>
            <w:pPr>
              <w:keepNext/>
            </w:pPr>
            <w:r/>
            <w:r>
              <w:rPr>
                <w:sz w:val="14"/>
              </w:rPr>
              <w:t>0.839</w:t>
            </w:r>
          </w:p>
        </w:tc>
        <w:tc>
          <w:tcPr>
            <w:tcW w:type="dxa" w:w="1162"/>
          </w:tcPr>
          <w:p>
            <w:pPr>
              <w:keepNext/>
            </w:pPr>
            <w:r/>
            <w:r>
              <w:rPr>
                <w:sz w:val="14"/>
              </w:rPr>
              <w:t>84.5%</w:t>
            </w:r>
          </w:p>
        </w:tc>
        <w:tc>
          <w:tcPr>
            <w:tcW w:type="dxa" w:w="1162"/>
          </w:tcPr>
          <w:p>
            <w:pPr>
              <w:keepNext/>
            </w:pPr>
            <w:r/>
            <w:r>
              <w:rPr>
                <w:sz w:val="14"/>
              </w:rPr>
              <w:t>75.3%</w:t>
            </w:r>
          </w:p>
        </w:tc>
        <w:tc>
          <w:tcPr>
            <w:tcW w:type="dxa" w:w="1162"/>
          </w:tcPr>
          <w:p>
            <w:pPr>
              <w:keepNext/>
            </w:pPr>
            <w:r/>
            <w:r>
              <w:rPr>
                <w:sz w:val="14"/>
              </w:rPr>
              <w:t>0.140</w:t>
            </w:r>
          </w:p>
        </w:tc>
        <w:tc>
          <w:tcPr>
            <w:tcW w:type="dxa" w:w="1162"/>
          </w:tcPr>
          <w:p>
            <w:pPr>
              <w:keepNext/>
            </w:pPr>
            <w:r/>
            <w:r>
              <w:rPr>
                <w:sz w:val="14"/>
              </w:rPr>
              <w:t>0.000</w:t>
            </w:r>
          </w:p>
        </w:tc>
      </w:tr>
      <w:tr>
        <w:trPr>
          <w:cantSplit w:val="true"/>
        </w:trPr>
        <w:tc>
          <w:tcPr>
            <w:tcW w:type="dxa" w:w="1162"/>
          </w:tcPr>
          <w:p>
            <w:pPr>
              <w:keepNext/>
            </w:pPr>
            <w:r/>
            <w:r>
              <w:rPr>
                <w:sz w:val="14"/>
              </w:rPr>
              <w:t>Tournament size</w:t>
            </w:r>
          </w:p>
        </w:tc>
        <w:tc>
          <w:tcPr>
            <w:tcW w:type="dxa" w:w="1162"/>
          </w:tcPr>
          <w:p>
            <w:pPr>
              <w:keepNext/>
            </w:pPr>
            <w:r/>
            <w:r>
              <w:rPr>
                <w:sz w:val="14"/>
              </w:rPr>
              <w:t>8</w:t>
            </w:r>
          </w:p>
        </w:tc>
        <w:tc>
          <w:tcPr>
            <w:tcW w:type="dxa" w:w="1162"/>
          </w:tcPr>
          <w:p>
            <w:pPr>
              <w:keepNext/>
            </w:pPr>
            <w:r/>
            <w:r>
              <w:rPr>
                <w:sz w:val="14"/>
              </w:rPr>
              <w:t>0.572 ± 0.067</w:t>
            </w:r>
          </w:p>
        </w:tc>
        <w:tc>
          <w:tcPr>
            <w:tcW w:type="dxa" w:w="1162"/>
          </w:tcPr>
          <w:p>
            <w:pPr>
              <w:keepNext/>
            </w:pPr>
            <w:r/>
            <w:r>
              <w:rPr>
                <w:sz w:val="14"/>
              </w:rPr>
              <w:t>0.623</w:t>
            </w:r>
          </w:p>
        </w:tc>
        <w:tc>
          <w:tcPr>
            <w:tcW w:type="dxa" w:w="1162"/>
          </w:tcPr>
          <w:p>
            <w:pPr>
              <w:keepNext/>
            </w:pPr>
            <w:r/>
            <w:r>
              <w:rPr>
                <w:sz w:val="14"/>
              </w:rPr>
              <w:t>0.801</w:t>
            </w:r>
          </w:p>
        </w:tc>
        <w:tc>
          <w:tcPr>
            <w:tcW w:type="dxa" w:w="1162"/>
          </w:tcPr>
          <w:p>
            <w:pPr>
              <w:keepNext/>
            </w:pPr>
            <w:r/>
            <w:r>
              <w:rPr>
                <w:sz w:val="14"/>
              </w:rPr>
              <w:t>105.5%</w:t>
            </w:r>
          </w:p>
        </w:tc>
        <w:tc>
          <w:tcPr>
            <w:tcW w:type="dxa" w:w="1162"/>
          </w:tcPr>
          <w:p>
            <w:pPr>
              <w:keepNext/>
            </w:pPr>
            <w:r/>
            <w:r>
              <w:rPr>
                <w:sz w:val="14"/>
              </w:rPr>
              <w:t>95.6%</w:t>
            </w:r>
          </w:p>
        </w:tc>
        <w:tc>
          <w:tcPr>
            <w:tcW w:type="dxa" w:w="1162"/>
          </w:tcPr>
          <w:p>
            <w:pPr>
              <w:keepNext/>
            </w:pPr>
            <w:r/>
            <w:r>
              <w:rPr>
                <w:sz w:val="14"/>
              </w:rPr>
              <w:t>0.131</w:t>
            </w:r>
          </w:p>
        </w:tc>
        <w:tc>
          <w:tcPr>
            <w:tcW w:type="dxa" w:w="1162"/>
          </w:tcPr>
          <w:p>
            <w:pPr>
              <w:keepNext/>
            </w:pPr>
            <w:r/>
            <w:r>
              <w:rPr>
                <w:sz w:val="14"/>
              </w:rPr>
              <w:t>0.001</w:t>
            </w:r>
          </w:p>
        </w:tc>
      </w:tr>
    </w:tbl>
    <w:p>
      <w:pPr>
        <w:spacing w:after="80"/>
      </w:pPr>
      <w:r>
        <w:rPr>
          <w:i/>
          <w:color w:val="444444"/>
          <w:sz w:val="14"/>
        </w:rPr>
        <w:t>Table 3. Sensitivity results, mean ± s.d. over two seeds. Energy and time are fractions of their budgets.</w:t>
      </w:r>
    </w:p>
    <w:p>
      <w:pPr>
        <w:spacing w:after="0"/>
      </w:pPr>
    </w:p>
    <w:p>
      <w:r>
        <w:t>Population size is a plateau between 24 and 40: 0.619 ± 0.019 at 40 versus 0.614 ± 0.001 at 24, a 0.005 gap well inside the spread. Size 60 costs 2.5× the evaluations of 24 at the same generation count yet returns 0.609 ± 0.025; 40 generations end before the larger population converts diversity into a better plan. Use 40 for short runs and 60 for the 80-generation reference, where it reaches 0.6467.</w:t>
      </w:r>
    </w:p>
    <w:p>
      <w:r>
        <w:t>Mutation shows the expected short-horizon bias. Rate 0.05 gives the best fitness (0.636) and detection (0.883) because it polishes the hotspot-aware seed; 0.15 gives the best coverage (0.683) but spends 108.3% of the energy budget; 0.30 is weakest on fitness and raises risk to 0.152. The 0.05 advantage (0.014) is smaller than the seed spread (~0.03), and a long run needs variation to escape stalls. The defensible range is 0.15–0.20; 0.05 is useful only for short polishing runs.</w:t>
      </w:r>
    </w:p>
    <w:p>
      <w:r>
        <w:t>Selection pressure has the largest and cleanest effect. Tournament 2 under-selects (0.449), leaves a penalty of 0.041, consumes 128.9% of energy and 101.5% of time, and reaches only 0.546 coverage. Tournament 4 is best (0.609) with zero penalty. Tournament 8 lowers mean fitness to 0.572 and triples the coefficient of variation to 11.7% (one seed 0.505, the other 0.639): a few early winners dominate before a robust route is assembled. Keep k_t = 4; if population grows, 5–6 is reasonable, but weak pressure (2) is the single most damaging setting.</w:t>
      </w:r>
    </w:p>
    <w:p>
      <w:r>
        <w:t>Two caveats bound these conclusions: standard deviations from two seeds are indicative, and the one-at-a-time design cannot reveal interactions (for example mutation × selection pressure). A factorial design with five or more seeds is the natural next experiment.</w:t>
      </w:r>
    </w:p>
    <w:p>
      <w:pPr>
        <w:jc w:val="center"/>
      </w:pPr>
      <w:r>
        <w:drawing>
          <wp:inline xmlns:a="http://schemas.openxmlformats.org/drawingml/2006/main" xmlns:pic="http://schemas.openxmlformats.org/drawingml/2006/picture">
            <wp:extent cx="5852160" cy="1793615"/>
            <wp:docPr id="3" name="Picture 3"/>
            <wp:cNvGraphicFramePr>
              <a:graphicFrameLocks noChangeAspect="1"/>
            </wp:cNvGraphicFramePr>
            <a:graphic>
              <a:graphicData uri="http://schemas.openxmlformats.org/drawingml/2006/picture">
                <pic:pic>
                  <pic:nvPicPr>
                    <pic:cNvPr id="0" name="sensitivity_combined.png"/>
                    <pic:cNvPicPr/>
                  </pic:nvPicPr>
                  <pic:blipFill>
                    <a:blip r:embed="rId12"/>
                    <a:stretch>
                      <a:fillRect/>
                    </a:stretch>
                  </pic:blipFill>
                  <pic:spPr>
                    <a:xfrm>
                      <a:off x="0" y="0"/>
                      <a:ext cx="5852160" cy="1793615"/>
                    </a:xfrm>
                    <a:prstGeom prst="rect"/>
                  </pic:spPr>
                </pic:pic>
              </a:graphicData>
            </a:graphic>
          </wp:inline>
        </w:drawing>
      </w:r>
    </w:p>
    <w:p>
      <w:pPr>
        <w:spacing w:after="80"/>
      </w:pPr>
      <w:r>
        <w:rPr>
          <w:i/>
          <w:color w:val="444444"/>
          <w:sz w:val="14"/>
        </w:rPr>
        <w:t>Figure 2. Fitness sensitivity to population size, mutation rate and tournament size. Error bars are one standard deviation over two seeds.</w:t>
      </w:r>
    </w:p>
    <w:p>
      <w:pPr>
        <w:pStyle w:val="Heading1"/>
      </w:pPr>
      <w:r>
        <w:t>4. Evolved Strategy versus Random Search</w:t>
      </w:r>
    </w:p>
    <w:p>
      <w:r>
        <w:t>Random search shares everything except the evolutionary machinery: the same chromosome distribution, repair operator, noisy-OR evaluator and mission, with the best of 2,400 draws per seed (40 generations × 60 individuals = 2,400 evaluations), matching the GA budget. This isolates the contribution of selection, recombination and mutation.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val="true"/>
        </w:trPr>
        <w:tc>
          <w:tcPr>
            <w:tcW w:type="dxa" w:w="2613"/>
            <w:shd w:val="clear" w:color="auto" w:fill="D9E2F3"/>
          </w:tcPr>
          <w:p>
            <w:pPr>
              <w:keepNext/>
            </w:pPr>
            <w:r/>
            <w:r>
              <w:rPr>
                <w:b/>
                <w:sz w:val="14"/>
              </w:rPr>
              <w:t>Metric</w:t>
            </w:r>
          </w:p>
        </w:tc>
        <w:tc>
          <w:tcPr>
            <w:tcW w:type="dxa" w:w="2613"/>
            <w:shd w:val="clear" w:color="auto" w:fill="D9E2F3"/>
          </w:tcPr>
          <w:p>
            <w:pPr>
              <w:keepNext/>
            </w:pPr>
            <w:r/>
            <w:r>
              <w:rPr>
                <w:b/>
                <w:sz w:val="14"/>
              </w:rPr>
              <w:t>GA (mean ± s.d.)</w:t>
            </w:r>
          </w:p>
        </w:tc>
        <w:tc>
          <w:tcPr>
            <w:tcW w:type="dxa" w:w="2613"/>
            <w:shd w:val="clear" w:color="auto" w:fill="D9E2F3"/>
          </w:tcPr>
          <w:p>
            <w:pPr>
              <w:keepNext/>
            </w:pPr>
            <w:r/>
            <w:r>
              <w:rPr>
                <w:b/>
                <w:sz w:val="14"/>
              </w:rPr>
              <w:t>Random search (mean ± s.d.)</w:t>
            </w:r>
          </w:p>
        </w:tc>
        <w:tc>
          <w:tcPr>
            <w:tcW w:type="dxa" w:w="2613"/>
            <w:shd w:val="clear" w:color="auto" w:fill="D9E2F3"/>
          </w:tcPr>
          <w:p>
            <w:pPr>
              <w:keepNext/>
            </w:pPr>
            <w:r/>
            <w:r>
              <w:rPr>
                <w:b/>
                <w:sz w:val="14"/>
              </w:rPr>
              <w:t>Change</w:t>
            </w:r>
          </w:p>
        </w:tc>
      </w:tr>
      <w:tr>
        <w:trPr>
          <w:cantSplit w:val="true"/>
        </w:trPr>
        <w:tc>
          <w:tcPr>
            <w:tcW w:type="dxa" w:w="2613"/>
          </w:tcPr>
          <w:p>
            <w:pPr>
              <w:keepNext/>
            </w:pPr>
            <w:r/>
            <w:r>
              <w:rPr>
                <w:sz w:val="14"/>
              </w:rPr>
              <w:t>Fitness (↑)</w:t>
            </w:r>
          </w:p>
        </w:tc>
        <w:tc>
          <w:tcPr>
            <w:tcW w:type="dxa" w:w="2613"/>
          </w:tcPr>
          <w:p>
            <w:pPr>
              <w:keepNext/>
            </w:pPr>
            <w:r/>
            <w:r>
              <w:rPr>
                <w:sz w:val="14"/>
              </w:rPr>
              <w:t>0.609 ± 0.025</w:t>
            </w:r>
          </w:p>
        </w:tc>
        <w:tc>
          <w:tcPr>
            <w:tcW w:type="dxa" w:w="2613"/>
          </w:tcPr>
          <w:p>
            <w:pPr>
              <w:keepNext/>
            </w:pPr>
            <w:r/>
            <w:r>
              <w:rPr>
                <w:sz w:val="14"/>
              </w:rPr>
              <w:t>-1.187 ± 0.056</w:t>
            </w:r>
          </w:p>
        </w:tc>
        <w:tc>
          <w:tcPr>
            <w:tcW w:type="dxa" w:w="2613"/>
          </w:tcPr>
          <w:p>
            <w:pPr>
              <w:keepNext/>
            </w:pPr>
            <w:r/>
            <w:r>
              <w:rPr>
                <w:sz w:val="14"/>
              </w:rPr>
              <w:t>+151.3%</w:t>
            </w:r>
          </w:p>
        </w:tc>
      </w:tr>
      <w:tr>
        <w:trPr>
          <w:cantSplit w:val="true"/>
        </w:trPr>
        <w:tc>
          <w:tcPr>
            <w:tcW w:type="dxa" w:w="2613"/>
          </w:tcPr>
          <w:p>
            <w:pPr>
              <w:keepNext/>
            </w:pPr>
            <w:r/>
            <w:r>
              <w:rPr>
                <w:sz w:val="14"/>
              </w:rPr>
              <w:t>Priority coverage (↑)</w:t>
            </w:r>
          </w:p>
        </w:tc>
        <w:tc>
          <w:tcPr>
            <w:tcW w:type="dxa" w:w="2613"/>
          </w:tcPr>
          <w:p>
            <w:pPr>
              <w:keepNext/>
            </w:pPr>
            <w:r/>
            <w:r>
              <w:rPr>
                <w:sz w:val="14"/>
              </w:rPr>
              <w:t>0.603 ± 0.009</w:t>
            </w:r>
          </w:p>
        </w:tc>
        <w:tc>
          <w:tcPr>
            <w:tcW w:type="dxa" w:w="2613"/>
          </w:tcPr>
          <w:p>
            <w:pPr>
              <w:keepNext/>
            </w:pPr>
            <w:r/>
            <w:r>
              <w:rPr>
                <w:sz w:val="14"/>
              </w:rPr>
              <w:t>0.174 ± 0.045</w:t>
            </w:r>
          </w:p>
        </w:tc>
        <w:tc>
          <w:tcPr>
            <w:tcW w:type="dxa" w:w="2613"/>
          </w:tcPr>
          <w:p>
            <w:pPr>
              <w:keepNext/>
            </w:pPr>
            <w:r/>
            <w:r>
              <w:rPr>
                <w:sz w:val="14"/>
              </w:rPr>
              <w:t>+246.8%</w:t>
            </w:r>
          </w:p>
        </w:tc>
      </w:tr>
      <w:tr>
        <w:trPr>
          <w:cantSplit w:val="true"/>
        </w:trPr>
        <w:tc>
          <w:tcPr>
            <w:tcW w:type="dxa" w:w="2613"/>
          </w:tcPr>
          <w:p>
            <w:pPr>
              <w:keepNext/>
            </w:pPr>
            <w:r/>
            <w:r>
              <w:rPr>
                <w:sz w:val="14"/>
              </w:rPr>
              <w:t>Weighted detection (↑)</w:t>
            </w:r>
          </w:p>
        </w:tc>
        <w:tc>
          <w:tcPr>
            <w:tcW w:type="dxa" w:w="2613"/>
          </w:tcPr>
          <w:p>
            <w:pPr>
              <w:keepNext/>
            </w:pPr>
            <w:r/>
            <w:r>
              <w:rPr>
                <w:sz w:val="14"/>
              </w:rPr>
              <w:t>0.839 ± 0.021</w:t>
            </w:r>
          </w:p>
        </w:tc>
        <w:tc>
          <w:tcPr>
            <w:tcW w:type="dxa" w:w="2613"/>
          </w:tcPr>
          <w:p>
            <w:pPr>
              <w:keepNext/>
            </w:pPr>
            <w:r/>
            <w:r>
              <w:rPr>
                <w:sz w:val="14"/>
              </w:rPr>
              <w:t>0.218 ± 0.016</w:t>
            </w:r>
          </w:p>
        </w:tc>
        <w:tc>
          <w:tcPr>
            <w:tcW w:type="dxa" w:w="2613"/>
          </w:tcPr>
          <w:p>
            <w:pPr>
              <w:keepNext/>
            </w:pPr>
            <w:r/>
            <w:r>
              <w:rPr>
                <w:sz w:val="14"/>
              </w:rPr>
              <w:t>+284.7%</w:t>
            </w:r>
          </w:p>
        </w:tc>
      </w:tr>
      <w:tr>
        <w:trPr>
          <w:cantSplit w:val="true"/>
        </w:trPr>
        <w:tc>
          <w:tcPr>
            <w:tcW w:type="dxa" w:w="2613"/>
          </w:tcPr>
          <w:p>
            <w:pPr>
              <w:keepNext/>
            </w:pPr>
            <w:r/>
            <w:r>
              <w:rPr>
                <w:sz w:val="14"/>
              </w:rPr>
              <w:t>Confident detection rate (↑)</w:t>
            </w:r>
          </w:p>
        </w:tc>
        <w:tc>
          <w:tcPr>
            <w:tcW w:type="dxa" w:w="2613"/>
          </w:tcPr>
          <w:p>
            <w:pPr>
              <w:keepNext/>
            </w:pPr>
            <w:r/>
            <w:r>
              <w:rPr>
                <w:sz w:val="14"/>
              </w:rPr>
              <w:t>0.920 ± 0.006</w:t>
            </w:r>
          </w:p>
        </w:tc>
        <w:tc>
          <w:tcPr>
            <w:tcW w:type="dxa" w:w="2613"/>
          </w:tcPr>
          <w:p>
            <w:pPr>
              <w:keepNext/>
            </w:pPr>
            <w:r/>
            <w:r>
              <w:rPr>
                <w:sz w:val="14"/>
              </w:rPr>
              <w:t>0.164 ± 0.025</w:t>
            </w:r>
          </w:p>
        </w:tc>
        <w:tc>
          <w:tcPr>
            <w:tcW w:type="dxa" w:w="2613"/>
          </w:tcPr>
          <w:p>
            <w:pPr>
              <w:keepNext/>
            </w:pPr>
            <w:r/>
            <w:r>
              <w:rPr>
                <w:sz w:val="14"/>
              </w:rPr>
              <w:t>+460.4%</w:t>
            </w:r>
          </w:p>
        </w:tc>
      </w:tr>
      <w:tr>
        <w:trPr>
          <w:cantSplit w:val="true"/>
        </w:trPr>
        <w:tc>
          <w:tcPr>
            <w:tcW w:type="dxa" w:w="2613"/>
          </w:tcPr>
          <w:p>
            <w:pPr>
              <w:keepNext/>
            </w:pPr>
            <w:r/>
            <w:r>
              <w:rPr>
                <w:sz w:val="14"/>
              </w:rPr>
              <w:t>Energy / budget (↓)</w:t>
            </w:r>
          </w:p>
        </w:tc>
        <w:tc>
          <w:tcPr>
            <w:tcW w:type="dxa" w:w="2613"/>
          </w:tcPr>
          <w:p>
            <w:pPr>
              <w:keepNext/>
            </w:pPr>
            <w:r/>
            <w:r>
              <w:rPr>
                <w:sz w:val="14"/>
              </w:rPr>
              <w:t>0.85 ± 0.14</w:t>
            </w:r>
          </w:p>
        </w:tc>
        <w:tc>
          <w:tcPr>
            <w:tcW w:type="dxa" w:w="2613"/>
          </w:tcPr>
          <w:p>
            <w:pPr>
              <w:keepNext/>
            </w:pPr>
            <w:r/>
            <w:r>
              <w:rPr>
                <w:sz w:val="14"/>
              </w:rPr>
              <w:t>1.39 ± 0.22</w:t>
            </w:r>
          </w:p>
        </w:tc>
        <w:tc>
          <w:tcPr>
            <w:tcW w:type="dxa" w:w="2613"/>
          </w:tcPr>
          <w:p>
            <w:pPr>
              <w:keepNext/>
            </w:pPr>
            <w:r/>
            <w:r>
              <w:rPr>
                <w:sz w:val="14"/>
              </w:rPr>
              <w:t>-39.3%</w:t>
            </w:r>
          </w:p>
        </w:tc>
      </w:tr>
      <w:tr>
        <w:trPr>
          <w:cantSplit w:val="true"/>
        </w:trPr>
        <w:tc>
          <w:tcPr>
            <w:tcW w:type="dxa" w:w="2613"/>
          </w:tcPr>
          <w:p>
            <w:pPr>
              <w:keepNext/>
            </w:pPr>
            <w:r/>
            <w:r>
              <w:rPr>
                <w:sz w:val="14"/>
              </w:rPr>
              <w:t>Time / budget (↓)</w:t>
            </w:r>
          </w:p>
        </w:tc>
        <w:tc>
          <w:tcPr>
            <w:tcW w:type="dxa" w:w="2613"/>
          </w:tcPr>
          <w:p>
            <w:pPr>
              <w:keepNext/>
            </w:pPr>
            <w:r/>
            <w:r>
              <w:rPr>
                <w:sz w:val="14"/>
              </w:rPr>
              <w:t>0.75 ± 0.19</w:t>
            </w:r>
          </w:p>
        </w:tc>
        <w:tc>
          <w:tcPr>
            <w:tcW w:type="dxa" w:w="2613"/>
          </w:tcPr>
          <w:p>
            <w:pPr>
              <w:keepNext/>
            </w:pPr>
            <w:r/>
            <w:r>
              <w:rPr>
                <w:sz w:val="14"/>
              </w:rPr>
              <w:t>1.06 ± 0.14</w:t>
            </w:r>
          </w:p>
        </w:tc>
        <w:tc>
          <w:tcPr>
            <w:tcW w:type="dxa" w:w="2613"/>
          </w:tcPr>
          <w:p>
            <w:pPr>
              <w:keepNext/>
            </w:pPr>
            <w:r/>
            <w:r>
              <w:rPr>
                <w:sz w:val="14"/>
              </w:rPr>
              <w:t>-28.6%</w:t>
            </w:r>
          </w:p>
        </w:tc>
      </w:tr>
      <w:tr>
        <w:trPr>
          <w:cantSplit w:val="true"/>
        </w:trPr>
        <w:tc>
          <w:tcPr>
            <w:tcW w:type="dxa" w:w="2613"/>
          </w:tcPr>
          <w:p>
            <w:pPr>
              <w:keepNext/>
            </w:pPr>
            <w:r/>
            <w:r>
              <w:rPr>
                <w:sz w:val="14"/>
              </w:rPr>
              <w:t>Hazard risk (↓)</w:t>
            </w:r>
          </w:p>
        </w:tc>
        <w:tc>
          <w:tcPr>
            <w:tcW w:type="dxa" w:w="2613"/>
          </w:tcPr>
          <w:p>
            <w:pPr>
              <w:keepNext/>
            </w:pPr>
            <w:r/>
            <w:r>
              <w:rPr>
                <w:sz w:val="14"/>
              </w:rPr>
              <w:t>0.140 ± 0.000</w:t>
            </w:r>
          </w:p>
        </w:tc>
        <w:tc>
          <w:tcPr>
            <w:tcW w:type="dxa" w:w="2613"/>
          </w:tcPr>
          <w:p>
            <w:pPr>
              <w:keepNext/>
            </w:pPr>
            <w:r/>
            <w:r>
              <w:rPr>
                <w:sz w:val="14"/>
              </w:rPr>
              <w:t>0.065 ± 0.004</w:t>
            </w:r>
          </w:p>
        </w:tc>
        <w:tc>
          <w:tcPr>
            <w:tcW w:type="dxa" w:w="2613"/>
          </w:tcPr>
          <w:p>
            <w:pPr>
              <w:keepNext/>
            </w:pPr>
            <w:r/>
            <w:r>
              <w:rPr>
                <w:sz w:val="14"/>
              </w:rPr>
              <w:t>+115.0%</w:t>
            </w:r>
          </w:p>
        </w:tc>
      </w:tr>
      <w:tr>
        <w:trPr>
          <w:cantSplit w:val="true"/>
        </w:trPr>
        <w:tc>
          <w:tcPr>
            <w:tcW w:type="dxa" w:w="2613"/>
          </w:tcPr>
          <w:p>
            <w:pPr>
              <w:keepNext/>
            </w:pPr>
            <w:r/>
            <w:r>
              <w:rPr>
                <w:sz w:val="14"/>
              </w:rPr>
              <w:t>Constraint penalty (↓)</w:t>
            </w:r>
          </w:p>
        </w:tc>
        <w:tc>
          <w:tcPr>
            <w:tcW w:type="dxa" w:w="2613"/>
          </w:tcPr>
          <w:p>
            <w:pPr>
              <w:keepNext/>
            </w:pPr>
            <w:r/>
            <w:r>
              <w:rPr>
                <w:sz w:val="14"/>
              </w:rPr>
              <w:t>0.000 ± 0.000</w:t>
            </w:r>
          </w:p>
        </w:tc>
        <w:tc>
          <w:tcPr>
            <w:tcW w:type="dxa" w:w="2613"/>
          </w:tcPr>
          <w:p>
            <w:pPr>
              <w:keepNext/>
            </w:pPr>
            <w:r/>
            <w:r>
              <w:rPr>
                <w:sz w:val="14"/>
              </w:rPr>
              <w:t>1.440 ± 0.044</w:t>
            </w:r>
          </w:p>
        </w:tc>
        <w:tc>
          <w:tcPr>
            <w:tcW w:type="dxa" w:w="2613"/>
          </w:tcPr>
          <w:p>
            <w:pPr>
              <w:keepNext/>
            </w:pPr>
            <w:r/>
            <w:r>
              <w:rPr>
                <w:sz w:val="14"/>
              </w:rPr>
              <w:t>-100.0%</w:t>
            </w:r>
          </w:p>
        </w:tc>
      </w:tr>
    </w:tbl>
    <w:p>
      <w:pPr>
        <w:spacing w:after="80"/>
      </w:pPr>
      <w:r>
        <w:rPr>
          <w:i/>
          <w:color w:val="444444"/>
          <w:sz w:val="14"/>
        </w:rPr>
        <w:t>Table 4. Equal-budget comparison. Positive change means the GA is higher; negative means it is lower. For energy, time, risk and penalty, lower is better.</w:t>
      </w:r>
    </w:p>
    <w:p>
      <w:pPr>
        <w:spacing w:after="0"/>
      </w:pPr>
    </w:p>
    <w:p>
      <w:r>
        <w:t>The GA improves fitness by 1.797 (+151.3%), roughly 41 pooled standard deviations. The distributions do not overlap: the GA minimum 0.584 exceeds the random maximum −1.131. Coverage rises 3.47× and detection 3.85×; confident detection rises from 0.164 to 0.920 (5.60×). The GA beats the best of all 2,400 random draws after only 176 evaluations, so the advantage is present almost immediately rather than being a late artefact.</w:t>
      </w:r>
    </w:p>
    <w:p>
      <w:r>
        <w:t>The stronger difference is qualitative. Every random best solution activates all five UAVs and still violates the mission: 139.3% of the energy budget, 105.6% of the time budget, a penalty of 1.440 and 2.4–3.4% no-fly crossings. The GA uses two or three UAVs, 84.5% energy and 75.3% time with zero penalty and zero no-fly violations. It also spends 1.40 energy-budget units per unit coverage versus 8.00 for random search, a 5.7× efficiency advantage.</w:t>
      </w:r>
    </w:p>
    <w:p>
      <w:r>
        <w:t>Hazard risk is the one raw metric that favours random search (0.065 versus 0.140), because random routes often stay in low-hazard outskirts and never reach the priority zones. Normalised by coverage the ordering reverses (0.232 versus 0.375 risk per unit coverage, a 38% reduction). A decision-maker who truly prioritised safety could pick the archive's minimum-risk member (risk 0.075) at the cost of 0.525 coverage and 116.0% energy.</w:t>
      </w:r>
    </w:p>
    <w:p>
      <w:r>
        <w:t>Structurally, the reference run returns 149 non-dominated strategies with 91 distinct active deployment sets; 8 use two UAVs and 141 use three, none use four or five. Random search produces one best draw and a noisy best-so-far curve. It cannot preserve a non-dominated alternative, recombine a good deployment block with another parent's sensor schedule, or hold a UAV in reserve while improving the active routes. The GA's advantage is therefore not just a higher score: it is a coordinated, feasible, multi-alternative strategy rather than an isolated lucky sample.</w:t>
      </w:r>
    </w:p>
    <w:tbl>
      <w:tblPr>
        <w:tblW w:type="auto" w:w="0"/>
        <w:jc w:val="center"/>
        <w:tblLook w:firstColumn="1" w:firstRow="1" w:lastColumn="0" w:lastRow="0" w:noHBand="0" w:noVBand="1" w:val="04A0"/>
      </w:tblPr>
      <w:tblGrid>
        <w:gridCol w:w="5227"/>
        <w:gridCol w:w="5227"/>
      </w:tblGrid>
      <w:tr>
        <w:tc>
          <w:tcPr>
            <w:tcW w:type="dxa" w:w="5227"/>
          </w:tcPr>
          <w:p>
            <w:pPr>
              <w:jc w:val="center"/>
            </w:pPr>
            <w:r>
              <w:drawing>
                <wp:inline xmlns:a="http://schemas.openxmlformats.org/drawingml/2006/main" xmlns:pic="http://schemas.openxmlformats.org/drawingml/2006/picture">
                  <wp:extent cx="2788920" cy="2721247"/>
                  <wp:docPr id="4" name="Picture 4"/>
                  <wp:cNvGraphicFramePr>
                    <a:graphicFrameLocks noChangeAspect="1"/>
                  </wp:cNvGraphicFramePr>
                  <a:graphic>
                    <a:graphicData uri="http://schemas.openxmlformats.org/drawingml/2006/picture">
                      <pic:pic>
                        <pic:nvPicPr>
                          <pic:cNvPr id="0" name="coverage_evolution.png"/>
                          <pic:cNvPicPr/>
                        </pic:nvPicPr>
                        <pic:blipFill>
                          <a:blip r:embed="rId13"/>
                          <a:stretch>
                            <a:fillRect/>
                          </a:stretch>
                        </pic:blipFill>
                        <pic:spPr>
                          <a:xfrm>
                            <a:off x="0" y="0"/>
                            <a:ext cx="2788920" cy="2721247"/>
                          </a:xfrm>
                          <a:prstGeom prst="rect"/>
                        </pic:spPr>
                      </pic:pic>
                    </a:graphicData>
                  </a:graphic>
                </wp:inline>
              </w:drawing>
            </w:r>
          </w:p>
        </w:tc>
        <w:tc>
          <w:tcPr>
            <w:tcW w:type="dxa" w:w="5227"/>
          </w:tcPr>
          <w:p>
            <w:pPr>
              <w:jc w:val="center"/>
            </w:pPr>
            <w:r>
              <w:drawing>
                <wp:inline xmlns:a="http://schemas.openxmlformats.org/drawingml/2006/main" xmlns:pic="http://schemas.openxmlformats.org/drawingml/2006/picture">
                  <wp:extent cx="2788920" cy="1884405"/>
                  <wp:docPr id="5" name="Picture 5"/>
                  <wp:cNvGraphicFramePr>
                    <a:graphicFrameLocks noChangeAspect="1"/>
                  </wp:cNvGraphicFramePr>
                  <a:graphic>
                    <a:graphicData uri="http://schemas.openxmlformats.org/drawingml/2006/picture">
                      <pic:pic>
                        <pic:nvPicPr>
                          <pic:cNvPr id="0" name="pareto_front.png"/>
                          <pic:cNvPicPr/>
                        </pic:nvPicPr>
                        <pic:blipFill>
                          <a:blip r:embed="rId14"/>
                          <a:stretch>
                            <a:fillRect/>
                          </a:stretch>
                        </pic:blipFill>
                        <pic:spPr>
                          <a:xfrm>
                            <a:off x="0" y="0"/>
                            <a:ext cx="2788920" cy="1884405"/>
                          </a:xfrm>
                          <a:prstGeom prst="rect"/>
                        </pic:spPr>
                      </pic:pic>
                    </a:graphicData>
                  </a:graphic>
                </wp:inline>
              </w:drawing>
            </w:r>
          </w:p>
        </w:tc>
      </w:tr>
    </w:tbl>
    <w:p>
      <w:pPr>
        <w:spacing w:after="80"/>
      </w:pPr>
      <w:r>
        <w:rPr>
          <w:i/>
          <w:color w:val="444444"/>
          <w:sz w:val="14"/>
        </w:rPr>
        <w:t>Figure 3. Best-genome coverage footprints at generations 0, 25%, 50%, 75% and 100% (left), and the non-dominated coverage–energy–risk archive with the scalarised best compromise marked (right).</w:t>
      </w:r>
    </w:p>
    <w:p>
      <w:pPr>
        <w:pStyle w:val="Heading1"/>
      </w:pPr>
      <w:r>
        <w:t>5. Conclusions and Recommendations</w:t>
      </w:r>
    </w:p>
    <w:p>
      <w:pPr>
        <w:pStyle w:val="ListBullet"/>
        <w:spacing w:after="10"/>
      </w:pPr>
      <w:r>
        <w:rPr>
          <w:sz w:val="17"/>
        </w:rPr>
        <w:t>Keep the 190-gene hybrid encoding and the three spatial crossovers; it is compact, auditable and directly supports deployment, patrol, sensor and speed decisions.</w:t>
      </w:r>
    </w:p>
    <w:p>
      <w:pPr>
        <w:pStyle w:val="ListBullet"/>
        <w:spacing w:after="10"/>
      </w:pPr>
      <w:r>
        <w:rPr>
          <w:sz w:val="17"/>
        </w:rPr>
        <w:t>Keep the 0.45/0.15/0.10/0.10/0.20 weights for the reported mission, but expose presets: equal weights would choose a materially more economical 0.680-coverage plan.</w:t>
      </w:r>
    </w:p>
    <w:p>
      <w:pPr>
        <w:pStyle w:val="ListBullet"/>
        <w:spacing w:after="10"/>
      </w:pPr>
      <w:r>
        <w:rPr>
          <w:sz w:val="17"/>
        </w:rPr>
        <w:t>Use population 40 for 40-generation runs, population 60 for the 80-generation reference, mutation 0.15–0.20 for long runs, and tournament size 4. Treat population 24–40 as a plateau until more seeds are available.</w:t>
      </w:r>
    </w:p>
    <w:p>
      <w:pPr>
        <w:pStyle w:val="ListBullet"/>
        <w:spacing w:after="10"/>
      </w:pPr>
      <w:r>
        <w:rPr>
          <w:sz w:val="17"/>
        </w:rPr>
        <w:t>Present the equal-budget comparison as the main evidence of usefulness: +1.797 fitness, 3.47× coverage, 5.60× confident detection, zero penalties and a 149-member archive. Do not claim random search is useless; claim it cannot produce a coordinated, feasible, multi-alternative plan at this budget.</w:t>
      </w:r>
    </w:p>
    <w:p>
      <w:pPr>
        <w:pStyle w:val="Heading1"/>
      </w:pPr>
      <w:r>
        <w:t>Reproducibility</w:t>
      </w:r>
    </w:p>
    <w:p>
      <w:pPr>
        <w:spacing w:after="40"/>
      </w:pPr>
      <w:r>
        <w:rPr>
          <w:rFonts w:ascii="Consolas" w:hAnsi="Consolas"/>
          <w:sz w:val="14"/>
        </w:rPr>
        <w:t>python -m uav_strategy run --generations 80 --population 60</w:t>
        <w:br/>
        <w:t>python -m uav_strategy experiments --generations 40</w:t>
        <w:br/>
        <w:t>python scripts/build_analysis_report.py</w:t>
        <w:br/>
        <w:t>python scripts/build_report.py    # main technical report</w:t>
      </w:r>
    </w:p>
    <w:sectPr w:rsidR="00FC693F" w:rsidRPr="0006063C" w:rsidSect="00034616">
      <w:footerReference w:type="default" r:id="rId9"/>
      <w:pgSz w:w="12240" w:h="15840"/>
      <w:pgMar w:top="749"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 xml:space="preserve">AEGIS analysis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30"/>
      <w:outlineLvl w:val="0"/>
    </w:pPr>
    <w:rPr>
      <w:rFonts w:asciiTheme="majorHAnsi" w:eastAsiaTheme="majorEastAsia" w:hAnsiTheme="majorHAnsi" w:cstheme="majorBidi" w:ascii="Calibri" w:hAnsi="Calibri"/>
      <w:b/>
      <w:bCs/>
      <w:color w:val="0B3D66"/>
      <w:sz w:val="24"/>
      <w:szCs w:val="28"/>
    </w:rPr>
  </w:style>
  <w:style w:type="paragraph" w:styleId="Heading2">
    <w:name w:val="heading 2"/>
    <w:basedOn w:val="Normal"/>
    <w:next w:val="Normal"/>
    <w:link w:val="Heading2Char"/>
    <w:uiPriority w:val="9"/>
    <w:unhideWhenUsed/>
    <w:qFormat/>
    <w:rsid w:val="00FC693F"/>
    <w:pPr>
      <w:keepNext/>
      <w:keepLines/>
      <w:spacing w:before="120" w:after="30"/>
      <w:outlineLvl w:val="1"/>
    </w:pPr>
    <w:rPr>
      <w:rFonts w:asciiTheme="majorHAnsi" w:eastAsiaTheme="majorEastAsia" w:hAnsiTheme="majorHAnsi" w:cstheme="majorBidi" w:ascii="Calibri" w:hAnsi="Calibri"/>
      <w:b/>
      <w:bCs/>
      <w:color w:val="1F5F8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