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ML Assessment</w:t>
      </w:r>
    </w:p>
    <w:p>
      <w:r>
        <w:rPr>
          <w:i/>
          <w:sz w:val="18"/>
        </w:rPr>
        <w:t>Technical report · Executed repository results · 06 October 2026</w:t>
      </w:r>
    </w:p>
    <w:p>
      <w:pPr>
        <w:pStyle w:val="Heading1"/>
      </w:pPr>
      <w:r>
        <w:t>1. Executive Summary</w:t>
      </w:r>
    </w:p>
    <w:p>
      <w:r>
        <w:t xml:space="preserve">A CatBoost solution uses </w:t>
      </w:r>
      <w:r>
        <w:rPr>
          <w:b/>
        </w:rPr>
        <w:t>48,000 labeled loads</w:t>
      </w:r>
      <w:r>
        <w:t xml:space="preserve">. The frozen 399-tree log-target model achieved mean chronological </w:t>
      </w:r>
      <w:r>
        <w:rPr>
          <w:b/>
        </w:rPr>
        <w:t>MAE $129.41, RMSE $634.96, R² 0.8258</w:t>
      </w:r>
      <w:r>
        <w:t>; Sep–Oct MAE was $116.71. Production fitting then used all labeled rows and generated 12,000 final predictions.</w:t>
      </w:r>
    </w:p>
    <w:p>
      <w:r>
        <w:t>The original scorer accepted both outputs and created the embedded December chart. Local metrics describe historical validation; final accuracy and Spotter's hidden metrics are unavailable. A separate validated December model uses only available inputs.</w:t>
      </w:r>
    </w:p>
    <w:p>
      <w:pPr>
        <w:pStyle w:val="Heading1"/>
      </w:pPr>
      <w:r>
        <w:t>2. Dataset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800"/>
        <w:gridCol w:w="4392"/>
      </w:tblGrid>
      <w:tr>
        <w:trPr>
          <w:cantSplit/>
          <w:tblHeader/>
        </w:trPr>
        <w:tc>
          <w:tcPr>
            <w:tcW w:type="dxa" w:w="3888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00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Rows × columns</w:t>
            </w:r>
          </w:p>
        </w:tc>
        <w:tc>
          <w:tcPr>
            <w:tcW w:type="dxa" w:w="439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Dates / role</w:t>
            </w:r>
          </w:p>
        </w:tc>
      </w:tr>
      <w:tr>
        <w:trPr>
          <w:cantSplit/>
        </w:trPr>
        <w:tc>
          <w:tcPr>
            <w:tcW w:type="dxa" w:w="388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train_test.csv</w:t>
            </w:r>
          </w:p>
        </w:tc>
        <w:tc>
          <w:tcPr>
            <w:tcW w:type="dxa" w:w="1800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48,000 × 14</w:t>
            </w:r>
          </w:p>
        </w:tc>
        <w:tc>
          <w:tcPr>
            <w:tcW w:type="dxa" w:w="439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Jan 1–Oct 31, 2025; labeled development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/>
            </w:pPr>
            <w:r>
              <w:rPr>
                <w:sz w:val="18"/>
              </w:rPr>
              <w:t>validation.csv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sz w:val="18"/>
              </w:rPr>
              <w:t>12,000 × 13</w:t>
            </w:r>
          </w:p>
        </w:tc>
        <w:tc>
          <w:tcPr>
            <w:tcW w:type="dxa" w:w="4392"/>
          </w:tcPr>
          <w:p>
            <w:pPr>
              <w:spacing w:after="60" w:before="60"/>
            </w:pPr>
            <w:r>
              <w:rPr>
                <w:sz w:val="18"/>
              </w:rPr>
              <w:t>Nov 1–Dec 31, 2025; final inference</w:t>
            </w:r>
          </w:p>
        </w:tc>
      </w:tr>
      <w:tr>
        <w:trPr>
          <w:cantSplit/>
        </w:trPr>
        <w:tc>
          <w:tcPr>
            <w:tcW w:type="dxa" w:w="388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validation_predictions_template.csv</w:t>
            </w:r>
          </w:p>
        </w:tc>
        <w:tc>
          <w:tcPr>
            <w:tcW w:type="dxa" w:w="1800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12,000 × 2</w:t>
            </w:r>
          </w:p>
        </w:tc>
        <w:tc>
          <w:tcPr>
            <w:tcW w:type="dxa" w:w="439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Unique load IDs; original rate cells remain blank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/>
            </w:pPr>
            <w:r>
              <w:rPr>
                <w:sz w:val="18"/>
              </w:rPr>
              <w:t>december_chart_inputs.csv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sz w:val="18"/>
              </w:rPr>
              <w:t>31 × 7</w:t>
            </w:r>
          </w:p>
        </w:tc>
        <w:tc>
          <w:tcPr>
            <w:tcW w:type="dxa" w:w="4392"/>
          </w:tcPr>
          <w:p>
            <w:pPr>
              <w:spacing w:after="60" w:before="60"/>
            </w:pPr>
            <w:r>
              <w:rPr>
                <w:sz w:val="18"/>
              </w:rPr>
              <w:t>Every day of December 2025; fixed scenario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 xml:space="preserve">The target is </w:t>
      </w:r>
      <w:r>
        <w:rPr>
          <w:rFonts w:ascii="Consolas" w:hAnsi="Consolas"/>
          <w:sz w:val="18"/>
        </w:rPr>
        <w:t>posted_rate</w:t>
      </w:r>
      <w:r>
        <w:t xml:space="preserve"> in dollars; predictor schemas otherwise match. </w:t>
      </w:r>
      <w:r>
        <w:rPr>
          <w:rFonts w:ascii="Consolas" w:hAnsi="Consolas"/>
          <w:sz w:val="18"/>
        </w:rPr>
        <w:t>load_id</w:t>
      </w:r>
      <w:r>
        <w:t xml:space="preserve"> is excluded from features. Raw datasets and the supplied scorer are protected by recorded SHA-256 hashes.</w:t>
      </w:r>
    </w:p>
    <w:p>
      <w:pPr>
        <w:pStyle w:val="Heading1"/>
      </w:pPr>
      <w:r>
        <w:t>3. Data Quality Issues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2808"/>
        <w:gridCol w:w="2808"/>
      </w:tblGrid>
      <w:tr>
        <w:trPr>
          <w:cantSplit/>
          <w:tblHeader/>
        </w:trPr>
        <w:tc>
          <w:tcPr>
            <w:tcW w:type="dxa" w:w="4464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08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Development rows</w:t>
            </w:r>
          </w:p>
        </w:tc>
        <w:tc>
          <w:tcPr>
            <w:tcW w:type="dxa" w:w="2808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Final-inference rows</w:t>
            </w:r>
          </w:p>
        </w:tc>
      </w:tr>
      <w:tr>
        <w:trPr>
          <w:cantSplit/>
        </w:trPr>
        <w:tc>
          <w:tcPr>
            <w:tcW w:type="dxa" w:w="446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Missing weight</w:t>
            </w:r>
          </w:p>
        </w:tc>
        <w:tc>
          <w:tcPr>
            <w:tcW w:type="dxa" w:w="28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300</w:t>
            </w:r>
          </w:p>
        </w:tc>
        <w:tc>
          <w:tcPr>
            <w:tcW w:type="dxa" w:w="28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165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/>
            </w:pPr>
            <w:r>
              <w:rPr>
                <w:sz w:val="18"/>
              </w:rPr>
              <w:t>Negative weight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>
              <w:rPr>
                <w:sz w:val="18"/>
              </w:rPr>
              <w:t>292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>
              <w:rPr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446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Missing market_index</w:t>
            </w:r>
          </w:p>
        </w:tc>
        <w:tc>
          <w:tcPr>
            <w:tcW w:type="dxa" w:w="28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374</w:t>
            </w:r>
          </w:p>
        </w:tc>
        <w:tc>
          <w:tcPr>
            <w:tcW w:type="dxa" w:w="28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249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/>
            </w:pPr>
            <w:r>
              <w:rPr>
                <w:sz w:val="18"/>
              </w:rPr>
              <w:t>Missing quote_signal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>
              <w:rPr>
                <w:sz w:val="18"/>
              </w:rPr>
              <w:t>0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 xml:space="preserve">No row was deleted. Negative weights may reflect sign corruption; their cause is unverified. Features use </w:t>
      </w:r>
      <w:r>
        <w:rPr>
          <w:rFonts w:ascii="Consolas" w:hAnsi="Consolas"/>
          <w:sz w:val="18"/>
        </w:rPr>
        <w:t>abs(weight)</w:t>
      </w:r>
      <w:r>
        <w:t xml:space="preserve"> plus original missing/negative flags. CatBoost handles numeric NaNs natively; missing categories become explicit strings. Malformed nonmissing values and infinities fail explicitly. No duplicate load IDs or exact duplicate loads were found.</w:t>
      </w:r>
    </w:p>
    <w:p>
      <w:r>
        <w:t xml:space="preserve">Final inference has </w:t>
      </w:r>
      <w:r>
        <w:rPr>
          <w:b/>
        </w:rPr>
        <w:t>8 new cities</w:t>
      </w:r>
      <w:r>
        <w:t xml:space="preserve">, affecting </w:t>
      </w:r>
      <w:r>
        <w:rPr>
          <w:b/>
        </w:rPr>
        <w:t>1,447 rows (12.06%)</w:t>
      </w:r>
      <w:r>
        <w:t xml:space="preserve">, and </w:t>
      </w:r>
      <w:r>
        <w:rPr>
          <w:b/>
        </w:rPr>
        <w:t>736 new routes</w:t>
      </w:r>
      <w:r>
        <w:t xml:space="preserve">, affecting </w:t>
      </w:r>
      <w:r>
        <w:rPr>
          <w:b/>
        </w:rPr>
        <w:t>1,461 rows (12.17%)</w:t>
      </w:r>
      <w:r>
        <w:t xml:space="preserve">. Coordinates are retained; CatBoost accepts new labels and sklearn uses </w:t>
      </w:r>
      <w:r>
        <w:rPr>
          <w:rFonts w:ascii="Consolas" w:hAnsi="Consolas"/>
          <w:sz w:val="18"/>
        </w:rPr>
        <w:t>handle_unknown="ignore"</w:t>
      </w:r>
      <w:r>
        <w:t>. Compatibility does not establish future-city accuracy.</w:t>
      </w:r>
    </w:p>
    <w:p>
      <w:pPr>
        <w:pStyle w:val="Heading1"/>
      </w:pPr>
      <w:r>
        <w:t>4. Exploratory Findings</w:t>
      </w:r>
    </w:p>
    <w:p>
      <w:r>
        <w:t>Distance strongly tracks total rate (Pearson correlation 0.909). Rates are right-tailed: minimum $57.22, median $2,030.76, mean $2,373.98, maximum $25,533.00. Large observations were retained rather than automatically clipped or removed.</w:t>
      </w:r>
    </w:p>
    <w:p>
      <w:r>
        <w:t>Median dollars per mile: Dry Van $2.05, Flatbed $2.22, Reefer $2.31. Calendar/load mix also varies. These associations are not causal premiums; market/quote usefulness requires chronological experiments.</w:t>
      </w:r>
    </w:p>
    <w:p>
      <w:r>
        <w:br w:type="page"/>
      </w:r>
    </w:p>
    <w:p>
      <w:pPr>
        <w:pStyle w:val="Heading1"/>
      </w:pPr>
      <w:r>
        <w:t>5. Validation Strategy</w:t>
      </w:r>
    </w:p>
    <w:p>
      <w:r>
        <w:t xml:space="preserve">Three expanding chronological folds reproduce the task's ordering: learn from earlier loads, then predict the next two months. All dates below are in </w:t>
      </w:r>
      <w:r>
        <w:rPr>
          <w:b/>
        </w:rPr>
        <w:t>2025</w:t>
      </w:r>
      <w:r>
        <w:t>. Every row of a calendar date remains together; training never crosses into its later validation period. Final Nov–Dec inputs are excluded from model selection, tuning, and accuracy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736"/>
        <w:gridCol w:w="2736"/>
        <w:gridCol w:w="3744"/>
      </w:tblGrid>
      <w:tr>
        <w:trPr>
          <w:cantSplit/>
          <w:tblHeader/>
        </w:trPr>
        <w:tc>
          <w:tcPr>
            <w:tcW w:type="dxa" w:w="864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Fold</w:t>
            </w:r>
          </w:p>
        </w:tc>
        <w:tc>
          <w:tcPr>
            <w:tcW w:type="dxa" w:w="273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Training period</w:t>
            </w:r>
          </w:p>
        </w:tc>
        <w:tc>
          <w:tcPr>
            <w:tcW w:type="dxa" w:w="273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Validation period</w:t>
            </w:r>
          </w:p>
        </w:tc>
        <w:tc>
          <w:tcPr>
            <w:tcW w:type="dxa" w:w="3744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Train / validation rows</w:t>
            </w:r>
          </w:p>
        </w:tc>
      </w:tr>
      <w:tr>
        <w:trPr>
          <w:cantSplit/>
        </w:trPr>
        <w:tc>
          <w:tcPr>
            <w:tcW w:type="dxa" w:w="86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Jan 1–Apr 30</w:t>
            </w:r>
          </w:p>
        </w:tc>
        <w:tc>
          <w:tcPr>
            <w:tcW w:type="dxa" w:w="273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May 01–Jun 30</w:t>
            </w:r>
          </w:p>
        </w:tc>
        <w:tc>
          <w:tcPr>
            <w:tcW w:type="dxa" w:w="374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19,110 / 9,696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sz w:val="18"/>
              </w:rPr>
              <w:t>Jan 1–Jun 30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sz w:val="18"/>
              </w:rPr>
              <w:t>Jul 01–Aug 31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28,806 / 9,671</w:t>
            </w:r>
          </w:p>
        </w:tc>
      </w:tr>
      <w:tr>
        <w:trPr>
          <w:cantSplit/>
        </w:trPr>
        <w:tc>
          <w:tcPr>
            <w:tcW w:type="dxa" w:w="86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Jan 1–Aug 31</w:t>
            </w:r>
          </w:p>
        </w:tc>
        <w:tc>
          <w:tcPr>
            <w:tcW w:type="dxa" w:w="273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Sep 01–Oct 31</w:t>
            </w:r>
          </w:p>
        </w:tc>
        <w:tc>
          <w:tcPr>
            <w:tcW w:type="dxa" w:w="374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38,477 / 9,523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 xml:space="preserve">Fold 3 is the primary recent holdout: training </w:t>
      </w:r>
      <w:r>
        <w:rPr>
          <w:b/>
        </w:rPr>
        <w:t>2025-01-01–2025-08-31</w:t>
      </w:r>
      <w:r>
        <w:t xml:space="preserve">, validation </w:t>
      </w:r>
      <w:r>
        <w:rPr>
          <w:b/>
        </w:rPr>
        <w:t>2025-09-01–2025-10-31</w:t>
      </w:r>
      <w:r>
        <w:t>. A random split would mix future observations and calendar/market regimes into training. MAE is primary; RMSE and R² report large-error behavior and fit on the original dollar scale.</w:t>
      </w:r>
    </w:p>
    <w:p>
      <w:r>
        <w:t>Actual primary-model fixed-budget results: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403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01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MAE ($)</w:t>
            </w:r>
          </w:p>
        </w:tc>
        <w:tc>
          <w:tcPr>
            <w:tcW w:type="dxa" w:w="201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RMSE ($)</w:t>
            </w:r>
          </w:p>
        </w:tc>
        <w:tc>
          <w:tcPr>
            <w:tcW w:type="dxa" w:w="201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403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May–Jun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142.56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644.49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0.8265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sz w:val="18"/>
              </w:rPr>
              <w:t>Jul–Aug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128.96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623.89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0.8248</w:t>
            </w:r>
          </w:p>
        </w:tc>
      </w:tr>
      <w:tr>
        <w:trPr>
          <w:cantSplit/>
        </w:trPr>
        <w:tc>
          <w:tcPr>
            <w:tcW w:type="dxa" w:w="403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Sep–Oct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116.71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636.50</w:t>
            </w:r>
          </w:p>
        </w:tc>
        <w:tc>
          <w:tcPr>
            <w:tcW w:type="dxa" w:w="201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0.8260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sz w:val="18"/>
              </w:rPr>
              <w:t>Unweighted fold mean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129.41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634.96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>
              <w:rPr>
                <w:sz w:val="18"/>
              </w:rPr>
              <w:t>0.8258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All learned sklearn imputation, scaling, and categorical vocabularies are fitted on each applicable training fold. CatBoost's learned categorical statistics are training-fold local; missing numeric handling is native. Feature generation is stateless and row-wise.</w:t>
      </w:r>
    </w:p>
    <w:p>
      <w:r>
        <w:t>Initial experiments used the outer chronological holdout for early stopping. Shortlisted candidates were confirmed with fixed median tree budgets, without an eval_set. Historical folds were reused for selection, so these are selection estimates, not an untouched test. Fold averages are unweighted and are not pooled metrics.</w:t>
      </w:r>
    </w:p>
    <w:p>
      <w:pPr>
        <w:pStyle w:val="Heading1"/>
      </w:pPr>
      <w:r>
        <w:t>6. Feature Engineering</w:t>
      </w:r>
    </w:p>
    <w:p>
      <w:r>
        <w:t xml:space="preserve">One shared builder in </w:t>
      </w:r>
      <w:r>
        <w:rPr>
          <w:rFonts w:ascii="Consolas" w:hAnsi="Consolas"/>
          <w:sz w:val="18"/>
        </w:rPr>
        <w:t>src/features.py</w:t>
      </w:r>
      <w:r>
        <w:t xml:space="preserve"> serves both training and inference. The primary ordered whitelist has </w:t>
      </w:r>
      <w:r>
        <w:rPr>
          <w:b/>
        </w:rPr>
        <w:t>26 features</w:t>
      </w:r>
      <w:r>
        <w:t xml:space="preserve">; it excludes </w:t>
      </w:r>
      <w:r>
        <w:rPr>
          <w:rFonts w:ascii="Consolas" w:hAnsi="Consolas"/>
          <w:sz w:val="18"/>
        </w:rPr>
        <w:t>load_id</w:t>
      </w:r>
      <w:r>
        <w:t xml:space="preserve">, </w:t>
      </w:r>
      <w:r>
        <w:rPr>
          <w:rFonts w:ascii="Consolas" w:hAnsi="Consolas"/>
          <w:sz w:val="18"/>
        </w:rPr>
        <w:t>posted_rate</w:t>
      </w:r>
      <w:r>
        <w:t xml:space="preserve">, and </w:t>
      </w:r>
      <w:r>
        <w:rPr>
          <w:rFonts w:ascii="Consolas" w:hAnsi="Consolas"/>
          <w:sz w:val="18"/>
        </w:rPr>
        <w:t>predicted_rate</w:t>
      </w:r>
      <w:r>
        <w:t>. No external target encoding is used. The calendar reference remains 2025-01-01.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835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Selected feature names</w:t>
            </w:r>
          </w:p>
        </w:tc>
      </w:tr>
      <w:tr>
        <w:trPr>
          <w:cantSplit/>
        </w:trPr>
        <w:tc>
          <w:tcPr>
            <w:tcW w:type="dxa" w:w="172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835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distance, equipment, weight_clean, weight_missing, weight_negative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60"/>
            </w:pPr>
            <w:r>
              <w:rPr>
                <w:sz w:val="18"/>
              </w:rPr>
              <w:t>Geographic</w:t>
            </w:r>
          </w:p>
        </w:tc>
        <w:tc>
          <w:tcPr>
            <w:tcW w:type="dxa" w:w="8352"/>
          </w:tcPr>
          <w:p>
            <w:pPr>
              <w:spacing w:after="60" w:before="60"/>
            </w:pPr>
            <w:r>
              <w:rPr>
                <w:sz w:val="18"/>
              </w:rPr>
              <w:t>pickup, delivery, pickup_lat, pickup_lon, delivery_lat, delivery_lon</w:t>
            </w:r>
          </w:p>
        </w:tc>
      </w:tr>
      <w:tr>
        <w:trPr>
          <w:cantSplit/>
        </w:trPr>
        <w:tc>
          <w:tcPr>
            <w:tcW w:type="dxa" w:w="172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Route</w:t>
            </w:r>
          </w:p>
        </w:tc>
        <w:tc>
          <w:tcPr>
            <w:tcW w:type="dxa" w:w="835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route = pickup + " -&gt; " + delivery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6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8352"/>
          </w:tcPr>
          <w:p>
            <w:pPr>
              <w:spacing w:after="60" w:before="60"/>
            </w:pPr>
            <w:r>
              <w:rPr>
                <w:sz w:val="18"/>
              </w:rPr>
              <w:t>month, day, day_of_week, day_of_year, iso_week, weekend, days_since_reference_date</w:t>
            </w:r>
          </w:p>
        </w:tc>
      </w:tr>
      <w:tr>
        <w:trPr>
          <w:cantSplit/>
        </w:trPr>
        <w:tc>
          <w:tcPr>
            <w:tcW w:type="dxa" w:w="172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Cyclical</w:t>
            </w:r>
          </w:p>
        </w:tc>
        <w:tc>
          <w:tcPr>
            <w:tcW w:type="dxa" w:w="835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sin_day_of_week, cos_day_of_week, sin_day_of_year, cos_day_of_year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60" w:before="60"/>
            </w:pPr>
            <w:r>
              <w:rPr>
                <w:sz w:val="18"/>
              </w:rPr>
              <w:t>Market</w:t>
            </w:r>
          </w:p>
        </w:tc>
        <w:tc>
          <w:tcPr>
            <w:tcW w:type="dxa" w:w="8352"/>
          </w:tcPr>
          <w:p>
            <w:pPr>
              <w:spacing w:after="60" w:before="60"/>
            </w:pPr>
            <w:r>
              <w:rPr>
                <w:sz w:val="18"/>
              </w:rPr>
              <w:t>market_index, market_index_missing, quote_signal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rPr>
          <w:rFonts w:ascii="Consolas" w:hAnsi="Consolas"/>
          <w:sz w:val="18"/>
        </w:rPr>
        <w:t>weight_clean</w:t>
      </w:r>
      <w:r>
        <w:t xml:space="preserve"> is absolute original weight; missing cleaned weights remain NaN. Missing/negative flags describe the original measurement. City/route strings support native categories, while coordinates supply information when labels are unseen. The December model retains operational, geographic, calendar, and cyclic features: </w:t>
      </w:r>
      <w:r>
        <w:rPr>
          <w:b/>
        </w:rPr>
        <w:t>22 features</w:t>
      </w:r>
      <w:r>
        <w:t>, excluding route and market/quote fields.</w:t>
      </w:r>
    </w:p>
    <w:p>
      <w:r>
        <w:t xml:space="preserve">Evidence: </w:t>
      </w:r>
      <w:r>
        <w:rPr>
          <w:rFonts w:ascii="Consolas" w:hAnsi="Consolas"/>
          <w:sz w:val="18"/>
        </w:rPr>
        <w:t>docs/validation_plan.md</w:t>
      </w:r>
      <w:r>
        <w:t xml:space="preserve">, </w:t>
      </w:r>
      <w:r>
        <w:rPr>
          <w:rFonts w:ascii="Consolas" w:hAnsi="Consolas"/>
          <w:sz w:val="18"/>
        </w:rPr>
        <w:t>docs/final_model_config.json</w:t>
      </w:r>
      <w:r>
        <w:t xml:space="preserve">, </w:t>
      </w:r>
      <w:r>
        <w:rPr>
          <w:rFonts w:ascii="Consolas" w:hAnsi="Consolas"/>
          <w:sz w:val="18"/>
        </w:rPr>
        <w:t>reports/model_comparison.csv</w:t>
      </w:r>
      <w:r>
        <w:t xml:space="preserve">, and </w:t>
      </w:r>
      <w:r>
        <w:rPr>
          <w:rFonts w:ascii="Consolas" w:hAnsi="Consolas"/>
          <w:sz w:val="18"/>
        </w:rPr>
        <w:t>src/features.py</w:t>
      </w:r>
      <w:r>
        <w:t>.</w:t>
      </w:r>
    </w:p>
    <w:p>
      <w:r>
        <w:br w:type="page"/>
      </w:r>
    </w:p>
    <w:p>
      <w:pPr>
        <w:pStyle w:val="Heading1"/>
      </w:pPr>
      <w:r>
        <w:t>7. Model Experiments</w:t>
      </w:r>
    </w:p>
    <w:p>
      <w:r>
        <w:t>Executed comparisons include global median, distance-only linear regression, Ridge, and three modest CatBoost settings (depths 6/7/8). Controlled experiments add operational/calendar → cities → coordinates → route → market_index → quote_signal on the same folds, and compare raw weight with absolute weight plus flags, and direct with log1p targets. No large search was performed.</w:t>
      </w:r>
    </w:p>
    <w:p>
      <w:r>
        <w:t>Mean chronological metrics for the baselines and fixed-budget finalists: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829"/>
        <w:gridCol w:w="1829"/>
        <w:gridCol w:w="1814"/>
      </w:tblGrid>
      <w:tr>
        <w:trPr>
          <w:cantSplit/>
          <w:tblHeader/>
        </w:trPr>
        <w:tc>
          <w:tcPr>
            <w:tcW w:type="dxa" w:w="4608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29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MAE ($)</w:t>
            </w:r>
          </w:p>
        </w:tc>
        <w:tc>
          <w:tcPr>
            <w:tcW w:type="dxa" w:w="1829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RMSE ($)</w:t>
            </w:r>
          </w:p>
        </w:tc>
        <w:tc>
          <w:tcPr>
            <w:tcW w:type="dxa" w:w="1814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46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Global median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1,151.00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1,572.59</w:t>
            </w:r>
          </w:p>
        </w:tc>
        <w:tc>
          <w:tcPr>
            <w:tcW w:type="dxa" w:w="181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-0.0685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sz w:val="18"/>
              </w:rPr>
              <w:t>Distance linear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201.23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658.83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0.8124</w:t>
            </w:r>
          </w:p>
        </w:tc>
      </w:tr>
      <w:tr>
        <w:trPr>
          <w:cantSplit/>
        </w:trPr>
        <w:tc>
          <w:tcPr>
            <w:tcW w:type="dxa" w:w="46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Ridge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252.81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687.48</w:t>
            </w:r>
          </w:p>
        </w:tc>
        <w:tc>
          <w:tcPr>
            <w:tcW w:type="dxa" w:w="181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0.7954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sz w:val="18"/>
              </w:rPr>
              <w:t>F-clean/direct, 284 trees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131.00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634.46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0.8260</w:t>
            </w:r>
          </w:p>
        </w:tc>
      </w:tr>
      <w:tr>
        <w:trPr>
          <w:cantSplit/>
        </w:trPr>
        <w:tc>
          <w:tcPr>
            <w:tcW w:type="dxa" w:w="4608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Selected F-clean/log, 399 trees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129.41</w:t>
            </w:r>
          </w:p>
        </w:tc>
        <w:tc>
          <w:tcPr>
            <w:tcW w:type="dxa" w:w="1829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634.96</w:t>
            </w:r>
          </w:p>
        </w:tc>
        <w:tc>
          <w:tcPr>
            <w:tcW w:type="dxa" w:w="1814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0.8258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sz w:val="18"/>
              </w:rPr>
              <w:t>December C-clean/direct, 541 trees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143.85</w:t>
            </w:r>
          </w:p>
        </w:tc>
        <w:tc>
          <w:tcPr>
            <w:tcW w:type="dxa" w:w="1829"/>
          </w:tcPr>
          <w:p>
            <w:pPr>
              <w:spacing w:after="60" w:before="60"/>
            </w:pPr>
            <w:r>
              <w:rPr>
                <w:sz w:val="18"/>
              </w:rPr>
              <w:t>637.14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0.8245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Market features improve aggregate MAE, but their incremental benefit varies by fold. Quote gains are modest and mixed. The full selected bundle won among executed configurations; route's contribution conditional on that final bundle was not isolated. Source provenance and prediction-time availability of market/quote signals remain limitations, not demonstrated leakage.</w:t>
      </w:r>
    </w:p>
    <w:p>
      <w:pPr>
        <w:pStyle w:val="Heading1"/>
      </w:pPr>
      <w:r>
        <w:t>8. Final Model Selection</w:t>
      </w:r>
    </w:p>
    <w:p>
      <w:r>
        <w:t xml:space="preserve">The primary is </w:t>
      </w:r>
      <w:r>
        <w:rPr>
          <w:b/>
        </w:rPr>
        <w:t>CatBoostRegressor, 399 trees, depth 6, learning_rate 0.05, l2_leaf_reg 5, MAE loss, random_seed 42, thread_count 4, nan_mode Min</w:t>
      </w:r>
      <w:r>
        <w:t xml:space="preserve">. It fits </w:t>
      </w:r>
      <w:r>
        <w:rPr>
          <w:rFonts w:ascii="Consolas" w:hAnsi="Consolas"/>
          <w:sz w:val="18"/>
        </w:rPr>
        <w:t>log1p(posted_rate)</w:t>
      </w:r>
      <w:r>
        <w:t xml:space="preserve"> and converts predictions with </w:t>
      </w:r>
      <w:r>
        <w:rPr>
          <w:rFonts w:ascii="Consolas" w:hAnsi="Consolas"/>
          <w:sz w:val="18"/>
        </w:rPr>
        <w:t>expm1</w:t>
      </w:r>
      <w:r>
        <w:t>. The feature list and tree budget were frozen before full-data production fitting.</w:t>
      </w:r>
    </w:p>
    <w:p>
      <w:r>
        <w:t xml:space="preserve">Selection prioritized fixed-budget mean chronological MAE, recent holdout behavior, stability, missing/unseen robustness, and realistic inputs. The selected model beats every simple baseline. Log modeling improves mean MAE from $131.00 to $129.41 versus the fixed direct-target alternative, but slightly worsens recent MAE and mean RMSE; it does not win every metric. Its Sep–Oct results are </w:t>
      </w:r>
      <w:r>
        <w:rPr>
          <w:b/>
        </w:rPr>
        <w:t>MAE $116.71, RMSE $636.50, R² 0.8260</w:t>
      </w:r>
      <w:r>
        <w:t>.</w:t>
      </w:r>
    </w:p>
    <w:p>
      <w:pPr>
        <w:pStyle w:val="Heading1"/>
      </w:pPr>
      <w:r>
        <w:t>9. Final Prediction Process</w:t>
      </w:r>
    </w:p>
    <w:p>
      <w:r>
        <w:t xml:space="preserve">Both frozen models train on all 48,000 development rows with no eval_set or early stopping. Native models, preprocessing specifications, deterministic city coordinates, feature/source hashes, parameters, versions, and historical metrics are saved under </w:t>
      </w:r>
      <w:r>
        <w:rPr>
          <w:rFonts w:ascii="Consolas" w:hAnsi="Consolas"/>
          <w:sz w:val="18"/>
        </w:rPr>
        <w:t>artifacts/</w:t>
      </w:r>
      <w:r>
        <w:t>.</w:t>
      </w:r>
    </w:p>
    <w:p>
      <w:r>
        <w:t xml:space="preserve">The saved primary predicts every final-inference load. Predictions join to template IDs </w:t>
      </w:r>
      <w:r>
        <w:rPr>
          <w:b/>
        </w:rPr>
        <w:t>one-to-one by load_id</w:t>
      </w:r>
      <w:r>
        <w:t xml:space="preserve">, in template order, with exactly </w:t>
      </w:r>
      <w:r>
        <w:rPr>
          <w:rFonts w:ascii="Consolas" w:hAnsi="Consolas"/>
          <w:sz w:val="18"/>
        </w:rPr>
        <w:t>load_id,predicted_rate</w:t>
      </w:r>
      <w:r>
        <w:t xml:space="preserve"> and no index. Checks reject missing/duplicate/extra IDs and nonfinite or nonpositive rates. The frozen $0.01 guard altered zero production rates.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936"/>
        <w:gridCol w:w="1872"/>
        <w:gridCol w:w="1872"/>
        <w:gridCol w:w="1872"/>
        <w:gridCol w:w="1656"/>
      </w:tblGrid>
      <w:tr>
        <w:trPr>
          <w:cantSplit/>
          <w:tblHeader/>
        </w:trPr>
        <w:tc>
          <w:tcPr>
            <w:tcW w:type="dxa" w:w="187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93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87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Minimum ($)</w:t>
            </w:r>
          </w:p>
        </w:tc>
        <w:tc>
          <w:tcPr>
            <w:tcW w:type="dxa" w:w="187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Maximum ($)</w:t>
            </w:r>
          </w:p>
        </w:tc>
        <w:tc>
          <w:tcPr>
            <w:tcW w:type="dxa" w:w="1872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Mean ($)</w:t>
            </w:r>
          </w:p>
        </w:tc>
        <w:tc>
          <w:tcPr>
            <w:tcW w:type="dxa" w:w="1656"/>
            <w:shd w:fill="1738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Median ($)</w:t>
            </w:r>
          </w:p>
        </w:tc>
      </w:tr>
      <w:tr>
        <w:trPr>
          <w:cantSplit/>
        </w:trPr>
        <w:tc>
          <w:tcPr>
            <w:tcW w:type="dxa" w:w="187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Final inference</w:t>
            </w:r>
          </w:p>
        </w:tc>
        <w:tc>
          <w:tcPr>
            <w:tcW w:type="dxa" w:w="93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12,000</w:t>
            </w:r>
          </w:p>
        </w:tc>
        <w:tc>
          <w:tcPr>
            <w:tcW w:type="dxa" w:w="187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205.35</w:t>
            </w:r>
          </w:p>
        </w:tc>
        <w:tc>
          <w:tcPr>
            <w:tcW w:type="dxa" w:w="187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6,690.05</w:t>
            </w:r>
          </w:p>
        </w:tc>
        <w:tc>
          <w:tcPr>
            <w:tcW w:type="dxa" w:w="1872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2,353.47</w:t>
            </w:r>
          </w:p>
        </w:tc>
        <w:tc>
          <w:tcPr>
            <w:tcW w:type="dxa" w:w="1656"/>
            <w:shd w:fill="F1F5F7"/>
          </w:tcPr>
          <w:p>
            <w:pPr>
              <w:spacing w:after="60" w:before="60"/>
            </w:pPr>
            <w:r>
              <w:rPr>
                <w:sz w:val="18"/>
              </w:rPr>
              <w:t>2,036.72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December</w:t>
            </w:r>
          </w:p>
        </w:tc>
        <w:tc>
          <w:tcPr>
            <w:tcW w:type="dxa" w:w="936"/>
          </w:tcPr>
          <w:p>
            <w:pPr>
              <w:spacing w:after="60" w:before="60"/>
            </w:pPr>
            <w:r>
              <w:rPr>
                <w:sz w:val="18"/>
              </w:rPr>
              <w:t>31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823.46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848.20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834.94</w:t>
            </w:r>
          </w:p>
        </w:tc>
        <w:tc>
          <w:tcPr>
            <w:tcW w:type="dxa" w:w="1656"/>
          </w:tcPr>
          <w:p>
            <w:pPr>
              <w:spacing w:after="60" w:before="60"/>
            </w:pPr>
            <w:r>
              <w:rPr>
                <w:sz w:val="18"/>
              </w:rPr>
              <w:t>834.04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r>
        <w:t>Saved-model inference after the production run reproduced both CSV hashes exactly. Output summaries are not accuracy metrics.</w:t>
      </w:r>
    </w:p>
    <w:p>
      <w:r>
        <w:br w:type="page"/>
      </w:r>
    </w:p>
    <w:p>
      <w:pPr>
        <w:pStyle w:val="Heading1"/>
      </w:pPr>
      <w:r>
        <w:t>10. December Scenario</w:t>
      </w:r>
    </w:p>
    <w:p>
      <w:r>
        <w:t xml:space="preserve">The official chart fixes </w:t>
      </w:r>
      <w:r>
        <w:rPr>
          <w:b/>
        </w:rPr>
        <w:t>Lexington → Fort Wayne, 360 miles, Dry Van, 32,000 lb</w:t>
      </w:r>
      <w:r>
        <w:t xml:space="preserve">, while the date changes from </w:t>
      </w:r>
      <w:r>
        <w:rPr>
          <w:b/>
        </w:rPr>
        <w:t>2025-12-01 through 2025-12-31</w:t>
      </w:r>
      <w:r>
        <w:t xml:space="preserve">. All original six inputs and the seven-column CSV order are preserved; only </w:t>
      </w:r>
      <w:r>
        <w:rPr>
          <w:rFonts w:ascii="Consolas" w:hAnsi="Consolas"/>
          <w:sz w:val="18"/>
        </w:rPr>
        <w:t>predicted_rate</w:t>
      </w:r>
      <w:r>
        <w:t xml:space="preserve"> is filled.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2084756"/>
            <wp:docPr id="1" name="Picture 1" descr="Official scorer chart: fixed freight characteristics, changing December d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separate frozen </w:t>
      </w:r>
      <w:r>
        <w:rPr>
          <w:b/>
        </w:rPr>
        <w:t>541-tree group-C direct-target model</w:t>
      </w:r>
      <w:r>
        <w:t xml:space="preserve"> uses the same chronological philosophy and only available fields. Coordinates come from consistent city lookups in supplied development data; no future market_index or quote_signal is invented. Its mean historical MAE/RMSE/R² are </w:t>
      </w:r>
      <w:r>
        <w:rPr>
          <w:b/>
        </w:rPr>
        <w:t>$143.85 / $637.14 / 0.8245</w:t>
      </w:r>
      <w:r>
        <w:t xml:space="preserve">. These do not establish accuracy for the fixed December lane. Actual December rates range from </w:t>
      </w:r>
      <w:r>
        <w:rPr>
          <w:b/>
        </w:rPr>
        <w:t>$823.46 to $848.20</w:t>
      </w:r>
      <w:r>
        <w:t>.</w:t>
      </w:r>
    </w:p>
    <w:p>
      <w:r>
        <w:t xml:space="preserve">The original </w:t>
      </w:r>
      <w:r>
        <w:rPr>
          <w:rFonts w:ascii="Consolas" w:hAnsi="Consolas"/>
          <w:sz w:val="18"/>
        </w:rPr>
        <w:t>score.py</w:t>
      </w:r>
      <w:r>
        <w:t xml:space="preserve"> validated 12,000 final predictions and 31 fixed December predictions and created this chart. It validates contracts; hidden accuracy is calculated by Spotter after submission.</w:t>
      </w:r>
    </w:p>
    <w:p>
      <w:pPr>
        <w:pStyle w:val="Heading1"/>
      </w:pPr>
      <w:r>
        <w:t>11. Limitations and Improvements</w:t>
      </w:r>
    </w:p>
    <w:p>
      <w:pPr>
        <w:pStyle w:val="ListBullet"/>
      </w:pPr>
      <w:r>
        <w:t>Reused historical folds can overstate generalization; an independent later labeled period or nested chronological stopping split would strengthen evaluation.</w:t>
      </w:r>
    </w:p>
    <w:p>
      <w:pPr>
        <w:pStyle w:val="ListBullet"/>
      </w:pPr>
      <w:r>
        <w:t>November/December labels and unseen-city accuracy are unavailable. Ten months do not establish full-year seasonality; trees have limited extrapolation beyond observed calendar ranges.</w:t>
      </w:r>
    </w:p>
    <w:p>
      <w:pPr>
        <w:pStyle w:val="ListBullet"/>
      </w:pPr>
      <w:r>
        <w:t>Large-rate errors remain: RMSE is substantially above MAE. Investigate tail provenance and performance by lane/equipment before changing target treatment.</w:t>
      </w:r>
    </w:p>
    <w:p>
      <w:pPr>
        <w:pStyle w:val="ListBullet"/>
      </w:pPr>
      <w:r>
        <w:t>Verify market/quote timestamps and availability, supplied coordinate accuracy, and weight-error origins. Their current uncertainty is documented rather than assumed away.</w:t>
      </w:r>
    </w:p>
    <w:p>
      <w:pPr>
        <w:pStyle w:val="ListBullet"/>
      </w:pPr>
      <w:r>
        <w:t>Future work could monitor temporal/input drift and calibration. These are proposed improvements, not completed experiments.</w:t>
      </w:r>
    </w:p>
    <w:p>
      <w:pPr>
        <w:pStyle w:val="Heading1"/>
      </w:pPr>
      <w:r>
        <w:t>12. Reproducibility</w:t>
      </w:r>
    </w:p>
    <w:p>
      <w:r>
        <w:t xml:space="preserve">Verified with Windows Python 3.12.5 and the pinned versions in </w:t>
      </w:r>
      <w:r>
        <w:rPr>
          <w:rFonts w:ascii="Consolas" w:hAnsi="Consolas"/>
          <w:sz w:val="18"/>
        </w:rPr>
        <w:t>constraints.txt</w:t>
      </w:r>
      <w:r>
        <w:t>. From the repository root in PowerShell (macOS/Linux commands are in README):</w:t>
      </w:r>
    </w:p>
    <w:p>
      <w:pPr>
        <w:spacing w:after="80" w:line="240" w:lineRule="auto"/>
      </w:pPr>
      <w:r>
        <w:rPr>
          <w:rFonts w:ascii="Consolas" w:hAnsi="Consolas"/>
          <w:sz w:val="16"/>
        </w:rPr>
        <w:t>py -3.12 -m venv .venv</w:t>
        <w:br/>
      </w:r>
      <w:r>
        <w:rPr>
          <w:rFonts w:ascii="Consolas" w:hAnsi="Consolas"/>
          <w:sz w:val="16"/>
        </w:rPr>
        <w:t>$env:PYTHONUTF8 = "1"</w:t>
        <w:br/>
      </w:r>
      <w:r>
        <w:rPr>
          <w:rFonts w:ascii="Consolas" w:hAnsi="Consolas"/>
          <w:sz w:val="16"/>
        </w:rPr>
        <w:t>$env:MPLCONFIGDIR = ".cache/matplotlib"</w:t>
        <w:br/>
      </w:r>
      <w:r>
        <w:rPr>
          <w:rFonts w:ascii="Consolas" w:hAnsi="Consolas"/>
          <w:sz w:val="16"/>
        </w:rPr>
        <w:t>$python = ".\.venv\Scripts\python.exe"</w:t>
        <w:br/>
      </w:r>
      <w:r>
        <w:rPr>
          <w:rFonts w:ascii="Consolas" w:hAnsi="Consolas"/>
          <w:sz w:val="16"/>
        </w:rPr>
        <w:t>&amp; $python -m pip install -r requirements.txt -c constraints.txt</w:t>
        <w:br/>
      </w:r>
      <w:r>
        <w:rPr>
          <w:rFonts w:ascii="Consolas" w:hAnsi="Consolas"/>
          <w:sz w:val="16"/>
        </w:rPr>
        <w:t>&amp; $python run_pipeline.py</w:t>
        <w:br/>
      </w:r>
      <w:r>
        <w:rPr>
          <w:rFonts w:ascii="Consolas" w:hAnsi="Consolas"/>
          <w:sz w:val="16"/>
        </w:rPr>
        <w:t>&amp; $python -m pytest -q</w:t>
        <w:br/>
      </w:r>
      <w:r>
        <w:rPr>
          <w:rFonts w:ascii="Consolas" w:hAnsi="Consolas"/>
          <w:sz w:val="16"/>
        </w:rPr>
        <w:t>&amp; $python score.py --predictions validation_predictions.csv `</w:t>
        <w:br/>
      </w:r>
      <w:r>
        <w:rPr>
          <w:rFonts w:ascii="Consolas" w:hAnsi="Consolas"/>
          <w:sz w:val="16"/>
        </w:rPr>
        <w:t xml:space="preserve">  --december-predictions data/december_chart_inputs.csv</w:t>
        <w:br/>
      </w:r>
      <w:r>
        <w:rPr>
          <w:rFonts w:ascii="Consolas" w:hAnsi="Consolas"/>
          <w:sz w:val="16"/>
        </w:rPr>
        <w:t>&amp; $python scripts/build_report.py</w:t>
        <w:br/>
      </w:r>
    </w:p>
    <w:p>
      <w:r>
        <w:t xml:space="preserve">The pipeline validates, trains, saves, predicts, and checks integrity without rerunning research. Recorded verification: </w:t>
      </w:r>
      <w:r>
        <w:rPr>
          <w:b/>
        </w:rPr>
        <w:t>110 tests plus 4 subtests passed</w:t>
      </w:r>
      <w:r>
        <w:t xml:space="preserve">, pipeline passed, original scorer passed. Protected inputs remain unchanged. 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docs/worklog.md</w:t>
      </w:r>
      <w:r>
        <w:t>, and metadata provide the audit trail. Publication and an actual Loom recording are separate submission steps.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Executed repository results  •  Page </w:t>
    </w:r>
    <w:r/>
    <w:fldSimple w:instr="PAGE"/>
    <w:r>
      <w:rPr>
        <w:sz w:val="16"/>
      </w:rP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FREIGHT RATE ML ASSESSMENT  | 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8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Calibri" w:hAnsi="Calibri"/>
      <w:color w:val="1738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ML Assessment Report</dc:title>
  <dc:subject>Chronological freight-rate validation and fixed December scenario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